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0236" w14:textId="6070848B" w:rsidR="00424386" w:rsidRDefault="00CE61F6" w:rsidP="4C24EA03">
      <w:pPr>
        <w:jc w:val="both"/>
        <w:rPr>
          <w:rFonts w:eastAsia="Times New Roman" w:cs="Times New Roman"/>
          <w:b/>
          <w:bCs/>
        </w:rPr>
      </w:pPr>
      <w:r w:rsidRPr="00CE61F6">
        <w:rPr>
          <w:rFonts w:eastAsia="Times New Roman" w:cs="Times New Roman"/>
        </w:rPr>
        <w:t xml:space="preserve">Changing labour migration flows after Brexit: An analysis of UK survey and administrative </w:t>
      </w:r>
      <w:proofErr w:type="gramStart"/>
      <w:r w:rsidRPr="00CE61F6">
        <w:rPr>
          <w:rFonts w:eastAsia="Times New Roman" w:cs="Times New Roman"/>
        </w:rPr>
        <w:t>data</w:t>
      </w:r>
      <w:proofErr w:type="gramEnd"/>
      <w:r w:rsidRPr="00CE61F6">
        <w:rPr>
          <w:rFonts w:eastAsia="Times New Roman" w:cs="Times New Roman"/>
          <w:b/>
          <w:bCs/>
        </w:rPr>
        <w:t> </w:t>
      </w:r>
    </w:p>
    <w:p w14:paraId="27755558" w14:textId="77777777" w:rsidR="000068D6" w:rsidRPr="00AE3281" w:rsidRDefault="000068D6" w:rsidP="4FD9AFD8">
      <w:pPr>
        <w:jc w:val="both"/>
        <w:rPr>
          <w:rFonts w:cs="Times New Roman"/>
        </w:rPr>
      </w:pPr>
    </w:p>
    <w:p w14:paraId="176B672D" w14:textId="75205B58" w:rsidR="4FD9AFD8" w:rsidRPr="00AE3281" w:rsidRDefault="453EBFA6" w:rsidP="453EBFA6">
      <w:pPr>
        <w:rPr>
          <w:rFonts w:cs="Times New Roman"/>
          <w:b/>
          <w:bCs/>
        </w:rPr>
      </w:pPr>
      <w:r w:rsidRPr="453EBFA6">
        <w:rPr>
          <w:rFonts w:cs="Times New Roman"/>
          <w:b/>
          <w:bCs/>
        </w:rPr>
        <w:t>Abstract</w:t>
      </w:r>
    </w:p>
    <w:p w14:paraId="382495F3" w14:textId="4AF3A7F7" w:rsidR="000509F6" w:rsidRPr="00AE3281" w:rsidRDefault="454E41B1" w:rsidP="4C24EA03">
      <w:pPr>
        <w:rPr>
          <w:rFonts w:cs="Times New Roman"/>
        </w:rPr>
      </w:pPr>
      <w:r w:rsidRPr="454E41B1">
        <w:rPr>
          <w:rFonts w:cs="Times New Roman"/>
        </w:rPr>
        <w:t xml:space="preserve">Following ‘Brexit’, the UK leaving the EU, we analyse </w:t>
      </w:r>
      <w:bookmarkStart w:id="0" w:name="_Hlk136948573"/>
      <w:r w:rsidRPr="454E41B1">
        <w:rPr>
          <w:rFonts w:cs="Times New Roman"/>
        </w:rPr>
        <w:t>the effects of changes in the legal framework on EU residents and compare them with UK citizens, employing a difference-in-differences framework</w:t>
      </w:r>
      <w:bookmarkEnd w:id="0"/>
      <w:r w:rsidRPr="454E41B1">
        <w:rPr>
          <w:rFonts w:cs="Times New Roman"/>
        </w:rPr>
        <w:t>. The research focuses on several dependent variables, including labour supply and wages, self-employment rates, and changes in industry, using the Annual Population Survey (APS) data 2012-2022 in the UK (itself based on the Labour Force Survey (LFS)), National Insurance Number registrations, and visas issued. The evidence from our analysis on EU post-Brexit migration towards the UK, together with the observed overall increase in rates of (non-EU) net migration</w:t>
      </w:r>
      <w:r w:rsidR="008F41F3">
        <w:rPr>
          <w:rFonts w:cs="Times New Roman"/>
        </w:rPr>
        <w:t>,</w:t>
      </w:r>
      <w:r w:rsidRPr="454E41B1">
        <w:rPr>
          <w:rFonts w:cs="Times New Roman"/>
        </w:rPr>
        <w:t xml:space="preserve"> shows that EU migrants are being replaced with migrants from the rest of the world. Effects are strongest at the lower-skilled end of the labour market. However, wages for UK-natives and EU-migrants did not change with respect to each other, controlling for occupation, industry, and other factors. </w:t>
      </w:r>
    </w:p>
    <w:p w14:paraId="021D8787" w14:textId="77777777" w:rsidR="00D620FB" w:rsidRPr="00AE3281" w:rsidRDefault="00D620FB">
      <w:pPr>
        <w:rPr>
          <w:rFonts w:cs="Times New Roman"/>
          <w:szCs w:val="24"/>
        </w:rPr>
      </w:pPr>
    </w:p>
    <w:p w14:paraId="6DF9CA1D" w14:textId="393C0237" w:rsidR="000509F6" w:rsidRPr="00AE3281" w:rsidRDefault="273482AD" w:rsidP="273482AD">
      <w:pPr>
        <w:rPr>
          <w:rFonts w:cs="Times New Roman"/>
          <w:b/>
          <w:bCs/>
        </w:rPr>
      </w:pPr>
      <w:r w:rsidRPr="00AE3281">
        <w:rPr>
          <w:rFonts w:cs="Times New Roman"/>
          <w:b/>
          <w:bCs/>
        </w:rPr>
        <w:t>JEL codes</w:t>
      </w:r>
    </w:p>
    <w:p w14:paraId="07D12D17" w14:textId="082E23BF" w:rsidR="273482AD" w:rsidRPr="00AE3281" w:rsidRDefault="273482AD" w:rsidP="273482AD">
      <w:pPr>
        <w:rPr>
          <w:rFonts w:eastAsia="Times New Roman" w:cs="Times New Roman"/>
          <w:color w:val="000000" w:themeColor="text1"/>
          <w:lang w:eastAsia="en-GB"/>
        </w:rPr>
      </w:pPr>
      <w:r w:rsidRPr="00AE3281">
        <w:rPr>
          <w:rFonts w:eastAsiaTheme="minorEastAsia" w:cs="Times New Roman"/>
          <w:color w:val="000000" w:themeColor="text1"/>
          <w:szCs w:val="24"/>
          <w:lang w:eastAsia="en-GB"/>
        </w:rPr>
        <w:t>J61, F22, J21, J15</w:t>
      </w:r>
    </w:p>
    <w:p w14:paraId="0A4B4585" w14:textId="77777777" w:rsidR="000509F6" w:rsidRPr="00AE3281" w:rsidRDefault="000509F6">
      <w:pPr>
        <w:rPr>
          <w:rFonts w:cs="Times New Roman"/>
          <w:szCs w:val="24"/>
        </w:rPr>
      </w:pPr>
    </w:p>
    <w:p w14:paraId="607F5F51" w14:textId="77777777" w:rsidR="00D620FB" w:rsidRPr="00AE3281" w:rsidRDefault="00DC1624" w:rsidP="00D620FB">
      <w:pPr>
        <w:jc w:val="both"/>
        <w:rPr>
          <w:rFonts w:cs="Times New Roman"/>
          <w:b/>
          <w:bCs/>
          <w:szCs w:val="24"/>
        </w:rPr>
      </w:pPr>
      <w:r w:rsidRPr="00AE3281">
        <w:rPr>
          <w:rFonts w:eastAsia="Times New Roman" w:cs="Times New Roman"/>
          <w:b/>
          <w:bCs/>
          <w:color w:val="000000"/>
          <w:szCs w:val="24"/>
          <w:lang w:eastAsia="en-GB"/>
        </w:rPr>
        <w:t>Keywords</w:t>
      </w:r>
    </w:p>
    <w:p w14:paraId="31227192" w14:textId="11789240" w:rsidR="000E6199" w:rsidRPr="00AE3281" w:rsidRDefault="273482AD" w:rsidP="273482AD">
      <w:pPr>
        <w:spacing w:after="0" w:line="330" w:lineRule="atLeast"/>
        <w:rPr>
          <w:rFonts w:eastAsia="Times New Roman" w:cs="Times New Roman"/>
          <w:color w:val="000000" w:themeColor="text1"/>
          <w:lang w:eastAsia="en-GB"/>
        </w:rPr>
      </w:pPr>
      <w:r w:rsidRPr="00AE3281">
        <w:rPr>
          <w:rFonts w:eastAsia="Times New Roman" w:cs="Times New Roman"/>
          <w:color w:val="000000" w:themeColor="text1"/>
          <w:lang w:eastAsia="en-GB"/>
        </w:rPr>
        <w:t>Migrants, post-Brexit labour market, labour market outcomes, low-skilled jobs, substitution effect.</w:t>
      </w:r>
    </w:p>
    <w:p w14:paraId="524F814E" w14:textId="77777777" w:rsidR="000E6199" w:rsidRPr="00AE3281" w:rsidRDefault="000E6199" w:rsidP="4FD9AFD8">
      <w:pPr>
        <w:jc w:val="both"/>
        <w:rPr>
          <w:rFonts w:cs="Times New Roman"/>
          <w:szCs w:val="24"/>
        </w:rPr>
      </w:pPr>
    </w:p>
    <w:p w14:paraId="66F15D6F" w14:textId="25E27EAA" w:rsidR="273482AD" w:rsidRPr="00AE3281" w:rsidRDefault="273482AD">
      <w:pPr>
        <w:rPr>
          <w:rFonts w:cs="Times New Roman"/>
        </w:rPr>
      </w:pPr>
      <w:r w:rsidRPr="00AE3281">
        <w:rPr>
          <w:rFonts w:cs="Times New Roman"/>
        </w:rPr>
        <w:br w:type="page"/>
      </w:r>
    </w:p>
    <w:p w14:paraId="39561771" w14:textId="4B0D42A5" w:rsidR="00875536" w:rsidRPr="00AE3281" w:rsidRDefault="00C17135" w:rsidP="004B5231">
      <w:pPr>
        <w:jc w:val="both"/>
        <w:rPr>
          <w:rFonts w:cs="Times New Roman"/>
          <w:b/>
          <w:bCs/>
          <w:szCs w:val="24"/>
        </w:rPr>
      </w:pPr>
      <w:r w:rsidRPr="00AE3281">
        <w:rPr>
          <w:rFonts w:cs="Times New Roman"/>
          <w:b/>
          <w:bCs/>
          <w:szCs w:val="24"/>
        </w:rPr>
        <w:lastRenderedPageBreak/>
        <w:t>INTRODUCTION</w:t>
      </w:r>
    </w:p>
    <w:p w14:paraId="597FF627" w14:textId="112CFB88" w:rsidR="009003D2" w:rsidRPr="00AE3281" w:rsidRDefault="004D783A" w:rsidP="62A68F9C">
      <w:pPr>
        <w:jc w:val="both"/>
        <w:rPr>
          <w:rFonts w:cs="Times New Roman"/>
          <w:b/>
          <w:bCs/>
          <w:i/>
          <w:iCs/>
          <w:szCs w:val="24"/>
        </w:rPr>
      </w:pPr>
      <w:r w:rsidRPr="00AE3281">
        <w:rPr>
          <w:rFonts w:cs="Times New Roman"/>
          <w:b/>
          <w:bCs/>
          <w:i/>
          <w:iCs/>
          <w:szCs w:val="24"/>
        </w:rPr>
        <w:t>Background</w:t>
      </w:r>
      <w:r w:rsidR="009003D2" w:rsidRPr="00AE3281">
        <w:rPr>
          <w:rFonts w:cs="Times New Roman"/>
          <w:b/>
          <w:bCs/>
          <w:i/>
          <w:iCs/>
          <w:szCs w:val="24"/>
        </w:rPr>
        <w:t xml:space="preserve"> and key finding</w:t>
      </w:r>
      <w:r w:rsidR="00143805" w:rsidRPr="00AE3281">
        <w:rPr>
          <w:rFonts w:cs="Times New Roman"/>
          <w:b/>
          <w:bCs/>
          <w:i/>
          <w:iCs/>
          <w:szCs w:val="24"/>
        </w:rPr>
        <w:t>s</w:t>
      </w:r>
    </w:p>
    <w:p w14:paraId="5367D5F4" w14:textId="451B5856" w:rsidR="00143805" w:rsidRPr="00AE3281" w:rsidRDefault="7070D3ED" w:rsidP="7070D3ED">
      <w:pPr>
        <w:jc w:val="both"/>
        <w:rPr>
          <w:rFonts w:cs="Times New Roman"/>
        </w:rPr>
      </w:pPr>
      <w:r w:rsidRPr="00AE3281">
        <w:rPr>
          <w:rFonts w:cs="Times New Roman"/>
        </w:rPr>
        <w:t xml:space="preserve">The referendum </w:t>
      </w:r>
      <w:r w:rsidR="001C686A" w:rsidRPr="00AE3281">
        <w:rPr>
          <w:rFonts w:cs="Times New Roman"/>
        </w:rPr>
        <w:t xml:space="preserve">of </w:t>
      </w:r>
      <w:r w:rsidR="00C70B41" w:rsidRPr="00AE3281">
        <w:rPr>
          <w:rFonts w:cs="Times New Roman"/>
        </w:rPr>
        <w:t>23</w:t>
      </w:r>
      <w:r w:rsidR="00D8091B" w:rsidRPr="00AE3281">
        <w:rPr>
          <w:rFonts w:cs="Times New Roman"/>
        </w:rPr>
        <w:t xml:space="preserve"> </w:t>
      </w:r>
      <w:r w:rsidRPr="00AE3281">
        <w:rPr>
          <w:rFonts w:cs="Times New Roman"/>
        </w:rPr>
        <w:t>June</w:t>
      </w:r>
      <w:r w:rsidR="00D8091B" w:rsidRPr="00AE3281">
        <w:rPr>
          <w:rFonts w:cs="Times New Roman"/>
        </w:rPr>
        <w:t xml:space="preserve"> </w:t>
      </w:r>
      <w:r w:rsidRPr="00AE3281">
        <w:rPr>
          <w:rFonts w:cs="Times New Roman"/>
        </w:rPr>
        <w:t xml:space="preserve">2016 </w:t>
      </w:r>
      <w:r w:rsidR="00C70B41" w:rsidRPr="00AE3281">
        <w:rPr>
          <w:rFonts w:cs="Times New Roman"/>
        </w:rPr>
        <w:t xml:space="preserve">marked </w:t>
      </w:r>
      <w:r w:rsidRPr="00AE3281">
        <w:rPr>
          <w:rFonts w:cs="Times New Roman"/>
        </w:rPr>
        <w:t>the United Kingdom’s decision to exit the European Union</w:t>
      </w:r>
      <w:r w:rsidR="001C686A" w:rsidRPr="00AE3281">
        <w:rPr>
          <w:rFonts w:cs="Times New Roman"/>
        </w:rPr>
        <w:t xml:space="preserve"> (</w:t>
      </w:r>
      <w:r w:rsidRPr="00AE3281">
        <w:rPr>
          <w:rFonts w:cs="Times New Roman"/>
        </w:rPr>
        <w:t>‘Brexit’</w:t>
      </w:r>
      <w:r w:rsidR="001C686A" w:rsidRPr="00AE3281">
        <w:rPr>
          <w:rFonts w:cs="Times New Roman"/>
        </w:rPr>
        <w:t>)</w:t>
      </w:r>
      <w:r w:rsidRPr="00AE3281">
        <w:rPr>
          <w:rFonts w:cs="Times New Roman"/>
        </w:rPr>
        <w:t>. This outcome, which led to the UK</w:t>
      </w:r>
      <w:r w:rsidR="001C686A" w:rsidRPr="00AE3281">
        <w:rPr>
          <w:rFonts w:cs="Times New Roman"/>
        </w:rPr>
        <w:t>’</w:t>
      </w:r>
      <w:r w:rsidRPr="00AE3281">
        <w:rPr>
          <w:rFonts w:cs="Times New Roman"/>
        </w:rPr>
        <w:t>s separation from the EU, had a profound impact on EU citizens residing and working in the UK (</w:t>
      </w:r>
      <w:proofErr w:type="spellStart"/>
      <w:r w:rsidRPr="00AE3281">
        <w:rPr>
          <w:rFonts w:cs="Times New Roman"/>
        </w:rPr>
        <w:t>Lulle</w:t>
      </w:r>
      <w:proofErr w:type="spellEnd"/>
      <w:r w:rsidRPr="00AE3281">
        <w:rPr>
          <w:rFonts w:cs="Times New Roman"/>
        </w:rPr>
        <w:t xml:space="preserve"> et al., 2017). </w:t>
      </w:r>
      <w:r w:rsidR="001D713D" w:rsidRPr="00AE3281">
        <w:rPr>
          <w:rFonts w:cs="Times New Roman"/>
        </w:rPr>
        <w:t>A</w:t>
      </w:r>
      <w:r w:rsidRPr="00AE3281">
        <w:rPr>
          <w:rFonts w:cs="Times New Roman"/>
        </w:rPr>
        <w:t xml:space="preserve">ttitudes to </w:t>
      </w:r>
      <w:r w:rsidR="001D713D" w:rsidRPr="00AE3281">
        <w:rPr>
          <w:rFonts w:cs="Times New Roman"/>
        </w:rPr>
        <w:t xml:space="preserve">immigration and </w:t>
      </w:r>
      <w:r w:rsidRPr="00AE3281">
        <w:rPr>
          <w:rFonts w:cs="Times New Roman"/>
        </w:rPr>
        <w:t>immigrant</w:t>
      </w:r>
      <w:r w:rsidR="001D713D" w:rsidRPr="00AE3281">
        <w:rPr>
          <w:rFonts w:cs="Times New Roman"/>
        </w:rPr>
        <w:t>s</w:t>
      </w:r>
      <w:r w:rsidRPr="00AE3281">
        <w:rPr>
          <w:rFonts w:cs="Times New Roman"/>
        </w:rPr>
        <w:t xml:space="preserve"> were a key driver of pro-Brexit voting</w:t>
      </w:r>
      <w:r w:rsidR="00B72822" w:rsidRPr="00AE3281">
        <w:rPr>
          <w:rFonts w:cs="Times New Roman"/>
        </w:rPr>
        <w:t xml:space="preserve"> (</w:t>
      </w:r>
      <w:r w:rsidRPr="00AE3281">
        <w:rPr>
          <w:rFonts w:cs="Times New Roman"/>
        </w:rPr>
        <w:t>Goodwin and Milazzo, 2017</w:t>
      </w:r>
      <w:r w:rsidR="001D713D" w:rsidRPr="00AE3281">
        <w:rPr>
          <w:rFonts w:cs="Times New Roman"/>
        </w:rPr>
        <w:t>)</w:t>
      </w:r>
      <w:r w:rsidRPr="00AE3281">
        <w:rPr>
          <w:rFonts w:cs="Times New Roman"/>
        </w:rPr>
        <w:t xml:space="preserve"> with an expectation of reduced immigration </w:t>
      </w:r>
      <w:r w:rsidR="006F17BD" w:rsidRPr="00AE3281">
        <w:rPr>
          <w:rFonts w:cs="Times New Roman"/>
        </w:rPr>
        <w:t>post-</w:t>
      </w:r>
      <w:r w:rsidRPr="00AE3281">
        <w:rPr>
          <w:rFonts w:cs="Times New Roman"/>
        </w:rPr>
        <w:t xml:space="preserve">Brexit after ‘taking back control’. </w:t>
      </w:r>
      <w:r w:rsidR="00AA2395" w:rsidRPr="00AE3281">
        <w:rPr>
          <w:rFonts w:cs="Times New Roman"/>
        </w:rPr>
        <w:t>I</w:t>
      </w:r>
      <w:r w:rsidR="00C70B41" w:rsidRPr="00AE3281">
        <w:rPr>
          <w:rFonts w:cs="Times New Roman"/>
        </w:rPr>
        <w:t xml:space="preserve">n </w:t>
      </w:r>
      <w:r w:rsidR="001D713D" w:rsidRPr="00AE3281">
        <w:rPr>
          <w:rFonts w:cs="Times New Roman"/>
        </w:rPr>
        <w:t xml:space="preserve">2015 the </w:t>
      </w:r>
      <w:r w:rsidRPr="00AE3281">
        <w:rPr>
          <w:rFonts w:cs="Times New Roman"/>
        </w:rPr>
        <w:t xml:space="preserve">UK Conservative Party </w:t>
      </w:r>
      <w:r w:rsidR="00F51CF4" w:rsidRPr="00AE3281">
        <w:rPr>
          <w:rFonts w:cs="Times New Roman"/>
        </w:rPr>
        <w:t>committed to reducing net migration</w:t>
      </w:r>
      <w:r w:rsidRPr="00AE3281">
        <w:rPr>
          <w:rFonts w:cs="Times New Roman"/>
        </w:rPr>
        <w:t xml:space="preserve"> to the “tens of thousands”</w:t>
      </w:r>
      <w:r w:rsidR="00C70B41" w:rsidRPr="00AE3281">
        <w:rPr>
          <w:rFonts w:cs="Times New Roman"/>
        </w:rPr>
        <w:t xml:space="preserve">, </w:t>
      </w:r>
      <w:r w:rsidR="00AA2395" w:rsidRPr="00AE3281">
        <w:rPr>
          <w:rFonts w:cs="Times New Roman"/>
        </w:rPr>
        <w:t xml:space="preserve">but </w:t>
      </w:r>
      <w:r w:rsidR="00C70B41" w:rsidRPr="00AE3281">
        <w:rPr>
          <w:rFonts w:cs="Times New Roman"/>
        </w:rPr>
        <w:t>b</w:t>
      </w:r>
      <w:r w:rsidRPr="00AE3281">
        <w:rPr>
          <w:rFonts w:cs="Times New Roman"/>
        </w:rPr>
        <w:t xml:space="preserve">y 2022 net migration was over 600,000. </w:t>
      </w:r>
    </w:p>
    <w:p w14:paraId="03C594B3" w14:textId="7D092A25" w:rsidR="006E65F8" w:rsidRPr="00AE3281" w:rsidRDefault="1D478A11" w:rsidP="00B72822">
      <w:pPr>
        <w:jc w:val="both"/>
        <w:rPr>
          <w:rFonts w:cs="Times New Roman"/>
        </w:rPr>
      </w:pPr>
      <w:r w:rsidRPr="00AE3281">
        <w:rPr>
          <w:rFonts w:cs="Times New Roman"/>
        </w:rPr>
        <w:t xml:space="preserve">One of the key points in the literature is that immigrant workers can either be substitutes for native-born workers or </w:t>
      </w:r>
      <w:r w:rsidR="00F51CF4" w:rsidRPr="00AE3281">
        <w:rPr>
          <w:rFonts w:cs="Times New Roman"/>
        </w:rPr>
        <w:t>complement</w:t>
      </w:r>
      <w:r w:rsidRPr="00AE3281">
        <w:rPr>
          <w:rFonts w:cs="Times New Roman"/>
        </w:rPr>
        <w:t xml:space="preserve"> them</w:t>
      </w:r>
      <w:r w:rsidR="006E65F8" w:rsidRPr="00AE3281">
        <w:rPr>
          <w:rFonts w:cs="Times New Roman"/>
        </w:rPr>
        <w:t xml:space="preserve"> (</w:t>
      </w:r>
      <w:r w:rsidR="00B517D6" w:rsidRPr="00AE3281">
        <w:rPr>
          <w:rFonts w:cs="Times New Roman"/>
        </w:rPr>
        <w:t>e.g.</w:t>
      </w:r>
      <w:r w:rsidR="006E65F8" w:rsidRPr="00AE3281">
        <w:rPr>
          <w:rFonts w:cs="Times New Roman"/>
        </w:rPr>
        <w:t xml:space="preserve">, </w:t>
      </w:r>
      <w:proofErr w:type="spellStart"/>
      <w:r w:rsidR="00B72822" w:rsidRPr="00AE3281">
        <w:rPr>
          <w:rFonts w:cs="Times New Roman"/>
        </w:rPr>
        <w:t>Chassamboulli</w:t>
      </w:r>
      <w:proofErr w:type="spellEnd"/>
      <w:r w:rsidR="00770886" w:rsidRPr="00AE3281">
        <w:rPr>
          <w:rFonts w:cs="Times New Roman"/>
        </w:rPr>
        <w:t xml:space="preserve"> and</w:t>
      </w:r>
      <w:r w:rsidR="00B72822" w:rsidRPr="00AE3281">
        <w:rPr>
          <w:rFonts w:cs="Times New Roman"/>
        </w:rPr>
        <w:t xml:space="preserve"> </w:t>
      </w:r>
      <w:proofErr w:type="spellStart"/>
      <w:r w:rsidR="00B72822" w:rsidRPr="00AE3281">
        <w:rPr>
          <w:rFonts w:cs="Times New Roman"/>
        </w:rPr>
        <w:t>Palivos</w:t>
      </w:r>
      <w:proofErr w:type="spellEnd"/>
      <w:r w:rsidR="00B72822" w:rsidRPr="00AE3281">
        <w:rPr>
          <w:rFonts w:cs="Times New Roman"/>
        </w:rPr>
        <w:t>, 2013</w:t>
      </w:r>
      <w:r w:rsidR="006E65F8" w:rsidRPr="00AE3281">
        <w:rPr>
          <w:rFonts w:cs="Times New Roman"/>
        </w:rPr>
        <w:t>).</w:t>
      </w:r>
      <w:r w:rsidRPr="00AE3281">
        <w:rPr>
          <w:rFonts w:cs="Times New Roman"/>
        </w:rPr>
        <w:t xml:space="preserve"> </w:t>
      </w:r>
      <w:r w:rsidR="006E65F8" w:rsidRPr="00AE3281">
        <w:rPr>
          <w:rFonts w:cs="Times New Roman"/>
        </w:rPr>
        <w:t>Leavers often claimed that</w:t>
      </w:r>
      <w:r w:rsidR="00F96C1A" w:rsidRPr="00AE3281">
        <w:rPr>
          <w:rFonts w:cs="Times New Roman"/>
        </w:rPr>
        <w:t xml:space="preserve">, </w:t>
      </w:r>
      <w:r w:rsidR="006E65F8" w:rsidRPr="00AE3281">
        <w:rPr>
          <w:rFonts w:cs="Times New Roman"/>
        </w:rPr>
        <w:t>w</w:t>
      </w:r>
      <w:r w:rsidR="00F96C1A" w:rsidRPr="00AE3281">
        <w:rPr>
          <w:rFonts w:cs="Times New Roman"/>
        </w:rPr>
        <w:t>hen</w:t>
      </w:r>
      <w:r w:rsidRPr="00AE3281">
        <w:rPr>
          <w:rFonts w:cs="Times New Roman"/>
        </w:rPr>
        <w:t xml:space="preserve"> immigrant workers are substitutes for native-born workers, they will compete for similar jobs: an influx of substitutable workforce</w:t>
      </w:r>
      <w:r w:rsidR="00F96C1A" w:rsidRPr="00AE3281">
        <w:rPr>
          <w:rFonts w:cs="Times New Roman"/>
        </w:rPr>
        <w:t xml:space="preserve"> would then</w:t>
      </w:r>
      <w:r w:rsidRPr="00AE3281">
        <w:rPr>
          <w:rFonts w:cs="Times New Roman"/>
        </w:rPr>
        <w:t xml:space="preserve"> lead to an increase in the supply of labour, causing wages to fall for workers with similar skills. Since immigrants in the UK were overrepresented in jobs classified as low-skilled compared to the UK</w:t>
      </w:r>
      <w:r w:rsidR="00B517D6" w:rsidRPr="00AE3281">
        <w:rPr>
          <w:rFonts w:cs="Times New Roman"/>
        </w:rPr>
        <w:t>-</w:t>
      </w:r>
      <w:r w:rsidRPr="00AE3281">
        <w:rPr>
          <w:rFonts w:cs="Times New Roman"/>
        </w:rPr>
        <w:t>born (Fernández-</w:t>
      </w:r>
      <w:proofErr w:type="spellStart"/>
      <w:r w:rsidRPr="00AE3281">
        <w:rPr>
          <w:rFonts w:cs="Times New Roman"/>
        </w:rPr>
        <w:t>Reino</w:t>
      </w:r>
      <w:proofErr w:type="spellEnd"/>
      <w:r w:rsidRPr="00AE3281">
        <w:rPr>
          <w:rFonts w:cs="Times New Roman"/>
        </w:rPr>
        <w:t xml:space="preserve"> and </w:t>
      </w:r>
      <w:proofErr w:type="spellStart"/>
      <w:r w:rsidRPr="00AE3281">
        <w:rPr>
          <w:rFonts w:cs="Times New Roman"/>
        </w:rPr>
        <w:t>Rienzo</w:t>
      </w:r>
      <w:proofErr w:type="spellEnd"/>
      <w:r w:rsidRPr="00AE3281">
        <w:rPr>
          <w:rFonts w:cs="Times New Roman"/>
        </w:rPr>
        <w:t>, 202</w:t>
      </w:r>
      <w:r w:rsidR="004F125D">
        <w:rPr>
          <w:rFonts w:cs="Times New Roman"/>
        </w:rPr>
        <w:t>1</w:t>
      </w:r>
      <w:r w:rsidRPr="00AE3281">
        <w:rPr>
          <w:rFonts w:cs="Times New Roman"/>
        </w:rPr>
        <w:t xml:space="preserve">), </w:t>
      </w:r>
      <w:r w:rsidR="00B72822" w:rsidRPr="00AE3281">
        <w:rPr>
          <w:rFonts w:cs="Times New Roman"/>
        </w:rPr>
        <w:t xml:space="preserve">one of the </w:t>
      </w:r>
      <w:r w:rsidR="00832949" w:rsidRPr="00AE3281">
        <w:rPr>
          <w:rFonts w:cs="Times New Roman"/>
        </w:rPr>
        <w:t>key messages</w:t>
      </w:r>
      <w:r w:rsidR="00B72822" w:rsidRPr="00AE3281">
        <w:rPr>
          <w:rFonts w:cs="Times New Roman"/>
        </w:rPr>
        <w:t xml:space="preserve"> of leavers is </w:t>
      </w:r>
      <w:r w:rsidRPr="00AE3281">
        <w:rPr>
          <w:rFonts w:cs="Times New Roman"/>
        </w:rPr>
        <w:t>that</w:t>
      </w:r>
      <w:r w:rsidR="00B72822" w:rsidRPr="00AE3281">
        <w:rPr>
          <w:rFonts w:cs="Times New Roman"/>
        </w:rPr>
        <w:t>, in the UK,</w:t>
      </w:r>
      <w:r w:rsidRPr="00AE3281">
        <w:rPr>
          <w:rFonts w:cs="Times New Roman"/>
        </w:rPr>
        <w:t xml:space="preserve"> an influx of immigrants depresses wages for low-skilled native-born workers.</w:t>
      </w:r>
      <w:r w:rsidR="00B72822" w:rsidRPr="00AE3281">
        <w:rPr>
          <w:rFonts w:cs="Times New Roman"/>
        </w:rPr>
        <w:t xml:space="preserve"> </w:t>
      </w:r>
      <w:r w:rsidR="006E65F8" w:rsidRPr="00AE3281">
        <w:rPr>
          <w:rFonts w:cs="Times New Roman"/>
        </w:rPr>
        <w:t>However, literature</w:t>
      </w:r>
      <w:r w:rsidR="00B72822" w:rsidRPr="00AE3281">
        <w:rPr>
          <w:rFonts w:cs="Times New Roman"/>
        </w:rPr>
        <w:t xml:space="preserve"> worldwide</w:t>
      </w:r>
      <w:r w:rsidR="006E65F8" w:rsidRPr="00AE3281">
        <w:rPr>
          <w:rFonts w:cs="Times New Roman"/>
        </w:rPr>
        <w:t xml:space="preserve"> </w:t>
      </w:r>
      <w:r w:rsidR="00B72822" w:rsidRPr="00AE3281">
        <w:rPr>
          <w:rFonts w:cs="Times New Roman"/>
        </w:rPr>
        <w:t>(Edo, 2015; Peri, 2014) has shown that this analysis i</w:t>
      </w:r>
      <w:r w:rsidR="00B019E5" w:rsidRPr="00AE3281">
        <w:rPr>
          <w:rFonts w:cs="Times New Roman"/>
        </w:rPr>
        <w:t xml:space="preserve">s </w:t>
      </w:r>
      <w:r w:rsidR="00B72822" w:rsidRPr="00AE3281">
        <w:rPr>
          <w:rFonts w:cs="Times New Roman"/>
        </w:rPr>
        <w:t xml:space="preserve">too simplistic, and other important and more complex factors </w:t>
      </w:r>
      <w:r w:rsidR="00B517D6" w:rsidRPr="00AE3281">
        <w:rPr>
          <w:rFonts w:cs="Times New Roman"/>
        </w:rPr>
        <w:t xml:space="preserve">also </w:t>
      </w:r>
      <w:r w:rsidR="00B72822" w:rsidRPr="00AE3281">
        <w:rPr>
          <w:rFonts w:cs="Times New Roman"/>
        </w:rPr>
        <w:t xml:space="preserve">need to be considered. </w:t>
      </w:r>
    </w:p>
    <w:p w14:paraId="2F3BB6D1" w14:textId="63A2C15B" w:rsidR="00900B28" w:rsidRDefault="454E41B1" w:rsidP="454E41B1">
      <w:pPr>
        <w:jc w:val="both"/>
        <w:rPr>
          <w:rFonts w:cs="Times New Roman"/>
        </w:rPr>
      </w:pPr>
      <w:r w:rsidRPr="454E41B1">
        <w:rPr>
          <w:rFonts w:cs="Times New Roman"/>
        </w:rPr>
        <w:t>Our objective is to contribute to this debate and investigate the impact of ending the free movement of labour from the EU into the UK labour market caused by Brexit. To this extent, we exploit three different data sources: the Annual Population Survey (APS), National Insurance number registrations (</w:t>
      </w:r>
      <w:proofErr w:type="spellStart"/>
      <w:r w:rsidRPr="454E41B1">
        <w:rPr>
          <w:rFonts w:cs="Times New Roman"/>
        </w:rPr>
        <w:t>NINo</w:t>
      </w:r>
      <w:proofErr w:type="spellEnd"/>
      <w:r w:rsidRPr="454E41B1">
        <w:rPr>
          <w:rFonts w:cs="Times New Roman"/>
        </w:rPr>
        <w:t xml:space="preserve">) and the number of visas issued. The empirical analysis on APS data is conducted using statistical modelling. We use descriptive analysis of the administrative data sources – visas and National Insurance </w:t>
      </w:r>
      <w:proofErr w:type="gramStart"/>
      <w:r w:rsidRPr="454E41B1">
        <w:rPr>
          <w:rFonts w:cs="Times New Roman"/>
        </w:rPr>
        <w:t>registrations</w:t>
      </w:r>
      <w:proofErr w:type="gramEnd"/>
    </w:p>
    <w:p w14:paraId="6347A88F" w14:textId="20E14F3D" w:rsidR="00213705" w:rsidRDefault="006F17BD" w:rsidP="006F17BD">
      <w:pPr>
        <w:jc w:val="both"/>
        <w:rPr>
          <w:rFonts w:cs="Times New Roman"/>
          <w:szCs w:val="24"/>
        </w:rPr>
      </w:pPr>
      <w:r w:rsidRPr="00AE3281">
        <w:rPr>
          <w:rFonts w:cs="Times New Roman"/>
          <w:szCs w:val="24"/>
        </w:rPr>
        <w:t xml:space="preserve">The popular view of Brexit, reducing immigration </w:t>
      </w:r>
      <w:r w:rsidR="00B517D6" w:rsidRPr="00AE3281">
        <w:rPr>
          <w:rFonts w:cs="Times New Roman"/>
          <w:szCs w:val="24"/>
        </w:rPr>
        <w:t>to</w:t>
      </w:r>
      <w:r w:rsidRPr="00AE3281">
        <w:rPr>
          <w:rFonts w:cs="Times New Roman"/>
          <w:szCs w:val="24"/>
        </w:rPr>
        <w:t xml:space="preserve"> improv</w:t>
      </w:r>
      <w:r w:rsidR="00B517D6" w:rsidRPr="00AE3281">
        <w:rPr>
          <w:rFonts w:cs="Times New Roman"/>
          <w:szCs w:val="24"/>
        </w:rPr>
        <w:t>e</w:t>
      </w:r>
      <w:r w:rsidRPr="00AE3281">
        <w:rPr>
          <w:rFonts w:cs="Times New Roman"/>
          <w:szCs w:val="24"/>
        </w:rPr>
        <w:t xml:space="preserve"> the conditions of British workers, contrasts with our three key findings. First (using descriptive methods), we observe an overall increase in rates of (non-EU) net migration. Second, a strong substitution of EU workers for non-EU workers, particularly at the lower-skilled end. Third, no improvement in rates of UK pay relative to EU workers, controlling for industry and other factors.</w:t>
      </w:r>
    </w:p>
    <w:p w14:paraId="1972E66C" w14:textId="475944D6" w:rsidR="001543BB" w:rsidRPr="00AE3281" w:rsidRDefault="00770886" w:rsidP="1D478A11">
      <w:pPr>
        <w:jc w:val="both"/>
        <w:rPr>
          <w:rFonts w:cs="Times New Roman"/>
        </w:rPr>
      </w:pPr>
      <w:r w:rsidRPr="00AE3281">
        <w:rPr>
          <w:rFonts w:cs="Times New Roman"/>
        </w:rPr>
        <w:t xml:space="preserve">We believe that this </w:t>
      </w:r>
      <w:r w:rsidR="1D478A11" w:rsidRPr="00AE3281">
        <w:rPr>
          <w:rFonts w:cs="Times New Roman"/>
        </w:rPr>
        <w:t xml:space="preserve">work is among </w:t>
      </w:r>
      <w:r w:rsidR="00F51CF4" w:rsidRPr="00AE3281">
        <w:rPr>
          <w:rFonts w:cs="Times New Roman"/>
        </w:rPr>
        <w:t xml:space="preserve">the </w:t>
      </w:r>
      <w:r w:rsidR="1D478A11" w:rsidRPr="00AE3281">
        <w:rPr>
          <w:rFonts w:cs="Times New Roman"/>
        </w:rPr>
        <w:t>first contributions that develop an empirical analysis of the effects of Brexit on labour markets</w:t>
      </w:r>
      <w:r w:rsidR="00B517D6" w:rsidRPr="00AE3281">
        <w:rPr>
          <w:rFonts w:cs="Times New Roman"/>
        </w:rPr>
        <w:t>,</w:t>
      </w:r>
      <w:r w:rsidR="1D478A11" w:rsidRPr="00AE3281">
        <w:rPr>
          <w:rFonts w:cs="Times New Roman"/>
        </w:rPr>
        <w:t xml:space="preserve"> at a</w:t>
      </w:r>
      <w:r w:rsidRPr="00AE3281">
        <w:rPr>
          <w:rFonts w:cs="Times New Roman"/>
        </w:rPr>
        <w:t xml:space="preserve">n individual </w:t>
      </w:r>
      <w:r w:rsidR="1D478A11" w:rsidRPr="00AE3281">
        <w:rPr>
          <w:rFonts w:cs="Times New Roman"/>
        </w:rPr>
        <w:t xml:space="preserve">level, providing an assessment that goes beyond the sectoral analysis </w:t>
      </w:r>
      <w:r w:rsidR="00B517D6" w:rsidRPr="00AE3281">
        <w:rPr>
          <w:rFonts w:cs="Times New Roman"/>
        </w:rPr>
        <w:t xml:space="preserve">of </w:t>
      </w:r>
      <w:proofErr w:type="spellStart"/>
      <w:r w:rsidR="1D478A11" w:rsidRPr="00AE3281">
        <w:rPr>
          <w:rFonts w:cs="Times New Roman"/>
        </w:rPr>
        <w:t>Portes</w:t>
      </w:r>
      <w:proofErr w:type="spellEnd"/>
      <w:r w:rsidR="1D478A11" w:rsidRPr="00AE3281">
        <w:rPr>
          <w:rFonts w:cs="Times New Roman"/>
        </w:rPr>
        <w:t xml:space="preserve"> and </w:t>
      </w:r>
      <w:proofErr w:type="spellStart"/>
      <w:r w:rsidR="1D478A11" w:rsidRPr="00AE3281">
        <w:rPr>
          <w:rFonts w:cs="Times New Roman"/>
        </w:rPr>
        <w:t>Springford</w:t>
      </w:r>
      <w:proofErr w:type="spellEnd"/>
      <w:r w:rsidR="1D478A11" w:rsidRPr="00AE3281">
        <w:rPr>
          <w:rFonts w:cs="Times New Roman"/>
        </w:rPr>
        <w:t xml:space="preserve"> (2023)</w:t>
      </w:r>
      <w:r w:rsidR="00663F42" w:rsidRPr="00AE3281">
        <w:rPr>
          <w:rFonts w:cs="Times New Roman"/>
        </w:rPr>
        <w:t xml:space="preserve"> and extends the one carried out by Di </w:t>
      </w:r>
      <w:proofErr w:type="spellStart"/>
      <w:r w:rsidR="00663F42" w:rsidRPr="00AE3281">
        <w:rPr>
          <w:rFonts w:cs="Times New Roman"/>
        </w:rPr>
        <w:t>Iasio</w:t>
      </w:r>
      <w:proofErr w:type="spellEnd"/>
      <w:r w:rsidR="00663F42" w:rsidRPr="00AE3281">
        <w:rPr>
          <w:rFonts w:cs="Times New Roman"/>
        </w:rPr>
        <w:t xml:space="preserve"> and Wahba (2023)</w:t>
      </w:r>
      <w:r w:rsidR="00A22BE5" w:rsidRPr="00AE3281">
        <w:rPr>
          <w:rFonts w:cs="Times New Roman"/>
        </w:rPr>
        <w:t xml:space="preserve"> and Clifton-</w:t>
      </w:r>
      <w:proofErr w:type="spellStart"/>
      <w:r w:rsidR="00A22BE5" w:rsidRPr="00AE3281">
        <w:rPr>
          <w:rFonts w:cs="Times New Roman"/>
        </w:rPr>
        <w:t>Sprigg</w:t>
      </w:r>
      <w:proofErr w:type="spellEnd"/>
      <w:r w:rsidR="00A22BE5" w:rsidRPr="00AE3281">
        <w:rPr>
          <w:rFonts w:cs="Times New Roman"/>
        </w:rPr>
        <w:t xml:space="preserve"> et al. (2023)</w:t>
      </w:r>
      <w:r w:rsidR="00D94B05" w:rsidRPr="00AE3281">
        <w:rPr>
          <w:rFonts w:cs="Times New Roman"/>
        </w:rPr>
        <w:t>.</w:t>
      </w:r>
    </w:p>
    <w:p w14:paraId="1D845C78" w14:textId="77777777" w:rsidR="00E23729" w:rsidRPr="00AE3281" w:rsidRDefault="00E23729" w:rsidP="005B3738">
      <w:pPr>
        <w:jc w:val="both"/>
        <w:rPr>
          <w:rFonts w:cs="Times New Roman"/>
          <w:b/>
          <w:bCs/>
          <w:szCs w:val="24"/>
        </w:rPr>
      </w:pPr>
    </w:p>
    <w:p w14:paraId="0DD61E65" w14:textId="2F7A0EA8" w:rsidR="00C70B41" w:rsidRPr="00AE3281" w:rsidRDefault="00C70B41">
      <w:pPr>
        <w:rPr>
          <w:rFonts w:cs="Times New Roman"/>
          <w:b/>
          <w:bCs/>
          <w:szCs w:val="24"/>
        </w:rPr>
      </w:pPr>
      <w:r w:rsidRPr="00AE3281">
        <w:rPr>
          <w:rFonts w:cs="Times New Roman"/>
          <w:b/>
          <w:bCs/>
          <w:szCs w:val="24"/>
        </w:rPr>
        <w:br w:type="page"/>
      </w:r>
    </w:p>
    <w:p w14:paraId="78911659" w14:textId="77777777" w:rsidR="00E23729" w:rsidRPr="00AE3281" w:rsidRDefault="00E23729" w:rsidP="005B3738">
      <w:pPr>
        <w:jc w:val="both"/>
        <w:rPr>
          <w:rFonts w:cs="Times New Roman"/>
          <w:b/>
          <w:bCs/>
          <w:szCs w:val="24"/>
        </w:rPr>
      </w:pPr>
    </w:p>
    <w:p w14:paraId="7C774354" w14:textId="77777777" w:rsidR="00405537" w:rsidRPr="00AE3281" w:rsidRDefault="00C17135" w:rsidP="00405537">
      <w:pPr>
        <w:jc w:val="both"/>
        <w:rPr>
          <w:rFonts w:cs="Times New Roman"/>
          <w:b/>
          <w:bCs/>
          <w:szCs w:val="24"/>
        </w:rPr>
      </w:pPr>
      <w:r w:rsidRPr="00AE3281">
        <w:rPr>
          <w:rFonts w:cs="Times New Roman"/>
          <w:b/>
          <w:bCs/>
          <w:szCs w:val="24"/>
        </w:rPr>
        <w:t>LITERATURE REVIEW</w:t>
      </w:r>
      <w:r w:rsidR="00405537" w:rsidRPr="00AE3281">
        <w:rPr>
          <w:rFonts w:cs="Times New Roman"/>
          <w:b/>
          <w:bCs/>
          <w:szCs w:val="24"/>
        </w:rPr>
        <w:t xml:space="preserve"> </w:t>
      </w:r>
    </w:p>
    <w:p w14:paraId="383C5340" w14:textId="77777777" w:rsidR="009B4ED9" w:rsidRPr="00AE3281" w:rsidRDefault="009B4ED9" w:rsidP="006A2B18">
      <w:pPr>
        <w:spacing w:after="0"/>
        <w:jc w:val="both"/>
        <w:rPr>
          <w:rFonts w:cs="Times New Roman"/>
        </w:rPr>
      </w:pPr>
    </w:p>
    <w:p w14:paraId="21EB3A76" w14:textId="2EB836D3" w:rsidR="00585DE0" w:rsidRPr="00AE3281" w:rsidRDefault="00585DE0" w:rsidP="006A2B18">
      <w:pPr>
        <w:spacing w:after="0"/>
        <w:jc w:val="both"/>
        <w:rPr>
          <w:rFonts w:cs="Times New Roman"/>
          <w:b/>
          <w:bCs/>
          <w:i/>
          <w:iCs/>
        </w:rPr>
      </w:pPr>
      <w:r w:rsidRPr="00AE3281">
        <w:rPr>
          <w:rFonts w:cs="Times New Roman"/>
          <w:b/>
          <w:bCs/>
          <w:i/>
          <w:iCs/>
        </w:rPr>
        <w:t>Changing rights for migrant workers</w:t>
      </w:r>
    </w:p>
    <w:p w14:paraId="0B727EA4" w14:textId="2372C5FC" w:rsidR="00585DE0" w:rsidRPr="00AE3281" w:rsidRDefault="00DD2A5B" w:rsidP="00585DE0">
      <w:pPr>
        <w:spacing w:after="0"/>
        <w:jc w:val="both"/>
        <w:rPr>
          <w:rFonts w:cs="Times New Roman"/>
        </w:rPr>
      </w:pPr>
      <w:proofErr w:type="gramStart"/>
      <w:r w:rsidRPr="00AE3281">
        <w:rPr>
          <w:rFonts w:cs="Times New Roman"/>
        </w:rPr>
        <w:t>By definition</w:t>
      </w:r>
      <w:r w:rsidR="00F51CF4" w:rsidRPr="00AE3281">
        <w:rPr>
          <w:rFonts w:cs="Times New Roman"/>
        </w:rPr>
        <w:t>,</w:t>
      </w:r>
      <w:r w:rsidRPr="00AE3281">
        <w:rPr>
          <w:rFonts w:cs="Times New Roman"/>
        </w:rPr>
        <w:t xml:space="preserve"> Brexit</w:t>
      </w:r>
      <w:proofErr w:type="gramEnd"/>
      <w:r w:rsidRPr="00AE3281">
        <w:rPr>
          <w:rFonts w:cs="Times New Roman"/>
        </w:rPr>
        <w:t xml:space="preserve"> reduced the rights of those from EU countries seeking to work or reside in the UK. What economic lessons may we learn from past actions to limit rights in this way? </w:t>
      </w:r>
      <w:r w:rsidR="00B517D6" w:rsidRPr="00AE3281">
        <w:rPr>
          <w:rFonts w:cs="Times New Roman"/>
        </w:rPr>
        <w:t xml:space="preserve">On several occasions </w:t>
      </w:r>
      <w:r w:rsidR="00AB6737" w:rsidRPr="00AE3281">
        <w:rPr>
          <w:rFonts w:cs="Times New Roman"/>
        </w:rPr>
        <w:t xml:space="preserve">governments have introduced immigration restrictions to ‘protect their countries’, limiting the foreign presence in the labour markets or more generally excluding people with specific cultural </w:t>
      </w:r>
      <w:r w:rsidR="00FF6CE4" w:rsidRPr="00AE3281">
        <w:rPr>
          <w:rFonts w:cs="Times New Roman"/>
        </w:rPr>
        <w:t xml:space="preserve">or national </w:t>
      </w:r>
      <w:r w:rsidR="00AB6737" w:rsidRPr="00AE3281">
        <w:rPr>
          <w:rFonts w:cs="Times New Roman"/>
        </w:rPr>
        <w:t>background</w:t>
      </w:r>
      <w:r w:rsidR="00585DE0" w:rsidRPr="00AE3281">
        <w:rPr>
          <w:rFonts w:cs="Times New Roman"/>
        </w:rPr>
        <w:t>s</w:t>
      </w:r>
      <w:r w:rsidR="00AB6737" w:rsidRPr="00AE3281">
        <w:rPr>
          <w:rFonts w:cs="Times New Roman"/>
        </w:rPr>
        <w:t>.</w:t>
      </w:r>
      <w:r w:rsidR="00585DE0" w:rsidRPr="00AE3281">
        <w:rPr>
          <w:rFonts w:cs="Times New Roman"/>
        </w:rPr>
        <w:t xml:space="preserve"> Often these have had explicitly racial design</w:t>
      </w:r>
      <w:r w:rsidR="00674DFE" w:rsidRPr="00AE3281">
        <w:rPr>
          <w:rFonts w:cs="Times New Roman"/>
        </w:rPr>
        <w:t xml:space="preserve"> </w:t>
      </w:r>
      <w:r w:rsidR="00585DE0" w:rsidRPr="00AE3281">
        <w:rPr>
          <w:rFonts w:cs="Times New Roman"/>
        </w:rPr>
        <w:t>or been associated with periods of conflict.</w:t>
      </w:r>
      <w:r w:rsidRPr="00AE3281">
        <w:rPr>
          <w:rFonts w:cs="Times New Roman"/>
        </w:rPr>
        <w:t xml:space="preserve"> Most </w:t>
      </w:r>
      <w:r w:rsidR="00FF6CE4" w:rsidRPr="00AE3281">
        <w:rPr>
          <w:rFonts w:cs="Times New Roman"/>
        </w:rPr>
        <w:t xml:space="preserve">examples </w:t>
      </w:r>
      <w:r w:rsidRPr="00AE3281">
        <w:rPr>
          <w:rFonts w:cs="Times New Roman"/>
        </w:rPr>
        <w:t>are somewhat historic</w:t>
      </w:r>
      <w:r w:rsidR="00FF6CE4" w:rsidRPr="00AE3281">
        <w:rPr>
          <w:rFonts w:cs="Times New Roman"/>
        </w:rPr>
        <w:t>, pre-dating modern evaluations.</w:t>
      </w:r>
    </w:p>
    <w:p w14:paraId="05BE2762" w14:textId="77777777" w:rsidR="00585DE0" w:rsidRPr="00AE3281" w:rsidRDefault="00585DE0" w:rsidP="00585DE0">
      <w:pPr>
        <w:spacing w:after="0"/>
        <w:jc w:val="both"/>
        <w:rPr>
          <w:rFonts w:cs="Times New Roman"/>
        </w:rPr>
      </w:pPr>
    </w:p>
    <w:p w14:paraId="7F1583AD" w14:textId="74DB469C" w:rsidR="00AB6737" w:rsidRPr="00AE3281" w:rsidRDefault="00AB6737" w:rsidP="00AB6737">
      <w:pPr>
        <w:spacing w:after="0"/>
        <w:jc w:val="both"/>
        <w:rPr>
          <w:rFonts w:cs="Times New Roman"/>
        </w:rPr>
      </w:pPr>
      <w:r w:rsidRPr="00AE3281">
        <w:rPr>
          <w:rFonts w:cs="Times New Roman"/>
        </w:rPr>
        <w:t>For example, at the end of the 19th century, with a rise in the</w:t>
      </w:r>
      <w:r w:rsidRPr="00AE3281">
        <w:rPr>
          <w:rFonts w:eastAsiaTheme="minorEastAsia" w:cs="Times New Roman"/>
          <w:szCs w:val="24"/>
        </w:rPr>
        <w:t xml:space="preserve"> number of migrants from China and the Pacific, Australia introduced an ‘Immigration Restriction Act’, </w:t>
      </w:r>
      <w:r w:rsidR="00C05FDB" w:rsidRPr="00AE3281">
        <w:rPr>
          <w:rFonts w:eastAsiaTheme="minorEastAsia" w:cs="Times New Roman"/>
          <w:szCs w:val="24"/>
        </w:rPr>
        <w:t>to</w:t>
      </w:r>
      <w:r w:rsidRPr="00AE3281">
        <w:rPr>
          <w:rFonts w:eastAsiaTheme="minorEastAsia" w:cs="Times New Roman"/>
          <w:szCs w:val="24"/>
        </w:rPr>
        <w:t xml:space="preserve"> exclude non-English speaking settlers</w:t>
      </w:r>
      <w:r w:rsidRPr="00701430">
        <w:rPr>
          <w:rStyle w:val="FootnoteReference"/>
        </w:rPr>
        <w:footnoteReference w:id="1"/>
      </w:r>
      <w:r w:rsidRPr="00AE3281">
        <w:rPr>
          <w:rFonts w:eastAsiaTheme="minorEastAsia" w:cs="Times New Roman"/>
          <w:szCs w:val="24"/>
        </w:rPr>
        <w:t xml:space="preserve">, in a ‘racialized act of self-conscious nation building’ (Fitzgerald, 2007). After the First Word War, Canada </w:t>
      </w:r>
      <w:r w:rsidR="00B517D6" w:rsidRPr="00AE3281">
        <w:rPr>
          <w:rFonts w:eastAsiaTheme="minorEastAsia" w:cs="Times New Roman"/>
          <w:szCs w:val="24"/>
        </w:rPr>
        <w:t xml:space="preserve">introduced </w:t>
      </w:r>
      <w:r w:rsidR="00D36961" w:rsidRPr="00AE3281">
        <w:rPr>
          <w:rFonts w:eastAsiaTheme="minorEastAsia" w:cs="Times New Roman"/>
          <w:szCs w:val="24"/>
        </w:rPr>
        <w:t>the</w:t>
      </w:r>
      <w:r w:rsidRPr="00AE3281">
        <w:rPr>
          <w:rFonts w:eastAsiaTheme="minorEastAsia" w:cs="Times New Roman"/>
          <w:szCs w:val="24"/>
        </w:rPr>
        <w:t xml:space="preserve"> Chinese Immigration Act</w:t>
      </w:r>
      <w:r w:rsidR="00B517D6" w:rsidRPr="00AE3281">
        <w:rPr>
          <w:rFonts w:eastAsiaTheme="minorEastAsia" w:cs="Times New Roman"/>
          <w:szCs w:val="24"/>
        </w:rPr>
        <w:t xml:space="preserve"> (</w:t>
      </w:r>
      <w:r w:rsidRPr="00AE3281">
        <w:rPr>
          <w:rFonts w:eastAsiaTheme="minorEastAsia" w:cs="Times New Roman"/>
          <w:szCs w:val="24"/>
        </w:rPr>
        <w:t>1923</w:t>
      </w:r>
      <w:r w:rsidR="00B517D6" w:rsidRPr="00AE3281">
        <w:rPr>
          <w:rFonts w:eastAsiaTheme="minorEastAsia" w:cs="Times New Roman"/>
          <w:szCs w:val="24"/>
        </w:rPr>
        <w:t xml:space="preserve">), the </w:t>
      </w:r>
      <w:r w:rsidRPr="00AE3281">
        <w:rPr>
          <w:rFonts w:eastAsiaTheme="minorEastAsia" w:cs="Times New Roman"/>
          <w:szCs w:val="24"/>
        </w:rPr>
        <w:t>culmination of anti-Chinese racism and policies</w:t>
      </w:r>
      <w:r w:rsidR="00B517D6" w:rsidRPr="00AE3281">
        <w:rPr>
          <w:rFonts w:eastAsiaTheme="minorEastAsia" w:cs="Times New Roman"/>
          <w:szCs w:val="24"/>
        </w:rPr>
        <w:t>. A</w:t>
      </w:r>
      <w:r w:rsidRPr="00AE3281">
        <w:rPr>
          <w:rFonts w:eastAsiaTheme="minorEastAsia" w:cs="Times New Roman"/>
          <w:szCs w:val="24"/>
        </w:rPr>
        <w:t xml:space="preserve">ll Chinese persons living in Canada had to register with the government or risk fines, detainment, </w:t>
      </w:r>
      <w:r w:rsidRPr="00AE3281">
        <w:rPr>
          <w:rFonts w:cs="Times New Roman"/>
        </w:rPr>
        <w:t xml:space="preserve">or deportation. Similarly, in Europe, countries </w:t>
      </w:r>
      <w:r w:rsidR="00FF6CE4" w:rsidRPr="00AE3281">
        <w:rPr>
          <w:rFonts w:cs="Times New Roman"/>
        </w:rPr>
        <w:t>including</w:t>
      </w:r>
      <w:r w:rsidRPr="00AE3281">
        <w:rPr>
          <w:rFonts w:cs="Times New Roman"/>
        </w:rPr>
        <w:t xml:space="preserve"> France introduced national preference employment policies in the 1930s and reserved certain occupations for French citizens only, aim</w:t>
      </w:r>
      <w:r w:rsidR="00FF6CE4" w:rsidRPr="00AE3281">
        <w:rPr>
          <w:rFonts w:cs="Times New Roman"/>
        </w:rPr>
        <w:t>ing</w:t>
      </w:r>
      <w:r w:rsidRPr="00AE3281">
        <w:rPr>
          <w:rFonts w:cs="Times New Roman"/>
        </w:rPr>
        <w:t xml:space="preserve"> to exclude immigrants such as Belgians, </w:t>
      </w:r>
      <w:r w:rsidR="00D36961" w:rsidRPr="00AE3281">
        <w:rPr>
          <w:rFonts w:cs="Times New Roman"/>
        </w:rPr>
        <w:t>Italians,</w:t>
      </w:r>
      <w:r w:rsidRPr="00AE3281">
        <w:rPr>
          <w:rFonts w:cs="Times New Roman"/>
        </w:rPr>
        <w:t xml:space="preserve"> and Poles from the</w:t>
      </w:r>
      <w:r w:rsidR="00FF6CE4" w:rsidRPr="00AE3281">
        <w:rPr>
          <w:rFonts w:cs="Times New Roman"/>
        </w:rPr>
        <w:t>ir</w:t>
      </w:r>
      <w:r w:rsidRPr="00AE3281">
        <w:rPr>
          <w:rFonts w:cs="Times New Roman"/>
        </w:rPr>
        <w:t xml:space="preserve"> labour market.</w:t>
      </w:r>
    </w:p>
    <w:p w14:paraId="054A0BA5" w14:textId="77777777" w:rsidR="00585DE0" w:rsidRPr="00AE3281" w:rsidRDefault="00585DE0" w:rsidP="00AB6737">
      <w:pPr>
        <w:spacing w:after="0"/>
        <w:jc w:val="both"/>
        <w:rPr>
          <w:rFonts w:cs="Times New Roman"/>
        </w:rPr>
      </w:pPr>
    </w:p>
    <w:p w14:paraId="7769919C" w14:textId="7F4E5FEB" w:rsidR="00AB6737" w:rsidRPr="00AE3281" w:rsidRDefault="00AB6737" w:rsidP="00AB6737">
      <w:pPr>
        <w:spacing w:after="0"/>
        <w:jc w:val="both"/>
        <w:rPr>
          <w:rFonts w:cs="Times New Roman"/>
        </w:rPr>
      </w:pPr>
      <w:r w:rsidRPr="00AE3281">
        <w:rPr>
          <w:rFonts w:cs="Times New Roman"/>
        </w:rPr>
        <w:t>More recently, in 1973 Germany introduced a ban on the recruitment of workers outside the European Economic Community (Galli and Russo, 2019</w:t>
      </w:r>
      <w:r w:rsidR="00F96878" w:rsidRPr="00AE3281">
        <w:rPr>
          <w:rStyle w:val="FootnoteReference"/>
          <w:rFonts w:cs="Times New Roman"/>
        </w:rPr>
        <w:footnoteReference w:id="2"/>
      </w:r>
      <w:r w:rsidRPr="00AE3281">
        <w:rPr>
          <w:rFonts w:cs="Times New Roman"/>
        </w:rPr>
        <w:t xml:space="preserve">); in Saudi Arabia, the Gulf War led to </w:t>
      </w:r>
      <w:r w:rsidR="00D36961" w:rsidRPr="00AE3281">
        <w:rPr>
          <w:rFonts w:cs="Times New Roman"/>
        </w:rPr>
        <w:t xml:space="preserve">a </w:t>
      </w:r>
      <w:r w:rsidRPr="00AE3281">
        <w:rPr>
          <w:rFonts w:cs="Times New Roman"/>
        </w:rPr>
        <w:t xml:space="preserve">mass expulsion of Yemeni workers (over 1 million people expelled) in 1990, as Saudi Arabia sided against Yemen. Earlier this century, in India, the 2003 Citizenship Amendment Act created a category of "illegal immigrant" applied selectively to target Muslim migrants from Bangladesh </w:t>
      </w:r>
      <w:r w:rsidR="00D36961" w:rsidRPr="00AE3281">
        <w:rPr>
          <w:rFonts w:cs="Times New Roman"/>
        </w:rPr>
        <w:t>which</w:t>
      </w:r>
      <w:r w:rsidRPr="00AE3281">
        <w:rPr>
          <w:rFonts w:cs="Times New Roman"/>
        </w:rPr>
        <w:t xml:space="preserve"> led to deportations and loss of rights (Roy, 2010).</w:t>
      </w:r>
    </w:p>
    <w:p w14:paraId="02182273" w14:textId="77777777" w:rsidR="00585DE0" w:rsidRPr="00AE3281" w:rsidRDefault="00585DE0" w:rsidP="00AB6737">
      <w:pPr>
        <w:spacing w:after="0"/>
        <w:jc w:val="both"/>
        <w:rPr>
          <w:rFonts w:cs="Times New Roman"/>
        </w:rPr>
      </w:pPr>
    </w:p>
    <w:p w14:paraId="19828138" w14:textId="69E5AACD" w:rsidR="003E19AE" w:rsidRPr="00AE3281" w:rsidRDefault="64EB9F66" w:rsidP="003B2CD9">
      <w:pPr>
        <w:spacing w:after="0"/>
        <w:jc w:val="both"/>
        <w:rPr>
          <w:rFonts w:cs="Times New Roman"/>
        </w:rPr>
      </w:pPr>
      <w:r w:rsidRPr="00AE3281">
        <w:rPr>
          <w:rFonts w:cs="Times New Roman"/>
        </w:rPr>
        <w:t>This non-exhaustive list of examples highlights the persistent nature of immigration as a contested, divisive, and potentially explosive challenge (</w:t>
      </w:r>
      <w:proofErr w:type="spellStart"/>
      <w:r w:rsidRPr="00AE3281">
        <w:rPr>
          <w:rFonts w:cs="Times New Roman"/>
        </w:rPr>
        <w:t>Menz</w:t>
      </w:r>
      <w:proofErr w:type="spellEnd"/>
      <w:r w:rsidRPr="00AE3281">
        <w:rPr>
          <w:rFonts w:cs="Times New Roman"/>
        </w:rPr>
        <w:t xml:space="preserve">, 2009). In the previously mentioned examples, as well as in all the occasions where national governments have taken actions to limit or stop immigration, any benefits of immigration have been ignored. Angelini et al. (2015) argue that immigrants may bring with them habits, resources, </w:t>
      </w:r>
      <w:r w:rsidR="00832949" w:rsidRPr="00AE3281">
        <w:rPr>
          <w:rFonts w:cs="Times New Roman"/>
        </w:rPr>
        <w:t>experiences,</w:t>
      </w:r>
      <w:r w:rsidRPr="00AE3281">
        <w:rPr>
          <w:rFonts w:cs="Times New Roman"/>
        </w:rPr>
        <w:t xml:space="preserve"> and personal skills that constitute an important economic return for the host country. Galli and Russo (2019) identify the effect of restrictive immigration policies on the cultural assimilation of the second generation. They stress how, paradoxically, the effort to preserve the national identity by restricting immigration may ultimately foster the persistence of foreign cultures in </w:t>
      </w:r>
      <w:r w:rsidRPr="00AE3281">
        <w:rPr>
          <w:rFonts w:cs="Times New Roman"/>
        </w:rPr>
        <w:lastRenderedPageBreak/>
        <w:t xml:space="preserve">the receiving country, therefore reducing assimilation. Zimmermann (2014) similarly stresses how free labour mobility is likely to generate benefits for both immigrants and host countries. </w:t>
      </w:r>
    </w:p>
    <w:p w14:paraId="7CBFB3A3" w14:textId="77777777" w:rsidR="00F30DB5" w:rsidRPr="00AE3281" w:rsidRDefault="00F30DB5" w:rsidP="003B2CD9">
      <w:pPr>
        <w:spacing w:after="0"/>
        <w:jc w:val="both"/>
        <w:rPr>
          <w:rFonts w:cs="Times New Roman"/>
        </w:rPr>
      </w:pPr>
    </w:p>
    <w:p w14:paraId="3CA6B25E" w14:textId="5687DF90" w:rsidR="00AB6737" w:rsidRPr="00AE3281" w:rsidRDefault="00FF6CE4" w:rsidP="00836CA2">
      <w:pPr>
        <w:spacing w:after="0"/>
        <w:jc w:val="both"/>
        <w:rPr>
          <w:rFonts w:cs="Times New Roman"/>
        </w:rPr>
      </w:pPr>
      <w:r w:rsidRPr="00AE3281">
        <w:rPr>
          <w:rFonts w:cs="Times New Roman"/>
        </w:rPr>
        <w:t xml:space="preserve">Some </w:t>
      </w:r>
      <w:r w:rsidR="00F30DB5" w:rsidRPr="00AE3281">
        <w:rPr>
          <w:rFonts w:cs="Times New Roman"/>
        </w:rPr>
        <w:t>literature has looked at the effects</w:t>
      </w:r>
      <w:r w:rsidR="00BB2654" w:rsidRPr="00AE3281">
        <w:rPr>
          <w:rFonts w:cs="Times New Roman"/>
        </w:rPr>
        <w:t xml:space="preserve"> of acquiring</w:t>
      </w:r>
      <w:r w:rsidR="00F30DB5" w:rsidRPr="00AE3281">
        <w:rPr>
          <w:rFonts w:cs="Times New Roman"/>
        </w:rPr>
        <w:t xml:space="preserve"> legal status on immigrants’ outcomes and behaviour. </w:t>
      </w:r>
      <w:proofErr w:type="spellStart"/>
      <w:r w:rsidR="00F30DB5" w:rsidRPr="00AE3281">
        <w:rPr>
          <w:rFonts w:cs="Times New Roman"/>
        </w:rPr>
        <w:t>F</w:t>
      </w:r>
      <w:r w:rsidR="008F1CE3" w:rsidRPr="00AE3281">
        <w:rPr>
          <w:rFonts w:cs="Times New Roman"/>
        </w:rPr>
        <w:t>asani</w:t>
      </w:r>
      <w:proofErr w:type="spellEnd"/>
      <w:r w:rsidR="00674DFE" w:rsidRPr="00AE3281">
        <w:rPr>
          <w:rFonts w:cs="Times New Roman"/>
        </w:rPr>
        <w:t xml:space="preserve"> (</w:t>
      </w:r>
      <w:r w:rsidR="00F30DB5" w:rsidRPr="00AE3281">
        <w:rPr>
          <w:rFonts w:cs="Times New Roman"/>
        </w:rPr>
        <w:t>2014</w:t>
      </w:r>
      <w:r w:rsidR="00674DFE" w:rsidRPr="00AE3281">
        <w:rPr>
          <w:rFonts w:cs="Times New Roman"/>
        </w:rPr>
        <w:t xml:space="preserve">) </w:t>
      </w:r>
      <w:r w:rsidR="00F30DB5" w:rsidRPr="00AE3281">
        <w:rPr>
          <w:rFonts w:cs="Times New Roman"/>
        </w:rPr>
        <w:t>argue</w:t>
      </w:r>
      <w:r w:rsidR="00674DFE" w:rsidRPr="00AE3281">
        <w:rPr>
          <w:rFonts w:cs="Times New Roman"/>
        </w:rPr>
        <w:t>d</w:t>
      </w:r>
      <w:r w:rsidR="00F30DB5" w:rsidRPr="00AE3281">
        <w:rPr>
          <w:rFonts w:cs="Times New Roman"/>
        </w:rPr>
        <w:t xml:space="preserve"> that legal status increase</w:t>
      </w:r>
      <w:r w:rsidR="00B517D6" w:rsidRPr="00AE3281">
        <w:rPr>
          <w:rFonts w:cs="Times New Roman"/>
        </w:rPr>
        <w:t>s</w:t>
      </w:r>
      <w:r w:rsidR="00F30DB5" w:rsidRPr="00AE3281">
        <w:rPr>
          <w:rFonts w:cs="Times New Roman"/>
        </w:rPr>
        <w:t xml:space="preserve"> wages and returns to skills for employed immigrants</w:t>
      </w:r>
      <w:r w:rsidR="00836CA2" w:rsidRPr="00AE3281">
        <w:rPr>
          <w:rFonts w:cs="Times New Roman"/>
        </w:rPr>
        <w:t>,</w:t>
      </w:r>
      <w:r w:rsidR="00F30DB5" w:rsidRPr="00AE3281">
        <w:rPr>
          <w:rFonts w:cs="Times New Roman"/>
        </w:rPr>
        <w:t xml:space="preserve"> with an ambiguous effect on employment.</w:t>
      </w:r>
      <w:r w:rsidR="00EE768C" w:rsidRPr="00AE3281">
        <w:rPr>
          <w:rFonts w:cs="Times New Roman"/>
        </w:rPr>
        <w:t xml:space="preserve"> He also reports findings </w:t>
      </w:r>
      <w:r w:rsidRPr="00AE3281">
        <w:rPr>
          <w:rFonts w:cs="Times New Roman"/>
        </w:rPr>
        <w:t>from</w:t>
      </w:r>
      <w:r w:rsidR="00EE768C" w:rsidRPr="00AE3281">
        <w:rPr>
          <w:rFonts w:cs="Times New Roman"/>
        </w:rPr>
        <w:t xml:space="preserve"> previous studies </w:t>
      </w:r>
      <w:r w:rsidR="00AC0876" w:rsidRPr="00AE3281">
        <w:rPr>
          <w:rFonts w:cs="Times New Roman"/>
        </w:rPr>
        <w:t>concerning</w:t>
      </w:r>
      <w:r w:rsidR="00EE768C" w:rsidRPr="00AE3281">
        <w:rPr>
          <w:rFonts w:cs="Times New Roman"/>
        </w:rPr>
        <w:t xml:space="preserve"> Italy that </w:t>
      </w:r>
      <w:r w:rsidR="00836CA2" w:rsidRPr="00AE3281">
        <w:rPr>
          <w:rFonts w:cs="Times New Roman"/>
        </w:rPr>
        <w:t>show how</w:t>
      </w:r>
      <w:r w:rsidR="00EE768C" w:rsidRPr="00AE3281">
        <w:rPr>
          <w:rFonts w:cs="Times New Roman"/>
        </w:rPr>
        <w:t xml:space="preserve"> obtaining legal status significantly reduces immigrants’ propensity to commit </w:t>
      </w:r>
      <w:r w:rsidR="00AC0876" w:rsidRPr="00AE3281">
        <w:rPr>
          <w:rFonts w:cs="Times New Roman"/>
        </w:rPr>
        <w:t>crimes</w:t>
      </w:r>
      <w:r w:rsidR="00EE768C" w:rsidRPr="00AE3281">
        <w:rPr>
          <w:rFonts w:cs="Times New Roman"/>
        </w:rPr>
        <w:t xml:space="preserve">. </w:t>
      </w:r>
      <w:r w:rsidR="00386B6C" w:rsidRPr="00AE3281">
        <w:rPr>
          <w:rFonts w:cs="Times New Roman"/>
        </w:rPr>
        <w:t xml:space="preserve">Lofstrom et al., </w:t>
      </w:r>
      <w:r w:rsidR="00674DFE" w:rsidRPr="00AE3281">
        <w:rPr>
          <w:rFonts w:cs="Times New Roman"/>
        </w:rPr>
        <w:t>(</w:t>
      </w:r>
      <w:r w:rsidR="00386B6C" w:rsidRPr="00AE3281">
        <w:rPr>
          <w:rFonts w:cs="Times New Roman"/>
        </w:rPr>
        <w:t>2013</w:t>
      </w:r>
      <w:r w:rsidR="00674DFE" w:rsidRPr="00AE3281">
        <w:rPr>
          <w:rFonts w:cs="Times New Roman"/>
        </w:rPr>
        <w:t>)</w:t>
      </w:r>
      <w:r w:rsidR="00BB2654" w:rsidRPr="00AE3281">
        <w:rPr>
          <w:rFonts w:cs="Times New Roman"/>
        </w:rPr>
        <w:t>, analy</w:t>
      </w:r>
      <w:r w:rsidR="00674DFE" w:rsidRPr="00AE3281">
        <w:rPr>
          <w:rFonts w:cs="Times New Roman"/>
        </w:rPr>
        <w:t>sed</w:t>
      </w:r>
      <w:r w:rsidR="00BB2654" w:rsidRPr="00AE3281">
        <w:rPr>
          <w:rFonts w:cs="Times New Roman"/>
        </w:rPr>
        <w:t xml:space="preserve"> how the acquisition of legal permanent resident (LPR) status affects occupational mobility and wages of individuals who previously worked illegally in the United States. Their findings confirm that highly skilled immigrants, regardless of how they arrived in the United States, exhibit occupational improvements after gaining legal status.</w:t>
      </w:r>
      <w:r w:rsidR="00836CA2" w:rsidRPr="00AE3281">
        <w:rPr>
          <w:rFonts w:cs="Times New Roman"/>
        </w:rPr>
        <w:t xml:space="preserve"> </w:t>
      </w:r>
      <w:r w:rsidR="00AC0876" w:rsidRPr="00AE3281">
        <w:rPr>
          <w:rFonts w:cs="Times New Roman"/>
        </w:rPr>
        <w:t>For</w:t>
      </w:r>
      <w:r w:rsidR="00836CA2" w:rsidRPr="00AE3281">
        <w:rPr>
          <w:rFonts w:cs="Times New Roman"/>
        </w:rPr>
        <w:t xml:space="preserve"> different outcomes, </w:t>
      </w:r>
      <w:proofErr w:type="spellStart"/>
      <w:r w:rsidR="00836CA2" w:rsidRPr="00AE3281">
        <w:rPr>
          <w:rFonts w:cs="Times New Roman"/>
        </w:rPr>
        <w:t>Dustmann</w:t>
      </w:r>
      <w:proofErr w:type="spellEnd"/>
      <w:r w:rsidR="00836CA2" w:rsidRPr="00AE3281">
        <w:rPr>
          <w:rFonts w:cs="Times New Roman"/>
        </w:rPr>
        <w:t xml:space="preserve"> et al., </w:t>
      </w:r>
      <w:r w:rsidR="00674DFE" w:rsidRPr="00AE3281">
        <w:rPr>
          <w:rFonts w:cs="Times New Roman"/>
        </w:rPr>
        <w:t>(</w:t>
      </w:r>
      <w:r w:rsidR="00836CA2" w:rsidRPr="00AE3281">
        <w:rPr>
          <w:rFonts w:cs="Times New Roman"/>
        </w:rPr>
        <w:t>2017</w:t>
      </w:r>
      <w:r w:rsidR="00674DFE" w:rsidRPr="00AE3281">
        <w:rPr>
          <w:rFonts w:cs="Times New Roman"/>
        </w:rPr>
        <w:t xml:space="preserve">) found that </w:t>
      </w:r>
      <w:r w:rsidR="00836CA2" w:rsidRPr="00AE3281">
        <w:rPr>
          <w:rFonts w:cs="Times New Roman"/>
        </w:rPr>
        <w:t>legali</w:t>
      </w:r>
      <w:r w:rsidR="00674DFE" w:rsidRPr="00AE3281">
        <w:rPr>
          <w:rFonts w:cs="Times New Roman"/>
        </w:rPr>
        <w:t>s</w:t>
      </w:r>
      <w:r w:rsidR="00836CA2" w:rsidRPr="00AE3281">
        <w:rPr>
          <w:rFonts w:cs="Times New Roman"/>
        </w:rPr>
        <w:t xml:space="preserve">ation programs seem to lead to </w:t>
      </w:r>
      <w:r w:rsidR="00AE3281">
        <w:rPr>
          <w:rFonts w:cs="Times New Roman"/>
        </w:rPr>
        <w:t xml:space="preserve">increased </w:t>
      </w:r>
      <w:r w:rsidR="00836CA2" w:rsidRPr="00AE3281">
        <w:rPr>
          <w:rFonts w:cs="Times New Roman"/>
        </w:rPr>
        <w:t>immigrant consumption in the host country</w:t>
      </w:r>
      <w:r w:rsidR="00B517D6" w:rsidRPr="00AE3281">
        <w:rPr>
          <w:rFonts w:cs="Times New Roman"/>
        </w:rPr>
        <w:t>, with associated benefits</w:t>
      </w:r>
      <w:r w:rsidR="00836CA2" w:rsidRPr="00AE3281">
        <w:rPr>
          <w:rFonts w:cs="Times New Roman"/>
        </w:rPr>
        <w:t>.</w:t>
      </w:r>
    </w:p>
    <w:p w14:paraId="6CDD2ED6" w14:textId="77777777" w:rsidR="00BB2654" w:rsidRPr="00AE3281" w:rsidRDefault="00BB2654" w:rsidP="00AB6737">
      <w:pPr>
        <w:spacing w:after="0"/>
        <w:jc w:val="both"/>
        <w:rPr>
          <w:rFonts w:cs="Times New Roman"/>
        </w:rPr>
      </w:pPr>
    </w:p>
    <w:p w14:paraId="71DDAF17" w14:textId="77777777" w:rsidR="0034641F" w:rsidRPr="00AE3281" w:rsidRDefault="0034641F" w:rsidP="0034641F">
      <w:pPr>
        <w:jc w:val="both"/>
        <w:rPr>
          <w:rFonts w:eastAsia="Times New Roman" w:cs="Times New Roman"/>
          <w:color w:val="000000" w:themeColor="text1"/>
          <w:szCs w:val="24"/>
        </w:rPr>
      </w:pPr>
      <w:r w:rsidRPr="00AE3281">
        <w:rPr>
          <w:rFonts w:eastAsia="Times New Roman" w:cs="Times New Roman"/>
          <w:b/>
          <w:bCs/>
          <w:i/>
          <w:iCs/>
          <w:color w:val="000000" w:themeColor="text1"/>
          <w:szCs w:val="24"/>
        </w:rPr>
        <w:t>EU enlargement and the UK</w:t>
      </w:r>
    </w:p>
    <w:p w14:paraId="11E9EFE8" w14:textId="337EDF3F" w:rsidR="00F15B40" w:rsidRPr="00AE3281" w:rsidRDefault="0034641F" w:rsidP="0034641F">
      <w:pPr>
        <w:jc w:val="both"/>
        <w:rPr>
          <w:rFonts w:eastAsia="Times New Roman" w:cs="Times New Roman"/>
          <w:color w:val="000000" w:themeColor="text1"/>
        </w:rPr>
      </w:pPr>
      <w:r w:rsidRPr="00AE3281">
        <w:rPr>
          <w:rFonts w:eastAsia="Times New Roman" w:cs="Times New Roman"/>
          <w:color w:val="000000" w:themeColor="text1"/>
        </w:rPr>
        <w:t>A distinct body of literature has investigat</w:t>
      </w:r>
      <w:r w:rsidR="00F15B40" w:rsidRPr="00AE3281">
        <w:rPr>
          <w:rFonts w:eastAsia="Times New Roman" w:cs="Times New Roman"/>
          <w:color w:val="000000" w:themeColor="text1"/>
        </w:rPr>
        <w:t>ed</w:t>
      </w:r>
      <w:r w:rsidRPr="00AE3281">
        <w:rPr>
          <w:rFonts w:eastAsia="Times New Roman" w:cs="Times New Roman"/>
          <w:color w:val="000000" w:themeColor="text1"/>
        </w:rPr>
        <w:t xml:space="preserve"> the EU enlargement process. </w:t>
      </w:r>
      <w:proofErr w:type="spellStart"/>
      <w:r w:rsidRPr="00AE3281">
        <w:rPr>
          <w:rFonts w:eastAsia="Times New Roman" w:cs="Times New Roman"/>
          <w:color w:val="000000" w:themeColor="text1"/>
        </w:rPr>
        <w:t>Ruhs</w:t>
      </w:r>
      <w:proofErr w:type="spellEnd"/>
      <w:r w:rsidRPr="00AE3281">
        <w:rPr>
          <w:rFonts w:eastAsia="Times New Roman" w:cs="Times New Roman"/>
          <w:color w:val="000000" w:themeColor="text1"/>
        </w:rPr>
        <w:t xml:space="preserve"> (2017) provides a detailed exploration of the effects of EU enlargement on workers from the A8 countries who had already been employed in the UK </w:t>
      </w:r>
      <w:r w:rsidR="00AE3281">
        <w:rPr>
          <w:rFonts w:eastAsia="Times New Roman" w:cs="Times New Roman"/>
          <w:color w:val="000000" w:themeColor="text1"/>
        </w:rPr>
        <w:t>before</w:t>
      </w:r>
      <w:r w:rsidRPr="00AE3281">
        <w:rPr>
          <w:rFonts w:eastAsia="Times New Roman" w:cs="Times New Roman"/>
          <w:color w:val="000000" w:themeColor="text1"/>
        </w:rPr>
        <w:t xml:space="preserve"> 1</w:t>
      </w:r>
      <w:r w:rsidRPr="00AE3281">
        <w:rPr>
          <w:rFonts w:eastAsia="Times New Roman" w:cs="Times New Roman"/>
          <w:color w:val="000000" w:themeColor="text1"/>
          <w:vertAlign w:val="superscript"/>
        </w:rPr>
        <w:t>st</w:t>
      </w:r>
      <w:r w:rsidRPr="00AE3281">
        <w:rPr>
          <w:rFonts w:eastAsia="Times New Roman" w:cs="Times New Roman"/>
          <w:color w:val="000000" w:themeColor="text1"/>
        </w:rPr>
        <w:t xml:space="preserve"> May 2004, regardless of whether their employment was legal or illegal. The study treats the EU enlargement as a quasi-natural experiment that modified the legal immigration status of A8 migrants but did not influence the status of other Eastern European migrants in the UK. His findings suggest that the acquisition of EU status had a statistically significant and positive impact on the earnings of Eastern European migrants in the UK because they could finally freely switch jobs and employers following EU enlargement. However, the process of legalisation itself did not significantly affect changes in earnings. </w:t>
      </w:r>
    </w:p>
    <w:p w14:paraId="0C4AA578" w14:textId="43E928DD" w:rsidR="0034641F" w:rsidRPr="00AE3281" w:rsidRDefault="0034641F" w:rsidP="0034641F">
      <w:pPr>
        <w:jc w:val="both"/>
        <w:rPr>
          <w:rFonts w:eastAsia="Times New Roman" w:cs="Times New Roman"/>
          <w:color w:val="000000" w:themeColor="text1"/>
        </w:rPr>
      </w:pPr>
      <w:r w:rsidRPr="00AE3281">
        <w:rPr>
          <w:rFonts w:eastAsia="Times New Roman" w:cs="Times New Roman"/>
          <w:color w:val="000000" w:themeColor="text1"/>
        </w:rPr>
        <w:t xml:space="preserve">In a related study, </w:t>
      </w:r>
      <w:proofErr w:type="spellStart"/>
      <w:proofErr w:type="gramStart"/>
      <w:r w:rsidRPr="00AE3281">
        <w:rPr>
          <w:rFonts w:eastAsia="Times New Roman" w:cs="Times New Roman"/>
          <w:color w:val="000000" w:themeColor="text1"/>
        </w:rPr>
        <w:t>Ruhs</w:t>
      </w:r>
      <w:proofErr w:type="spellEnd"/>
      <w:proofErr w:type="gramEnd"/>
      <w:r w:rsidRPr="00AE3281">
        <w:rPr>
          <w:rFonts w:eastAsia="Times New Roman" w:cs="Times New Roman"/>
          <w:color w:val="000000" w:themeColor="text1"/>
        </w:rPr>
        <w:t xml:space="preserve"> and Wadsworth (2018) utili</w:t>
      </w:r>
      <w:r w:rsidR="00F15B40" w:rsidRPr="00AE3281">
        <w:rPr>
          <w:rFonts w:eastAsia="Times New Roman" w:cs="Times New Roman"/>
          <w:color w:val="000000" w:themeColor="text1"/>
        </w:rPr>
        <w:t>s</w:t>
      </w:r>
      <w:r w:rsidRPr="00AE3281">
        <w:rPr>
          <w:rFonts w:eastAsia="Times New Roman" w:cs="Times New Roman"/>
          <w:color w:val="000000" w:themeColor="text1"/>
        </w:rPr>
        <w:t>ed a similar empirical design to investigate the impact of the 2007 EU enlargement on Romania and Bulgaria (known as the A2 countries</w:t>
      </w:r>
      <w:r w:rsidRPr="00AE3281">
        <w:rPr>
          <w:rStyle w:val="FootnoteReference"/>
          <w:rFonts w:eastAsia="Times New Roman" w:cs="Times New Roman"/>
          <w:color w:val="000000" w:themeColor="text1"/>
        </w:rPr>
        <w:footnoteReference w:id="3"/>
      </w:r>
      <w:r w:rsidRPr="00AE3281">
        <w:rPr>
          <w:rFonts w:eastAsia="Times New Roman" w:cs="Times New Roman"/>
          <w:color w:val="000000" w:themeColor="text1"/>
        </w:rPr>
        <w:t>). They examined the impact of lifting these restrictions on the labour market outcomes and welfare benefits usage of A2 migrants.</w:t>
      </w:r>
      <w:r w:rsidR="00F15B40" w:rsidRPr="00AE3281">
        <w:rPr>
          <w:rFonts w:eastAsia="Times New Roman" w:cs="Times New Roman"/>
          <w:color w:val="000000" w:themeColor="text1"/>
        </w:rPr>
        <w:t xml:space="preserve"> T</w:t>
      </w:r>
      <w:r w:rsidRPr="00AE3281">
        <w:rPr>
          <w:rFonts w:eastAsia="Times New Roman" w:cs="Times New Roman"/>
          <w:color w:val="000000" w:themeColor="text1"/>
        </w:rPr>
        <w:t>he elimination of all work restrictions on 1</w:t>
      </w:r>
      <w:r w:rsidRPr="00AE3281">
        <w:rPr>
          <w:rFonts w:eastAsia="Times New Roman" w:cs="Times New Roman"/>
          <w:color w:val="000000" w:themeColor="text1"/>
          <w:vertAlign w:val="superscript"/>
        </w:rPr>
        <w:t>st</w:t>
      </w:r>
      <w:r w:rsidRPr="00AE3281">
        <w:rPr>
          <w:rFonts w:eastAsia="Times New Roman" w:cs="Times New Roman"/>
          <w:color w:val="000000" w:themeColor="text1"/>
        </w:rPr>
        <w:t xml:space="preserve"> January 2014 was considered as a quasi-natural experiment alter</w:t>
      </w:r>
      <w:r w:rsidR="00F15B40" w:rsidRPr="00AE3281">
        <w:rPr>
          <w:rFonts w:eastAsia="Times New Roman" w:cs="Times New Roman"/>
          <w:color w:val="000000" w:themeColor="text1"/>
        </w:rPr>
        <w:t>ing</w:t>
      </w:r>
      <w:r w:rsidRPr="00AE3281">
        <w:rPr>
          <w:rFonts w:eastAsia="Times New Roman" w:cs="Times New Roman"/>
          <w:color w:val="000000" w:themeColor="text1"/>
        </w:rPr>
        <w:t xml:space="preserve"> the legal work status of A2 migrants but not affect</w:t>
      </w:r>
      <w:r w:rsidR="00F15B40" w:rsidRPr="00AE3281">
        <w:rPr>
          <w:rFonts w:eastAsia="Times New Roman" w:cs="Times New Roman"/>
          <w:color w:val="000000" w:themeColor="text1"/>
        </w:rPr>
        <w:t>ing</w:t>
      </w:r>
      <w:r w:rsidRPr="00AE3281">
        <w:rPr>
          <w:rFonts w:eastAsia="Times New Roman" w:cs="Times New Roman"/>
          <w:color w:val="000000" w:themeColor="text1"/>
        </w:rPr>
        <w:t xml:space="preserve"> the work status of other Central </w:t>
      </w:r>
      <w:r w:rsidR="00F15B40" w:rsidRPr="00AE3281">
        <w:rPr>
          <w:rFonts w:eastAsia="Times New Roman" w:cs="Times New Roman"/>
          <w:color w:val="000000" w:themeColor="text1"/>
        </w:rPr>
        <w:t xml:space="preserve">or </w:t>
      </w:r>
      <w:r w:rsidRPr="00AE3281">
        <w:rPr>
          <w:rFonts w:eastAsia="Times New Roman" w:cs="Times New Roman"/>
          <w:color w:val="000000" w:themeColor="text1"/>
        </w:rPr>
        <w:t>Eastern European migrants. The</w:t>
      </w:r>
      <w:r w:rsidR="00F15B40" w:rsidRPr="00AE3281">
        <w:rPr>
          <w:rFonts w:eastAsia="Times New Roman" w:cs="Times New Roman"/>
          <w:color w:val="000000" w:themeColor="text1"/>
        </w:rPr>
        <w:t xml:space="preserve">y showed that </w:t>
      </w:r>
      <w:r w:rsidRPr="00AE3281">
        <w:rPr>
          <w:rFonts w:eastAsia="Times New Roman" w:cs="Times New Roman"/>
          <w:color w:val="000000" w:themeColor="text1"/>
        </w:rPr>
        <w:t xml:space="preserve">the removal of employment restrictions led to a significant decrease in the incidence of self-employment among A2 migrants. However, no other effects were observed regarding A2 migrants’ other labour market outcomes and use of welfare benefits in the UK. The authors </w:t>
      </w:r>
      <w:r w:rsidR="00F15B40" w:rsidRPr="00AE3281">
        <w:rPr>
          <w:rFonts w:eastAsia="Times New Roman" w:cs="Times New Roman"/>
          <w:color w:val="000000" w:themeColor="text1"/>
        </w:rPr>
        <w:t xml:space="preserve">reason that </w:t>
      </w:r>
      <w:r w:rsidRPr="00AE3281">
        <w:rPr>
          <w:rFonts w:eastAsia="Times New Roman" w:cs="Times New Roman"/>
          <w:color w:val="000000" w:themeColor="text1"/>
        </w:rPr>
        <w:t xml:space="preserve">a substantial number of A2 citizens had previously used self-employment status as a legal means to work in the UK before January 2014, which included jobs typically undertaken by employees. A similar result, described as “self-employment as a means of evasion,” was </w:t>
      </w:r>
      <w:r w:rsidR="00F15B40" w:rsidRPr="00AE3281">
        <w:rPr>
          <w:rFonts w:eastAsia="Times New Roman" w:cs="Times New Roman"/>
          <w:color w:val="000000" w:themeColor="text1"/>
        </w:rPr>
        <w:t xml:space="preserve">found </w:t>
      </w:r>
      <w:r w:rsidRPr="00AE3281">
        <w:rPr>
          <w:rFonts w:eastAsia="Times New Roman" w:cs="Times New Roman"/>
          <w:color w:val="000000" w:themeColor="text1"/>
        </w:rPr>
        <w:t xml:space="preserve">by </w:t>
      </w:r>
      <w:proofErr w:type="spellStart"/>
      <w:r w:rsidRPr="00AE3281">
        <w:rPr>
          <w:rFonts w:eastAsia="Times New Roman" w:cs="Times New Roman"/>
          <w:color w:val="000000" w:themeColor="text1"/>
        </w:rPr>
        <w:t>Ulceluse</w:t>
      </w:r>
      <w:proofErr w:type="spellEnd"/>
      <w:r w:rsidRPr="00AE3281">
        <w:rPr>
          <w:rFonts w:eastAsia="Times New Roman" w:cs="Times New Roman"/>
          <w:color w:val="000000" w:themeColor="text1"/>
        </w:rPr>
        <w:t xml:space="preserve"> and </w:t>
      </w:r>
      <w:proofErr w:type="spellStart"/>
      <w:r w:rsidRPr="00AE3281">
        <w:rPr>
          <w:rFonts w:eastAsia="Times New Roman" w:cs="Times New Roman"/>
          <w:color w:val="000000" w:themeColor="text1"/>
        </w:rPr>
        <w:t>Kahanec</w:t>
      </w:r>
      <w:proofErr w:type="spellEnd"/>
      <w:r w:rsidRPr="00AE3281">
        <w:rPr>
          <w:rFonts w:eastAsia="Times New Roman" w:cs="Times New Roman"/>
          <w:color w:val="000000" w:themeColor="text1"/>
        </w:rPr>
        <w:t xml:space="preserve"> (2023, p. 720) in the context of A2 countries</w:t>
      </w:r>
      <w:r w:rsidR="00F15B40" w:rsidRPr="00AE3281">
        <w:rPr>
          <w:rFonts w:eastAsia="Times New Roman" w:cs="Times New Roman"/>
          <w:color w:val="000000" w:themeColor="text1"/>
        </w:rPr>
        <w:t xml:space="preserve"> </w:t>
      </w:r>
      <w:r w:rsidRPr="00AE3281">
        <w:rPr>
          <w:rFonts w:eastAsia="Times New Roman" w:cs="Times New Roman"/>
          <w:color w:val="000000" w:themeColor="text1"/>
        </w:rPr>
        <w:t xml:space="preserve">in the EU labour market, following the removal of transitional arrangements. Interestingly, this phenomenon was not observed in the case of A8 countries. Overall, most studies have emphasised the disadvantaged labour market position of East Europeans from the ‘new’ EU member states vis-a-vis their ‘old’ European counterparts. There have been however </w:t>
      </w:r>
      <w:r w:rsidRPr="00AE3281">
        <w:rPr>
          <w:rFonts w:eastAsia="Times New Roman" w:cs="Times New Roman"/>
          <w:color w:val="000000" w:themeColor="text1"/>
        </w:rPr>
        <w:lastRenderedPageBreak/>
        <w:t>a few analyses that have disaggregated further confirming a ‘division of labour’, with West Europeans concentrat</w:t>
      </w:r>
      <w:r w:rsidR="00F15B40" w:rsidRPr="00AE3281">
        <w:rPr>
          <w:rFonts w:eastAsia="Times New Roman" w:cs="Times New Roman"/>
          <w:color w:val="000000" w:themeColor="text1"/>
        </w:rPr>
        <w:t>ed</w:t>
      </w:r>
      <w:r w:rsidRPr="00AE3281">
        <w:rPr>
          <w:rFonts w:eastAsia="Times New Roman" w:cs="Times New Roman"/>
          <w:color w:val="000000" w:themeColor="text1"/>
        </w:rPr>
        <w:t xml:space="preserve"> in the highest-ranked occupations, and East and South Europeans in </w:t>
      </w:r>
      <w:r w:rsidR="00F15B40" w:rsidRPr="00AE3281">
        <w:rPr>
          <w:rFonts w:eastAsia="Times New Roman" w:cs="Times New Roman"/>
          <w:color w:val="000000" w:themeColor="text1"/>
        </w:rPr>
        <w:t>lower</w:t>
      </w:r>
      <w:r w:rsidRPr="00AE3281">
        <w:rPr>
          <w:rFonts w:eastAsia="Times New Roman" w:cs="Times New Roman"/>
          <w:color w:val="000000" w:themeColor="text1"/>
        </w:rPr>
        <w:t xml:space="preserve"> and intermediate ones respectively (</w:t>
      </w:r>
      <w:proofErr w:type="spellStart"/>
      <w:r w:rsidRPr="00AE3281">
        <w:rPr>
          <w:rFonts w:eastAsia="Times New Roman" w:cs="Times New Roman"/>
          <w:color w:val="000000" w:themeColor="text1"/>
        </w:rPr>
        <w:t>Felbo</w:t>
      </w:r>
      <w:proofErr w:type="spellEnd"/>
      <w:r w:rsidRPr="00AE3281">
        <w:rPr>
          <w:rFonts w:eastAsia="Times New Roman" w:cs="Times New Roman"/>
          <w:color w:val="000000" w:themeColor="text1"/>
        </w:rPr>
        <w:t>-Kolding</w:t>
      </w:r>
      <w:r w:rsidR="00120224">
        <w:rPr>
          <w:rFonts w:eastAsia="Times New Roman" w:cs="Times New Roman"/>
          <w:color w:val="000000" w:themeColor="text1"/>
        </w:rPr>
        <w:t xml:space="preserve"> et al.</w:t>
      </w:r>
      <w:r w:rsidRPr="00AE3281">
        <w:rPr>
          <w:rFonts w:eastAsia="Times New Roman" w:cs="Times New Roman"/>
          <w:color w:val="000000" w:themeColor="text1"/>
        </w:rPr>
        <w:t>, 201</w:t>
      </w:r>
      <w:r w:rsidR="00120224">
        <w:rPr>
          <w:rFonts w:eastAsia="Times New Roman" w:cs="Times New Roman"/>
          <w:color w:val="000000" w:themeColor="text1"/>
        </w:rPr>
        <w:t>9</w:t>
      </w:r>
      <w:r w:rsidRPr="00AE3281">
        <w:rPr>
          <w:rFonts w:eastAsia="Times New Roman" w:cs="Times New Roman"/>
          <w:color w:val="000000" w:themeColor="text1"/>
        </w:rPr>
        <w:t>).</w:t>
      </w:r>
    </w:p>
    <w:p w14:paraId="29358C52" w14:textId="77777777" w:rsidR="0034641F" w:rsidRPr="00AE3281" w:rsidRDefault="0034641F" w:rsidP="0034641F">
      <w:pPr>
        <w:jc w:val="both"/>
        <w:rPr>
          <w:rFonts w:eastAsia="Times New Roman" w:cs="Times New Roman"/>
          <w:color w:val="000000" w:themeColor="text1"/>
        </w:rPr>
      </w:pPr>
    </w:p>
    <w:p w14:paraId="3770FE3E" w14:textId="34FA4E42" w:rsidR="2F4F7630" w:rsidRPr="00AE3281" w:rsidRDefault="2F4F7630" w:rsidP="005B3738">
      <w:pPr>
        <w:jc w:val="both"/>
        <w:rPr>
          <w:rFonts w:eastAsia="Times New Roman" w:cs="Times New Roman"/>
          <w:color w:val="000000" w:themeColor="text1"/>
          <w:szCs w:val="24"/>
        </w:rPr>
      </w:pPr>
      <w:r w:rsidRPr="00AE3281">
        <w:rPr>
          <w:rFonts w:eastAsia="Times New Roman" w:cs="Times New Roman"/>
          <w:b/>
          <w:bCs/>
          <w:i/>
          <w:iCs/>
          <w:color w:val="000000" w:themeColor="text1"/>
          <w:szCs w:val="24"/>
        </w:rPr>
        <w:t xml:space="preserve">Migrants and the </w:t>
      </w:r>
      <w:r w:rsidR="00E72357" w:rsidRPr="00AE3281">
        <w:rPr>
          <w:rFonts w:eastAsia="Times New Roman" w:cs="Times New Roman"/>
          <w:b/>
          <w:bCs/>
          <w:i/>
          <w:iCs/>
          <w:color w:val="000000" w:themeColor="text1"/>
          <w:szCs w:val="24"/>
        </w:rPr>
        <w:t xml:space="preserve">UK </w:t>
      </w:r>
      <w:r w:rsidRPr="00AE3281">
        <w:rPr>
          <w:rFonts w:eastAsia="Times New Roman" w:cs="Times New Roman"/>
          <w:b/>
          <w:bCs/>
          <w:i/>
          <w:iCs/>
          <w:color w:val="000000" w:themeColor="text1"/>
          <w:szCs w:val="24"/>
        </w:rPr>
        <w:t>labour market</w:t>
      </w:r>
      <w:r w:rsidR="00982181" w:rsidRPr="00AE3281">
        <w:rPr>
          <w:rFonts w:eastAsia="Times New Roman" w:cs="Times New Roman"/>
          <w:b/>
          <w:bCs/>
          <w:i/>
          <w:iCs/>
          <w:color w:val="000000" w:themeColor="text1"/>
          <w:szCs w:val="24"/>
        </w:rPr>
        <w:t>: theory and evidence</w:t>
      </w:r>
    </w:p>
    <w:p w14:paraId="6C82501E" w14:textId="6D9527D2" w:rsidR="000F15C8" w:rsidRPr="00AE3281" w:rsidRDefault="000F15C8" w:rsidP="000F15C8">
      <w:pPr>
        <w:spacing w:after="0"/>
        <w:jc w:val="both"/>
        <w:rPr>
          <w:rFonts w:eastAsia="Times New Roman" w:cs="Times New Roman"/>
          <w:color w:val="000000" w:themeColor="text1"/>
          <w:szCs w:val="24"/>
        </w:rPr>
      </w:pPr>
      <w:r w:rsidRPr="00AE3281">
        <w:rPr>
          <w:rFonts w:eastAsia="Times New Roman" w:cs="Times New Roman"/>
          <w:color w:val="000000" w:themeColor="text1"/>
          <w:szCs w:val="24"/>
        </w:rPr>
        <w:t xml:space="preserve">EU migrants moved to the UK </w:t>
      </w:r>
      <w:r w:rsidR="00B57BE5" w:rsidRPr="00AE3281">
        <w:rPr>
          <w:rFonts w:eastAsia="Times New Roman" w:cs="Times New Roman"/>
          <w:color w:val="000000" w:themeColor="text1"/>
          <w:szCs w:val="24"/>
        </w:rPr>
        <w:t xml:space="preserve">largely </w:t>
      </w:r>
      <w:r w:rsidRPr="00AE3281">
        <w:rPr>
          <w:rFonts w:eastAsia="Times New Roman" w:cs="Times New Roman"/>
          <w:color w:val="000000" w:themeColor="text1"/>
          <w:szCs w:val="24"/>
        </w:rPr>
        <w:t xml:space="preserve">for work-related reasons: according to ONS (2020), 48% of EU migrants arrived to take up a definite job to improve their occupational profile. </w:t>
      </w:r>
      <w:proofErr w:type="spellStart"/>
      <w:r w:rsidRPr="00AE3281">
        <w:rPr>
          <w:rFonts w:eastAsia="Times New Roman" w:cs="Times New Roman"/>
          <w:color w:val="000000" w:themeColor="text1"/>
          <w:szCs w:val="24"/>
        </w:rPr>
        <w:t>Montesclaros</w:t>
      </w:r>
      <w:proofErr w:type="spellEnd"/>
      <w:r w:rsidRPr="00AE3281">
        <w:rPr>
          <w:rFonts w:eastAsia="Times New Roman" w:cs="Times New Roman"/>
          <w:color w:val="000000" w:themeColor="text1"/>
          <w:szCs w:val="24"/>
        </w:rPr>
        <w:t xml:space="preserve"> and Caballero-Anthony (2018) emphasi</w:t>
      </w:r>
      <w:r w:rsidR="00262151" w:rsidRPr="00AE3281">
        <w:rPr>
          <w:rFonts w:eastAsia="Times New Roman" w:cs="Times New Roman"/>
          <w:color w:val="000000" w:themeColor="text1"/>
          <w:szCs w:val="24"/>
        </w:rPr>
        <w:t>s</w:t>
      </w:r>
      <w:r w:rsidRPr="00AE3281">
        <w:rPr>
          <w:rFonts w:eastAsia="Times New Roman" w:cs="Times New Roman"/>
          <w:color w:val="000000" w:themeColor="text1"/>
          <w:szCs w:val="24"/>
        </w:rPr>
        <w:t>e that the motivation behind the migration of individuals is often the wage differential between the country of origin and the destination country.</w:t>
      </w:r>
      <w:r w:rsidR="00262151" w:rsidRPr="00AE3281">
        <w:rPr>
          <w:rFonts w:eastAsia="Times New Roman" w:cs="Times New Roman"/>
          <w:color w:val="000000" w:themeColor="text1"/>
          <w:szCs w:val="24"/>
        </w:rPr>
        <w:t xml:space="preserve"> M</w:t>
      </w:r>
      <w:r w:rsidRPr="00AE3281">
        <w:rPr>
          <w:rFonts w:eastAsia="Times New Roman" w:cs="Times New Roman"/>
          <w:color w:val="000000" w:themeColor="text1"/>
          <w:szCs w:val="24"/>
        </w:rPr>
        <w:t xml:space="preserve">igrants are inclined to accept wages that, albeit lower than the host country's average, still exceed the compensation they would have received in their home country. This introduces wage pressure for native workers, who may find it challenging to preserve their living standards, </w:t>
      </w:r>
      <w:r w:rsidR="00262151" w:rsidRPr="00AE3281">
        <w:rPr>
          <w:rFonts w:eastAsia="Times New Roman" w:cs="Times New Roman"/>
          <w:color w:val="000000" w:themeColor="text1"/>
          <w:szCs w:val="24"/>
        </w:rPr>
        <w:t>perhaps</w:t>
      </w:r>
      <w:r w:rsidRPr="00AE3281">
        <w:rPr>
          <w:rFonts w:eastAsia="Times New Roman" w:cs="Times New Roman"/>
          <w:color w:val="000000" w:themeColor="text1"/>
          <w:szCs w:val="24"/>
        </w:rPr>
        <w:t xml:space="preserve"> fostering resentment towards the migrant population.</w:t>
      </w:r>
    </w:p>
    <w:p w14:paraId="5BD87432" w14:textId="77777777" w:rsidR="00585DE0" w:rsidRPr="00AE3281" w:rsidRDefault="00585DE0" w:rsidP="000F15C8">
      <w:pPr>
        <w:spacing w:after="0"/>
        <w:jc w:val="both"/>
        <w:rPr>
          <w:rFonts w:eastAsia="Times New Roman" w:cs="Times New Roman"/>
          <w:color w:val="000000" w:themeColor="text1"/>
          <w:szCs w:val="24"/>
        </w:rPr>
      </w:pPr>
    </w:p>
    <w:p w14:paraId="38969196" w14:textId="4D18FEC8" w:rsidR="00BB0EAE" w:rsidRPr="00AE3281" w:rsidRDefault="2F4F7630" w:rsidP="00262151">
      <w:pPr>
        <w:spacing w:after="0"/>
        <w:jc w:val="both"/>
        <w:rPr>
          <w:rFonts w:eastAsia="Times New Roman" w:cs="Times New Roman"/>
          <w:color w:val="000000" w:themeColor="text1"/>
          <w:szCs w:val="24"/>
        </w:rPr>
      </w:pPr>
      <w:r w:rsidRPr="00AE3281">
        <w:rPr>
          <w:rFonts w:eastAsia="Times New Roman" w:cs="Times New Roman"/>
          <w:color w:val="000000" w:themeColor="text1"/>
          <w:szCs w:val="24"/>
        </w:rPr>
        <w:t xml:space="preserve">The economic implications of migration have been rigorously examined in scholarly discourse, with a focus on its influence on employment opportunities and wage structures for both the migrant population and the workforce in the host nation (Dorn and </w:t>
      </w:r>
      <w:proofErr w:type="spellStart"/>
      <w:r w:rsidRPr="00AE3281">
        <w:rPr>
          <w:rFonts w:eastAsia="Times New Roman" w:cs="Times New Roman"/>
          <w:color w:val="000000" w:themeColor="text1"/>
          <w:szCs w:val="24"/>
        </w:rPr>
        <w:t>Zweimüller</w:t>
      </w:r>
      <w:proofErr w:type="spellEnd"/>
      <w:r w:rsidRPr="00AE3281">
        <w:rPr>
          <w:rFonts w:eastAsia="Times New Roman" w:cs="Times New Roman"/>
          <w:color w:val="000000" w:themeColor="text1"/>
          <w:szCs w:val="24"/>
        </w:rPr>
        <w:t>, 2021).</w:t>
      </w:r>
      <w:r w:rsidR="009325C4" w:rsidRPr="00AE3281">
        <w:rPr>
          <w:rFonts w:eastAsia="Times New Roman" w:cs="Times New Roman"/>
          <w:color w:val="000000" w:themeColor="text1"/>
          <w:szCs w:val="24"/>
        </w:rPr>
        <w:t xml:space="preserve"> </w:t>
      </w:r>
      <w:r w:rsidR="003378DD" w:rsidRPr="00AE3281">
        <w:rPr>
          <w:rFonts w:eastAsia="Times New Roman" w:cs="Times New Roman"/>
          <w:color w:val="000000" w:themeColor="text1"/>
          <w:szCs w:val="24"/>
        </w:rPr>
        <w:t>Overall, however, most studies have found either small or no effects.</w:t>
      </w:r>
      <w:r w:rsidR="00262151" w:rsidRPr="00AE3281">
        <w:rPr>
          <w:rFonts w:eastAsia="Times New Roman" w:cs="Times New Roman"/>
          <w:color w:val="000000" w:themeColor="text1"/>
          <w:szCs w:val="24"/>
        </w:rPr>
        <w:t xml:space="preserve"> </w:t>
      </w:r>
      <w:r w:rsidR="1E53A877" w:rsidRPr="00AE3281">
        <w:rPr>
          <w:rFonts w:eastAsia="Times New Roman" w:cs="Times New Roman"/>
          <w:szCs w:val="24"/>
        </w:rPr>
        <w:t xml:space="preserve">Specifically for the UK, </w:t>
      </w:r>
      <w:proofErr w:type="spellStart"/>
      <w:r w:rsidR="00BB0EAE" w:rsidRPr="00AE3281">
        <w:rPr>
          <w:rFonts w:eastAsia="Times New Roman" w:cs="Times New Roman"/>
          <w:color w:val="000000" w:themeColor="text1"/>
          <w:szCs w:val="24"/>
        </w:rPr>
        <w:t>Manacorda</w:t>
      </w:r>
      <w:proofErr w:type="spellEnd"/>
      <w:r w:rsidR="00BB0EAE" w:rsidRPr="00AE3281">
        <w:rPr>
          <w:rFonts w:eastAsia="Times New Roman" w:cs="Times New Roman"/>
          <w:color w:val="000000" w:themeColor="text1"/>
          <w:szCs w:val="24"/>
        </w:rPr>
        <w:t xml:space="preserve"> et al. (2012) conclude that the more recent immigration has the biggest negative effect on the wages of previous immigrants and </w:t>
      </w:r>
      <w:r w:rsidR="00D36961" w:rsidRPr="00AE3281">
        <w:rPr>
          <w:rFonts w:eastAsia="Times New Roman" w:cs="Times New Roman"/>
          <w:color w:val="000000" w:themeColor="text1"/>
          <w:szCs w:val="24"/>
        </w:rPr>
        <w:t>of</w:t>
      </w:r>
      <w:r w:rsidR="00BB0EAE" w:rsidRPr="00AE3281">
        <w:rPr>
          <w:rFonts w:eastAsia="Times New Roman" w:cs="Times New Roman"/>
          <w:color w:val="000000" w:themeColor="text1"/>
          <w:szCs w:val="24"/>
        </w:rPr>
        <w:t xml:space="preserve"> university</w:t>
      </w:r>
      <w:r w:rsidR="00262151" w:rsidRPr="00AE3281">
        <w:rPr>
          <w:rFonts w:eastAsia="Times New Roman" w:cs="Times New Roman"/>
          <w:color w:val="000000" w:themeColor="text1"/>
          <w:szCs w:val="24"/>
        </w:rPr>
        <w:t>-</w:t>
      </w:r>
      <w:r w:rsidR="00BB0EAE" w:rsidRPr="00AE3281">
        <w:rPr>
          <w:rFonts w:eastAsia="Times New Roman" w:cs="Times New Roman"/>
          <w:color w:val="000000" w:themeColor="text1"/>
          <w:szCs w:val="24"/>
        </w:rPr>
        <w:t>educated immigrants</w:t>
      </w:r>
      <w:r w:rsidR="00B57BE5" w:rsidRPr="00AE3281">
        <w:rPr>
          <w:rFonts w:eastAsia="Times New Roman" w:cs="Times New Roman"/>
          <w:color w:val="000000" w:themeColor="text1"/>
          <w:szCs w:val="24"/>
        </w:rPr>
        <w:t>,</w:t>
      </w:r>
      <w:r w:rsidR="00BB0EAE" w:rsidRPr="00AE3281">
        <w:rPr>
          <w:rFonts w:eastAsia="Times New Roman" w:cs="Times New Roman"/>
          <w:color w:val="000000" w:themeColor="text1"/>
          <w:szCs w:val="24"/>
        </w:rPr>
        <w:t xml:space="preserve"> with little impact on the wages of the native-born</w:t>
      </w:r>
      <w:r w:rsidR="001C686A" w:rsidRPr="00AE3281">
        <w:rPr>
          <w:rFonts w:eastAsia="Times New Roman" w:cs="Times New Roman"/>
          <w:color w:val="000000" w:themeColor="text1"/>
          <w:szCs w:val="24"/>
        </w:rPr>
        <w:t>.</w:t>
      </w:r>
    </w:p>
    <w:p w14:paraId="35D9A39B" w14:textId="77777777" w:rsidR="00585DE0" w:rsidRPr="00AE3281" w:rsidRDefault="00585DE0" w:rsidP="005B3738">
      <w:pPr>
        <w:spacing w:after="0" w:line="257" w:lineRule="auto"/>
        <w:jc w:val="both"/>
        <w:rPr>
          <w:rFonts w:eastAsia="Times New Roman" w:cs="Times New Roman"/>
          <w:color w:val="000000" w:themeColor="text1"/>
          <w:szCs w:val="24"/>
        </w:rPr>
      </w:pPr>
    </w:p>
    <w:p w14:paraId="72C81C1F" w14:textId="3C70D7EB" w:rsidR="2F4F7630" w:rsidRPr="00AE3281" w:rsidRDefault="1D478A11" w:rsidP="005B3738">
      <w:pPr>
        <w:spacing w:after="0"/>
        <w:jc w:val="both"/>
        <w:rPr>
          <w:rFonts w:eastAsia="Times New Roman" w:cs="Times New Roman"/>
          <w:color w:val="000000" w:themeColor="text1"/>
        </w:rPr>
      </w:pPr>
      <w:proofErr w:type="spellStart"/>
      <w:r w:rsidRPr="00AE3281">
        <w:rPr>
          <w:rFonts w:eastAsia="Times New Roman" w:cs="Times New Roman"/>
          <w:color w:val="000000" w:themeColor="text1"/>
        </w:rPr>
        <w:t>Dustmann</w:t>
      </w:r>
      <w:proofErr w:type="spellEnd"/>
      <w:r w:rsidRPr="00AE3281">
        <w:rPr>
          <w:rFonts w:eastAsia="Times New Roman" w:cs="Times New Roman"/>
          <w:color w:val="000000" w:themeColor="text1"/>
        </w:rPr>
        <w:t xml:space="preserve"> et al. (2005) </w:t>
      </w:r>
      <w:r w:rsidRPr="00AE3281">
        <w:rPr>
          <w:rFonts w:eastAsia="Times New Roman" w:cs="Times New Roman"/>
        </w:rPr>
        <w:t>u</w:t>
      </w:r>
      <w:r w:rsidRPr="00AE3281">
        <w:rPr>
          <w:rFonts w:eastAsia="Times New Roman" w:cs="Times New Roman"/>
          <w:color w:val="000000" w:themeColor="text1"/>
        </w:rPr>
        <w:t xml:space="preserve">sed data from the Labour Force Survey (1983-2000) to investigate how immigration affects labour market outcomes of native-born workers in Britain. The overall skill distribution of immigrants was remarkably </w:t>
      </w:r>
      <w:proofErr w:type="gramStart"/>
      <w:r w:rsidRPr="00AE3281">
        <w:rPr>
          <w:rFonts w:eastAsia="Times New Roman" w:cs="Times New Roman"/>
          <w:color w:val="000000" w:themeColor="text1"/>
        </w:rPr>
        <w:t>similar to</w:t>
      </w:r>
      <w:proofErr w:type="gramEnd"/>
      <w:r w:rsidRPr="00AE3281">
        <w:rPr>
          <w:rFonts w:eastAsia="Times New Roman" w:cs="Times New Roman"/>
          <w:color w:val="000000" w:themeColor="text1"/>
        </w:rPr>
        <w:t xml:space="preserve"> that of the natives, and they could not find strong evidence that immigration had overall effects on aggregate employment, participation, unemployment </w:t>
      </w:r>
      <w:r w:rsidR="00262151" w:rsidRPr="00AE3281">
        <w:rPr>
          <w:rFonts w:eastAsia="Times New Roman" w:cs="Times New Roman"/>
          <w:color w:val="000000" w:themeColor="text1"/>
        </w:rPr>
        <w:t>or</w:t>
      </w:r>
      <w:r w:rsidRPr="00AE3281">
        <w:rPr>
          <w:rFonts w:eastAsia="Times New Roman" w:cs="Times New Roman"/>
          <w:color w:val="000000" w:themeColor="text1"/>
        </w:rPr>
        <w:t xml:space="preserve"> wages. An update carried out in 2018 by the Migration Advisory Committee (MAC) confirms that, overall, there is no evidence that EEA migration has reduced employment opportunities for the UK-born on average. There is some evidence that any impact of immigration is usually concentrated among certain groups. Specifically, a negative effect for those with lower education and a positive effect for those with higher levels of education are found, suggesting that migration </w:t>
      </w:r>
      <w:r w:rsidRPr="00AE3281">
        <w:rPr>
          <w:rFonts w:eastAsia="Times New Roman" w:cs="Times New Roman"/>
          <w:i/>
          <w:iCs/>
          <w:color w:val="000000" w:themeColor="text1"/>
        </w:rPr>
        <w:t>could</w:t>
      </w:r>
      <w:r w:rsidRPr="00AE3281">
        <w:rPr>
          <w:rFonts w:eastAsia="Times New Roman" w:cs="Times New Roman"/>
          <w:color w:val="000000" w:themeColor="text1"/>
        </w:rPr>
        <w:t xml:space="preserve"> reduce employment of some groups, </w:t>
      </w:r>
      <w:r w:rsidR="00B57BE5" w:rsidRPr="00AE3281">
        <w:rPr>
          <w:rFonts w:eastAsia="Times New Roman" w:cs="Times New Roman"/>
          <w:color w:val="000000" w:themeColor="text1"/>
        </w:rPr>
        <w:t>specifically</w:t>
      </w:r>
      <w:r w:rsidRPr="00AE3281">
        <w:rPr>
          <w:rFonts w:eastAsia="Times New Roman" w:cs="Times New Roman"/>
          <w:color w:val="000000" w:themeColor="text1"/>
        </w:rPr>
        <w:t xml:space="preserve"> the young and less well-educated. </w:t>
      </w:r>
    </w:p>
    <w:p w14:paraId="44FB488A" w14:textId="77777777" w:rsidR="009325C4" w:rsidRPr="00AE3281" w:rsidRDefault="009325C4" w:rsidP="005B3738">
      <w:pPr>
        <w:spacing w:after="0"/>
        <w:jc w:val="both"/>
        <w:rPr>
          <w:rFonts w:eastAsia="Times New Roman" w:cs="Times New Roman"/>
          <w:szCs w:val="24"/>
        </w:rPr>
      </w:pPr>
    </w:p>
    <w:p w14:paraId="7898CD7D" w14:textId="67CF01ED" w:rsidR="00BB0EAE" w:rsidRPr="00AE3281" w:rsidRDefault="1D478A11" w:rsidP="005B3738">
      <w:pPr>
        <w:jc w:val="both"/>
        <w:rPr>
          <w:rFonts w:eastAsia="Times New Roman" w:cs="Times New Roman"/>
          <w:color w:val="000000" w:themeColor="text1"/>
        </w:rPr>
      </w:pPr>
      <w:r w:rsidRPr="00AE3281">
        <w:rPr>
          <w:rFonts w:eastAsia="Times New Roman" w:cs="Times New Roman"/>
          <w:color w:val="000000" w:themeColor="text1"/>
        </w:rPr>
        <w:t>The importance of distinguishing between the effect of immigration on the average wage of all workers in the economy and on the wages of different groups of workers along the wage distribution (</w:t>
      </w:r>
      <w:r w:rsidR="000D440A" w:rsidRPr="00AE3281">
        <w:rPr>
          <w:rFonts w:eastAsia="Times New Roman" w:cs="Times New Roman"/>
          <w:color w:val="000000" w:themeColor="text1"/>
        </w:rPr>
        <w:t>e.g.,</w:t>
      </w:r>
      <w:r w:rsidRPr="00AE3281">
        <w:rPr>
          <w:rFonts w:eastAsia="Times New Roman" w:cs="Times New Roman"/>
          <w:color w:val="000000" w:themeColor="text1"/>
        </w:rPr>
        <w:t xml:space="preserve"> low, </w:t>
      </w:r>
      <w:proofErr w:type="gramStart"/>
      <w:r w:rsidRPr="00AE3281">
        <w:rPr>
          <w:rFonts w:eastAsia="Times New Roman" w:cs="Times New Roman"/>
          <w:color w:val="000000" w:themeColor="text1"/>
        </w:rPr>
        <w:t>medium</w:t>
      </w:r>
      <w:proofErr w:type="gramEnd"/>
      <w:r w:rsidRPr="00AE3281">
        <w:rPr>
          <w:rFonts w:eastAsia="Times New Roman" w:cs="Times New Roman"/>
          <w:color w:val="000000" w:themeColor="text1"/>
        </w:rPr>
        <w:t xml:space="preserve"> and high-paid workers) is now well established (Vargas-Silva and Sumption, 2023). The existing empirical analyses tend to agree that immigration exerts a downward pressure on wages below the 20th percentile. However, it also contributes positively to wage growth above the 40th percentile (</w:t>
      </w:r>
      <w:proofErr w:type="spellStart"/>
      <w:r w:rsidRPr="00AE3281">
        <w:rPr>
          <w:rFonts w:eastAsia="Times New Roman" w:cs="Times New Roman"/>
          <w:color w:val="000000" w:themeColor="text1"/>
        </w:rPr>
        <w:t>Dustmann</w:t>
      </w:r>
      <w:proofErr w:type="spellEnd"/>
      <w:r w:rsidRPr="00AE3281">
        <w:rPr>
          <w:rFonts w:eastAsia="Times New Roman" w:cs="Times New Roman"/>
          <w:color w:val="000000" w:themeColor="text1"/>
        </w:rPr>
        <w:t xml:space="preserve"> et al., 2013). In a more recent contribution, Nickell and </w:t>
      </w:r>
      <w:proofErr w:type="spellStart"/>
      <w:r w:rsidRPr="00AE3281">
        <w:rPr>
          <w:rFonts w:eastAsia="Times New Roman" w:cs="Times New Roman"/>
          <w:color w:val="000000" w:themeColor="text1"/>
        </w:rPr>
        <w:t>Saleheen</w:t>
      </w:r>
      <w:proofErr w:type="spellEnd"/>
      <w:r w:rsidRPr="00AE3281">
        <w:rPr>
          <w:rFonts w:eastAsia="Times New Roman" w:cs="Times New Roman"/>
          <w:color w:val="000000" w:themeColor="text1"/>
        </w:rPr>
        <w:t xml:space="preserve"> (2015) break down their analysis into different occupational groups showing that the pattern of </w:t>
      </w:r>
      <w:r w:rsidRPr="00AE3281">
        <w:rPr>
          <w:rFonts w:eastAsiaTheme="minorEastAsia" w:cs="Times New Roman"/>
          <w:color w:val="000000" w:themeColor="text1"/>
          <w:szCs w:val="24"/>
        </w:rPr>
        <w:t xml:space="preserve">immigration across occupations has changed dramatically in the past two decades. </w:t>
      </w:r>
    </w:p>
    <w:p w14:paraId="38C32CCD" w14:textId="32D584ED" w:rsidR="1D478A11" w:rsidRPr="00AE3281" w:rsidRDefault="3584DFF8" w:rsidP="005B3738">
      <w:pPr>
        <w:jc w:val="both"/>
        <w:rPr>
          <w:rFonts w:cs="Times New Roman"/>
        </w:rPr>
      </w:pPr>
      <w:r w:rsidRPr="00AE3281">
        <w:rPr>
          <w:rFonts w:cs="Times New Roman"/>
        </w:rPr>
        <w:lastRenderedPageBreak/>
        <w:t xml:space="preserve">In the UK in more recent years, the pattern of immigration across occupations tends to be higher in </w:t>
      </w:r>
      <w:r w:rsidR="00A577FD" w:rsidRPr="00AE3281">
        <w:rPr>
          <w:rFonts w:cs="Times New Roman"/>
        </w:rPr>
        <w:t>lower-skilled</w:t>
      </w:r>
      <w:r w:rsidRPr="00AE3281">
        <w:rPr>
          <w:rFonts w:cs="Times New Roman"/>
        </w:rPr>
        <w:t xml:space="preserve"> jobs, particularly from EU countries</w:t>
      </w:r>
      <w:r w:rsidR="00B57BE5" w:rsidRPr="00AE3281">
        <w:rPr>
          <w:rFonts w:cs="Times New Roman"/>
        </w:rPr>
        <w:t xml:space="preserve"> </w:t>
      </w:r>
      <w:r w:rsidRPr="00AE3281">
        <w:rPr>
          <w:rFonts w:cs="Times New Roman"/>
        </w:rPr>
        <w:t xml:space="preserve">(ONS, 2023). This outcome is possibly driven by the EU enlargement, </w:t>
      </w:r>
      <w:proofErr w:type="gramStart"/>
      <w:r w:rsidRPr="00AE3281">
        <w:rPr>
          <w:rFonts w:cs="Times New Roman"/>
        </w:rPr>
        <w:t>as a result of</w:t>
      </w:r>
      <w:proofErr w:type="gramEnd"/>
      <w:r w:rsidRPr="00AE3281">
        <w:rPr>
          <w:rFonts w:cs="Times New Roman"/>
        </w:rPr>
        <w:t xml:space="preserve"> which there was increased labour mobility, with many individuals from newly admitted EU countries seeking employment opportunities in the UK which opened access to its labour markets immediately following the 2004 enlargement (</w:t>
      </w:r>
      <w:proofErr w:type="spellStart"/>
      <w:r w:rsidRPr="00AE3281">
        <w:rPr>
          <w:rFonts w:cs="Times New Roman"/>
        </w:rPr>
        <w:t>Kahanec</w:t>
      </w:r>
      <w:proofErr w:type="spellEnd"/>
      <w:r w:rsidRPr="00AE3281">
        <w:rPr>
          <w:rFonts w:cs="Times New Roman"/>
        </w:rPr>
        <w:t xml:space="preserve"> et al., 2009). </w:t>
      </w:r>
    </w:p>
    <w:p w14:paraId="7D913707" w14:textId="708B12CA" w:rsidR="1D478A11" w:rsidRPr="00AE3281" w:rsidRDefault="3584DFF8" w:rsidP="005B3738">
      <w:pPr>
        <w:jc w:val="both"/>
        <w:rPr>
          <w:rFonts w:cs="Times New Roman"/>
          <w:b/>
          <w:bCs/>
        </w:rPr>
      </w:pPr>
      <w:r w:rsidRPr="00AE3281">
        <w:rPr>
          <w:rFonts w:cs="Times New Roman"/>
        </w:rPr>
        <w:t>These individuals from the A8 (Eastern European countries that joined the EU in 2004) and A2 (Romania and Bulgaria) often found employment in sectors characterized by lower-skilled jobs, such as agriculture, building services, hospitality, and healthcare, where labour demand is consistently high and lower-skilled jobs are often more accessible to those with limited language proficiency and educational qualifications, making them attractive to newly arrived immigrants. Secondly, the flexible labour market policies in the UK made it relatively easier for individuals from EU countries to secure employment in these sectors.</w:t>
      </w:r>
    </w:p>
    <w:p w14:paraId="36087C54" w14:textId="77777777" w:rsidR="008B6D0B" w:rsidRPr="00AE3281" w:rsidRDefault="008B6D0B" w:rsidP="005B3738">
      <w:pPr>
        <w:jc w:val="both"/>
        <w:rPr>
          <w:rFonts w:cs="Times New Roman"/>
          <w:b/>
          <w:bCs/>
          <w:i/>
          <w:iCs/>
          <w:szCs w:val="24"/>
        </w:rPr>
      </w:pPr>
    </w:p>
    <w:p w14:paraId="6138C4BE" w14:textId="1C77DE2F" w:rsidR="008B6D0B" w:rsidRPr="00AE3281" w:rsidRDefault="008B6D0B" w:rsidP="005B3738">
      <w:pPr>
        <w:jc w:val="both"/>
        <w:rPr>
          <w:rFonts w:cs="Times New Roman"/>
          <w:szCs w:val="24"/>
        </w:rPr>
      </w:pPr>
      <w:r w:rsidRPr="00AE3281">
        <w:rPr>
          <w:rFonts w:cs="Times New Roman"/>
          <w:b/>
          <w:bCs/>
          <w:i/>
          <w:iCs/>
          <w:szCs w:val="24"/>
        </w:rPr>
        <w:t>The</w:t>
      </w:r>
      <w:r w:rsidR="00E857AA" w:rsidRPr="00AE3281">
        <w:rPr>
          <w:rFonts w:cs="Times New Roman"/>
          <w:b/>
          <w:bCs/>
          <w:i/>
          <w:iCs/>
          <w:szCs w:val="24"/>
        </w:rPr>
        <w:t xml:space="preserve"> UK/EU</w:t>
      </w:r>
      <w:r w:rsidRPr="00AE3281">
        <w:rPr>
          <w:rFonts w:cs="Times New Roman"/>
          <w:b/>
          <w:bCs/>
          <w:i/>
          <w:iCs/>
          <w:szCs w:val="24"/>
        </w:rPr>
        <w:t xml:space="preserve"> legal framework</w:t>
      </w:r>
    </w:p>
    <w:p w14:paraId="2882C3DB" w14:textId="495442C7" w:rsidR="0003679E" w:rsidRPr="00AE3281" w:rsidRDefault="008B6D0B" w:rsidP="005B3738">
      <w:pPr>
        <w:spacing w:after="0"/>
        <w:jc w:val="both"/>
        <w:rPr>
          <w:rFonts w:cs="Times New Roman"/>
          <w:szCs w:val="24"/>
        </w:rPr>
      </w:pPr>
      <w:r w:rsidRPr="00AE3281">
        <w:rPr>
          <w:rFonts w:eastAsia="Times New Roman" w:cs="Times New Roman"/>
          <w:szCs w:val="24"/>
        </w:rPr>
        <w:t xml:space="preserve">The end of the transition period </w:t>
      </w:r>
      <w:r w:rsidR="00D05531" w:rsidRPr="00AE3281">
        <w:rPr>
          <w:rFonts w:eastAsia="Times New Roman" w:cs="Times New Roman"/>
          <w:szCs w:val="24"/>
        </w:rPr>
        <w:t xml:space="preserve">removed </w:t>
      </w:r>
      <w:r w:rsidRPr="00AE3281">
        <w:rPr>
          <w:rFonts w:eastAsia="Times New Roman" w:cs="Times New Roman"/>
          <w:szCs w:val="24"/>
        </w:rPr>
        <w:t xml:space="preserve">free movement for EU citizens in the UK. </w:t>
      </w:r>
      <w:r w:rsidR="00D05531" w:rsidRPr="00AE3281">
        <w:rPr>
          <w:rFonts w:eastAsia="Times New Roman" w:cs="Times New Roman"/>
          <w:szCs w:val="24"/>
        </w:rPr>
        <w:t xml:space="preserve">From </w:t>
      </w:r>
      <w:r w:rsidRPr="00AE3281">
        <w:rPr>
          <w:rFonts w:cs="Times New Roman"/>
          <w:szCs w:val="24"/>
        </w:rPr>
        <w:t xml:space="preserve">January 2021, the points-based system operates uniformly for all prospective migrants. The </w:t>
      </w:r>
      <w:r w:rsidR="00D05531" w:rsidRPr="00AE3281">
        <w:rPr>
          <w:rFonts w:cs="Times New Roman"/>
          <w:szCs w:val="24"/>
        </w:rPr>
        <w:t xml:space="preserve">new </w:t>
      </w:r>
      <w:r w:rsidRPr="00AE3281">
        <w:rPr>
          <w:rFonts w:cs="Times New Roman"/>
          <w:szCs w:val="24"/>
        </w:rPr>
        <w:t>system has introduced a more structured and standardized approach to immigration</w:t>
      </w:r>
      <w:r w:rsidR="00DF7114" w:rsidRPr="00AE3281">
        <w:rPr>
          <w:rFonts w:cs="Times New Roman"/>
          <w:szCs w:val="24"/>
        </w:rPr>
        <w:t xml:space="preserve">, highlighting an ‘apparent return’ of the UK state ‘taking back control’ over its borders (Alberti and Cutter </w:t>
      </w:r>
      <w:r w:rsidR="003769BE" w:rsidRPr="00AE3281">
        <w:rPr>
          <w:rFonts w:cs="Times New Roman"/>
          <w:szCs w:val="24"/>
        </w:rPr>
        <w:t>(</w:t>
      </w:r>
      <w:r w:rsidR="00DF7114" w:rsidRPr="00AE3281">
        <w:rPr>
          <w:rFonts w:cs="Times New Roman"/>
          <w:szCs w:val="24"/>
        </w:rPr>
        <w:t>2022</w:t>
      </w:r>
      <w:r w:rsidR="003769BE" w:rsidRPr="00AE3281">
        <w:rPr>
          <w:rFonts w:cs="Times New Roman"/>
          <w:szCs w:val="24"/>
        </w:rPr>
        <w:t>), Sumption and Walsh (2023)</w:t>
      </w:r>
      <w:r w:rsidR="00DF7114" w:rsidRPr="00AE3281">
        <w:rPr>
          <w:rFonts w:cs="Times New Roman"/>
          <w:szCs w:val="24"/>
        </w:rPr>
        <w:t>). T</w:t>
      </w:r>
      <w:r w:rsidRPr="00AE3281">
        <w:rPr>
          <w:rFonts w:cs="Times New Roman"/>
          <w:szCs w:val="24"/>
        </w:rPr>
        <w:t xml:space="preserve">his new approach has led to certain limitations on the influx of lower-skilled and lower-paid workers from EU countries, while </w:t>
      </w:r>
      <w:r w:rsidR="004439FC" w:rsidRPr="00AE3281">
        <w:rPr>
          <w:rFonts w:cs="Times New Roman"/>
          <w:szCs w:val="24"/>
        </w:rPr>
        <w:t>opening</w:t>
      </w:r>
      <w:r w:rsidRPr="00AE3281">
        <w:rPr>
          <w:rFonts w:cs="Times New Roman"/>
          <w:szCs w:val="24"/>
        </w:rPr>
        <w:t xml:space="preserve"> opportunities for individuals from around the world</w:t>
      </w:r>
      <w:r w:rsidR="00A577FD" w:rsidRPr="00AE3281">
        <w:rPr>
          <w:rFonts w:cs="Times New Roman"/>
          <w:szCs w:val="24"/>
        </w:rPr>
        <w:t xml:space="preserve"> (</w:t>
      </w:r>
      <w:proofErr w:type="spellStart"/>
      <w:r w:rsidR="00A577FD" w:rsidRPr="00AE3281">
        <w:rPr>
          <w:rFonts w:cs="Times New Roman"/>
          <w:szCs w:val="24"/>
        </w:rPr>
        <w:t>Portes</w:t>
      </w:r>
      <w:proofErr w:type="spellEnd"/>
      <w:r w:rsidR="00A577FD" w:rsidRPr="00AE3281">
        <w:rPr>
          <w:rFonts w:cs="Times New Roman"/>
          <w:szCs w:val="24"/>
        </w:rPr>
        <w:t xml:space="preserve"> and </w:t>
      </w:r>
      <w:proofErr w:type="spellStart"/>
      <w:r w:rsidR="00A577FD" w:rsidRPr="00AE3281">
        <w:rPr>
          <w:rFonts w:cs="Times New Roman"/>
          <w:szCs w:val="24"/>
        </w:rPr>
        <w:t>Springford</w:t>
      </w:r>
      <w:proofErr w:type="spellEnd"/>
      <w:r w:rsidR="00A577FD" w:rsidRPr="00AE3281">
        <w:rPr>
          <w:rFonts w:cs="Times New Roman"/>
          <w:szCs w:val="24"/>
        </w:rPr>
        <w:t>, 2023)</w:t>
      </w:r>
      <w:r w:rsidRPr="00AE3281">
        <w:rPr>
          <w:rFonts w:cs="Times New Roman"/>
          <w:szCs w:val="24"/>
        </w:rPr>
        <w:t>.</w:t>
      </w:r>
      <w:r w:rsidR="00DF7114" w:rsidRPr="00AE3281">
        <w:rPr>
          <w:rFonts w:cs="Times New Roman"/>
          <w:szCs w:val="24"/>
        </w:rPr>
        <w:t xml:space="preserve"> </w:t>
      </w:r>
      <w:r w:rsidRPr="00AE3281">
        <w:rPr>
          <w:rFonts w:cs="Times New Roman"/>
          <w:szCs w:val="24"/>
        </w:rPr>
        <w:t xml:space="preserve">As the restrictions on lower-skilled and lower-paid workers from the EU have had an impact on this labour flow, the new system has been providing new opportunities for </w:t>
      </w:r>
      <w:r w:rsidR="00DF7114" w:rsidRPr="00AE3281">
        <w:rPr>
          <w:rFonts w:cs="Times New Roman"/>
          <w:szCs w:val="24"/>
        </w:rPr>
        <w:t>international migrants</w:t>
      </w:r>
      <w:r w:rsidRPr="00AE3281">
        <w:rPr>
          <w:rFonts w:cs="Times New Roman"/>
          <w:szCs w:val="24"/>
        </w:rPr>
        <w:t xml:space="preserve">. </w:t>
      </w:r>
    </w:p>
    <w:p w14:paraId="0A066283" w14:textId="77777777" w:rsidR="00D05531" w:rsidRPr="00AE3281" w:rsidRDefault="00D05531" w:rsidP="005B3738">
      <w:pPr>
        <w:spacing w:after="0"/>
        <w:jc w:val="both"/>
        <w:rPr>
          <w:rFonts w:cs="Times New Roman"/>
          <w:szCs w:val="24"/>
        </w:rPr>
      </w:pPr>
    </w:p>
    <w:p w14:paraId="517F7A21" w14:textId="367AC0D9" w:rsidR="00C17135" w:rsidRPr="00AE3281" w:rsidRDefault="3584DFF8" w:rsidP="005B3738">
      <w:pPr>
        <w:jc w:val="both"/>
        <w:rPr>
          <w:rFonts w:cs="Times New Roman"/>
        </w:rPr>
      </w:pPr>
      <w:r w:rsidRPr="00AE3281">
        <w:rPr>
          <w:rFonts w:cs="Times New Roman"/>
        </w:rPr>
        <w:t xml:space="preserve">It is worth noting that the points-based system continues to evolve and adapt based on ongoing assessments of labour market needs </w:t>
      </w:r>
      <w:proofErr w:type="gramStart"/>
      <w:r w:rsidRPr="00AE3281">
        <w:rPr>
          <w:rFonts w:cs="Times New Roman"/>
        </w:rPr>
        <w:t>in order to</w:t>
      </w:r>
      <w:proofErr w:type="gramEnd"/>
      <w:r w:rsidRPr="00AE3281">
        <w:rPr>
          <w:rFonts w:cs="Times New Roman"/>
        </w:rPr>
        <w:t xml:space="preserve"> ensure that the immigration policies remain responsive to the ever-changing demands of the UK economy and allow talented people from all corners of the world to contribute to the nation's prosperity</w:t>
      </w:r>
      <w:r w:rsidR="002206E3" w:rsidRPr="00AE3281">
        <w:rPr>
          <w:rFonts w:cs="Times New Roman"/>
        </w:rPr>
        <w:t xml:space="preserve"> (Walsh, 2021)</w:t>
      </w:r>
      <w:r w:rsidRPr="00AE3281">
        <w:rPr>
          <w:rFonts w:cs="Times New Roman"/>
        </w:rPr>
        <w:t>.</w:t>
      </w:r>
    </w:p>
    <w:p w14:paraId="1E450739" w14:textId="5932C6A2" w:rsidR="00E23729" w:rsidRPr="00AE3281" w:rsidRDefault="00E23729" w:rsidP="005B3738">
      <w:pPr>
        <w:jc w:val="both"/>
        <w:rPr>
          <w:rFonts w:cs="Times New Roman"/>
        </w:rPr>
      </w:pPr>
    </w:p>
    <w:p w14:paraId="3CF3257E" w14:textId="77777777" w:rsidR="00E23729" w:rsidRPr="00AE3281" w:rsidRDefault="00E23729" w:rsidP="00D03DA4">
      <w:pPr>
        <w:keepNext/>
        <w:jc w:val="both"/>
        <w:rPr>
          <w:rFonts w:cs="Times New Roman"/>
          <w:b/>
          <w:bCs/>
          <w:i/>
          <w:iCs/>
          <w:szCs w:val="24"/>
        </w:rPr>
      </w:pPr>
      <w:r w:rsidRPr="00AE3281">
        <w:rPr>
          <w:rFonts w:cs="Times New Roman"/>
          <w:b/>
          <w:bCs/>
          <w:i/>
          <w:iCs/>
          <w:szCs w:val="24"/>
        </w:rPr>
        <w:t>Brexit, EU migration and legal rights</w:t>
      </w:r>
    </w:p>
    <w:p w14:paraId="56F23A9F" w14:textId="4459490F" w:rsidR="00E23729" w:rsidRPr="00AE3281" w:rsidRDefault="00A0462C" w:rsidP="00D03DA4">
      <w:pPr>
        <w:keepNext/>
        <w:jc w:val="both"/>
        <w:rPr>
          <w:rFonts w:cs="Times New Roman"/>
          <w:szCs w:val="24"/>
        </w:rPr>
      </w:pPr>
      <w:r w:rsidRPr="00AE3281">
        <w:rPr>
          <w:rFonts w:cs="Times New Roman"/>
          <w:szCs w:val="24"/>
        </w:rPr>
        <w:t>Before</w:t>
      </w:r>
      <w:r w:rsidR="00E23729" w:rsidRPr="00AE3281">
        <w:rPr>
          <w:rFonts w:cs="Times New Roman"/>
          <w:szCs w:val="24"/>
        </w:rPr>
        <w:t xml:space="preserve"> Brexit, all EU citizens residing in the UK, along with their families, were afforded rights of free movement and residence, irrespective of their economic activity. The Brexit referendum’s outcome implied that these residential rights would henceforth only be protected for EU nationals and their families who had been residing in the UK before the cut-off date of 31st December 2020 and who intended to stay on thereafter. However, even these individuals were required to apply for the EU Settlement Scheme in the UK to be granted a new status for permanent residence.</w:t>
      </w:r>
    </w:p>
    <w:p w14:paraId="25BFDC86" w14:textId="68D8B18D" w:rsidR="00E23729" w:rsidRPr="00AE3281" w:rsidRDefault="00E23729" w:rsidP="00E23729">
      <w:pPr>
        <w:jc w:val="both"/>
        <w:rPr>
          <w:rFonts w:cs="Times New Roman"/>
          <w:szCs w:val="24"/>
        </w:rPr>
      </w:pPr>
      <w:r w:rsidRPr="00AE3281">
        <w:rPr>
          <w:rFonts w:cs="Times New Roman"/>
          <w:szCs w:val="24"/>
        </w:rPr>
        <w:t xml:space="preserve">In the immediate aftermath of the referendum in 2016, many EU citizens were compelled to re-evaluate their plans, resulting in significant shifts in their mobility strategies and long-term aspirations (Benson et al., 2022). However, the legal rights and conditions for those EU citizens </w:t>
      </w:r>
      <w:r w:rsidRPr="00AE3281">
        <w:rPr>
          <w:rFonts w:cs="Times New Roman"/>
          <w:szCs w:val="24"/>
        </w:rPr>
        <w:lastRenderedPageBreak/>
        <w:t xml:space="preserve">living in the UK remained unchanged until the conclusion of the Brexit transition period on </w:t>
      </w:r>
      <w:r w:rsidR="004E3D60" w:rsidRPr="00AE3281">
        <w:rPr>
          <w:rFonts w:cs="Times New Roman"/>
          <w:szCs w:val="24"/>
        </w:rPr>
        <w:t>December 31, 2020</w:t>
      </w:r>
      <w:r w:rsidRPr="00AE3281">
        <w:rPr>
          <w:rFonts w:cs="Times New Roman"/>
          <w:szCs w:val="24"/>
        </w:rPr>
        <w:t xml:space="preserve">. It was </w:t>
      </w:r>
      <w:r w:rsidR="004E3D60" w:rsidRPr="00AE3281">
        <w:rPr>
          <w:rFonts w:cs="Times New Roman"/>
          <w:szCs w:val="24"/>
        </w:rPr>
        <w:t>the following day, January 1, 2021</w:t>
      </w:r>
      <w:r w:rsidR="00AE3281">
        <w:rPr>
          <w:rFonts w:cs="Times New Roman"/>
          <w:szCs w:val="24"/>
        </w:rPr>
        <w:t>,</w:t>
      </w:r>
      <w:r w:rsidRPr="00AE3281">
        <w:rPr>
          <w:rFonts w:cs="Times New Roman"/>
          <w:szCs w:val="24"/>
        </w:rPr>
        <w:t xml:space="preserve"> that new regulations were introduced</w:t>
      </w:r>
      <w:r w:rsidR="00385534" w:rsidRPr="00AE3281">
        <w:rPr>
          <w:rFonts w:cs="Times New Roman"/>
          <w:szCs w:val="24"/>
        </w:rPr>
        <w:t xml:space="preserve"> (the </w:t>
      </w:r>
      <w:r w:rsidR="00AE3281" w:rsidRPr="00AE3281">
        <w:rPr>
          <w:rFonts w:cs="Times New Roman"/>
          <w:szCs w:val="24"/>
        </w:rPr>
        <w:t>above-mentioned</w:t>
      </w:r>
      <w:r w:rsidR="00385534" w:rsidRPr="00AE3281">
        <w:rPr>
          <w:rFonts w:cs="Times New Roman"/>
          <w:szCs w:val="24"/>
        </w:rPr>
        <w:t xml:space="preserve"> points-based system)</w:t>
      </w:r>
      <w:r w:rsidRPr="00AE3281">
        <w:rPr>
          <w:rFonts w:cs="Times New Roman"/>
          <w:szCs w:val="24"/>
        </w:rPr>
        <w:t xml:space="preserve">, effectively differentiating between ‘settled’ EU citizens and ‘post-Brexit’ EU migrants. </w:t>
      </w:r>
    </w:p>
    <w:p w14:paraId="7D9B37DF" w14:textId="53DDE194" w:rsidR="00E23729" w:rsidRPr="00AE3281" w:rsidRDefault="00E23729" w:rsidP="00832949">
      <w:pPr>
        <w:jc w:val="both"/>
        <w:rPr>
          <w:rFonts w:cs="Times New Roman"/>
        </w:rPr>
      </w:pPr>
      <w:r w:rsidRPr="00AE3281">
        <w:rPr>
          <w:rFonts w:cs="Times New Roman"/>
          <w:szCs w:val="24"/>
        </w:rPr>
        <w:t>In the context of these significant changes, our research investigates the impact of changes</w:t>
      </w:r>
      <w:r w:rsidR="00F767A8" w:rsidRPr="00AE3281">
        <w:rPr>
          <w:rFonts w:cs="Times New Roman"/>
          <w:szCs w:val="24"/>
        </w:rPr>
        <w:t>/alterations</w:t>
      </w:r>
      <w:r w:rsidRPr="00AE3281">
        <w:rPr>
          <w:rFonts w:cs="Times New Roman"/>
          <w:szCs w:val="24"/>
        </w:rPr>
        <w:t xml:space="preserve"> in the legal framework on EU citizens who are residents in the UK and active in its labour market. We make comparisons </w:t>
      </w:r>
      <w:r w:rsidR="00A0462C" w:rsidRPr="00AE3281">
        <w:rPr>
          <w:rFonts w:cs="Times New Roman"/>
          <w:szCs w:val="24"/>
        </w:rPr>
        <w:t xml:space="preserve">between UK </w:t>
      </w:r>
      <w:r w:rsidR="00D340B5" w:rsidRPr="00AE3281">
        <w:rPr>
          <w:rFonts w:cs="Times New Roman"/>
          <w:szCs w:val="24"/>
        </w:rPr>
        <w:t xml:space="preserve">and EU </w:t>
      </w:r>
      <w:r w:rsidR="00A0462C" w:rsidRPr="00AE3281">
        <w:rPr>
          <w:rFonts w:cs="Times New Roman"/>
          <w:szCs w:val="24"/>
        </w:rPr>
        <w:t>citizens, who saw a divergence of rights, from 2021.</w:t>
      </w:r>
      <w:r w:rsidRPr="00AE3281">
        <w:rPr>
          <w:rFonts w:cs="Times New Roman"/>
        </w:rPr>
        <w:t xml:space="preserve"> </w:t>
      </w:r>
    </w:p>
    <w:p w14:paraId="46BB6DDB" w14:textId="1C772FAF" w:rsidR="00E23729" w:rsidRPr="00AE3281" w:rsidRDefault="00E23729" w:rsidP="00E23729">
      <w:pPr>
        <w:jc w:val="both"/>
        <w:rPr>
          <w:rFonts w:cs="Times New Roman"/>
        </w:rPr>
      </w:pPr>
      <w:r w:rsidRPr="00AE3281">
        <w:rPr>
          <w:rFonts w:cs="Times New Roman"/>
        </w:rPr>
        <w:t>We further compare those from older EU member states (‘EU15’) against more recent additions (A8, A2</w:t>
      </w:r>
      <w:r w:rsidRPr="00AE3281">
        <w:rPr>
          <w:rStyle w:val="FootnoteReference"/>
          <w:rFonts w:cs="Times New Roman"/>
        </w:rPr>
        <w:footnoteReference w:id="4"/>
      </w:r>
      <w:r w:rsidRPr="00AE3281">
        <w:rPr>
          <w:rFonts w:cs="Times New Roman"/>
        </w:rPr>
        <w:t>). Our main statistical methodology is a Difference-in-Differences (</w:t>
      </w:r>
      <w:proofErr w:type="spellStart"/>
      <w:r w:rsidRPr="00AE3281">
        <w:rPr>
          <w:rFonts w:cs="Times New Roman"/>
        </w:rPr>
        <w:t>DiD</w:t>
      </w:r>
      <w:proofErr w:type="spellEnd"/>
      <w:r w:rsidRPr="00AE3281">
        <w:rPr>
          <w:rFonts w:cs="Times New Roman"/>
        </w:rPr>
        <w:t xml:space="preserve">) analysis. </w:t>
      </w:r>
      <w:proofErr w:type="spellStart"/>
      <w:r w:rsidRPr="00AE3281">
        <w:rPr>
          <w:rFonts w:cs="Times New Roman"/>
        </w:rPr>
        <w:t>DiD</w:t>
      </w:r>
      <w:proofErr w:type="spellEnd"/>
      <w:r w:rsidRPr="00AE3281">
        <w:rPr>
          <w:rFonts w:cs="Times New Roman"/>
        </w:rPr>
        <w:t xml:space="preserve"> was recently affirmed as ‘one of the most popular methods in the social sciences for estimating causal effects in non-experimental settings’ (Roth et al. 2023: 2218). In our analysis, the treatment group consists of EU citizens in the UK and the control </w:t>
      </w:r>
      <w:r w:rsidR="00A0462C" w:rsidRPr="00AE3281">
        <w:rPr>
          <w:rFonts w:cs="Times New Roman"/>
        </w:rPr>
        <w:t xml:space="preserve">group </w:t>
      </w:r>
      <w:r w:rsidR="00AA2395" w:rsidRPr="00AE3281">
        <w:rPr>
          <w:rFonts w:cs="Times New Roman"/>
        </w:rPr>
        <w:t>is</w:t>
      </w:r>
      <w:r w:rsidRPr="00AE3281">
        <w:rPr>
          <w:rFonts w:cs="Times New Roman"/>
        </w:rPr>
        <w:t xml:space="preserve"> UK citizens. </w:t>
      </w:r>
    </w:p>
    <w:p w14:paraId="216B7E81" w14:textId="37C58196" w:rsidR="00F767A8" w:rsidRPr="00AE3281" w:rsidRDefault="006F62A6" w:rsidP="00D35059">
      <w:pPr>
        <w:jc w:val="both"/>
        <w:rPr>
          <w:rFonts w:cs="Times New Roman"/>
        </w:rPr>
      </w:pPr>
      <w:r w:rsidRPr="00AE3281">
        <w:rPr>
          <w:rFonts w:cs="Times New Roman"/>
        </w:rPr>
        <w:t xml:space="preserve">In contrast with Di </w:t>
      </w:r>
      <w:proofErr w:type="spellStart"/>
      <w:r w:rsidRPr="00AE3281">
        <w:rPr>
          <w:rFonts w:cs="Times New Roman"/>
        </w:rPr>
        <w:t>Iasio</w:t>
      </w:r>
      <w:proofErr w:type="spellEnd"/>
      <w:r w:rsidRPr="00AE3281">
        <w:rPr>
          <w:rFonts w:cs="Times New Roman"/>
        </w:rPr>
        <w:t xml:space="preserve"> and Wahba (2023) and Clifton-</w:t>
      </w:r>
      <w:proofErr w:type="spellStart"/>
      <w:r w:rsidRPr="00AE3281">
        <w:rPr>
          <w:rFonts w:cs="Times New Roman"/>
        </w:rPr>
        <w:t>Sprigg</w:t>
      </w:r>
      <w:proofErr w:type="spellEnd"/>
      <w:r w:rsidRPr="00AE3281">
        <w:rPr>
          <w:rFonts w:cs="Times New Roman"/>
        </w:rPr>
        <w:t xml:space="preserve"> et al. (2023) whose analyses were restricted to a few years before the Brexit referendum in 2016 and a few years after that, g</w:t>
      </w:r>
      <w:r w:rsidR="00E23729" w:rsidRPr="00AE3281">
        <w:rPr>
          <w:rFonts w:cs="Times New Roman"/>
        </w:rPr>
        <w:t xml:space="preserve">iven that the pivotal cut-off date is the 1st of January 2021, we consider the period before 31st December 2020 as the pre-treatment phase and the period after 1st January 2021 as the post-treatment phase. </w:t>
      </w:r>
    </w:p>
    <w:p w14:paraId="7F8879C6" w14:textId="36693F6F" w:rsidR="00E23729" w:rsidRPr="00AE3281" w:rsidRDefault="454E41B1" w:rsidP="00E23729">
      <w:pPr>
        <w:jc w:val="both"/>
        <w:rPr>
          <w:rFonts w:cs="Times New Roman"/>
        </w:rPr>
      </w:pPr>
      <w:r w:rsidRPr="454E41B1">
        <w:rPr>
          <w:rFonts w:cs="Times New Roman"/>
        </w:rPr>
        <w:t xml:space="preserve">With respect to our pre-treatment phase, we acknowledge that the period from 2016 to 2020 may indicate a kind of ‘adjustment phase’, during which we might still observe effects, as this period could have influenced people’s long-term plans and strategies. However, given the great uncertainty that followed the Brexit vote, and the time needed by people to adjust their plans and strategies, we expect the effects in this adjustment period to be softened. </w:t>
      </w:r>
      <w:proofErr w:type="gramStart"/>
      <w:r w:rsidRPr="454E41B1">
        <w:rPr>
          <w:rFonts w:cs="Times New Roman"/>
        </w:rPr>
        <w:t>In particular, we</w:t>
      </w:r>
      <w:proofErr w:type="gramEnd"/>
      <w:r w:rsidRPr="454E41B1">
        <w:rPr>
          <w:rFonts w:cs="Times New Roman"/>
        </w:rPr>
        <w:t xml:space="preserve"> acknowledge the impact of the COVID-19 pandemic that has led to a reconsideration of the risks and benefits of migrating, with effects controlled-for by time-specific dummy variables. </w:t>
      </w:r>
      <w:r w:rsidR="00E23729" w:rsidRPr="00AE3281">
        <w:rPr>
          <w:rFonts w:cs="Times New Roman"/>
        </w:rPr>
        <w:t>By extension, any effects found for EU migrants compared to the UK may be interpreted as effects on UK natives.</w:t>
      </w:r>
      <w:r w:rsidR="00A73526" w:rsidRPr="00AE3281">
        <w:rPr>
          <w:rFonts w:cs="Times New Roman"/>
        </w:rPr>
        <w:t xml:space="preserve"> We</w:t>
      </w:r>
      <w:r w:rsidR="00E23729" w:rsidRPr="00AE3281">
        <w:rPr>
          <w:rFonts w:cs="Times New Roman"/>
        </w:rPr>
        <w:t xml:space="preserve"> do not examine any effects on UK citizens living in the EU, where effects could be considerable and mirror the kinds of effects that we are studying in this paper</w:t>
      </w:r>
      <w:r w:rsidR="00AA2395" w:rsidRPr="00AE3281">
        <w:rPr>
          <w:rFonts w:cs="Times New Roman"/>
        </w:rPr>
        <w:t xml:space="preserve"> – perhaps an interesting area for others to explore.</w:t>
      </w:r>
    </w:p>
    <w:p w14:paraId="0BFB2626" w14:textId="1F7DE41F" w:rsidR="00B57BE5" w:rsidRPr="00AE3281" w:rsidRDefault="00B57BE5">
      <w:pPr>
        <w:rPr>
          <w:rFonts w:cs="Times New Roman"/>
        </w:rPr>
      </w:pPr>
      <w:r w:rsidRPr="00AE3281">
        <w:rPr>
          <w:rFonts w:cs="Times New Roman"/>
        </w:rPr>
        <w:br w:type="page"/>
      </w:r>
    </w:p>
    <w:p w14:paraId="6F27FC52" w14:textId="7DB82E4B" w:rsidR="00694FF5" w:rsidRPr="00AE3281" w:rsidRDefault="453EBFA6" w:rsidP="005B3738">
      <w:pPr>
        <w:jc w:val="both"/>
        <w:rPr>
          <w:rFonts w:cs="Times New Roman"/>
          <w:b/>
          <w:bCs/>
          <w:szCs w:val="24"/>
        </w:rPr>
      </w:pPr>
      <w:r w:rsidRPr="453EBFA6">
        <w:rPr>
          <w:rFonts w:cs="Times New Roman"/>
          <w:b/>
          <w:bCs/>
        </w:rPr>
        <w:lastRenderedPageBreak/>
        <w:t>METHODS</w:t>
      </w:r>
    </w:p>
    <w:p w14:paraId="250341F7" w14:textId="7EB3526C" w:rsidR="453EBFA6" w:rsidRDefault="00584D29" w:rsidP="453EBFA6">
      <w:pPr>
        <w:jc w:val="both"/>
        <w:rPr>
          <w:rFonts w:cs="Times New Roman"/>
        </w:rPr>
      </w:pPr>
      <w:r>
        <w:rPr>
          <w:rFonts w:cs="Times New Roman"/>
        </w:rPr>
        <w:t>As previously mentioned, t</w:t>
      </w:r>
      <w:r w:rsidR="453EBFA6" w:rsidRPr="453EBFA6">
        <w:rPr>
          <w:rFonts w:cs="Times New Roman"/>
        </w:rPr>
        <w:t>he analysis of APS data is conducted using statistical modelling. We also use descriptive analysis of administrative data sources – visas and National Insurance registrations.</w:t>
      </w:r>
    </w:p>
    <w:p w14:paraId="438C2E80" w14:textId="315DA4BB" w:rsidR="453EBFA6" w:rsidRDefault="453EBFA6" w:rsidP="453EBFA6">
      <w:pPr>
        <w:jc w:val="both"/>
        <w:rPr>
          <w:rFonts w:cs="Times New Roman"/>
        </w:rPr>
      </w:pPr>
    </w:p>
    <w:p w14:paraId="35FCB39F" w14:textId="77777777" w:rsidR="00D25F10" w:rsidRPr="00AE3281" w:rsidRDefault="00D25F10" w:rsidP="005B3738">
      <w:pPr>
        <w:jc w:val="both"/>
        <w:rPr>
          <w:rFonts w:cs="Times New Roman"/>
          <w:b/>
          <w:bCs/>
          <w:i/>
          <w:iCs/>
          <w:szCs w:val="24"/>
        </w:rPr>
      </w:pPr>
      <w:r w:rsidRPr="00AE3281">
        <w:rPr>
          <w:rFonts w:cs="Times New Roman"/>
          <w:b/>
          <w:bCs/>
          <w:i/>
          <w:iCs/>
          <w:szCs w:val="24"/>
        </w:rPr>
        <w:t>Models</w:t>
      </w:r>
    </w:p>
    <w:p w14:paraId="26A41B91" w14:textId="1AD583ED" w:rsidR="00837D26" w:rsidRPr="00AE3281" w:rsidRDefault="001218EE" w:rsidP="005B3738">
      <w:pPr>
        <w:jc w:val="both"/>
        <w:rPr>
          <w:rFonts w:cs="Times New Roman"/>
        </w:rPr>
      </w:pPr>
      <w:r w:rsidRPr="00AE3281">
        <w:rPr>
          <w:rFonts w:cs="Times New Roman"/>
          <w:szCs w:val="24"/>
        </w:rPr>
        <w:t xml:space="preserve">The main statistical analysis </w:t>
      </w:r>
      <w:r w:rsidR="00DF49BC" w:rsidRPr="00AE3281">
        <w:rPr>
          <w:rFonts w:cs="Times New Roman"/>
          <w:szCs w:val="24"/>
        </w:rPr>
        <w:t>employ</w:t>
      </w:r>
      <w:r w:rsidRPr="00AE3281">
        <w:rPr>
          <w:rFonts w:cs="Times New Roman"/>
          <w:szCs w:val="24"/>
        </w:rPr>
        <w:t>s</w:t>
      </w:r>
      <w:r w:rsidR="00DF49BC" w:rsidRPr="00AE3281">
        <w:rPr>
          <w:rFonts w:cs="Times New Roman"/>
          <w:szCs w:val="24"/>
        </w:rPr>
        <w:t xml:space="preserve"> </w:t>
      </w:r>
      <w:r w:rsidR="00837D26" w:rsidRPr="00AE3281">
        <w:rPr>
          <w:rFonts w:cs="Times New Roman"/>
          <w:szCs w:val="24"/>
        </w:rPr>
        <w:t>a difference-in-differences (</w:t>
      </w:r>
      <w:proofErr w:type="spellStart"/>
      <w:r w:rsidR="00837D26" w:rsidRPr="00AE3281">
        <w:rPr>
          <w:rFonts w:cs="Times New Roman"/>
          <w:szCs w:val="24"/>
        </w:rPr>
        <w:t>DiD</w:t>
      </w:r>
      <w:proofErr w:type="spellEnd"/>
      <w:r w:rsidR="00837D26" w:rsidRPr="00AE3281">
        <w:rPr>
          <w:rFonts w:cs="Times New Roman"/>
          <w:szCs w:val="24"/>
        </w:rPr>
        <w:t>) model</w:t>
      </w:r>
      <w:r w:rsidR="00DF49BC" w:rsidRPr="00AE3281">
        <w:rPr>
          <w:rFonts w:cs="Times New Roman"/>
          <w:szCs w:val="24"/>
        </w:rPr>
        <w:t xml:space="preserve"> that</w:t>
      </w:r>
      <w:r w:rsidR="00B63464" w:rsidRPr="00AE3281">
        <w:rPr>
          <w:rFonts w:cs="Times New Roman"/>
          <w:szCs w:val="24"/>
        </w:rPr>
        <w:t xml:space="preserve"> </w:t>
      </w:r>
      <w:r w:rsidR="00694FF5" w:rsidRPr="00AE3281">
        <w:rPr>
          <w:rFonts w:cs="Times New Roman"/>
          <w:szCs w:val="24"/>
        </w:rPr>
        <w:t>estimates the causal effect of a treatment by comparing the change in outcomes over time between a treatment group and a control group.</w:t>
      </w:r>
      <w:r w:rsidR="00837D26" w:rsidRPr="00AE3281">
        <w:rPr>
          <w:rFonts w:cs="Times New Roman"/>
          <w:szCs w:val="24"/>
        </w:rPr>
        <w:t xml:space="preserve"> Therefore, any difference between the two groups’ changes over time can be attributed to the treatment.</w:t>
      </w:r>
      <w:r w:rsidR="00904795" w:rsidRPr="00AE3281">
        <w:rPr>
          <w:rFonts w:cs="Times New Roman"/>
          <w:szCs w:val="24"/>
        </w:rPr>
        <w:t xml:space="preserve"> </w:t>
      </w:r>
      <w:r w:rsidR="4FCF3351" w:rsidRPr="00AE3281">
        <w:rPr>
          <w:rFonts w:cs="Times New Roman"/>
        </w:rPr>
        <w:t xml:space="preserve">The </w:t>
      </w:r>
      <w:proofErr w:type="spellStart"/>
      <w:r w:rsidR="4FCF3351" w:rsidRPr="00AE3281">
        <w:rPr>
          <w:rFonts w:cs="Times New Roman"/>
        </w:rPr>
        <w:t>DiD</w:t>
      </w:r>
      <w:proofErr w:type="spellEnd"/>
      <w:r w:rsidR="4FCF3351" w:rsidRPr="00AE3281">
        <w:rPr>
          <w:rFonts w:cs="Times New Roman"/>
        </w:rPr>
        <w:t xml:space="preserve"> model relies on certain assumptions. One critical assumption, known as the “parallel trends assumption”, is that in the absence of the treatment, the average outcomes for the treatment and control groups would have followed the same trend over time. If this assumption is violated, the estimates from the </w:t>
      </w:r>
      <w:proofErr w:type="spellStart"/>
      <w:r w:rsidR="4FCF3351" w:rsidRPr="00AE3281">
        <w:rPr>
          <w:rFonts w:cs="Times New Roman"/>
        </w:rPr>
        <w:t>DiD</w:t>
      </w:r>
      <w:proofErr w:type="spellEnd"/>
      <w:r w:rsidR="4FCF3351" w:rsidRPr="00AE3281">
        <w:rPr>
          <w:rFonts w:cs="Times New Roman"/>
        </w:rPr>
        <w:t xml:space="preserve"> model may be biased.</w:t>
      </w:r>
    </w:p>
    <w:p w14:paraId="037AECE2" w14:textId="1E07D4A3" w:rsidR="00694FF5" w:rsidRPr="00AE3281" w:rsidRDefault="00694FF5" w:rsidP="005B3738">
      <w:pPr>
        <w:jc w:val="both"/>
        <w:rPr>
          <w:rFonts w:cs="Times New Roman"/>
          <w:szCs w:val="24"/>
        </w:rPr>
      </w:pPr>
      <w:r w:rsidRPr="00AE3281">
        <w:rPr>
          <w:rFonts w:cs="Times New Roman"/>
          <w:szCs w:val="24"/>
        </w:rPr>
        <w:t xml:space="preserve">The general form of a </w:t>
      </w:r>
      <w:proofErr w:type="spellStart"/>
      <w:r w:rsidRPr="00AE3281">
        <w:rPr>
          <w:rFonts w:cs="Times New Roman"/>
          <w:szCs w:val="24"/>
        </w:rPr>
        <w:t>D</w:t>
      </w:r>
      <w:r w:rsidR="004357B8" w:rsidRPr="00AE3281">
        <w:rPr>
          <w:rFonts w:cs="Times New Roman"/>
          <w:szCs w:val="24"/>
        </w:rPr>
        <w:t>i</w:t>
      </w:r>
      <w:r w:rsidRPr="00AE3281">
        <w:rPr>
          <w:rFonts w:cs="Times New Roman"/>
          <w:szCs w:val="24"/>
        </w:rPr>
        <w:t>D</w:t>
      </w:r>
      <w:proofErr w:type="spellEnd"/>
      <w:r w:rsidRPr="00AE3281">
        <w:rPr>
          <w:rFonts w:cs="Times New Roman"/>
          <w:szCs w:val="24"/>
        </w:rPr>
        <w:t xml:space="preserve"> model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770886" w:rsidRPr="00AE3281" w14:paraId="5DE7C759" w14:textId="77777777" w:rsidTr="4C24EA03">
        <w:tc>
          <w:tcPr>
            <w:tcW w:w="7792" w:type="dxa"/>
          </w:tcPr>
          <w:p w14:paraId="0DC6DFE0" w14:textId="765AA7C9" w:rsidR="00770886" w:rsidRPr="00AE3281" w:rsidRDefault="4C24EA03" w:rsidP="4C24EA03">
            <w:pPr>
              <w:jc w:val="both"/>
              <w:rPr>
                <w:rFonts w:cs="Times New Roman"/>
                <w:sz w:val="22"/>
              </w:rPr>
            </w:pPr>
            <w:proofErr w:type="spellStart"/>
            <w:r w:rsidRPr="00AE3281">
              <w:rPr>
                <w:rFonts w:cs="Times New Roman"/>
                <w:sz w:val="22"/>
              </w:rPr>
              <w:t>Y</w:t>
            </w:r>
            <w:r w:rsidRPr="00AE3281">
              <w:rPr>
                <w:rFonts w:cs="Times New Roman"/>
                <w:sz w:val="22"/>
                <w:vertAlign w:val="subscript"/>
              </w:rPr>
              <w:t>it</w:t>
            </w:r>
            <w:proofErr w:type="spellEnd"/>
            <w:r w:rsidRPr="00AE3281">
              <w:rPr>
                <w:rFonts w:cs="Times New Roman"/>
                <w:sz w:val="22"/>
              </w:rPr>
              <w:t xml:space="preserve"> = α + β</w:t>
            </w:r>
            <w:proofErr w:type="spellStart"/>
            <w:r w:rsidRPr="00AE3281">
              <w:rPr>
                <w:rFonts w:cs="Times New Roman"/>
                <w:sz w:val="22"/>
              </w:rPr>
              <w:t>Treat</w:t>
            </w:r>
            <w:r w:rsidRPr="00AE3281">
              <w:rPr>
                <w:rFonts w:cs="Times New Roman"/>
                <w:sz w:val="22"/>
                <w:vertAlign w:val="subscript"/>
              </w:rPr>
              <w:t>i</w:t>
            </w:r>
            <w:proofErr w:type="spellEnd"/>
            <w:r w:rsidRPr="00AE3281">
              <w:rPr>
                <w:rFonts w:cs="Times New Roman"/>
                <w:sz w:val="22"/>
              </w:rPr>
              <w:t xml:space="preserve"> + </w:t>
            </w:r>
            <w:proofErr w:type="spellStart"/>
            <w:r w:rsidRPr="00AE3281">
              <w:rPr>
                <w:rFonts w:cs="Times New Roman"/>
                <w:sz w:val="22"/>
              </w:rPr>
              <w:t>γPost</w:t>
            </w:r>
            <w:r w:rsidRPr="00AE3281">
              <w:rPr>
                <w:rFonts w:cs="Times New Roman"/>
                <w:sz w:val="22"/>
                <w:vertAlign w:val="subscript"/>
              </w:rPr>
              <w:t>t</w:t>
            </w:r>
            <w:proofErr w:type="spellEnd"/>
            <w:r w:rsidRPr="00AE3281">
              <w:rPr>
                <w:rFonts w:cs="Times New Roman"/>
                <w:sz w:val="22"/>
              </w:rPr>
              <w:t xml:space="preserve"> + δ*(</w:t>
            </w:r>
            <w:proofErr w:type="spellStart"/>
            <w:r w:rsidRPr="00AE3281">
              <w:rPr>
                <w:rFonts w:cs="Times New Roman"/>
                <w:sz w:val="22"/>
              </w:rPr>
              <w:t>Treat</w:t>
            </w:r>
            <w:r w:rsidRPr="00AE3281">
              <w:rPr>
                <w:rFonts w:cs="Times New Roman"/>
                <w:sz w:val="22"/>
                <w:vertAlign w:val="subscript"/>
              </w:rPr>
              <w:t>i</w:t>
            </w:r>
            <w:proofErr w:type="spellEnd"/>
            <w:r w:rsidRPr="00AE3281">
              <w:rPr>
                <w:rFonts w:cs="Times New Roman"/>
                <w:sz w:val="22"/>
              </w:rPr>
              <w:t>*</w:t>
            </w:r>
            <w:proofErr w:type="spellStart"/>
            <w:r w:rsidRPr="00AE3281">
              <w:rPr>
                <w:rFonts w:cs="Times New Roman"/>
                <w:sz w:val="22"/>
              </w:rPr>
              <w:t>Post</w:t>
            </w:r>
            <w:r w:rsidRPr="00AE3281">
              <w:rPr>
                <w:rFonts w:cs="Times New Roman"/>
                <w:sz w:val="22"/>
                <w:vertAlign w:val="subscript"/>
              </w:rPr>
              <w:t>t</w:t>
            </w:r>
            <w:proofErr w:type="spellEnd"/>
            <w:r w:rsidRPr="00AE3281">
              <w:rPr>
                <w:rFonts w:cs="Times New Roman"/>
                <w:sz w:val="22"/>
              </w:rPr>
              <w:t xml:space="preserve">) + θ </w:t>
            </w:r>
            <w:proofErr w:type="spellStart"/>
            <w:r w:rsidRPr="00AE3281">
              <w:rPr>
                <w:rFonts w:cs="Times New Roman"/>
                <w:sz w:val="22"/>
              </w:rPr>
              <w:t>X</w:t>
            </w:r>
            <w:r w:rsidRPr="00AE3281">
              <w:rPr>
                <w:rFonts w:cs="Times New Roman"/>
                <w:sz w:val="22"/>
                <w:vertAlign w:val="subscript"/>
              </w:rPr>
              <w:t>it</w:t>
            </w:r>
            <w:proofErr w:type="spellEnd"/>
            <w:r w:rsidRPr="00AE3281">
              <w:rPr>
                <w:rFonts w:cs="Times New Roman"/>
                <w:sz w:val="22"/>
              </w:rPr>
              <w:t xml:space="preserve"> + </w:t>
            </w:r>
            <w:proofErr w:type="spellStart"/>
            <w:r w:rsidRPr="00AE3281">
              <w:rPr>
                <w:rFonts w:cs="Times New Roman"/>
                <w:sz w:val="22"/>
              </w:rPr>
              <w:t>ε</w:t>
            </w:r>
            <w:r w:rsidRPr="00AE3281">
              <w:rPr>
                <w:rFonts w:cs="Times New Roman"/>
                <w:sz w:val="22"/>
                <w:vertAlign w:val="subscript"/>
              </w:rPr>
              <w:t>it</w:t>
            </w:r>
            <w:proofErr w:type="spellEnd"/>
          </w:p>
        </w:tc>
        <w:tc>
          <w:tcPr>
            <w:tcW w:w="1224" w:type="dxa"/>
          </w:tcPr>
          <w:p w14:paraId="21874827" w14:textId="54C490B5" w:rsidR="00770886" w:rsidRPr="00AE3281" w:rsidRDefault="4C24EA03" w:rsidP="4C24EA03">
            <w:pPr>
              <w:jc w:val="both"/>
              <w:rPr>
                <w:rFonts w:cs="Times New Roman"/>
              </w:rPr>
            </w:pPr>
            <w:r w:rsidRPr="00AE3281">
              <w:rPr>
                <w:rFonts w:cs="Times New Roman"/>
              </w:rPr>
              <w:t>(1)</w:t>
            </w:r>
          </w:p>
        </w:tc>
      </w:tr>
    </w:tbl>
    <w:p w14:paraId="51D01103" w14:textId="77777777" w:rsidR="0006425E" w:rsidRPr="00AE3281" w:rsidRDefault="0006425E" w:rsidP="005B3738">
      <w:pPr>
        <w:jc w:val="both"/>
        <w:rPr>
          <w:rFonts w:cs="Times New Roman"/>
          <w:szCs w:val="24"/>
        </w:rPr>
      </w:pPr>
    </w:p>
    <w:p w14:paraId="71C675CB" w14:textId="55484D73" w:rsidR="00694FF5" w:rsidRPr="00AE3281" w:rsidRDefault="00694FF5" w:rsidP="005B3738">
      <w:pPr>
        <w:jc w:val="both"/>
        <w:rPr>
          <w:rFonts w:cs="Times New Roman"/>
          <w:szCs w:val="24"/>
        </w:rPr>
      </w:pPr>
      <w:r w:rsidRPr="00AE3281">
        <w:rPr>
          <w:rFonts w:cs="Times New Roman"/>
          <w:szCs w:val="24"/>
        </w:rPr>
        <w:t xml:space="preserve">where </w:t>
      </w:r>
      <w:proofErr w:type="spellStart"/>
      <w:r w:rsidRPr="00AE3281">
        <w:rPr>
          <w:rFonts w:cs="Times New Roman"/>
          <w:szCs w:val="24"/>
        </w:rPr>
        <w:t>Y</w:t>
      </w:r>
      <w:r w:rsidR="0014222D" w:rsidRPr="00AE3281">
        <w:rPr>
          <w:rFonts w:cs="Times New Roman"/>
          <w:szCs w:val="24"/>
          <w:vertAlign w:val="subscript"/>
        </w:rPr>
        <w:t>it</w:t>
      </w:r>
      <w:proofErr w:type="spellEnd"/>
      <w:r w:rsidRPr="00AE3281">
        <w:rPr>
          <w:rFonts w:cs="Times New Roman"/>
          <w:szCs w:val="24"/>
        </w:rPr>
        <w:t xml:space="preserve"> is the outcome variable for individual </w:t>
      </w:r>
      <w:proofErr w:type="spellStart"/>
      <w:r w:rsidRPr="00AE3281">
        <w:rPr>
          <w:rFonts w:cs="Times New Roman"/>
          <w:szCs w:val="24"/>
        </w:rPr>
        <w:t>i</w:t>
      </w:r>
      <w:proofErr w:type="spellEnd"/>
      <w:r w:rsidRPr="00AE3281">
        <w:rPr>
          <w:rFonts w:cs="Times New Roman"/>
          <w:szCs w:val="24"/>
        </w:rPr>
        <w:t xml:space="preserve"> at time t, </w:t>
      </w:r>
      <w:proofErr w:type="spellStart"/>
      <w:r w:rsidRPr="00AE3281">
        <w:rPr>
          <w:rFonts w:cs="Times New Roman"/>
          <w:szCs w:val="24"/>
        </w:rPr>
        <w:t>Treat</w:t>
      </w:r>
      <w:r w:rsidR="0014222D" w:rsidRPr="00AE3281">
        <w:rPr>
          <w:rFonts w:cs="Times New Roman"/>
          <w:szCs w:val="24"/>
          <w:vertAlign w:val="subscript"/>
        </w:rPr>
        <w:t>i</w:t>
      </w:r>
      <w:proofErr w:type="spellEnd"/>
      <w:r w:rsidRPr="00AE3281">
        <w:rPr>
          <w:rFonts w:cs="Times New Roman"/>
          <w:szCs w:val="24"/>
        </w:rPr>
        <w:t xml:space="preserve"> is a binary variable indicating treatment status for individual </w:t>
      </w:r>
      <w:proofErr w:type="spellStart"/>
      <w:r w:rsidRPr="00AE3281">
        <w:rPr>
          <w:rFonts w:cs="Times New Roman"/>
          <w:szCs w:val="24"/>
        </w:rPr>
        <w:t>i</w:t>
      </w:r>
      <w:proofErr w:type="spellEnd"/>
      <w:r w:rsidRPr="00AE3281">
        <w:rPr>
          <w:rFonts w:cs="Times New Roman"/>
          <w:szCs w:val="24"/>
        </w:rPr>
        <w:t xml:space="preserve">, </w:t>
      </w:r>
      <w:proofErr w:type="spellStart"/>
      <w:r w:rsidRPr="00AE3281">
        <w:rPr>
          <w:rFonts w:cs="Times New Roman"/>
          <w:szCs w:val="24"/>
        </w:rPr>
        <w:t>Post</w:t>
      </w:r>
      <w:r w:rsidR="0014222D" w:rsidRPr="00AE3281">
        <w:rPr>
          <w:rFonts w:cs="Times New Roman"/>
          <w:szCs w:val="24"/>
          <w:vertAlign w:val="subscript"/>
        </w:rPr>
        <w:t>t</w:t>
      </w:r>
      <w:proofErr w:type="spellEnd"/>
      <w:r w:rsidRPr="00AE3281">
        <w:rPr>
          <w:rFonts w:cs="Times New Roman"/>
          <w:szCs w:val="24"/>
        </w:rPr>
        <w:t xml:space="preserve"> is a binary variable indicating the post-treatment period (e.g., 1 for after treatment, 0 for before treatment), and </w:t>
      </w:r>
      <w:proofErr w:type="spellStart"/>
      <w:r w:rsidRPr="00AE3281">
        <w:rPr>
          <w:rFonts w:cs="Times New Roman"/>
          <w:szCs w:val="24"/>
        </w:rPr>
        <w:t>ε</w:t>
      </w:r>
      <w:r w:rsidR="0014222D" w:rsidRPr="00AE3281">
        <w:rPr>
          <w:rFonts w:cs="Times New Roman"/>
          <w:szCs w:val="24"/>
          <w:vertAlign w:val="subscript"/>
        </w:rPr>
        <w:t>it</w:t>
      </w:r>
      <w:proofErr w:type="spellEnd"/>
      <w:r w:rsidRPr="00AE3281">
        <w:rPr>
          <w:rFonts w:cs="Times New Roman"/>
          <w:szCs w:val="24"/>
        </w:rPr>
        <w:t xml:space="preserve"> is the error term. The coefficient of interest is δ, which represents the difference-in-differences estimate of the treatment effect.</w:t>
      </w:r>
    </w:p>
    <w:p w14:paraId="0C71419E" w14:textId="196A70BB" w:rsidR="00694FF5" w:rsidRPr="00AE3281" w:rsidRDefault="00694FF5" w:rsidP="005B3738">
      <w:pPr>
        <w:jc w:val="both"/>
        <w:rPr>
          <w:rFonts w:cs="Times New Roman"/>
          <w:szCs w:val="24"/>
        </w:rPr>
      </w:pPr>
      <w:r w:rsidRPr="00AE3281">
        <w:rPr>
          <w:rFonts w:cs="Times New Roman"/>
          <w:szCs w:val="24"/>
        </w:rPr>
        <w:t xml:space="preserve">To include two separate interaction terms relating to different post-treatment periods, </w:t>
      </w:r>
      <w:r w:rsidR="0014222D" w:rsidRPr="00AE3281">
        <w:rPr>
          <w:rFonts w:cs="Times New Roman"/>
          <w:szCs w:val="24"/>
        </w:rPr>
        <w:t xml:space="preserve">the </w:t>
      </w:r>
      <w:proofErr w:type="spellStart"/>
      <w:r w:rsidR="0014222D" w:rsidRPr="00AE3281">
        <w:rPr>
          <w:rFonts w:cs="Times New Roman"/>
          <w:szCs w:val="24"/>
        </w:rPr>
        <w:t>D</w:t>
      </w:r>
      <w:r w:rsidR="004357B8" w:rsidRPr="00AE3281">
        <w:rPr>
          <w:rFonts w:cs="Times New Roman"/>
          <w:szCs w:val="24"/>
        </w:rPr>
        <w:t>i</w:t>
      </w:r>
      <w:r w:rsidR="0014222D" w:rsidRPr="00AE3281">
        <w:rPr>
          <w:rFonts w:cs="Times New Roman"/>
          <w:szCs w:val="24"/>
        </w:rPr>
        <w:t>D</w:t>
      </w:r>
      <w:proofErr w:type="spellEnd"/>
      <w:r w:rsidR="0014222D" w:rsidRPr="00AE3281">
        <w:rPr>
          <w:rFonts w:cs="Times New Roman"/>
          <w:szCs w:val="24"/>
        </w:rPr>
        <w:t xml:space="preserve"> model may be modified as follows</w:t>
      </w:r>
      <w:r w:rsidRPr="00AE3281">
        <w:rPr>
          <w:rFonts w:cs="Times New Roman"/>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0"/>
        <w:gridCol w:w="496"/>
      </w:tblGrid>
      <w:tr w:rsidR="00770886" w:rsidRPr="00AE3281" w14:paraId="242F1160" w14:textId="77777777" w:rsidTr="453EBFA6">
        <w:tc>
          <w:tcPr>
            <w:tcW w:w="8642" w:type="dxa"/>
          </w:tcPr>
          <w:p w14:paraId="7219BBE7" w14:textId="696395FB" w:rsidR="00770886" w:rsidRPr="00AE3281" w:rsidRDefault="453EBFA6" w:rsidP="453EBFA6">
            <w:pPr>
              <w:jc w:val="both"/>
              <w:rPr>
                <w:rFonts w:cs="Times New Roman"/>
                <w:sz w:val="22"/>
              </w:rPr>
            </w:pPr>
            <w:proofErr w:type="spellStart"/>
            <w:r w:rsidRPr="453EBFA6">
              <w:rPr>
                <w:rFonts w:cs="Times New Roman"/>
                <w:sz w:val="22"/>
              </w:rPr>
              <w:t>Y</w:t>
            </w:r>
            <w:r w:rsidRPr="453EBFA6">
              <w:rPr>
                <w:rFonts w:cs="Times New Roman"/>
                <w:sz w:val="22"/>
                <w:vertAlign w:val="subscript"/>
              </w:rPr>
              <w:t>it</w:t>
            </w:r>
            <w:proofErr w:type="spellEnd"/>
            <w:r w:rsidRPr="453EBFA6">
              <w:rPr>
                <w:rFonts w:cs="Times New Roman"/>
                <w:sz w:val="22"/>
              </w:rPr>
              <w:t xml:space="preserve"> = α + β</w:t>
            </w:r>
            <w:proofErr w:type="spellStart"/>
            <w:r w:rsidRPr="453EBFA6">
              <w:rPr>
                <w:rFonts w:cs="Times New Roman"/>
                <w:sz w:val="22"/>
              </w:rPr>
              <w:t>Treat</w:t>
            </w:r>
            <w:r w:rsidRPr="453EBFA6">
              <w:rPr>
                <w:rFonts w:cs="Times New Roman"/>
                <w:sz w:val="22"/>
                <w:vertAlign w:val="subscript"/>
              </w:rPr>
              <w:t>i</w:t>
            </w:r>
            <w:proofErr w:type="spellEnd"/>
            <w:r w:rsidRPr="453EBFA6">
              <w:rPr>
                <w:rFonts w:cs="Times New Roman"/>
                <w:sz w:val="22"/>
              </w:rPr>
              <w:t xml:space="preserve"> + γPost1</w:t>
            </w:r>
            <w:r w:rsidRPr="453EBFA6">
              <w:rPr>
                <w:rFonts w:cs="Times New Roman"/>
                <w:sz w:val="22"/>
                <w:vertAlign w:val="subscript"/>
              </w:rPr>
              <w:t>t</w:t>
            </w:r>
            <w:r w:rsidRPr="453EBFA6">
              <w:rPr>
                <w:rFonts w:cs="Times New Roman"/>
                <w:sz w:val="22"/>
              </w:rPr>
              <w:t xml:space="preserve"> + φPost2</w:t>
            </w:r>
            <w:r w:rsidRPr="453EBFA6">
              <w:rPr>
                <w:rFonts w:cs="Times New Roman"/>
                <w:sz w:val="22"/>
                <w:vertAlign w:val="subscript"/>
              </w:rPr>
              <w:t>t</w:t>
            </w:r>
            <w:r w:rsidRPr="453EBFA6">
              <w:rPr>
                <w:rFonts w:cs="Times New Roman"/>
                <w:sz w:val="22"/>
              </w:rPr>
              <w:t xml:space="preserve"> + δ1(</w:t>
            </w:r>
            <w:proofErr w:type="spellStart"/>
            <w:r w:rsidRPr="453EBFA6">
              <w:rPr>
                <w:rFonts w:cs="Times New Roman"/>
                <w:sz w:val="22"/>
              </w:rPr>
              <w:t>Treat</w:t>
            </w:r>
            <w:r w:rsidRPr="453EBFA6">
              <w:rPr>
                <w:rFonts w:cs="Times New Roman"/>
                <w:sz w:val="22"/>
                <w:vertAlign w:val="subscript"/>
              </w:rPr>
              <w:t>i</w:t>
            </w:r>
            <w:proofErr w:type="spellEnd"/>
            <w:r w:rsidRPr="453EBFA6">
              <w:rPr>
                <w:rFonts w:cs="Times New Roman"/>
                <w:sz w:val="22"/>
              </w:rPr>
              <w:t>*Post1</w:t>
            </w:r>
            <w:r w:rsidRPr="453EBFA6">
              <w:rPr>
                <w:rFonts w:cs="Times New Roman"/>
                <w:sz w:val="22"/>
                <w:vertAlign w:val="subscript"/>
              </w:rPr>
              <w:t>t</w:t>
            </w:r>
            <w:r w:rsidRPr="453EBFA6">
              <w:rPr>
                <w:rFonts w:cs="Times New Roman"/>
                <w:sz w:val="22"/>
              </w:rPr>
              <w:t>) + δ2(</w:t>
            </w:r>
            <w:proofErr w:type="spellStart"/>
            <w:r w:rsidRPr="453EBFA6">
              <w:rPr>
                <w:rFonts w:cs="Times New Roman"/>
                <w:sz w:val="22"/>
              </w:rPr>
              <w:t>Treat</w:t>
            </w:r>
            <w:r w:rsidRPr="453EBFA6">
              <w:rPr>
                <w:rFonts w:cs="Times New Roman"/>
                <w:sz w:val="22"/>
                <w:vertAlign w:val="subscript"/>
              </w:rPr>
              <w:t>i</w:t>
            </w:r>
            <w:proofErr w:type="spellEnd"/>
            <w:r w:rsidRPr="453EBFA6">
              <w:rPr>
                <w:rFonts w:cs="Times New Roman"/>
                <w:sz w:val="22"/>
              </w:rPr>
              <w:t>*Post2</w:t>
            </w:r>
            <w:r w:rsidRPr="453EBFA6">
              <w:rPr>
                <w:rFonts w:cs="Times New Roman"/>
                <w:sz w:val="22"/>
                <w:vertAlign w:val="subscript"/>
              </w:rPr>
              <w:t>t</w:t>
            </w:r>
            <w:r w:rsidRPr="453EBFA6">
              <w:rPr>
                <w:rFonts w:cs="Times New Roman"/>
                <w:sz w:val="22"/>
              </w:rPr>
              <w:t xml:space="preserve">) + θ </w:t>
            </w:r>
            <w:proofErr w:type="spellStart"/>
            <w:r w:rsidRPr="453EBFA6">
              <w:rPr>
                <w:rFonts w:cs="Times New Roman"/>
                <w:sz w:val="22"/>
              </w:rPr>
              <w:t>X</w:t>
            </w:r>
            <w:r w:rsidRPr="453EBFA6">
              <w:rPr>
                <w:rFonts w:cs="Times New Roman"/>
                <w:sz w:val="22"/>
                <w:vertAlign w:val="subscript"/>
              </w:rPr>
              <w:t>it</w:t>
            </w:r>
            <w:proofErr w:type="spellEnd"/>
            <w:r w:rsidRPr="453EBFA6">
              <w:rPr>
                <w:rFonts w:cs="Times New Roman"/>
                <w:sz w:val="22"/>
              </w:rPr>
              <w:t xml:space="preserve"> + </w:t>
            </w:r>
            <w:proofErr w:type="spellStart"/>
            <w:r w:rsidRPr="453EBFA6">
              <w:rPr>
                <w:rFonts w:cs="Times New Roman"/>
                <w:sz w:val="22"/>
              </w:rPr>
              <w:t>ε</w:t>
            </w:r>
            <w:r w:rsidRPr="453EBFA6">
              <w:rPr>
                <w:rFonts w:cs="Times New Roman"/>
                <w:sz w:val="22"/>
                <w:vertAlign w:val="subscript"/>
              </w:rPr>
              <w:t>it</w:t>
            </w:r>
            <w:proofErr w:type="spellEnd"/>
          </w:p>
        </w:tc>
        <w:tc>
          <w:tcPr>
            <w:tcW w:w="374" w:type="dxa"/>
          </w:tcPr>
          <w:p w14:paraId="604A79CA" w14:textId="38BCF95E" w:rsidR="00770886" w:rsidRPr="00AE3281" w:rsidRDefault="00770886" w:rsidP="005B3738">
            <w:pPr>
              <w:jc w:val="both"/>
              <w:rPr>
                <w:rFonts w:cs="Times New Roman"/>
                <w:szCs w:val="24"/>
              </w:rPr>
            </w:pPr>
            <w:r w:rsidRPr="00AE3281">
              <w:rPr>
                <w:rFonts w:cs="Times New Roman"/>
                <w:szCs w:val="24"/>
              </w:rPr>
              <w:t>(2)</w:t>
            </w:r>
          </w:p>
        </w:tc>
      </w:tr>
    </w:tbl>
    <w:p w14:paraId="7DF6A78D" w14:textId="77777777" w:rsidR="0006425E" w:rsidRPr="00AE3281" w:rsidRDefault="0006425E" w:rsidP="005B3738">
      <w:pPr>
        <w:jc w:val="both"/>
        <w:rPr>
          <w:rFonts w:cs="Times New Roman"/>
          <w:szCs w:val="24"/>
        </w:rPr>
      </w:pPr>
    </w:p>
    <w:p w14:paraId="55D3C081" w14:textId="67E2AC3E" w:rsidR="00694FF5" w:rsidRPr="00AE3281" w:rsidRDefault="00694FF5" w:rsidP="005B3738">
      <w:pPr>
        <w:jc w:val="both"/>
        <w:rPr>
          <w:rFonts w:cs="Times New Roman"/>
          <w:szCs w:val="24"/>
        </w:rPr>
      </w:pPr>
      <w:r w:rsidRPr="00AE3281">
        <w:rPr>
          <w:rFonts w:cs="Times New Roman"/>
          <w:szCs w:val="24"/>
        </w:rPr>
        <w:t>where Post1</w:t>
      </w:r>
      <w:r w:rsidR="0014222D" w:rsidRPr="00AE3281">
        <w:rPr>
          <w:rFonts w:cs="Times New Roman"/>
          <w:szCs w:val="24"/>
          <w:vertAlign w:val="subscript"/>
        </w:rPr>
        <w:t>t</w:t>
      </w:r>
      <w:r w:rsidRPr="00AE3281">
        <w:rPr>
          <w:rFonts w:cs="Times New Roman"/>
          <w:szCs w:val="24"/>
        </w:rPr>
        <w:t xml:space="preserve"> and Post2</w:t>
      </w:r>
      <w:r w:rsidR="0014222D" w:rsidRPr="00AE3281">
        <w:rPr>
          <w:rFonts w:cs="Times New Roman"/>
          <w:szCs w:val="24"/>
          <w:vertAlign w:val="subscript"/>
        </w:rPr>
        <w:t>t</w:t>
      </w:r>
      <w:r w:rsidRPr="00AE3281">
        <w:rPr>
          <w:rFonts w:cs="Times New Roman"/>
          <w:szCs w:val="24"/>
        </w:rPr>
        <w:t xml:space="preserve"> are binary variables indicating two separate post-treatment periods, and δ1 and δ2 are the corresponding interaction terms.</w:t>
      </w:r>
    </w:p>
    <w:p w14:paraId="7A939460" w14:textId="13F35D58" w:rsidR="00915790" w:rsidRPr="00AE3281" w:rsidRDefault="453EBFA6" w:rsidP="4C24EA03">
      <w:pPr>
        <w:autoSpaceDE w:val="0"/>
        <w:autoSpaceDN w:val="0"/>
        <w:adjustRightInd w:val="0"/>
        <w:spacing w:after="0" w:line="240" w:lineRule="auto"/>
        <w:jc w:val="both"/>
        <w:rPr>
          <w:rFonts w:cs="Times New Roman"/>
        </w:rPr>
      </w:pPr>
      <w:r w:rsidRPr="453EBFA6">
        <w:rPr>
          <w:rFonts w:cs="Times New Roman"/>
        </w:rPr>
        <w:t xml:space="preserve">For our purposes, it is those from EU countries who count as the ‘treated’ group, with UK citizens counting as the untreated as their circumstances do not change. </w:t>
      </w:r>
    </w:p>
    <w:p w14:paraId="5651A330" w14:textId="23CE51EF" w:rsidR="453EBFA6" w:rsidRDefault="453EBFA6" w:rsidP="453EBFA6">
      <w:pPr>
        <w:spacing w:after="0" w:line="240" w:lineRule="auto"/>
        <w:jc w:val="both"/>
        <w:rPr>
          <w:rFonts w:cs="Times New Roman"/>
        </w:rPr>
      </w:pPr>
    </w:p>
    <w:p w14:paraId="36200E73" w14:textId="4283C124" w:rsidR="00915790" w:rsidRPr="00AE3281" w:rsidRDefault="4C24EA03" w:rsidP="4C24EA03">
      <w:pPr>
        <w:autoSpaceDE w:val="0"/>
        <w:autoSpaceDN w:val="0"/>
        <w:adjustRightInd w:val="0"/>
        <w:spacing w:after="0" w:line="240" w:lineRule="auto"/>
        <w:jc w:val="both"/>
        <w:rPr>
          <w:rFonts w:cs="Times New Roman"/>
        </w:rPr>
      </w:pPr>
      <w:r w:rsidRPr="00AE3281">
        <w:rPr>
          <w:rFonts w:cs="Times New Roman"/>
        </w:rPr>
        <w:t xml:space="preserve">For this study, we assume that the key date is the change in immigration conditions that took place from 1-Jan-2021. However, the timing of the Brexit vote (in June 2016) provides another opportunity to consider more immediate effects from the vote itself. This well-known pivotal point in time might have affected migrants’ uncertainty about their immigration status and affected </w:t>
      </w:r>
      <w:proofErr w:type="gramStart"/>
      <w:r w:rsidRPr="00AE3281">
        <w:rPr>
          <w:rFonts w:cs="Times New Roman"/>
        </w:rPr>
        <w:t>future plans</w:t>
      </w:r>
      <w:proofErr w:type="gramEnd"/>
      <w:r w:rsidRPr="00AE3281">
        <w:rPr>
          <w:rFonts w:cs="Times New Roman"/>
        </w:rPr>
        <w:t xml:space="preserve">, in advance of clear legislative changes. Despite this, </w:t>
      </w:r>
      <w:proofErr w:type="spellStart"/>
      <w:r w:rsidRPr="00AE3281">
        <w:rPr>
          <w:rFonts w:cs="Times New Roman"/>
        </w:rPr>
        <w:t>Braakmann</w:t>
      </w:r>
      <w:proofErr w:type="spellEnd"/>
      <w:r w:rsidRPr="00AE3281">
        <w:rPr>
          <w:rFonts w:cs="Times New Roman"/>
        </w:rPr>
        <w:t xml:space="preserve"> (2021) did not find any deleterious effects on mental health during the 2016-19 period for EU migrants.</w:t>
      </w:r>
    </w:p>
    <w:p w14:paraId="030C6984" w14:textId="77777777" w:rsidR="004E2BDA" w:rsidRPr="00AE3281" w:rsidRDefault="004E2BDA" w:rsidP="005B3738">
      <w:pPr>
        <w:jc w:val="both"/>
        <w:rPr>
          <w:rFonts w:cs="Times New Roman"/>
          <w:szCs w:val="24"/>
        </w:rPr>
      </w:pPr>
    </w:p>
    <w:p w14:paraId="2E2E96AB" w14:textId="77777777" w:rsidR="004E2BDA" w:rsidRPr="00AE3281" w:rsidRDefault="4C24EA03" w:rsidP="4C24EA03">
      <w:pPr>
        <w:keepNext/>
        <w:jc w:val="both"/>
        <w:rPr>
          <w:rFonts w:cs="Times New Roman"/>
          <w:b/>
          <w:bCs/>
          <w:i/>
          <w:iCs/>
        </w:rPr>
      </w:pPr>
      <w:r w:rsidRPr="00AE3281">
        <w:rPr>
          <w:rFonts w:cs="Times New Roman"/>
          <w:b/>
          <w:bCs/>
          <w:i/>
          <w:iCs/>
        </w:rPr>
        <w:lastRenderedPageBreak/>
        <w:t>Data</w:t>
      </w:r>
    </w:p>
    <w:p w14:paraId="1738F90D" w14:textId="3B74D5DD" w:rsidR="4C24EA03" w:rsidRPr="00AE3281" w:rsidRDefault="453EBFA6" w:rsidP="4C24EA03">
      <w:pPr>
        <w:keepNext/>
        <w:jc w:val="both"/>
        <w:rPr>
          <w:rFonts w:cs="Times New Roman"/>
        </w:rPr>
      </w:pPr>
      <w:r w:rsidRPr="453EBFA6">
        <w:rPr>
          <w:rFonts w:eastAsiaTheme="minorEastAsia" w:cs="Times New Roman"/>
        </w:rPr>
        <w:t>For our analysis, we exploit three different data sources: the Annual Population Survey (APS), National Insurance number registrations (</w:t>
      </w:r>
      <w:proofErr w:type="spellStart"/>
      <w:r w:rsidRPr="453EBFA6">
        <w:rPr>
          <w:rFonts w:eastAsiaTheme="minorEastAsia" w:cs="Times New Roman"/>
        </w:rPr>
        <w:t>NINo</w:t>
      </w:r>
      <w:proofErr w:type="spellEnd"/>
      <w:r w:rsidRPr="453EBFA6">
        <w:rPr>
          <w:rFonts w:eastAsiaTheme="minorEastAsia" w:cs="Times New Roman"/>
        </w:rPr>
        <w:t>) and the number of visas issued.</w:t>
      </w:r>
    </w:p>
    <w:p w14:paraId="7791367A" w14:textId="1B9C4F74" w:rsidR="00497712" w:rsidRPr="00AE3281" w:rsidRDefault="453EBFA6" w:rsidP="453EBFA6">
      <w:pPr>
        <w:keepNext/>
        <w:jc w:val="both"/>
        <w:rPr>
          <w:rFonts w:cs="Times New Roman"/>
        </w:rPr>
      </w:pPr>
      <w:r w:rsidRPr="453EBFA6">
        <w:rPr>
          <w:rFonts w:cs="Times New Roman"/>
        </w:rPr>
        <w:t>The Annual Population Survey (APS) is a crucial resource for demographic and socio-economic research within the United Kingdom. The Office for National Statistics (ONS), in collaboration with regional statistical authorities, produces this comprehensive dataset. It incorporates data from the Labour Force Survey (LFS), bolstered by additional regional samples which enhance the dataset's representativeness and detail. The APS is conducted continuously throughout the year, annually gathering detailed information from a sample size of approximately 320,000 individuals aged 16 and above. Participants are drawn from all regions and socio-economic groups across the UK. We use data from Jan-2012 to Dec-2022, inclusive, which has consistent or comparable data for the variables that we use.</w:t>
      </w:r>
    </w:p>
    <w:p w14:paraId="1C81AE2C" w14:textId="626A49A4" w:rsidR="009E7771" w:rsidRPr="00AE3281" w:rsidRDefault="009E7771" w:rsidP="454E41B1">
      <w:pPr>
        <w:keepNext/>
        <w:jc w:val="both"/>
        <w:rPr>
          <w:rFonts w:cs="Times New Roman"/>
        </w:rPr>
      </w:pPr>
      <w:r w:rsidRPr="454E41B1">
        <w:rPr>
          <w:rFonts w:cs="Times New Roman"/>
        </w:rPr>
        <w:t xml:space="preserve">Historically this dataset has been the main </w:t>
      </w:r>
      <w:r w:rsidR="00F6636E" w:rsidRPr="454E41B1">
        <w:rPr>
          <w:rFonts w:cs="Times New Roman"/>
        </w:rPr>
        <w:t xml:space="preserve">UK </w:t>
      </w:r>
      <w:r w:rsidR="00832949" w:rsidRPr="454E41B1">
        <w:rPr>
          <w:rFonts w:cs="Times New Roman"/>
        </w:rPr>
        <w:t>data source</w:t>
      </w:r>
      <w:r w:rsidRPr="454E41B1">
        <w:rPr>
          <w:rFonts w:cs="Times New Roman"/>
        </w:rPr>
        <w:t xml:space="preserve"> for analysts on </w:t>
      </w:r>
      <w:r w:rsidR="00F6636E" w:rsidRPr="454E41B1">
        <w:rPr>
          <w:rFonts w:cs="Times New Roman"/>
        </w:rPr>
        <w:t>labour market and migration on the UK labour market (</w:t>
      </w:r>
      <w:proofErr w:type="spellStart"/>
      <w:r w:rsidR="00F6636E" w:rsidRPr="00AE3281">
        <w:rPr>
          <w:rFonts w:cs="Times New Roman"/>
        </w:rPr>
        <w:t>Portes</w:t>
      </w:r>
      <w:proofErr w:type="spellEnd"/>
      <w:r w:rsidR="00F6636E" w:rsidRPr="00AE3281">
        <w:rPr>
          <w:rFonts w:cs="Times New Roman"/>
        </w:rPr>
        <w:t xml:space="preserve"> and </w:t>
      </w:r>
      <w:proofErr w:type="spellStart"/>
      <w:r w:rsidR="00F6636E" w:rsidRPr="00AE3281">
        <w:rPr>
          <w:rFonts w:cs="Times New Roman"/>
        </w:rPr>
        <w:t>Springford</w:t>
      </w:r>
      <w:proofErr w:type="spellEnd"/>
      <w:r w:rsidR="00F6636E" w:rsidRPr="00AE3281">
        <w:rPr>
          <w:rFonts w:cs="Times New Roman"/>
        </w:rPr>
        <w:t>, 2023</w:t>
      </w:r>
      <w:r w:rsidR="00F6636E" w:rsidRPr="454E41B1">
        <w:rPr>
          <w:rFonts w:cs="Times New Roman"/>
        </w:rPr>
        <w:t>)</w:t>
      </w:r>
      <w:r w:rsidRPr="454E41B1">
        <w:rPr>
          <w:rFonts w:cs="Times New Roman"/>
        </w:rPr>
        <w:t>. However, the LFS is in the process of being replaced with a ‘transformed Labour Force Survey’, following concerns about rates of response</w:t>
      </w:r>
      <w:r w:rsidRPr="454E41B1">
        <w:rPr>
          <w:rStyle w:val="FootnoteReference"/>
          <w:rFonts w:cs="Times New Roman"/>
        </w:rPr>
        <w:footnoteReference w:id="5"/>
      </w:r>
      <w:r w:rsidRPr="454E41B1">
        <w:rPr>
          <w:rFonts w:cs="Times New Roman"/>
        </w:rPr>
        <w:t>, with an acknowledgement that</w:t>
      </w:r>
      <w:r w:rsidR="00823AA9" w:rsidRPr="454E41B1">
        <w:rPr>
          <w:rFonts w:cs="Times New Roman"/>
        </w:rPr>
        <w:t xml:space="preserve"> this</w:t>
      </w:r>
      <w:r w:rsidRPr="454E41B1">
        <w:rPr>
          <w:rFonts w:cs="Times New Roman"/>
        </w:rPr>
        <w:t xml:space="preserve"> ‘</w:t>
      </w:r>
      <w:r w:rsidR="00823AA9" w:rsidRPr="454E41B1">
        <w:rPr>
          <w:rFonts w:cs="Times New Roman"/>
        </w:rPr>
        <w:t xml:space="preserve">… </w:t>
      </w:r>
      <w:r w:rsidRPr="454E41B1">
        <w:rPr>
          <w:rFonts w:cs="Times New Roman"/>
        </w:rPr>
        <w:t>became more acute in the Labour Force Survey (LFS) data collected for August 2023’, leading to a suspension of statistics from October 2023</w:t>
      </w:r>
      <w:r w:rsidR="00E92DF6" w:rsidRPr="454E41B1">
        <w:rPr>
          <w:rFonts w:cs="Times New Roman"/>
        </w:rPr>
        <w:t xml:space="preserve"> (ONS, 2024)</w:t>
      </w:r>
      <w:r w:rsidRPr="454E41B1">
        <w:rPr>
          <w:rFonts w:cs="Times New Roman"/>
        </w:rPr>
        <w:t xml:space="preserve">. Whilst that </w:t>
      </w:r>
      <w:r w:rsidR="00832949" w:rsidRPr="454E41B1">
        <w:rPr>
          <w:rFonts w:cs="Times New Roman"/>
        </w:rPr>
        <w:t>time frame</w:t>
      </w:r>
      <w:r w:rsidRPr="454E41B1">
        <w:rPr>
          <w:rFonts w:cs="Times New Roman"/>
        </w:rPr>
        <w:t xml:space="preserve"> does not impact our analysis (which ends at the end of 2022)</w:t>
      </w:r>
      <w:r w:rsidR="00E147C5" w:rsidRPr="454E41B1">
        <w:rPr>
          <w:rFonts w:cs="Times New Roman"/>
        </w:rPr>
        <w:t xml:space="preserve">, </w:t>
      </w:r>
      <w:proofErr w:type="gramStart"/>
      <w:r w:rsidR="00E147C5" w:rsidRPr="454E41B1">
        <w:rPr>
          <w:rFonts w:cs="Times New Roman"/>
        </w:rPr>
        <w:t>it is clear that earlier</w:t>
      </w:r>
      <w:proofErr w:type="gramEnd"/>
      <w:r w:rsidR="00E147C5" w:rsidRPr="454E41B1">
        <w:rPr>
          <w:rFonts w:cs="Times New Roman"/>
        </w:rPr>
        <w:t xml:space="preserve"> changes (perhaps particularly the move to telephone interviewing during the pandemic</w:t>
      </w:r>
      <w:r w:rsidR="00E147C5" w:rsidRPr="454E41B1">
        <w:rPr>
          <w:rStyle w:val="FootnoteReference"/>
          <w:rFonts w:cs="Times New Roman"/>
        </w:rPr>
        <w:footnoteReference w:id="6"/>
      </w:r>
      <w:r w:rsidR="00E147C5" w:rsidRPr="454E41B1">
        <w:rPr>
          <w:rFonts w:cs="Times New Roman"/>
        </w:rPr>
        <w:t xml:space="preserve">) increase concerns about </w:t>
      </w:r>
      <w:bookmarkStart w:id="1" w:name="_Hlk166591852"/>
      <w:r w:rsidR="00E147C5" w:rsidRPr="454E41B1">
        <w:rPr>
          <w:rFonts w:cs="Times New Roman"/>
        </w:rPr>
        <w:t>the reliability of the LFS data</w:t>
      </w:r>
      <w:bookmarkEnd w:id="1"/>
      <w:r w:rsidR="00E147C5" w:rsidRPr="454E41B1">
        <w:rPr>
          <w:rFonts w:cs="Times New Roman"/>
        </w:rPr>
        <w:t xml:space="preserve">. ONS responded by temporary changes to their weighting approach, incorporating first housing tenure as a weight target, then using PAYE admin data to improve population targets, and using deprivation indicators to enhance the non-response weighting. The advent of Census 2021 also meant that the weighting approach was changed, affecting indicator results for June-August and July-September 2022. </w:t>
      </w:r>
    </w:p>
    <w:p w14:paraId="0D9B4B60" w14:textId="4EB54A26" w:rsidR="00823AA9" w:rsidRPr="00AE3281" w:rsidRDefault="453EBFA6" w:rsidP="53AEFE2A">
      <w:pPr>
        <w:keepNext/>
        <w:jc w:val="both"/>
        <w:rPr>
          <w:rFonts w:cs="Times New Roman"/>
        </w:rPr>
      </w:pPr>
      <w:r w:rsidRPr="453EBFA6">
        <w:rPr>
          <w:rFonts w:cs="Times New Roman"/>
        </w:rPr>
        <w:t xml:space="preserve">These changes clearly pose difficulties for migration analysis in the UK. Despite these limitations, researchers have tended to keep using this data as they remain the best data source for migrants’ analysis – there are no good micro-data alternatives (Migration Advisory Committee (2022), </w:t>
      </w:r>
      <w:proofErr w:type="spellStart"/>
      <w:r w:rsidRPr="453EBFA6">
        <w:rPr>
          <w:rFonts w:cs="Times New Roman"/>
        </w:rPr>
        <w:t>Portes</w:t>
      </w:r>
      <w:proofErr w:type="spellEnd"/>
      <w:r w:rsidRPr="453EBFA6">
        <w:rPr>
          <w:rFonts w:cs="Times New Roman"/>
        </w:rPr>
        <w:t xml:space="preserve"> and </w:t>
      </w:r>
      <w:proofErr w:type="spellStart"/>
      <w:r w:rsidRPr="453EBFA6">
        <w:rPr>
          <w:rFonts w:cs="Times New Roman"/>
        </w:rPr>
        <w:t>Springford</w:t>
      </w:r>
      <w:proofErr w:type="spellEnd"/>
      <w:r w:rsidRPr="453EBFA6">
        <w:rPr>
          <w:rFonts w:cs="Times New Roman"/>
        </w:rPr>
        <w:t xml:space="preserve">, 2023, Di </w:t>
      </w:r>
      <w:proofErr w:type="spellStart"/>
      <w:r w:rsidRPr="453EBFA6">
        <w:rPr>
          <w:rFonts w:cs="Times New Roman"/>
        </w:rPr>
        <w:t>Iasio</w:t>
      </w:r>
      <w:proofErr w:type="spellEnd"/>
      <w:r w:rsidRPr="453EBFA6">
        <w:rPr>
          <w:rFonts w:cs="Times New Roman"/>
        </w:rPr>
        <w:t xml:space="preserve"> and Wahba (2023), Clifton-</w:t>
      </w:r>
      <w:proofErr w:type="spellStart"/>
      <w:r w:rsidRPr="453EBFA6">
        <w:rPr>
          <w:rFonts w:cs="Times New Roman"/>
        </w:rPr>
        <w:t>Sprigg</w:t>
      </w:r>
      <w:proofErr w:type="spellEnd"/>
      <w:r w:rsidRPr="453EBFA6">
        <w:rPr>
          <w:rFonts w:cs="Times New Roman"/>
        </w:rPr>
        <w:t xml:space="preserve"> et al. (2023)) – whilst noting the relevant cautions </w:t>
      </w:r>
      <w:bookmarkStart w:id="2" w:name="_Hlk166592137"/>
      <w:r w:rsidRPr="453EBFA6">
        <w:rPr>
          <w:rFonts w:cs="Times New Roman"/>
        </w:rPr>
        <w:t xml:space="preserve">(e.g. </w:t>
      </w:r>
      <w:proofErr w:type="spellStart"/>
      <w:r w:rsidRPr="453EBFA6">
        <w:rPr>
          <w:rFonts w:cs="Times New Roman"/>
        </w:rPr>
        <w:t>Portes</w:t>
      </w:r>
      <w:proofErr w:type="spellEnd"/>
      <w:r w:rsidRPr="453EBFA6">
        <w:rPr>
          <w:rFonts w:cs="Times New Roman"/>
        </w:rPr>
        <w:t xml:space="preserve"> and </w:t>
      </w:r>
      <w:proofErr w:type="spellStart"/>
      <w:r w:rsidRPr="453EBFA6">
        <w:rPr>
          <w:rFonts w:cs="Times New Roman"/>
        </w:rPr>
        <w:t>Springford</w:t>
      </w:r>
      <w:proofErr w:type="spellEnd"/>
      <w:r w:rsidRPr="453EBFA6">
        <w:rPr>
          <w:rFonts w:cs="Times New Roman"/>
        </w:rPr>
        <w:t>, 2023)</w:t>
      </w:r>
      <w:bookmarkEnd w:id="2"/>
      <w:r w:rsidRPr="453EBFA6">
        <w:rPr>
          <w:rFonts w:cs="Times New Roman"/>
        </w:rPr>
        <w:t xml:space="preserve">. An interesting analysis by </w:t>
      </w:r>
      <w:proofErr w:type="spellStart"/>
      <w:r w:rsidRPr="453EBFA6">
        <w:rPr>
          <w:rFonts w:cs="Times New Roman"/>
        </w:rPr>
        <w:t>Rampazzo</w:t>
      </w:r>
      <w:proofErr w:type="spellEnd"/>
      <w:r w:rsidRPr="453EBFA6">
        <w:rPr>
          <w:rFonts w:cs="Times New Roman"/>
        </w:rPr>
        <w:t xml:space="preserve"> &amp; </w:t>
      </w:r>
      <w:proofErr w:type="spellStart"/>
      <w:r w:rsidRPr="453EBFA6">
        <w:rPr>
          <w:rFonts w:cs="Times New Roman"/>
        </w:rPr>
        <w:t>Bijak</w:t>
      </w:r>
      <w:proofErr w:type="spellEnd"/>
      <w:r w:rsidRPr="453EBFA6">
        <w:rPr>
          <w:rFonts w:cs="Times New Roman"/>
        </w:rPr>
        <w:t xml:space="preserve"> (2024) found a general match between LFS trends and Facebook advertising trends between March 2019 and March 2020.</w:t>
      </w:r>
    </w:p>
    <w:p w14:paraId="4715E3B0" w14:textId="70C5DBCD" w:rsidR="00823AA9" w:rsidRPr="00AE3281" w:rsidRDefault="454E41B1" w:rsidP="4C24EA03">
      <w:pPr>
        <w:keepNext/>
        <w:jc w:val="both"/>
        <w:rPr>
          <w:rFonts w:cs="Times New Roman"/>
        </w:rPr>
      </w:pPr>
      <w:r w:rsidRPr="454E41B1">
        <w:rPr>
          <w:rFonts w:cs="Times New Roman"/>
        </w:rPr>
        <w:t xml:space="preserve">Moreover, whilst weighting affects descriptive indicator results based on aggregation, weighting itself is somewhat less determinative of results using multivariate statistics, where the inclusion of relevant variables may be sufficient (Winship &amp; </w:t>
      </w:r>
      <w:proofErr w:type="spellStart"/>
      <w:r w:rsidRPr="454E41B1">
        <w:rPr>
          <w:rFonts w:cs="Times New Roman"/>
        </w:rPr>
        <w:t>Radbill</w:t>
      </w:r>
      <w:proofErr w:type="spellEnd"/>
      <w:r w:rsidRPr="454E41B1">
        <w:rPr>
          <w:rFonts w:cs="Times New Roman"/>
        </w:rPr>
        <w:t>, 1994). Our approach therefore includes looking at the sensitivity of results to the weighting, and to data from July 2022 onwards. The Annex compares the main results, w</w:t>
      </w:r>
      <w:r w:rsidRPr="454E41B1">
        <w:rPr>
          <w:rFonts w:eastAsiaTheme="minorEastAsia" w:cs="Times New Roman"/>
        </w:rPr>
        <w:t xml:space="preserve">ith results using a shorter time window </w:t>
      </w:r>
      <w:r w:rsidRPr="454E41B1">
        <w:rPr>
          <w:rFonts w:eastAsiaTheme="minorEastAsia" w:cs="Times New Roman"/>
        </w:rPr>
        <w:lastRenderedPageBreak/>
        <w:t>and results using weights (‘</w:t>
      </w:r>
      <w:proofErr w:type="spellStart"/>
      <w:r w:rsidRPr="454E41B1">
        <w:rPr>
          <w:rFonts w:eastAsiaTheme="minorEastAsia" w:cs="Times New Roman"/>
        </w:rPr>
        <w:t>svy</w:t>
      </w:r>
      <w:proofErr w:type="spellEnd"/>
      <w:r w:rsidRPr="454E41B1">
        <w:rPr>
          <w:rFonts w:eastAsiaTheme="minorEastAsia" w:cs="Times New Roman"/>
        </w:rPr>
        <w:t>’ versio</w:t>
      </w:r>
      <w:r w:rsidR="000E3809">
        <w:rPr>
          <w:rFonts w:eastAsiaTheme="minorEastAsia" w:cs="Times New Roman"/>
        </w:rPr>
        <w:t>n in Stata, which scales weight</w:t>
      </w:r>
      <w:r w:rsidRPr="454E41B1">
        <w:rPr>
          <w:rFonts w:eastAsiaTheme="minorEastAsia" w:cs="Times New Roman"/>
        </w:rPr>
        <w:t xml:space="preserve"> appropriately). In most cases the substantive nature of the results is unchanged: sometimes the effects are smaller, and sometimes larger, using these alternative formulations, but the direction of our findings remains unchanged. </w:t>
      </w:r>
    </w:p>
    <w:p w14:paraId="527C4DEC" w14:textId="6D67E90F" w:rsidR="4C24EA03" w:rsidRPr="00AE3281" w:rsidRDefault="453EBFA6" w:rsidP="453EBFA6">
      <w:pPr>
        <w:keepNext/>
        <w:jc w:val="both"/>
        <w:rPr>
          <w:rFonts w:eastAsiaTheme="minorEastAsia" w:cs="Times New Roman"/>
        </w:rPr>
      </w:pPr>
      <w:r w:rsidRPr="453EBFA6">
        <w:rPr>
          <w:rFonts w:eastAsiaTheme="minorEastAsia" w:cs="Times New Roman"/>
        </w:rPr>
        <w:t>National Insurance Number (</w:t>
      </w:r>
      <w:proofErr w:type="spellStart"/>
      <w:r w:rsidRPr="453EBFA6">
        <w:rPr>
          <w:rFonts w:eastAsiaTheme="minorEastAsia" w:cs="Times New Roman"/>
        </w:rPr>
        <w:t>NINo</w:t>
      </w:r>
      <w:proofErr w:type="spellEnd"/>
      <w:r w:rsidRPr="453EBFA6">
        <w:rPr>
          <w:rFonts w:eastAsiaTheme="minorEastAsia" w:cs="Times New Roman"/>
        </w:rPr>
        <w:t xml:space="preserve">) registrations for overseas migrants are used as a measure of migrant inflow into the UK, particularly for employment purposes. These quarterly administrative data are obtained from the Home Office. They are unique personal reference numbers that link individuals with their records of national insurance contributions, social security benefits, tax payments and student loans. The </w:t>
      </w:r>
      <w:proofErr w:type="spellStart"/>
      <w:r w:rsidRPr="453EBFA6">
        <w:rPr>
          <w:rFonts w:eastAsiaTheme="minorEastAsia" w:cs="Times New Roman"/>
        </w:rPr>
        <w:t>NINo</w:t>
      </w:r>
      <w:proofErr w:type="spellEnd"/>
      <w:r w:rsidRPr="453EBFA6">
        <w:rPr>
          <w:rFonts w:eastAsiaTheme="minorEastAsia" w:cs="Times New Roman"/>
        </w:rPr>
        <w:t xml:space="preserve"> statistics cover all adults allocated a </w:t>
      </w:r>
      <w:proofErr w:type="spellStart"/>
      <w:r w:rsidRPr="453EBFA6">
        <w:rPr>
          <w:rFonts w:eastAsiaTheme="minorEastAsia" w:cs="Times New Roman"/>
        </w:rPr>
        <w:t>NINo</w:t>
      </w:r>
      <w:proofErr w:type="spellEnd"/>
      <w:r w:rsidRPr="453EBFA6">
        <w:rPr>
          <w:rFonts w:eastAsiaTheme="minorEastAsia" w:cs="Times New Roman"/>
        </w:rPr>
        <w:t xml:space="preserve"> for any type of work – including the self-employed and students working part-time – irrespective of the length of stay in the UK (including short term), via two routes: His Majesty’s Revenue and Customs’ (HMRC’s) Juvenile Registration scheme, or via the Adult </w:t>
      </w:r>
      <w:proofErr w:type="spellStart"/>
      <w:r w:rsidRPr="453EBFA6">
        <w:rPr>
          <w:rFonts w:eastAsiaTheme="minorEastAsia" w:cs="Times New Roman"/>
        </w:rPr>
        <w:t>NINo</w:t>
      </w:r>
      <w:proofErr w:type="spellEnd"/>
      <w:r w:rsidRPr="453EBFA6">
        <w:rPr>
          <w:rFonts w:eastAsiaTheme="minorEastAsia" w:cs="Times New Roman"/>
        </w:rPr>
        <w:t xml:space="preserve"> Allocation and Registration service provided by the Department for Work and Pensions (DWP) which applies to those foreign adult nationals in order to work or claim tax/benefits in the UK (Home Office, 2024).</w:t>
      </w:r>
    </w:p>
    <w:p w14:paraId="4E4ABB49" w14:textId="1DF6B3DE" w:rsidR="4C24EA03" w:rsidRPr="00AE3281" w:rsidRDefault="453EBFA6" w:rsidP="4C24EA03">
      <w:pPr>
        <w:keepNext/>
        <w:jc w:val="both"/>
        <w:rPr>
          <w:rFonts w:cs="Times New Roman"/>
        </w:rPr>
      </w:pPr>
      <w:r w:rsidRPr="453EBFA6">
        <w:rPr>
          <w:rFonts w:eastAsiaTheme="minorEastAsia" w:cs="Times New Roman"/>
        </w:rPr>
        <w:t xml:space="preserve">Finally, to complement the analysis and better appreciate the immigration patterns in the UK, we look at the number of visas issued to the UK in the time frame 2015-2023. </w:t>
      </w:r>
    </w:p>
    <w:p w14:paraId="0813B5A8" w14:textId="77777777" w:rsidR="009E7771" w:rsidRPr="00AE3281" w:rsidRDefault="009E7771" w:rsidP="009E7771">
      <w:pPr>
        <w:keepNext/>
        <w:jc w:val="both"/>
        <w:rPr>
          <w:rFonts w:cs="Times New Roman"/>
          <w:szCs w:val="24"/>
        </w:rPr>
      </w:pPr>
    </w:p>
    <w:p w14:paraId="727A3A70" w14:textId="35045499" w:rsidR="00D25F10" w:rsidRPr="00AE3281" w:rsidRDefault="00D25F10" w:rsidP="005B3738">
      <w:pPr>
        <w:jc w:val="both"/>
        <w:rPr>
          <w:rFonts w:cs="Times New Roman"/>
          <w:b/>
          <w:bCs/>
          <w:i/>
          <w:iCs/>
          <w:szCs w:val="24"/>
        </w:rPr>
      </w:pPr>
      <w:r w:rsidRPr="00AE3281">
        <w:rPr>
          <w:rFonts w:cs="Times New Roman"/>
          <w:b/>
          <w:bCs/>
          <w:i/>
          <w:iCs/>
          <w:szCs w:val="24"/>
        </w:rPr>
        <w:t>Variables</w:t>
      </w:r>
    </w:p>
    <w:p w14:paraId="7F42964E" w14:textId="28F7A4F4" w:rsidR="00953504" w:rsidRPr="00AE3281" w:rsidRDefault="00D82130" w:rsidP="005B3738">
      <w:pPr>
        <w:jc w:val="both"/>
        <w:rPr>
          <w:rFonts w:cs="Times New Roman"/>
          <w:szCs w:val="24"/>
        </w:rPr>
      </w:pPr>
      <w:r w:rsidRPr="00AE3281">
        <w:rPr>
          <w:rFonts w:cs="Times New Roman"/>
          <w:szCs w:val="24"/>
        </w:rPr>
        <w:t>In the analysis of Brexit</w:t>
      </w:r>
      <w:r w:rsidR="00CD0687" w:rsidRPr="00AE3281">
        <w:rPr>
          <w:rFonts w:cs="Times New Roman"/>
          <w:szCs w:val="24"/>
        </w:rPr>
        <w:t>’</w:t>
      </w:r>
      <w:r w:rsidRPr="00AE3281">
        <w:rPr>
          <w:rFonts w:cs="Times New Roman"/>
          <w:szCs w:val="24"/>
        </w:rPr>
        <w:t xml:space="preserve">s impact on EU migrants in the UK, we employ several </w:t>
      </w:r>
      <w:r w:rsidRPr="00AE3281">
        <w:rPr>
          <w:rFonts w:cs="Times New Roman"/>
          <w:i/>
          <w:iCs/>
          <w:szCs w:val="24"/>
        </w:rPr>
        <w:t>dependent variables</w:t>
      </w:r>
      <w:r w:rsidRPr="00AE3281">
        <w:rPr>
          <w:rFonts w:cs="Times New Roman"/>
          <w:szCs w:val="24"/>
        </w:rPr>
        <w:t>. These variables, which include employment status, type of employment</w:t>
      </w:r>
      <w:r w:rsidR="00584D29">
        <w:rPr>
          <w:rFonts w:cs="Times New Roman"/>
          <w:szCs w:val="24"/>
        </w:rPr>
        <w:t xml:space="preserve"> and</w:t>
      </w:r>
      <w:r w:rsidRPr="00AE3281">
        <w:rPr>
          <w:rFonts w:cs="Times New Roman"/>
          <w:szCs w:val="24"/>
        </w:rPr>
        <w:t xml:space="preserve"> hourly pay, allow us to measure and understand the diverse effects of Brexit. </w:t>
      </w:r>
    </w:p>
    <w:p w14:paraId="37E21C6C" w14:textId="57DE89F9" w:rsidR="006F254E" w:rsidRPr="00AE3281" w:rsidRDefault="454E41B1" w:rsidP="005B3738">
      <w:pPr>
        <w:jc w:val="both"/>
        <w:rPr>
          <w:rFonts w:cs="Times New Roman"/>
        </w:rPr>
      </w:pPr>
      <w:r w:rsidRPr="454E41B1">
        <w:rPr>
          <w:rFonts w:cs="Times New Roman"/>
        </w:rPr>
        <w:t xml:space="preserve">Our first set of dependent variables is binary, capturing whether an individual is working, self-employed, or in a temporary job. Hourly pay is a continuous measure which we transform taking the natural log of hourly pay. The use of the natural logarithm helps to normalize the distribution of this variable, thereby reducing the impact of outliers and skewness and allowing for a more accurate analysis of wage disparities. These dependent variables are analysed using Ordinary Least Squares (OLS) regression models. </w:t>
      </w:r>
    </w:p>
    <w:p w14:paraId="72F397A1" w14:textId="222E7784" w:rsidR="009E1319" w:rsidRPr="00AE3281" w:rsidRDefault="00D25F10" w:rsidP="005B3738">
      <w:pPr>
        <w:jc w:val="both"/>
        <w:rPr>
          <w:rFonts w:cs="Times New Roman"/>
          <w:szCs w:val="24"/>
        </w:rPr>
      </w:pPr>
      <w:r w:rsidRPr="00AE3281">
        <w:rPr>
          <w:rFonts w:cs="Times New Roman"/>
          <w:szCs w:val="24"/>
        </w:rPr>
        <w:t xml:space="preserve">We select a range of relevant </w:t>
      </w:r>
      <w:r w:rsidR="006F254E" w:rsidRPr="00AE3281">
        <w:rPr>
          <w:rFonts w:cs="Times New Roman"/>
          <w:i/>
          <w:iCs/>
          <w:szCs w:val="24"/>
        </w:rPr>
        <w:t>independent variables</w:t>
      </w:r>
      <w:r w:rsidRPr="00AE3281">
        <w:rPr>
          <w:rFonts w:cs="Times New Roman"/>
          <w:szCs w:val="24"/>
        </w:rPr>
        <w:t xml:space="preserve"> in examin</w:t>
      </w:r>
      <w:r w:rsidR="00CD0687" w:rsidRPr="00AE3281">
        <w:rPr>
          <w:rFonts w:cs="Times New Roman"/>
          <w:szCs w:val="24"/>
        </w:rPr>
        <w:t>ing</w:t>
      </w:r>
      <w:r w:rsidRPr="00AE3281">
        <w:rPr>
          <w:rFonts w:cs="Times New Roman"/>
          <w:szCs w:val="24"/>
        </w:rPr>
        <w:t xml:space="preserve"> the impacts of Brexit on workers. These variables offer various demographic and temporal points that help model the nuances of labour dynamics before and after Brexit. The first variable is a binary variable, </w:t>
      </w:r>
      <w:r w:rsidR="00676636" w:rsidRPr="00AE3281">
        <w:rPr>
          <w:rFonts w:cs="Times New Roman"/>
          <w:szCs w:val="24"/>
        </w:rPr>
        <w:t>‘</w:t>
      </w:r>
      <w:r w:rsidRPr="00AE3281">
        <w:rPr>
          <w:rFonts w:cs="Times New Roman"/>
          <w:szCs w:val="24"/>
        </w:rPr>
        <w:t>Female</w:t>
      </w:r>
      <w:r w:rsidR="00676636" w:rsidRPr="00AE3281">
        <w:rPr>
          <w:rFonts w:cs="Times New Roman"/>
          <w:szCs w:val="24"/>
        </w:rPr>
        <w:t>’,</w:t>
      </w:r>
      <w:r w:rsidRPr="00AE3281">
        <w:rPr>
          <w:rFonts w:cs="Times New Roman"/>
          <w:szCs w:val="24"/>
        </w:rPr>
        <w:t xml:space="preserve"> to investigate potential differences in the Brexit impacts on male and female workers. We also have variables relating to age</w:t>
      </w:r>
      <w:r w:rsidR="00CD0687" w:rsidRPr="00AE3281">
        <w:rPr>
          <w:rFonts w:cs="Times New Roman"/>
          <w:szCs w:val="24"/>
        </w:rPr>
        <w:t xml:space="preserve"> (</w:t>
      </w:r>
      <w:r w:rsidRPr="00AE3281">
        <w:rPr>
          <w:rFonts w:cs="Times New Roman"/>
          <w:szCs w:val="24"/>
        </w:rPr>
        <w:t>and its square</w:t>
      </w:r>
      <w:r w:rsidR="00CD0687" w:rsidRPr="00AE3281">
        <w:rPr>
          <w:rFonts w:cs="Times New Roman"/>
          <w:szCs w:val="24"/>
        </w:rPr>
        <w:t>)</w:t>
      </w:r>
      <w:r w:rsidRPr="00AE3281">
        <w:rPr>
          <w:rFonts w:cs="Times New Roman"/>
          <w:szCs w:val="24"/>
        </w:rPr>
        <w:t xml:space="preserve"> to model potential nonlinear effects of age on our dependent variables. </w:t>
      </w:r>
      <w:r w:rsidR="000F5A5C" w:rsidRPr="00AE3281">
        <w:rPr>
          <w:rFonts w:cs="Times New Roman"/>
          <w:szCs w:val="24"/>
        </w:rPr>
        <w:t xml:space="preserve">We also include </w:t>
      </w:r>
      <w:r w:rsidR="00640086" w:rsidRPr="00AE3281">
        <w:rPr>
          <w:rFonts w:cs="Times New Roman"/>
          <w:szCs w:val="24"/>
        </w:rPr>
        <w:t xml:space="preserve">the </w:t>
      </w:r>
      <w:r w:rsidR="000F5A5C" w:rsidRPr="00AE3281">
        <w:rPr>
          <w:rFonts w:cs="Times New Roman"/>
          <w:szCs w:val="24"/>
        </w:rPr>
        <w:t>highest level of education (3 dummy levels) and region (13 levels). Where models are, by definition, limited to those in work (</w:t>
      </w:r>
      <w:r w:rsidR="000D440A" w:rsidRPr="00AE3281">
        <w:rPr>
          <w:rFonts w:cs="Times New Roman"/>
          <w:szCs w:val="24"/>
        </w:rPr>
        <w:t>e.g.,</w:t>
      </w:r>
      <w:r w:rsidR="000F5A5C" w:rsidRPr="00AE3281">
        <w:rPr>
          <w:rFonts w:cs="Times New Roman"/>
          <w:szCs w:val="24"/>
        </w:rPr>
        <w:t xml:space="preserve"> hourly earnings) we also include industry (9 levels) and occupation</w:t>
      </w:r>
      <w:r w:rsidR="00CD0687" w:rsidRPr="00AE3281">
        <w:rPr>
          <w:rFonts w:cs="Times New Roman"/>
          <w:szCs w:val="24"/>
        </w:rPr>
        <w:t xml:space="preserve">, where we </w:t>
      </w:r>
      <w:r w:rsidR="00867DB5" w:rsidRPr="00AE3281">
        <w:rPr>
          <w:rFonts w:cs="Times New Roman"/>
          <w:szCs w:val="24"/>
        </w:rPr>
        <w:t xml:space="preserve">adopt the </w:t>
      </w:r>
      <w:r w:rsidR="009E1319" w:rsidRPr="00AE3281">
        <w:rPr>
          <w:rFonts w:cs="Times New Roman"/>
          <w:szCs w:val="24"/>
        </w:rPr>
        <w:t>NS-SEC analytic classes based on SOC2010</w:t>
      </w:r>
      <w:r w:rsidR="009E1319" w:rsidRPr="00AE3281">
        <w:rPr>
          <w:rStyle w:val="FootnoteReference"/>
          <w:rFonts w:cs="Times New Roman"/>
          <w:szCs w:val="24"/>
        </w:rPr>
        <w:footnoteReference w:id="7"/>
      </w:r>
      <w:r w:rsidR="009E1319" w:rsidRPr="00AE3281">
        <w:rPr>
          <w:rFonts w:cs="Times New Roman"/>
          <w:szCs w:val="24"/>
        </w:rPr>
        <w:t>.</w:t>
      </w:r>
    </w:p>
    <w:p w14:paraId="11EB7EFC" w14:textId="6BABCD81" w:rsidR="00D25F10" w:rsidRPr="00AE3281" w:rsidRDefault="4FCF3351" w:rsidP="005B3738">
      <w:pPr>
        <w:jc w:val="both"/>
        <w:rPr>
          <w:rFonts w:cs="Times New Roman"/>
        </w:rPr>
      </w:pPr>
      <w:r w:rsidRPr="00AE3281">
        <w:rPr>
          <w:rFonts w:cs="Times New Roman"/>
        </w:rPr>
        <w:t xml:space="preserve">We also include two temporal dummy variables to represent different time periods. The first, </w:t>
      </w:r>
      <w:r w:rsidR="00535C97" w:rsidRPr="00AE3281">
        <w:rPr>
          <w:rFonts w:cs="Times New Roman"/>
        </w:rPr>
        <w:t xml:space="preserve">from </w:t>
      </w:r>
      <w:r w:rsidR="00497712" w:rsidRPr="00AE3281">
        <w:rPr>
          <w:rFonts w:cs="Times New Roman"/>
        </w:rPr>
        <w:t>24</w:t>
      </w:r>
      <w:r w:rsidRPr="00AE3281">
        <w:rPr>
          <w:rFonts w:cs="Times New Roman"/>
        </w:rPr>
        <w:t xml:space="preserve">/6/2016 till 31/12/2020, represents the period after the Brexit vote but before the </w:t>
      </w:r>
      <w:r w:rsidRPr="00AE3281">
        <w:rPr>
          <w:rFonts w:cs="Times New Roman"/>
        </w:rPr>
        <w:lastRenderedPageBreak/>
        <w:t xml:space="preserve">implementation of the new migrant system. The second, for 1/1/2021 onwards </w:t>
      </w:r>
      <w:r w:rsidR="00CD0687" w:rsidRPr="00AE3281">
        <w:rPr>
          <w:rFonts w:cs="Times New Roman"/>
        </w:rPr>
        <w:t>identifies</w:t>
      </w:r>
      <w:r w:rsidRPr="00AE3281">
        <w:rPr>
          <w:rFonts w:cs="Times New Roman"/>
        </w:rPr>
        <w:t xml:space="preserve"> the period after the introduction of the new migrants</w:t>
      </w:r>
      <w:r w:rsidR="008336F9" w:rsidRPr="00AE3281">
        <w:rPr>
          <w:rFonts w:cs="Times New Roman"/>
        </w:rPr>
        <w:t>’</w:t>
      </w:r>
      <w:r w:rsidRPr="00AE3281">
        <w:rPr>
          <w:rFonts w:cs="Times New Roman"/>
        </w:rPr>
        <w:t xml:space="preserve"> system.</w:t>
      </w:r>
    </w:p>
    <w:p w14:paraId="38016279" w14:textId="1BD1BACF" w:rsidR="453EBFA6" w:rsidRDefault="453EBFA6" w:rsidP="453EBFA6">
      <w:pPr>
        <w:jc w:val="both"/>
        <w:rPr>
          <w:rFonts w:cs="Times New Roman"/>
        </w:rPr>
      </w:pPr>
      <w:r w:rsidRPr="453EBFA6">
        <w:rPr>
          <w:rFonts w:cs="Times New Roman"/>
        </w:rPr>
        <w:t xml:space="preserve">The variable 'EU nationality (‘treated’)' represents </w:t>
      </w:r>
      <w:proofErr w:type="gramStart"/>
      <w:r w:rsidRPr="453EBFA6">
        <w:rPr>
          <w:rFonts w:cs="Times New Roman"/>
        </w:rPr>
        <w:t>whether or not</w:t>
      </w:r>
      <w:proofErr w:type="gramEnd"/>
      <w:r w:rsidRPr="453EBFA6">
        <w:rPr>
          <w:rFonts w:cs="Times New Roman"/>
        </w:rPr>
        <w:t xml:space="preserve"> the individual being studied is an EU national. This is critical for identifying our treatment group in the Difference-in-Differences (</w:t>
      </w:r>
      <w:proofErr w:type="spellStart"/>
      <w:r w:rsidRPr="453EBFA6">
        <w:rPr>
          <w:rFonts w:cs="Times New Roman"/>
        </w:rPr>
        <w:t>DiD</w:t>
      </w:r>
      <w:proofErr w:type="spellEnd"/>
      <w:r w:rsidRPr="453EBFA6">
        <w:rPr>
          <w:rFonts w:cs="Times New Roman"/>
        </w:rPr>
        <w:t>) analysis. Likewise, we include two interaction terms reflecting our overall econometric strategy. ‘</w:t>
      </w:r>
      <w:proofErr w:type="spellStart"/>
      <w:r w:rsidRPr="453EBFA6">
        <w:rPr>
          <w:rFonts w:cs="Times New Roman"/>
        </w:rPr>
        <w:t>Inter_Vote</w:t>
      </w:r>
      <w:proofErr w:type="spellEnd"/>
      <w:r w:rsidRPr="453EBFA6">
        <w:rPr>
          <w:rFonts w:cs="Times New Roman"/>
        </w:rPr>
        <w:t>’ is an interaction term between the Brexit vote period (June 2016 till the end of 2020) and EU nationality. ‘</w:t>
      </w:r>
      <w:proofErr w:type="spellStart"/>
      <w:r w:rsidRPr="453EBFA6">
        <w:rPr>
          <w:rFonts w:cs="Times New Roman"/>
        </w:rPr>
        <w:t>Inter_New_System</w:t>
      </w:r>
      <w:proofErr w:type="spellEnd"/>
      <w:r w:rsidRPr="453EBFA6">
        <w:rPr>
          <w:rFonts w:cs="Times New Roman"/>
        </w:rPr>
        <w:t xml:space="preserve"> is an interaction term between the period from 2021 onwards (post-implementation of the new migrant system) and EU nationality. These interaction terms will allow us to measure the specific impacts of Brexit on EU nationals during these two distinct time periods.</w:t>
      </w:r>
    </w:p>
    <w:p w14:paraId="25DE2255" w14:textId="7D2C8153" w:rsidR="00BF2A56" w:rsidRPr="00AE3281" w:rsidRDefault="454E41B1" w:rsidP="454E41B1">
      <w:pPr>
        <w:jc w:val="both"/>
        <w:rPr>
          <w:rFonts w:cs="Times New Roman"/>
        </w:rPr>
      </w:pPr>
      <w:r w:rsidRPr="454E41B1">
        <w:rPr>
          <w:rFonts w:cs="Times New Roman"/>
        </w:rPr>
        <w:t>Additionally, we include variables for the year of observation to control for any time trends. Plus, we include the month to account for potential seasonality in our analysis (and rather finer-grained than the standard quarterly variable).</w:t>
      </w:r>
    </w:p>
    <w:p w14:paraId="01EBFCF3" w14:textId="77777777" w:rsidR="00ED6821" w:rsidRPr="00AE3281" w:rsidRDefault="00ED6821" w:rsidP="005B3738">
      <w:pPr>
        <w:jc w:val="both"/>
        <w:rPr>
          <w:rFonts w:cs="Times New Roman"/>
          <w:b/>
          <w:bCs/>
          <w:szCs w:val="24"/>
        </w:rPr>
      </w:pPr>
    </w:p>
    <w:p w14:paraId="0AFEDA8E" w14:textId="04EA78A6" w:rsidR="00D03DA4" w:rsidRPr="00AE3281" w:rsidRDefault="00D03DA4">
      <w:pPr>
        <w:rPr>
          <w:rFonts w:cs="Times New Roman"/>
          <w:b/>
          <w:bCs/>
          <w:szCs w:val="24"/>
        </w:rPr>
      </w:pPr>
      <w:r w:rsidRPr="00AE3281">
        <w:rPr>
          <w:rFonts w:cs="Times New Roman"/>
          <w:b/>
          <w:bCs/>
          <w:szCs w:val="24"/>
        </w:rPr>
        <w:br w:type="page"/>
      </w:r>
    </w:p>
    <w:p w14:paraId="33843778" w14:textId="17509F60" w:rsidR="00176ABB" w:rsidRPr="00AE3281" w:rsidRDefault="00C17135" w:rsidP="005B3738">
      <w:pPr>
        <w:jc w:val="both"/>
        <w:rPr>
          <w:rFonts w:cs="Times New Roman"/>
          <w:szCs w:val="24"/>
        </w:rPr>
      </w:pPr>
      <w:r w:rsidRPr="00AE3281">
        <w:rPr>
          <w:rFonts w:cs="Times New Roman"/>
          <w:b/>
          <w:bCs/>
          <w:szCs w:val="24"/>
        </w:rPr>
        <w:lastRenderedPageBreak/>
        <w:t>RESULTS</w:t>
      </w:r>
    </w:p>
    <w:p w14:paraId="15F4E09C" w14:textId="77777777" w:rsidR="009A56B4" w:rsidRPr="00AE3281" w:rsidRDefault="009A56B4" w:rsidP="009A56B4">
      <w:pPr>
        <w:jc w:val="both"/>
        <w:rPr>
          <w:rFonts w:cs="Times New Roman"/>
        </w:rPr>
      </w:pPr>
    </w:p>
    <w:p w14:paraId="6E596B87" w14:textId="77777777" w:rsidR="009A56B4" w:rsidRPr="00AE3281" w:rsidRDefault="009A56B4" w:rsidP="009A56B4">
      <w:pPr>
        <w:jc w:val="both"/>
        <w:rPr>
          <w:rFonts w:cs="Times New Roman"/>
          <w:b/>
          <w:bCs/>
          <w:i/>
          <w:iCs/>
        </w:rPr>
      </w:pPr>
      <w:r w:rsidRPr="00AE3281">
        <w:rPr>
          <w:rFonts w:cs="Times New Roman"/>
          <w:b/>
          <w:bCs/>
          <w:i/>
          <w:iCs/>
        </w:rPr>
        <w:t>Analysis of recent UK immigration trends</w:t>
      </w:r>
    </w:p>
    <w:p w14:paraId="777F1659" w14:textId="77777777" w:rsidR="009A56B4" w:rsidRPr="00AE3281" w:rsidRDefault="009A56B4" w:rsidP="009A56B4">
      <w:pPr>
        <w:jc w:val="both"/>
        <w:rPr>
          <w:rFonts w:cs="Times New Roman"/>
          <w:szCs w:val="24"/>
        </w:rPr>
      </w:pPr>
      <w:r w:rsidRPr="00AE3281">
        <w:rPr>
          <w:rFonts w:cs="Times New Roman"/>
          <w:szCs w:val="24"/>
        </w:rPr>
        <w:t>Data for UK immigration come from different sources, including surveys and administrative data. Whilst our new statistical analysis relates to survey data, we start with descriptions of overall trends from administrative sources – visas and registration of tax status.</w:t>
      </w:r>
    </w:p>
    <w:p w14:paraId="61893B5B" w14:textId="4E2BF253" w:rsidR="009A56B4" w:rsidRPr="00AE3281" w:rsidRDefault="009A56B4" w:rsidP="009A56B4">
      <w:pPr>
        <w:jc w:val="both"/>
        <w:rPr>
          <w:rFonts w:cs="Times New Roman"/>
        </w:rPr>
      </w:pPr>
      <w:r w:rsidRPr="00AE3281">
        <w:rPr>
          <w:rFonts w:cs="Times New Roman"/>
        </w:rPr>
        <w:t>The registration of new National Insurance Numbers (NINOs) among migrants in the UK serves as an indicator of the inflow of economically active foreign nationals entering the country. NINOs are allocated to non-UK individuals aged 16 or above who are engaged in legal employment, planning to work, or claiming benefits in the UK, regardless of their intended duration of stay. As shown in Figure 1, over the past twenty years, the trends indicate a general increase in NINO registrations across different nationality categories, with fluctuations influenced by factors such as Brexit, changing migration policies, and global events. The number of NINO registrations for individuals from the European Union (EU) shows fluctuations throughout the years. There is a notable increase from 2002/3 to 2015/16, peaking at 630,022 registrations, but then declining in subsequent years. NINO registrations for individuals from Asia display a steady increase over time. The numbers rise gradually from 113,520 in 2002/3 to a peak of 353,576 in 2021/22. Overall, in the most recent data</w:t>
      </w:r>
      <w:r w:rsidR="00810A2B" w:rsidRPr="00AE3281">
        <w:rPr>
          <w:rFonts w:cs="Times New Roman"/>
        </w:rPr>
        <w:t>,</w:t>
      </w:r>
      <w:r w:rsidRPr="00AE3281">
        <w:rPr>
          <w:rFonts w:cs="Times New Roman"/>
        </w:rPr>
        <w:t xml:space="preserve"> we see that NINO registrations from Asia are higher than for the EU – compared with the EU dominating this chart until 2020/21.</w:t>
      </w:r>
    </w:p>
    <w:p w14:paraId="68B708F8" w14:textId="77777777" w:rsidR="009A56B4" w:rsidRPr="00AE3281" w:rsidRDefault="009A56B4" w:rsidP="009A56B4">
      <w:pPr>
        <w:jc w:val="both"/>
        <w:rPr>
          <w:rFonts w:cs="Times New Roman"/>
          <w:szCs w:val="24"/>
        </w:rPr>
      </w:pPr>
    </w:p>
    <w:p w14:paraId="50DFF60C" w14:textId="064D054D" w:rsidR="009A56B4" w:rsidRPr="00AE3281" w:rsidRDefault="009A56B4" w:rsidP="009A56B4">
      <w:pPr>
        <w:pStyle w:val="Caption"/>
        <w:keepNext/>
        <w:jc w:val="both"/>
        <w:rPr>
          <w:rFonts w:cs="Times New Roman"/>
          <w:szCs w:val="24"/>
        </w:rPr>
      </w:pPr>
      <w:r w:rsidRPr="00AE3281">
        <w:rPr>
          <w:rFonts w:cs="Times New Roman"/>
        </w:rPr>
        <w:t xml:space="preserve">Figure </w:t>
      </w:r>
      <w:r w:rsidRPr="00AE3281">
        <w:rPr>
          <w:rFonts w:cs="Times New Roman"/>
          <w:noProof/>
        </w:rPr>
        <w:fldChar w:fldCharType="begin"/>
      </w:r>
      <w:r w:rsidRPr="00AE3281">
        <w:rPr>
          <w:rFonts w:cs="Times New Roman"/>
          <w:noProof/>
        </w:rPr>
        <w:instrText xml:space="preserve"> SEQ Figure \* ARABIC </w:instrText>
      </w:r>
      <w:r w:rsidRPr="00AE3281">
        <w:rPr>
          <w:rFonts w:cs="Times New Roman"/>
          <w:noProof/>
        </w:rPr>
        <w:fldChar w:fldCharType="separate"/>
      </w:r>
      <w:r w:rsidR="00C57AAA">
        <w:rPr>
          <w:rFonts w:cs="Times New Roman"/>
          <w:noProof/>
        </w:rPr>
        <w:t>1</w:t>
      </w:r>
      <w:r w:rsidRPr="00AE3281">
        <w:rPr>
          <w:rFonts w:cs="Times New Roman"/>
          <w:noProof/>
        </w:rPr>
        <w:fldChar w:fldCharType="end"/>
      </w:r>
      <w:r w:rsidRPr="00AE3281">
        <w:rPr>
          <w:rFonts w:cs="Times New Roman"/>
        </w:rPr>
        <w:tab/>
        <w:t>New National Insurance Registrations in the UK, by origin.</w:t>
      </w:r>
    </w:p>
    <w:p w14:paraId="3AEF100A" w14:textId="77777777" w:rsidR="009A56B4" w:rsidRPr="00AE3281" w:rsidRDefault="009A56B4" w:rsidP="009A56B4">
      <w:pPr>
        <w:keepNext/>
        <w:jc w:val="both"/>
        <w:rPr>
          <w:rFonts w:cs="Times New Roman"/>
          <w:szCs w:val="24"/>
        </w:rPr>
      </w:pPr>
      <w:r w:rsidRPr="00AE3281">
        <w:rPr>
          <w:rFonts w:cs="Times New Roman"/>
          <w:noProof/>
          <w:szCs w:val="24"/>
          <w:lang w:eastAsia="en-GB"/>
        </w:rPr>
        <w:drawing>
          <wp:inline distT="0" distB="0" distL="0" distR="0" wp14:anchorId="6B63749F" wp14:editId="617DE096">
            <wp:extent cx="4578350" cy="2755900"/>
            <wp:effectExtent l="0" t="0" r="0" b="6350"/>
            <wp:docPr id="690358521" name="Picture 1" descr="A graph of a graph showing the number of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58521" name="Picture 1" descr="A graph of a graph showing the number of countries/region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004715C5" w14:textId="77777777" w:rsidR="009A56B4" w:rsidRPr="00AE3281" w:rsidRDefault="009A56B4" w:rsidP="009A56B4">
      <w:pPr>
        <w:jc w:val="both"/>
        <w:rPr>
          <w:rFonts w:cs="Times New Roman"/>
          <w:sz w:val="20"/>
          <w:szCs w:val="20"/>
        </w:rPr>
      </w:pPr>
      <w:r w:rsidRPr="00AE3281">
        <w:rPr>
          <w:rFonts w:cs="Times New Roman"/>
          <w:sz w:val="20"/>
          <w:szCs w:val="20"/>
        </w:rPr>
        <w:t>Source:</w:t>
      </w:r>
      <w:r w:rsidRPr="00AE3281">
        <w:rPr>
          <w:rFonts w:cs="Times New Roman"/>
        </w:rPr>
        <w:t xml:space="preserve"> </w:t>
      </w:r>
      <w:r w:rsidRPr="00AE3281">
        <w:rPr>
          <w:rFonts w:cs="Times New Roman"/>
          <w:sz w:val="20"/>
          <w:szCs w:val="20"/>
        </w:rPr>
        <w:t>NINO Registrations to Adult Overseas Nationals Entering The UK, DWP Stat-Xplore, 22 May 2023.</w:t>
      </w:r>
    </w:p>
    <w:p w14:paraId="421ADAA4" w14:textId="77777777" w:rsidR="009A56B4" w:rsidRPr="00AE3281" w:rsidRDefault="009A56B4" w:rsidP="009A56B4">
      <w:pPr>
        <w:jc w:val="both"/>
        <w:rPr>
          <w:rFonts w:cs="Times New Roman"/>
          <w:szCs w:val="24"/>
        </w:rPr>
      </w:pPr>
    </w:p>
    <w:p w14:paraId="1B42A8A3" w14:textId="1477D6B9" w:rsidR="009A56B4" w:rsidRPr="00AE3281" w:rsidRDefault="009A56B4" w:rsidP="009A56B4">
      <w:pPr>
        <w:jc w:val="both"/>
        <w:rPr>
          <w:rFonts w:cs="Times New Roman"/>
          <w:szCs w:val="24"/>
        </w:rPr>
      </w:pPr>
      <w:r w:rsidRPr="00AE3281">
        <w:rPr>
          <w:rFonts w:cs="Times New Roman"/>
          <w:szCs w:val="24"/>
        </w:rPr>
        <w:t xml:space="preserve">An alternative set of data comprises the </w:t>
      </w:r>
      <w:r w:rsidR="00810A2B" w:rsidRPr="00AE3281">
        <w:rPr>
          <w:rFonts w:cs="Times New Roman"/>
          <w:szCs w:val="24"/>
        </w:rPr>
        <w:t xml:space="preserve">number </w:t>
      </w:r>
      <w:r w:rsidRPr="00AE3281">
        <w:rPr>
          <w:rFonts w:cs="Times New Roman"/>
          <w:szCs w:val="24"/>
        </w:rPr>
        <w:t xml:space="preserve">of visas issued for those coming to the UK (see </w:t>
      </w:r>
      <w:r w:rsidRPr="00AE3281">
        <w:rPr>
          <w:rFonts w:cs="Times New Roman"/>
          <w:szCs w:val="24"/>
        </w:rPr>
        <w:fldChar w:fldCharType="begin"/>
      </w:r>
      <w:r w:rsidRPr="00AE3281">
        <w:rPr>
          <w:rFonts w:cs="Times New Roman"/>
          <w:szCs w:val="24"/>
        </w:rPr>
        <w:instrText xml:space="preserve"> REF _Ref138172582 \h  \* MERGEFORMAT </w:instrText>
      </w:r>
      <w:r w:rsidRPr="00AE3281">
        <w:rPr>
          <w:rFonts w:cs="Times New Roman"/>
          <w:szCs w:val="24"/>
        </w:rPr>
      </w:r>
      <w:r w:rsidRPr="00AE3281">
        <w:rPr>
          <w:rFonts w:cs="Times New Roman"/>
          <w:szCs w:val="24"/>
        </w:rPr>
        <w:fldChar w:fldCharType="separate"/>
      </w:r>
      <w:r w:rsidR="00C57AAA" w:rsidRPr="00C57AAA">
        <w:rPr>
          <w:rFonts w:cs="Times New Roman"/>
          <w:szCs w:val="24"/>
        </w:rPr>
        <w:t xml:space="preserve">Figure </w:t>
      </w:r>
      <w:r w:rsidR="00C57AAA" w:rsidRPr="00C57AAA">
        <w:rPr>
          <w:rFonts w:cs="Times New Roman"/>
          <w:noProof/>
          <w:szCs w:val="24"/>
        </w:rPr>
        <w:t>2</w:t>
      </w:r>
      <w:r w:rsidRPr="00AE3281">
        <w:rPr>
          <w:rFonts w:cs="Times New Roman"/>
          <w:szCs w:val="24"/>
        </w:rPr>
        <w:fldChar w:fldCharType="end"/>
      </w:r>
      <w:r w:rsidRPr="00AE3281">
        <w:rPr>
          <w:rFonts w:cs="Times New Roman"/>
          <w:szCs w:val="24"/>
        </w:rPr>
        <w:t>). In the period since 2017</w:t>
      </w:r>
      <w:r w:rsidR="00810A2B" w:rsidRPr="00AE3281">
        <w:rPr>
          <w:rFonts w:cs="Times New Roman"/>
          <w:szCs w:val="24"/>
        </w:rPr>
        <w:t>,</w:t>
      </w:r>
      <w:r w:rsidRPr="00AE3281">
        <w:rPr>
          <w:rFonts w:cs="Times New Roman"/>
          <w:szCs w:val="24"/>
        </w:rPr>
        <w:t xml:space="preserve"> we observe sizeable increases in the number of visas </w:t>
      </w:r>
      <w:r w:rsidRPr="00AE3281">
        <w:rPr>
          <w:rFonts w:cs="Times New Roman"/>
          <w:szCs w:val="24"/>
        </w:rPr>
        <w:lastRenderedPageBreak/>
        <w:t xml:space="preserve">issued to those from Bangladesh, Ghana, India, </w:t>
      </w:r>
      <w:proofErr w:type="gramStart"/>
      <w:r w:rsidRPr="00AE3281">
        <w:rPr>
          <w:rFonts w:cs="Times New Roman"/>
          <w:szCs w:val="24"/>
        </w:rPr>
        <w:t>Nigeria</w:t>
      </w:r>
      <w:proofErr w:type="gramEnd"/>
      <w:r w:rsidRPr="00AE3281">
        <w:rPr>
          <w:rFonts w:cs="Times New Roman"/>
          <w:szCs w:val="24"/>
        </w:rPr>
        <w:t xml:space="preserve"> and Pakistan. Indeed, for the peak of Q3 2022</w:t>
      </w:r>
      <w:r w:rsidR="00810A2B" w:rsidRPr="00AE3281">
        <w:rPr>
          <w:rFonts w:cs="Times New Roman"/>
          <w:szCs w:val="24"/>
        </w:rPr>
        <w:t>,</w:t>
      </w:r>
      <w:r w:rsidRPr="00AE3281">
        <w:rPr>
          <w:rFonts w:cs="Times New Roman"/>
          <w:szCs w:val="24"/>
        </w:rPr>
        <w:t xml:space="preserve"> we see over a quarter of a million visas issued for India (283,801). In the same quarter</w:t>
      </w:r>
      <w:r w:rsidR="00810A2B" w:rsidRPr="00AE3281">
        <w:rPr>
          <w:rFonts w:cs="Times New Roman"/>
          <w:szCs w:val="24"/>
        </w:rPr>
        <w:t>,</w:t>
      </w:r>
      <w:r w:rsidRPr="00AE3281">
        <w:rPr>
          <w:rFonts w:cs="Times New Roman"/>
          <w:szCs w:val="24"/>
        </w:rPr>
        <w:t xml:space="preserve"> Nigerian applicants received 95,099 visas and Pakistan around half that number (48,921). There is a significant ‘peak’ for the Ukraine scheme, but very time concentrated.</w:t>
      </w:r>
    </w:p>
    <w:p w14:paraId="674C3C05" w14:textId="71A209F4" w:rsidR="009A56B4" w:rsidRPr="00AE3281" w:rsidRDefault="00810A2B" w:rsidP="009A56B4">
      <w:pPr>
        <w:jc w:val="both"/>
        <w:rPr>
          <w:rFonts w:cs="Times New Roman"/>
          <w:szCs w:val="24"/>
        </w:rPr>
      </w:pPr>
      <w:r w:rsidRPr="00AE3281">
        <w:rPr>
          <w:rFonts w:cs="Times New Roman"/>
          <w:szCs w:val="24"/>
        </w:rPr>
        <w:t xml:space="preserve">All </w:t>
      </w:r>
      <w:r w:rsidR="009A56B4" w:rsidRPr="00AE3281">
        <w:rPr>
          <w:rFonts w:cs="Times New Roman"/>
          <w:szCs w:val="24"/>
        </w:rPr>
        <w:t>these numbers (both for new NINOs and for visas) show a marked increase in migration from non-EU countries in the period since 2021.</w:t>
      </w:r>
    </w:p>
    <w:p w14:paraId="72A77E9B" w14:textId="54752A75" w:rsidR="009A56B4" w:rsidRPr="00AE3281" w:rsidRDefault="009A56B4" w:rsidP="009A56B4">
      <w:pPr>
        <w:pStyle w:val="Caption"/>
        <w:keepNext/>
        <w:jc w:val="both"/>
        <w:rPr>
          <w:rFonts w:cs="Times New Roman"/>
          <w:szCs w:val="24"/>
        </w:rPr>
      </w:pPr>
      <w:bookmarkStart w:id="3" w:name="_Ref138172582"/>
      <w:r w:rsidRPr="00AE3281">
        <w:rPr>
          <w:rFonts w:cs="Times New Roman"/>
        </w:rPr>
        <w:t xml:space="preserve">Figure </w:t>
      </w:r>
      <w:r w:rsidRPr="00AE3281">
        <w:rPr>
          <w:rFonts w:cs="Times New Roman"/>
          <w:noProof/>
        </w:rPr>
        <w:fldChar w:fldCharType="begin"/>
      </w:r>
      <w:r w:rsidRPr="00AE3281">
        <w:rPr>
          <w:rFonts w:cs="Times New Roman"/>
          <w:noProof/>
        </w:rPr>
        <w:instrText xml:space="preserve"> SEQ Figure \* ARABIC </w:instrText>
      </w:r>
      <w:r w:rsidRPr="00AE3281">
        <w:rPr>
          <w:rFonts w:cs="Times New Roman"/>
          <w:noProof/>
        </w:rPr>
        <w:fldChar w:fldCharType="separate"/>
      </w:r>
      <w:r w:rsidR="00C57AAA">
        <w:rPr>
          <w:rFonts w:cs="Times New Roman"/>
          <w:noProof/>
        </w:rPr>
        <w:t>2</w:t>
      </w:r>
      <w:r w:rsidRPr="00AE3281">
        <w:rPr>
          <w:rFonts w:cs="Times New Roman"/>
          <w:noProof/>
        </w:rPr>
        <w:fldChar w:fldCharType="end"/>
      </w:r>
      <w:bookmarkEnd w:id="3"/>
      <w:r w:rsidRPr="00AE3281">
        <w:rPr>
          <w:rFonts w:cs="Times New Roman"/>
        </w:rPr>
        <w:tab/>
        <w:t>Visas issued, by origin, for 2015Q1-2023Q1. [note separate vertical axes for each country]</w:t>
      </w:r>
    </w:p>
    <w:p w14:paraId="1EB0E4A4" w14:textId="77777777" w:rsidR="009A56B4" w:rsidRPr="00AE3281" w:rsidRDefault="009A56B4" w:rsidP="009A56B4">
      <w:pPr>
        <w:jc w:val="both"/>
        <w:rPr>
          <w:rFonts w:cs="Times New Roman"/>
        </w:rPr>
      </w:pPr>
      <w:r w:rsidRPr="00AE3281">
        <w:rPr>
          <w:rFonts w:cs="Times New Roman"/>
          <w:noProof/>
          <w:lang w:eastAsia="en-GB"/>
        </w:rPr>
        <w:drawing>
          <wp:inline distT="0" distB="0" distL="0" distR="0" wp14:anchorId="351DB8D4" wp14:editId="50486ACA">
            <wp:extent cx="5731510" cy="4511040"/>
            <wp:effectExtent l="0" t="0" r="2540" b="0"/>
            <wp:docPr id="380460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511040"/>
                    </a:xfrm>
                    <a:prstGeom prst="rect">
                      <a:avLst/>
                    </a:prstGeom>
                    <a:noFill/>
                    <a:ln>
                      <a:noFill/>
                    </a:ln>
                  </pic:spPr>
                </pic:pic>
              </a:graphicData>
            </a:graphic>
          </wp:inline>
        </w:drawing>
      </w:r>
    </w:p>
    <w:p w14:paraId="03402373" w14:textId="77777777" w:rsidR="009A56B4" w:rsidRPr="00AE3281" w:rsidRDefault="009A56B4" w:rsidP="009A56B4">
      <w:pPr>
        <w:jc w:val="both"/>
        <w:rPr>
          <w:rFonts w:cs="Times New Roman"/>
          <w:sz w:val="20"/>
          <w:szCs w:val="20"/>
        </w:rPr>
      </w:pPr>
      <w:r w:rsidRPr="00AE3281">
        <w:rPr>
          <w:rFonts w:cs="Times New Roman"/>
          <w:sz w:val="20"/>
          <w:szCs w:val="20"/>
        </w:rPr>
        <w:t>Source:</w:t>
      </w:r>
      <w:r w:rsidRPr="00AE3281">
        <w:rPr>
          <w:rFonts w:cs="Times New Roman"/>
        </w:rPr>
        <w:t xml:space="preserve"> </w:t>
      </w:r>
      <w:r w:rsidRPr="00AE3281">
        <w:rPr>
          <w:rFonts w:cs="Times New Roman"/>
          <w:sz w:val="20"/>
          <w:szCs w:val="20"/>
        </w:rPr>
        <w:t>Visas issued by quarter.</w:t>
      </w:r>
    </w:p>
    <w:p w14:paraId="4E9CAB46" w14:textId="77777777" w:rsidR="009A56B4" w:rsidRPr="00AE3281" w:rsidRDefault="009A56B4" w:rsidP="009A56B4">
      <w:pPr>
        <w:jc w:val="both"/>
        <w:rPr>
          <w:rFonts w:cs="Times New Roman"/>
          <w:b/>
          <w:bCs/>
          <w:i/>
          <w:iCs/>
        </w:rPr>
      </w:pPr>
    </w:p>
    <w:p w14:paraId="79080227" w14:textId="231944EB" w:rsidR="009A56B4" w:rsidRPr="00AE3281" w:rsidRDefault="009A56B4" w:rsidP="009A56B4">
      <w:pPr>
        <w:jc w:val="both"/>
        <w:rPr>
          <w:rFonts w:cs="Times New Roman"/>
          <w:b/>
          <w:bCs/>
          <w:i/>
          <w:iCs/>
        </w:rPr>
      </w:pPr>
      <w:r w:rsidRPr="00AE3281">
        <w:rPr>
          <w:rFonts w:cs="Times New Roman"/>
          <w:b/>
          <w:bCs/>
          <w:i/>
          <w:iCs/>
        </w:rPr>
        <w:t>Analysis of individual-level data</w:t>
      </w:r>
    </w:p>
    <w:p w14:paraId="22423DDE" w14:textId="38F7C3CD" w:rsidR="00640169" w:rsidRPr="00AE3281" w:rsidRDefault="00640169" w:rsidP="005B3738">
      <w:pPr>
        <w:jc w:val="both"/>
        <w:rPr>
          <w:rFonts w:cs="Times New Roman"/>
          <w:szCs w:val="24"/>
        </w:rPr>
      </w:pPr>
      <w:r w:rsidRPr="00AE3281">
        <w:rPr>
          <w:rFonts w:cs="Times New Roman"/>
          <w:szCs w:val="24"/>
        </w:rPr>
        <w:t>Our study is based on those aged 16-65, who</w:t>
      </w:r>
      <w:r w:rsidR="00B20E4B" w:rsidRPr="00AE3281">
        <w:rPr>
          <w:rFonts w:cs="Times New Roman"/>
          <w:szCs w:val="24"/>
        </w:rPr>
        <w:t xml:space="preserve"> represent the key </w:t>
      </w:r>
      <w:r w:rsidR="00810A2B" w:rsidRPr="00AE3281">
        <w:rPr>
          <w:rFonts w:cs="Times New Roman"/>
          <w:szCs w:val="24"/>
        </w:rPr>
        <w:t>working-age</w:t>
      </w:r>
      <w:r w:rsidR="00B20E4B" w:rsidRPr="00AE3281">
        <w:rPr>
          <w:rFonts w:cs="Times New Roman"/>
          <w:szCs w:val="24"/>
        </w:rPr>
        <w:t xml:space="preserve"> </w:t>
      </w:r>
      <w:r w:rsidR="004D783A" w:rsidRPr="00AE3281">
        <w:rPr>
          <w:rFonts w:cs="Times New Roman"/>
          <w:szCs w:val="24"/>
        </w:rPr>
        <w:t>population</w:t>
      </w:r>
      <w:r w:rsidRPr="00AE3281">
        <w:rPr>
          <w:rFonts w:cs="Times New Roman"/>
          <w:szCs w:val="24"/>
        </w:rPr>
        <w:t xml:space="preserve"> in the UK</w:t>
      </w:r>
      <w:r w:rsidR="004D783A" w:rsidRPr="00AE3281">
        <w:rPr>
          <w:rFonts w:cs="Times New Roman"/>
          <w:szCs w:val="24"/>
        </w:rPr>
        <w:t xml:space="preserve">. </w:t>
      </w:r>
      <w:r w:rsidRPr="00AE3281">
        <w:rPr>
          <w:rFonts w:cs="Times New Roman"/>
          <w:szCs w:val="24"/>
        </w:rPr>
        <w:t xml:space="preserve">The analysis is based on data from </w:t>
      </w:r>
      <w:r w:rsidR="00B20E4B" w:rsidRPr="00AE3281">
        <w:rPr>
          <w:rFonts w:cs="Times New Roman"/>
          <w:szCs w:val="24"/>
        </w:rPr>
        <w:t xml:space="preserve">2012 </w:t>
      </w:r>
      <w:r w:rsidR="00DE62C5" w:rsidRPr="00AE3281">
        <w:rPr>
          <w:rFonts w:cs="Times New Roman"/>
          <w:szCs w:val="24"/>
        </w:rPr>
        <w:t>to</w:t>
      </w:r>
      <w:r w:rsidRPr="00AE3281">
        <w:rPr>
          <w:rFonts w:cs="Times New Roman"/>
          <w:szCs w:val="24"/>
        </w:rPr>
        <w:t xml:space="preserve"> 2022. Data from earlier years (such as </w:t>
      </w:r>
      <w:r w:rsidR="00B20E4B" w:rsidRPr="00AE3281">
        <w:rPr>
          <w:rFonts w:cs="Times New Roman"/>
          <w:szCs w:val="24"/>
        </w:rPr>
        <w:t>2011</w:t>
      </w:r>
      <w:r w:rsidRPr="00AE3281">
        <w:rPr>
          <w:rFonts w:cs="Times New Roman"/>
          <w:szCs w:val="24"/>
        </w:rPr>
        <w:t xml:space="preserve">) </w:t>
      </w:r>
      <w:r w:rsidR="00B20E4B" w:rsidRPr="00AE3281">
        <w:rPr>
          <w:rFonts w:cs="Times New Roman"/>
          <w:szCs w:val="24"/>
        </w:rPr>
        <w:t xml:space="preserve">did not identify </w:t>
      </w:r>
      <w:r w:rsidR="004D783A" w:rsidRPr="00AE3281">
        <w:rPr>
          <w:rFonts w:cs="Times New Roman"/>
          <w:szCs w:val="24"/>
        </w:rPr>
        <w:t>nationality</w:t>
      </w:r>
      <w:r w:rsidR="00B20E4B" w:rsidRPr="00AE3281">
        <w:rPr>
          <w:rFonts w:cs="Times New Roman"/>
          <w:szCs w:val="24"/>
        </w:rPr>
        <w:t xml:space="preserve"> to the same detail.</w:t>
      </w:r>
      <w:r w:rsidRPr="00AE3281">
        <w:rPr>
          <w:rFonts w:cs="Times New Roman"/>
          <w:szCs w:val="24"/>
        </w:rPr>
        <w:t xml:space="preserve"> Table 1 shows basic descriptive statistics for the variety of independent and dependent variables used later in the statistical analysis.</w:t>
      </w:r>
    </w:p>
    <w:p w14:paraId="5A58EC82" w14:textId="77777777" w:rsidR="001151E0" w:rsidRPr="00AE3281" w:rsidRDefault="001151E0" w:rsidP="005B3738">
      <w:pPr>
        <w:jc w:val="both"/>
        <w:rPr>
          <w:rFonts w:cs="Times New Roman"/>
          <w:szCs w:val="24"/>
        </w:rPr>
      </w:pPr>
    </w:p>
    <w:p w14:paraId="6CE3E60F" w14:textId="3CD91A29" w:rsidR="001151E0" w:rsidRPr="00AE3281" w:rsidRDefault="6C401F3D" w:rsidP="005B3738">
      <w:pPr>
        <w:pStyle w:val="Caption"/>
        <w:keepNext/>
        <w:jc w:val="both"/>
        <w:rPr>
          <w:rFonts w:cs="Times New Roman"/>
        </w:rPr>
      </w:pPr>
      <w:r w:rsidRPr="00AE3281">
        <w:rPr>
          <w:rFonts w:cs="Times New Roman"/>
        </w:rPr>
        <w:lastRenderedPageBreak/>
        <w:t xml:space="preserve">Table </w:t>
      </w:r>
      <w:r w:rsidR="001151E0" w:rsidRPr="00AE3281">
        <w:rPr>
          <w:rFonts w:cs="Times New Roman"/>
          <w:noProof/>
        </w:rPr>
        <w:fldChar w:fldCharType="begin"/>
      </w:r>
      <w:r w:rsidR="001151E0" w:rsidRPr="00AE3281">
        <w:rPr>
          <w:rFonts w:cs="Times New Roman"/>
          <w:noProof/>
        </w:rPr>
        <w:instrText xml:space="preserve"> SEQ Table \* ARABIC </w:instrText>
      </w:r>
      <w:r w:rsidR="001151E0" w:rsidRPr="00AE3281">
        <w:rPr>
          <w:rFonts w:cs="Times New Roman"/>
          <w:noProof/>
        </w:rPr>
        <w:fldChar w:fldCharType="separate"/>
      </w:r>
      <w:r w:rsidR="00C57AAA">
        <w:rPr>
          <w:rFonts w:cs="Times New Roman"/>
          <w:noProof/>
        </w:rPr>
        <w:t>1</w:t>
      </w:r>
      <w:r w:rsidR="001151E0" w:rsidRPr="00AE3281">
        <w:rPr>
          <w:rFonts w:cs="Times New Roman"/>
          <w:noProof/>
        </w:rPr>
        <w:fldChar w:fldCharType="end"/>
      </w:r>
      <w:r w:rsidR="001151E0" w:rsidRPr="00AE3281">
        <w:rPr>
          <w:rFonts w:cs="Times New Roman"/>
        </w:rPr>
        <w:tab/>
      </w:r>
      <w:r w:rsidRPr="00AE3281">
        <w:rPr>
          <w:rFonts w:cs="Times New Roman"/>
        </w:rPr>
        <w:t>Descriptive statistics on independent and dependent variables</w:t>
      </w:r>
    </w:p>
    <w:tbl>
      <w:tblPr>
        <w:tblW w:w="9072" w:type="dxa"/>
        <w:tblLayout w:type="fixed"/>
        <w:tblLook w:val="04A0" w:firstRow="1" w:lastRow="0" w:firstColumn="1" w:lastColumn="0" w:noHBand="0" w:noVBand="1"/>
      </w:tblPr>
      <w:tblGrid>
        <w:gridCol w:w="2100"/>
        <w:gridCol w:w="1394"/>
        <w:gridCol w:w="1394"/>
        <w:gridCol w:w="1395"/>
        <w:gridCol w:w="1394"/>
        <w:gridCol w:w="1395"/>
      </w:tblGrid>
      <w:tr w:rsidR="00095E72" w:rsidRPr="00AE3281" w14:paraId="2FA76DC2" w14:textId="77777777" w:rsidTr="454E41B1">
        <w:trPr>
          <w:trHeight w:val="300"/>
        </w:trPr>
        <w:tc>
          <w:tcPr>
            <w:tcW w:w="2100" w:type="dxa"/>
            <w:tcBorders>
              <w:top w:val="single" w:sz="4" w:space="0" w:color="auto"/>
              <w:left w:val="nil"/>
              <w:bottom w:val="single" w:sz="4" w:space="0" w:color="auto"/>
              <w:right w:val="nil"/>
            </w:tcBorders>
            <w:shd w:val="clear" w:color="auto" w:fill="auto"/>
            <w:noWrap/>
            <w:vAlign w:val="bottom"/>
            <w:hideMark/>
          </w:tcPr>
          <w:p w14:paraId="60C0BDF9" w14:textId="77777777" w:rsidR="00095E72" w:rsidRPr="00AE3281" w:rsidRDefault="00095E72" w:rsidP="005B3738">
            <w:pPr>
              <w:keepNext/>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Variable</w:t>
            </w:r>
          </w:p>
        </w:tc>
        <w:tc>
          <w:tcPr>
            <w:tcW w:w="1394" w:type="dxa"/>
            <w:tcBorders>
              <w:top w:val="single" w:sz="4" w:space="0" w:color="auto"/>
              <w:left w:val="nil"/>
              <w:bottom w:val="single" w:sz="4" w:space="0" w:color="auto"/>
              <w:right w:val="nil"/>
            </w:tcBorders>
            <w:shd w:val="clear" w:color="auto" w:fill="auto"/>
            <w:noWrap/>
            <w:vAlign w:val="bottom"/>
            <w:hideMark/>
          </w:tcPr>
          <w:p w14:paraId="5D44DA30" w14:textId="77777777" w:rsidR="00095E72" w:rsidRPr="00AE3281" w:rsidRDefault="00095E72" w:rsidP="00B57BE5">
            <w:pPr>
              <w:keepNext/>
              <w:spacing w:after="0" w:line="240" w:lineRule="auto"/>
              <w:jc w:val="right"/>
              <w:rPr>
                <w:rFonts w:eastAsia="Times New Roman" w:cs="Times New Roman"/>
                <w:color w:val="000000"/>
                <w:sz w:val="22"/>
                <w:lang w:eastAsia="en-GB"/>
              </w:rPr>
            </w:pPr>
            <w:proofErr w:type="spellStart"/>
            <w:r w:rsidRPr="00AE3281">
              <w:rPr>
                <w:rFonts w:eastAsia="Times New Roman" w:cs="Times New Roman"/>
                <w:color w:val="000000"/>
                <w:sz w:val="22"/>
                <w:lang w:eastAsia="en-GB"/>
              </w:rPr>
              <w:t>Obs</w:t>
            </w:r>
            <w:proofErr w:type="spellEnd"/>
          </w:p>
        </w:tc>
        <w:tc>
          <w:tcPr>
            <w:tcW w:w="1394" w:type="dxa"/>
            <w:tcBorders>
              <w:top w:val="single" w:sz="4" w:space="0" w:color="auto"/>
              <w:left w:val="nil"/>
              <w:bottom w:val="single" w:sz="4" w:space="0" w:color="auto"/>
              <w:right w:val="nil"/>
            </w:tcBorders>
            <w:shd w:val="clear" w:color="auto" w:fill="auto"/>
            <w:noWrap/>
            <w:vAlign w:val="bottom"/>
            <w:hideMark/>
          </w:tcPr>
          <w:p w14:paraId="35735062" w14:textId="77777777" w:rsidR="00095E72" w:rsidRPr="00AE3281" w:rsidRDefault="00095E72" w:rsidP="00B57BE5">
            <w:pPr>
              <w:keepNext/>
              <w:spacing w:after="0" w:line="240" w:lineRule="auto"/>
              <w:jc w:val="right"/>
              <w:rPr>
                <w:rFonts w:eastAsia="Times New Roman" w:cs="Times New Roman"/>
                <w:color w:val="000000"/>
                <w:sz w:val="22"/>
                <w:lang w:eastAsia="en-GB"/>
              </w:rPr>
            </w:pPr>
            <w:r w:rsidRPr="00AE3281">
              <w:rPr>
                <w:rFonts w:eastAsia="Times New Roman" w:cs="Times New Roman"/>
                <w:color w:val="000000"/>
                <w:sz w:val="22"/>
                <w:lang w:eastAsia="en-GB"/>
              </w:rPr>
              <w:t>Mean</w:t>
            </w:r>
          </w:p>
        </w:tc>
        <w:tc>
          <w:tcPr>
            <w:tcW w:w="1395" w:type="dxa"/>
            <w:tcBorders>
              <w:top w:val="single" w:sz="4" w:space="0" w:color="auto"/>
              <w:left w:val="nil"/>
              <w:bottom w:val="single" w:sz="4" w:space="0" w:color="auto"/>
              <w:right w:val="nil"/>
            </w:tcBorders>
            <w:shd w:val="clear" w:color="auto" w:fill="auto"/>
            <w:noWrap/>
            <w:vAlign w:val="bottom"/>
            <w:hideMark/>
          </w:tcPr>
          <w:p w14:paraId="23DF9D7D" w14:textId="51E51FF4" w:rsidR="00095E72" w:rsidRPr="00AE3281" w:rsidRDefault="00095E72" w:rsidP="00B57BE5">
            <w:pPr>
              <w:keepNext/>
              <w:spacing w:after="0" w:line="240" w:lineRule="auto"/>
              <w:jc w:val="right"/>
              <w:rPr>
                <w:rFonts w:eastAsia="Times New Roman" w:cs="Times New Roman"/>
                <w:color w:val="000000"/>
                <w:sz w:val="22"/>
                <w:lang w:eastAsia="en-GB"/>
              </w:rPr>
            </w:pPr>
            <w:proofErr w:type="spellStart"/>
            <w:r w:rsidRPr="00AE3281">
              <w:rPr>
                <w:rFonts w:eastAsia="Times New Roman" w:cs="Times New Roman"/>
                <w:color w:val="000000"/>
                <w:sz w:val="22"/>
                <w:lang w:eastAsia="en-GB"/>
              </w:rPr>
              <w:t>Std.dev</w:t>
            </w:r>
            <w:proofErr w:type="spellEnd"/>
          </w:p>
        </w:tc>
        <w:tc>
          <w:tcPr>
            <w:tcW w:w="1394" w:type="dxa"/>
            <w:tcBorders>
              <w:top w:val="single" w:sz="4" w:space="0" w:color="auto"/>
              <w:left w:val="nil"/>
              <w:bottom w:val="single" w:sz="4" w:space="0" w:color="auto"/>
              <w:right w:val="nil"/>
            </w:tcBorders>
            <w:shd w:val="clear" w:color="auto" w:fill="auto"/>
            <w:noWrap/>
            <w:vAlign w:val="bottom"/>
            <w:hideMark/>
          </w:tcPr>
          <w:p w14:paraId="54A98EBD" w14:textId="77777777" w:rsidR="00095E72" w:rsidRPr="00AE3281" w:rsidRDefault="00095E72" w:rsidP="00B57BE5">
            <w:pPr>
              <w:keepNext/>
              <w:spacing w:after="0" w:line="240" w:lineRule="auto"/>
              <w:jc w:val="center"/>
              <w:rPr>
                <w:rFonts w:eastAsia="Times New Roman" w:cs="Times New Roman"/>
                <w:color w:val="000000"/>
                <w:sz w:val="22"/>
                <w:lang w:eastAsia="en-GB"/>
              </w:rPr>
            </w:pPr>
            <w:r w:rsidRPr="00AE3281">
              <w:rPr>
                <w:rFonts w:eastAsia="Times New Roman" w:cs="Times New Roman"/>
                <w:color w:val="000000"/>
                <w:sz w:val="22"/>
                <w:lang w:eastAsia="en-GB"/>
              </w:rPr>
              <w:t>Min</w:t>
            </w:r>
          </w:p>
        </w:tc>
        <w:tc>
          <w:tcPr>
            <w:tcW w:w="1395" w:type="dxa"/>
            <w:tcBorders>
              <w:top w:val="single" w:sz="4" w:space="0" w:color="auto"/>
              <w:left w:val="nil"/>
              <w:bottom w:val="single" w:sz="4" w:space="0" w:color="auto"/>
              <w:right w:val="nil"/>
            </w:tcBorders>
            <w:shd w:val="clear" w:color="auto" w:fill="auto"/>
            <w:noWrap/>
            <w:vAlign w:val="bottom"/>
            <w:hideMark/>
          </w:tcPr>
          <w:p w14:paraId="07D5C9B2" w14:textId="77777777" w:rsidR="00095E72" w:rsidRPr="00AE3281" w:rsidRDefault="00095E72" w:rsidP="00B57BE5">
            <w:pPr>
              <w:keepNext/>
              <w:spacing w:after="0" w:line="240" w:lineRule="auto"/>
              <w:jc w:val="center"/>
              <w:rPr>
                <w:rFonts w:eastAsia="Times New Roman" w:cs="Times New Roman"/>
                <w:color w:val="000000"/>
                <w:sz w:val="22"/>
                <w:lang w:eastAsia="en-GB"/>
              </w:rPr>
            </w:pPr>
            <w:r w:rsidRPr="00AE3281">
              <w:rPr>
                <w:rFonts w:eastAsia="Times New Roman" w:cs="Times New Roman"/>
                <w:color w:val="000000"/>
                <w:sz w:val="22"/>
                <w:lang w:eastAsia="en-GB"/>
              </w:rPr>
              <w:t>Max</w:t>
            </w:r>
          </w:p>
        </w:tc>
      </w:tr>
      <w:tr w:rsidR="00095E72" w:rsidRPr="00AE3281" w14:paraId="78EF2362" w14:textId="77777777" w:rsidTr="454E41B1">
        <w:trPr>
          <w:trHeight w:val="300"/>
        </w:trPr>
        <w:tc>
          <w:tcPr>
            <w:tcW w:w="2100" w:type="dxa"/>
            <w:tcBorders>
              <w:top w:val="single" w:sz="4" w:space="0" w:color="auto"/>
              <w:left w:val="nil"/>
              <w:bottom w:val="nil"/>
              <w:right w:val="nil"/>
            </w:tcBorders>
            <w:shd w:val="clear" w:color="auto" w:fill="auto"/>
            <w:noWrap/>
            <w:vAlign w:val="bottom"/>
            <w:hideMark/>
          </w:tcPr>
          <w:p w14:paraId="452A78E1" w14:textId="7D33DA04" w:rsidR="00095E72" w:rsidRPr="00AE3281" w:rsidRDefault="00A4568D" w:rsidP="005B3738">
            <w:pPr>
              <w:keepNext/>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Female</w:t>
            </w:r>
          </w:p>
        </w:tc>
        <w:tc>
          <w:tcPr>
            <w:tcW w:w="1394" w:type="dxa"/>
            <w:tcBorders>
              <w:top w:val="single" w:sz="4" w:space="0" w:color="auto"/>
              <w:left w:val="nil"/>
              <w:bottom w:val="nil"/>
              <w:right w:val="nil"/>
            </w:tcBorders>
            <w:shd w:val="clear" w:color="auto" w:fill="auto"/>
            <w:noWrap/>
            <w:vAlign w:val="bottom"/>
            <w:hideMark/>
          </w:tcPr>
          <w:p w14:paraId="1E601FF5" w14:textId="27B6B9C1" w:rsidR="6C401F3D" w:rsidRPr="00AE3281" w:rsidRDefault="454E41B1" w:rsidP="00701430">
            <w:pPr>
              <w:keepNext/>
              <w:spacing w:after="0"/>
              <w:jc w:val="right"/>
              <w:rPr>
                <w:rFonts w:cs="Times New Roman"/>
              </w:rPr>
            </w:pPr>
            <w:r w:rsidRPr="454E41B1">
              <w:rPr>
                <w:rFonts w:eastAsia="Arial" w:cs="Times New Roman"/>
                <w:sz w:val="20"/>
                <w:szCs w:val="20"/>
              </w:rPr>
              <w:t>1,744,188</w:t>
            </w:r>
          </w:p>
        </w:tc>
        <w:tc>
          <w:tcPr>
            <w:tcW w:w="1394" w:type="dxa"/>
            <w:tcBorders>
              <w:top w:val="single" w:sz="4" w:space="0" w:color="auto"/>
              <w:left w:val="nil"/>
              <w:bottom w:val="nil"/>
              <w:right w:val="nil"/>
            </w:tcBorders>
            <w:shd w:val="clear" w:color="auto" w:fill="auto"/>
            <w:noWrap/>
            <w:vAlign w:val="bottom"/>
            <w:hideMark/>
          </w:tcPr>
          <w:p w14:paraId="71DC65A1" w14:textId="12E15459" w:rsidR="6C401F3D" w:rsidRPr="00AE3281" w:rsidRDefault="454E41B1" w:rsidP="00701430">
            <w:pPr>
              <w:keepNext/>
              <w:spacing w:after="0"/>
              <w:jc w:val="right"/>
              <w:rPr>
                <w:rFonts w:cs="Times New Roman"/>
              </w:rPr>
            </w:pPr>
            <w:r w:rsidRPr="454E41B1">
              <w:rPr>
                <w:rFonts w:eastAsia="Arial" w:cs="Times New Roman"/>
                <w:sz w:val="20"/>
                <w:szCs w:val="20"/>
              </w:rPr>
              <w:t>0.524436</w:t>
            </w:r>
          </w:p>
        </w:tc>
        <w:tc>
          <w:tcPr>
            <w:tcW w:w="1395" w:type="dxa"/>
            <w:tcBorders>
              <w:top w:val="single" w:sz="4" w:space="0" w:color="auto"/>
              <w:left w:val="nil"/>
              <w:bottom w:val="nil"/>
              <w:right w:val="nil"/>
            </w:tcBorders>
            <w:shd w:val="clear" w:color="auto" w:fill="auto"/>
            <w:noWrap/>
            <w:vAlign w:val="bottom"/>
            <w:hideMark/>
          </w:tcPr>
          <w:p w14:paraId="0EEBB085" w14:textId="05E6DBE5" w:rsidR="6C401F3D" w:rsidRPr="00AE3281" w:rsidRDefault="454E41B1" w:rsidP="00701430">
            <w:pPr>
              <w:keepNext/>
              <w:spacing w:after="0"/>
              <w:jc w:val="right"/>
              <w:rPr>
                <w:rFonts w:cs="Times New Roman"/>
              </w:rPr>
            </w:pPr>
            <w:r w:rsidRPr="454E41B1">
              <w:rPr>
                <w:rFonts w:eastAsia="Arial" w:cs="Times New Roman"/>
                <w:sz w:val="20"/>
                <w:szCs w:val="20"/>
              </w:rPr>
              <w:t>0.4994027</w:t>
            </w:r>
          </w:p>
        </w:tc>
        <w:tc>
          <w:tcPr>
            <w:tcW w:w="1394" w:type="dxa"/>
            <w:tcBorders>
              <w:top w:val="single" w:sz="4" w:space="0" w:color="auto"/>
              <w:left w:val="nil"/>
              <w:bottom w:val="nil"/>
              <w:right w:val="nil"/>
            </w:tcBorders>
            <w:shd w:val="clear" w:color="auto" w:fill="auto"/>
            <w:noWrap/>
            <w:vAlign w:val="bottom"/>
            <w:hideMark/>
          </w:tcPr>
          <w:p w14:paraId="1988B569" w14:textId="66A6B723" w:rsidR="6C401F3D" w:rsidRPr="00AE3281" w:rsidRDefault="454E41B1" w:rsidP="00701430">
            <w:pPr>
              <w:keepNext/>
              <w:spacing w:after="0"/>
              <w:jc w:val="right"/>
              <w:rPr>
                <w:rFonts w:cs="Times New Roman"/>
              </w:rPr>
            </w:pPr>
            <w:r w:rsidRPr="454E41B1">
              <w:rPr>
                <w:rFonts w:eastAsia="Arial" w:cs="Times New Roman"/>
                <w:sz w:val="20"/>
                <w:szCs w:val="20"/>
              </w:rPr>
              <w:t>0</w:t>
            </w:r>
          </w:p>
        </w:tc>
        <w:tc>
          <w:tcPr>
            <w:tcW w:w="1395" w:type="dxa"/>
            <w:tcBorders>
              <w:top w:val="single" w:sz="4" w:space="0" w:color="auto"/>
              <w:left w:val="nil"/>
              <w:bottom w:val="nil"/>
              <w:right w:val="nil"/>
            </w:tcBorders>
            <w:shd w:val="clear" w:color="auto" w:fill="auto"/>
            <w:noWrap/>
            <w:vAlign w:val="bottom"/>
            <w:hideMark/>
          </w:tcPr>
          <w:p w14:paraId="2FC901D3" w14:textId="2AA6D126" w:rsidR="6C401F3D" w:rsidRPr="00AE3281" w:rsidRDefault="454E41B1" w:rsidP="00701430">
            <w:pPr>
              <w:keepNext/>
              <w:spacing w:after="0"/>
              <w:jc w:val="right"/>
              <w:rPr>
                <w:rFonts w:cs="Times New Roman"/>
              </w:rPr>
            </w:pPr>
            <w:r w:rsidRPr="454E41B1">
              <w:rPr>
                <w:rFonts w:eastAsia="Arial" w:cs="Times New Roman"/>
                <w:sz w:val="20"/>
                <w:szCs w:val="20"/>
              </w:rPr>
              <w:t>1</w:t>
            </w:r>
          </w:p>
        </w:tc>
      </w:tr>
      <w:tr w:rsidR="00095E72" w:rsidRPr="00AE3281" w14:paraId="57F0B0F1" w14:textId="77777777" w:rsidTr="454E41B1">
        <w:trPr>
          <w:trHeight w:val="300"/>
        </w:trPr>
        <w:tc>
          <w:tcPr>
            <w:tcW w:w="2100" w:type="dxa"/>
            <w:tcBorders>
              <w:top w:val="nil"/>
              <w:left w:val="nil"/>
              <w:bottom w:val="nil"/>
              <w:right w:val="nil"/>
            </w:tcBorders>
            <w:shd w:val="clear" w:color="auto" w:fill="auto"/>
            <w:noWrap/>
            <w:vAlign w:val="bottom"/>
            <w:hideMark/>
          </w:tcPr>
          <w:p w14:paraId="092D64B6" w14:textId="205E35A3" w:rsidR="00095E72" w:rsidRPr="00AE3281" w:rsidRDefault="00A4568D" w:rsidP="005B3738">
            <w:pPr>
              <w:keepNext/>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Age</w:t>
            </w:r>
          </w:p>
        </w:tc>
        <w:tc>
          <w:tcPr>
            <w:tcW w:w="1394" w:type="dxa"/>
            <w:tcBorders>
              <w:top w:val="nil"/>
              <w:left w:val="nil"/>
              <w:bottom w:val="nil"/>
              <w:right w:val="nil"/>
            </w:tcBorders>
            <w:shd w:val="clear" w:color="auto" w:fill="auto"/>
            <w:noWrap/>
            <w:vAlign w:val="bottom"/>
            <w:hideMark/>
          </w:tcPr>
          <w:p w14:paraId="3DB68757" w14:textId="25302155" w:rsidR="6C401F3D" w:rsidRPr="00AE3281" w:rsidRDefault="454E41B1" w:rsidP="00701430">
            <w:pPr>
              <w:keepNext/>
              <w:spacing w:after="0"/>
              <w:jc w:val="right"/>
              <w:rPr>
                <w:rFonts w:cs="Times New Roman"/>
              </w:rPr>
            </w:pPr>
            <w:r w:rsidRPr="454E41B1">
              <w:rPr>
                <w:rFonts w:eastAsia="Arial" w:cs="Times New Roman"/>
                <w:sz w:val="20"/>
                <w:szCs w:val="20"/>
              </w:rPr>
              <w:t>1,744,188</w:t>
            </w:r>
          </w:p>
        </w:tc>
        <w:tc>
          <w:tcPr>
            <w:tcW w:w="1394" w:type="dxa"/>
            <w:tcBorders>
              <w:top w:val="nil"/>
              <w:left w:val="nil"/>
              <w:bottom w:val="nil"/>
              <w:right w:val="nil"/>
            </w:tcBorders>
            <w:shd w:val="clear" w:color="auto" w:fill="auto"/>
            <w:noWrap/>
            <w:vAlign w:val="bottom"/>
            <w:hideMark/>
          </w:tcPr>
          <w:p w14:paraId="094A87E7" w14:textId="11256BD7" w:rsidR="6C401F3D" w:rsidRPr="00AE3281" w:rsidRDefault="454E41B1" w:rsidP="00701430">
            <w:pPr>
              <w:keepNext/>
              <w:spacing w:after="0"/>
              <w:jc w:val="right"/>
              <w:rPr>
                <w:rFonts w:cs="Times New Roman"/>
              </w:rPr>
            </w:pPr>
            <w:r w:rsidRPr="454E41B1">
              <w:rPr>
                <w:rFonts w:eastAsia="Arial" w:cs="Times New Roman"/>
                <w:sz w:val="20"/>
                <w:szCs w:val="20"/>
              </w:rPr>
              <w:t>42.74952</w:t>
            </w:r>
          </w:p>
        </w:tc>
        <w:tc>
          <w:tcPr>
            <w:tcW w:w="1395" w:type="dxa"/>
            <w:tcBorders>
              <w:top w:val="nil"/>
              <w:left w:val="nil"/>
              <w:bottom w:val="nil"/>
              <w:right w:val="nil"/>
            </w:tcBorders>
            <w:shd w:val="clear" w:color="auto" w:fill="auto"/>
            <w:noWrap/>
            <w:vAlign w:val="bottom"/>
            <w:hideMark/>
          </w:tcPr>
          <w:p w14:paraId="70F33B97" w14:textId="3131918D" w:rsidR="6C401F3D" w:rsidRPr="00AE3281" w:rsidRDefault="454E41B1" w:rsidP="00701430">
            <w:pPr>
              <w:keepNext/>
              <w:spacing w:after="0"/>
              <w:jc w:val="right"/>
              <w:rPr>
                <w:rFonts w:cs="Times New Roman"/>
              </w:rPr>
            </w:pPr>
            <w:r w:rsidRPr="454E41B1">
              <w:rPr>
                <w:rFonts w:eastAsia="Arial" w:cs="Times New Roman"/>
                <w:sz w:val="20"/>
                <w:szCs w:val="20"/>
              </w:rPr>
              <w:t>14.22961</w:t>
            </w:r>
          </w:p>
        </w:tc>
        <w:tc>
          <w:tcPr>
            <w:tcW w:w="1394" w:type="dxa"/>
            <w:tcBorders>
              <w:top w:val="nil"/>
              <w:left w:val="nil"/>
              <w:bottom w:val="nil"/>
              <w:right w:val="nil"/>
            </w:tcBorders>
            <w:shd w:val="clear" w:color="auto" w:fill="auto"/>
            <w:noWrap/>
            <w:vAlign w:val="bottom"/>
            <w:hideMark/>
          </w:tcPr>
          <w:p w14:paraId="3534ACAA" w14:textId="2B6F444C" w:rsidR="6C401F3D" w:rsidRPr="00AE3281" w:rsidRDefault="454E41B1" w:rsidP="00701430">
            <w:pPr>
              <w:keepNext/>
              <w:spacing w:after="0"/>
              <w:jc w:val="right"/>
              <w:rPr>
                <w:rFonts w:cs="Times New Roman"/>
              </w:rPr>
            </w:pPr>
            <w:r w:rsidRPr="454E41B1">
              <w:rPr>
                <w:rFonts w:eastAsia="Arial" w:cs="Times New Roman"/>
                <w:sz w:val="20"/>
                <w:szCs w:val="20"/>
              </w:rPr>
              <w:t>16</w:t>
            </w:r>
          </w:p>
        </w:tc>
        <w:tc>
          <w:tcPr>
            <w:tcW w:w="1395" w:type="dxa"/>
            <w:tcBorders>
              <w:top w:val="nil"/>
              <w:left w:val="nil"/>
              <w:bottom w:val="nil"/>
              <w:right w:val="nil"/>
            </w:tcBorders>
            <w:shd w:val="clear" w:color="auto" w:fill="auto"/>
            <w:noWrap/>
            <w:vAlign w:val="bottom"/>
            <w:hideMark/>
          </w:tcPr>
          <w:p w14:paraId="44CD2BBF" w14:textId="5968272E" w:rsidR="6C401F3D" w:rsidRPr="00AE3281" w:rsidRDefault="454E41B1" w:rsidP="00701430">
            <w:pPr>
              <w:keepNext/>
              <w:spacing w:after="0"/>
              <w:jc w:val="right"/>
              <w:rPr>
                <w:rFonts w:cs="Times New Roman"/>
              </w:rPr>
            </w:pPr>
            <w:r w:rsidRPr="454E41B1">
              <w:rPr>
                <w:rFonts w:eastAsia="Arial" w:cs="Times New Roman"/>
                <w:sz w:val="20"/>
                <w:szCs w:val="20"/>
              </w:rPr>
              <w:t>65</w:t>
            </w:r>
          </w:p>
        </w:tc>
      </w:tr>
      <w:tr w:rsidR="00095E72" w:rsidRPr="00AE3281" w14:paraId="6A7D6F3A" w14:textId="77777777" w:rsidTr="454E41B1">
        <w:trPr>
          <w:trHeight w:val="300"/>
        </w:trPr>
        <w:tc>
          <w:tcPr>
            <w:tcW w:w="2100" w:type="dxa"/>
            <w:tcBorders>
              <w:top w:val="nil"/>
              <w:left w:val="nil"/>
              <w:bottom w:val="nil"/>
              <w:right w:val="nil"/>
            </w:tcBorders>
            <w:shd w:val="clear" w:color="auto" w:fill="auto"/>
            <w:noWrap/>
            <w:vAlign w:val="bottom"/>
            <w:hideMark/>
          </w:tcPr>
          <w:p w14:paraId="5C5371CA" w14:textId="5EDE7329" w:rsidR="00095E72" w:rsidRPr="00AE3281" w:rsidRDefault="00A4568D" w:rsidP="005B3738">
            <w:pPr>
              <w:keepNext/>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Years in UK</w:t>
            </w:r>
          </w:p>
        </w:tc>
        <w:tc>
          <w:tcPr>
            <w:tcW w:w="1394" w:type="dxa"/>
            <w:tcBorders>
              <w:top w:val="nil"/>
              <w:left w:val="nil"/>
              <w:bottom w:val="nil"/>
              <w:right w:val="nil"/>
            </w:tcBorders>
            <w:shd w:val="clear" w:color="auto" w:fill="auto"/>
            <w:noWrap/>
            <w:vAlign w:val="bottom"/>
            <w:hideMark/>
          </w:tcPr>
          <w:p w14:paraId="7BB60207" w14:textId="73739B85" w:rsidR="6C401F3D" w:rsidRPr="00AE3281" w:rsidRDefault="454E41B1" w:rsidP="00701430">
            <w:pPr>
              <w:keepNext/>
              <w:spacing w:after="0"/>
              <w:jc w:val="right"/>
              <w:rPr>
                <w:rFonts w:cs="Times New Roman"/>
              </w:rPr>
            </w:pPr>
            <w:r w:rsidRPr="454E41B1">
              <w:rPr>
                <w:rFonts w:eastAsia="Arial" w:cs="Times New Roman"/>
                <w:sz w:val="20"/>
                <w:szCs w:val="20"/>
              </w:rPr>
              <w:t>189,313</w:t>
            </w:r>
          </w:p>
        </w:tc>
        <w:tc>
          <w:tcPr>
            <w:tcW w:w="1394" w:type="dxa"/>
            <w:tcBorders>
              <w:top w:val="nil"/>
              <w:left w:val="nil"/>
              <w:bottom w:val="nil"/>
              <w:right w:val="nil"/>
            </w:tcBorders>
            <w:shd w:val="clear" w:color="auto" w:fill="auto"/>
            <w:noWrap/>
            <w:vAlign w:val="bottom"/>
            <w:hideMark/>
          </w:tcPr>
          <w:p w14:paraId="002BDAE9" w14:textId="0AF5AA17" w:rsidR="6C401F3D" w:rsidRPr="00AE3281" w:rsidRDefault="454E41B1" w:rsidP="00701430">
            <w:pPr>
              <w:keepNext/>
              <w:spacing w:after="0"/>
              <w:jc w:val="right"/>
              <w:rPr>
                <w:rFonts w:cs="Times New Roman"/>
              </w:rPr>
            </w:pPr>
            <w:r w:rsidRPr="454E41B1">
              <w:rPr>
                <w:rFonts w:eastAsia="Arial" w:cs="Times New Roman"/>
                <w:sz w:val="20"/>
                <w:szCs w:val="20"/>
              </w:rPr>
              <w:t>20.26609</w:t>
            </w:r>
          </w:p>
        </w:tc>
        <w:tc>
          <w:tcPr>
            <w:tcW w:w="1395" w:type="dxa"/>
            <w:tcBorders>
              <w:top w:val="nil"/>
              <w:left w:val="nil"/>
              <w:bottom w:val="nil"/>
              <w:right w:val="nil"/>
            </w:tcBorders>
            <w:shd w:val="clear" w:color="auto" w:fill="auto"/>
            <w:noWrap/>
            <w:vAlign w:val="bottom"/>
            <w:hideMark/>
          </w:tcPr>
          <w:p w14:paraId="76D736A6" w14:textId="50C224CD" w:rsidR="6C401F3D" w:rsidRPr="00AE3281" w:rsidRDefault="454E41B1" w:rsidP="00701430">
            <w:pPr>
              <w:keepNext/>
              <w:spacing w:after="0"/>
              <w:jc w:val="right"/>
              <w:rPr>
                <w:rFonts w:cs="Times New Roman"/>
              </w:rPr>
            </w:pPr>
            <w:r w:rsidRPr="454E41B1">
              <w:rPr>
                <w:rFonts w:eastAsia="Arial" w:cs="Times New Roman"/>
                <w:sz w:val="20"/>
                <w:szCs w:val="20"/>
              </w:rPr>
              <w:t>15.31447</w:t>
            </w:r>
          </w:p>
        </w:tc>
        <w:tc>
          <w:tcPr>
            <w:tcW w:w="1394" w:type="dxa"/>
            <w:tcBorders>
              <w:top w:val="nil"/>
              <w:left w:val="nil"/>
              <w:bottom w:val="nil"/>
              <w:right w:val="nil"/>
            </w:tcBorders>
            <w:shd w:val="clear" w:color="auto" w:fill="auto"/>
            <w:noWrap/>
            <w:vAlign w:val="bottom"/>
            <w:hideMark/>
          </w:tcPr>
          <w:p w14:paraId="14461A49" w14:textId="6CCCFFD0" w:rsidR="6C401F3D" w:rsidRPr="00AE3281" w:rsidRDefault="454E41B1" w:rsidP="00701430">
            <w:pPr>
              <w:keepNext/>
              <w:spacing w:after="0"/>
              <w:jc w:val="right"/>
              <w:rPr>
                <w:rFonts w:cs="Times New Roman"/>
              </w:rPr>
            </w:pPr>
            <w:r w:rsidRPr="454E41B1">
              <w:rPr>
                <w:rFonts w:eastAsia="Arial" w:cs="Times New Roman"/>
                <w:sz w:val="20"/>
                <w:szCs w:val="20"/>
              </w:rPr>
              <w:t>1</w:t>
            </w:r>
          </w:p>
        </w:tc>
        <w:tc>
          <w:tcPr>
            <w:tcW w:w="1395" w:type="dxa"/>
            <w:tcBorders>
              <w:top w:val="nil"/>
              <w:left w:val="nil"/>
              <w:bottom w:val="nil"/>
              <w:right w:val="nil"/>
            </w:tcBorders>
            <w:shd w:val="clear" w:color="auto" w:fill="auto"/>
            <w:noWrap/>
            <w:vAlign w:val="bottom"/>
            <w:hideMark/>
          </w:tcPr>
          <w:p w14:paraId="6D9A8D9D" w14:textId="4EB790FA" w:rsidR="6C401F3D" w:rsidRPr="00AE3281" w:rsidRDefault="454E41B1" w:rsidP="00701430">
            <w:pPr>
              <w:keepNext/>
              <w:spacing w:after="0"/>
              <w:jc w:val="right"/>
              <w:rPr>
                <w:rFonts w:cs="Times New Roman"/>
              </w:rPr>
            </w:pPr>
            <w:r w:rsidRPr="454E41B1">
              <w:rPr>
                <w:rFonts w:eastAsia="Arial" w:cs="Times New Roman"/>
                <w:sz w:val="20"/>
                <w:szCs w:val="20"/>
              </w:rPr>
              <w:t>66</w:t>
            </w:r>
          </w:p>
        </w:tc>
      </w:tr>
      <w:tr w:rsidR="00095E72" w:rsidRPr="00AE3281" w14:paraId="3550A182" w14:textId="77777777" w:rsidTr="454E41B1">
        <w:trPr>
          <w:trHeight w:val="300"/>
        </w:trPr>
        <w:tc>
          <w:tcPr>
            <w:tcW w:w="2100" w:type="dxa"/>
            <w:tcBorders>
              <w:top w:val="nil"/>
              <w:left w:val="nil"/>
              <w:bottom w:val="nil"/>
              <w:right w:val="nil"/>
            </w:tcBorders>
            <w:shd w:val="clear" w:color="auto" w:fill="auto"/>
            <w:noWrap/>
            <w:vAlign w:val="bottom"/>
            <w:hideMark/>
          </w:tcPr>
          <w:p w14:paraId="48E29AC5" w14:textId="6B23707C" w:rsidR="00095E72" w:rsidRPr="00AE3281" w:rsidRDefault="00A4568D" w:rsidP="005B3738">
            <w:pPr>
              <w:keepNext/>
              <w:spacing w:after="0" w:line="240" w:lineRule="auto"/>
              <w:jc w:val="both"/>
              <w:rPr>
                <w:rFonts w:eastAsia="Times New Roman" w:cs="Times New Roman"/>
                <w:color w:val="000000"/>
                <w:sz w:val="22"/>
                <w:lang w:eastAsia="en-GB"/>
              </w:rPr>
            </w:pPr>
            <w:proofErr w:type="gramStart"/>
            <w:r w:rsidRPr="00AE3281">
              <w:rPr>
                <w:rFonts w:eastAsia="Times New Roman" w:cs="Times New Roman"/>
                <w:color w:val="000000"/>
                <w:sz w:val="22"/>
                <w:lang w:eastAsia="en-GB"/>
              </w:rPr>
              <w:t>T</w:t>
            </w:r>
            <w:r w:rsidR="00095E72" w:rsidRPr="00AE3281">
              <w:rPr>
                <w:rFonts w:eastAsia="Times New Roman" w:cs="Times New Roman"/>
                <w:color w:val="000000"/>
                <w:sz w:val="22"/>
                <w:lang w:eastAsia="en-GB"/>
              </w:rPr>
              <w:t>reated</w:t>
            </w:r>
            <w:r w:rsidR="00C1469C" w:rsidRPr="00AE3281">
              <w:rPr>
                <w:rFonts w:eastAsia="Times New Roman" w:cs="Times New Roman"/>
                <w:color w:val="000000"/>
                <w:sz w:val="22"/>
                <w:lang w:eastAsia="en-GB"/>
              </w:rPr>
              <w:t>-</w:t>
            </w:r>
            <w:r w:rsidRPr="00AE3281">
              <w:rPr>
                <w:rFonts w:eastAsia="Times New Roman" w:cs="Times New Roman"/>
                <w:color w:val="000000"/>
                <w:sz w:val="22"/>
                <w:lang w:eastAsia="en-GB"/>
              </w:rPr>
              <w:t>group</w:t>
            </w:r>
            <w:proofErr w:type="gramEnd"/>
          </w:p>
        </w:tc>
        <w:tc>
          <w:tcPr>
            <w:tcW w:w="1394" w:type="dxa"/>
            <w:tcBorders>
              <w:top w:val="nil"/>
              <w:left w:val="nil"/>
              <w:bottom w:val="nil"/>
              <w:right w:val="nil"/>
            </w:tcBorders>
            <w:shd w:val="clear" w:color="auto" w:fill="auto"/>
            <w:noWrap/>
            <w:vAlign w:val="bottom"/>
            <w:hideMark/>
          </w:tcPr>
          <w:p w14:paraId="46C03E50" w14:textId="51EF4DFA" w:rsidR="6C401F3D" w:rsidRPr="00AE3281" w:rsidRDefault="454E41B1" w:rsidP="00701430">
            <w:pPr>
              <w:keepNext/>
              <w:spacing w:after="0"/>
              <w:jc w:val="right"/>
              <w:rPr>
                <w:rFonts w:cs="Times New Roman"/>
              </w:rPr>
            </w:pPr>
            <w:r w:rsidRPr="454E41B1">
              <w:rPr>
                <w:rFonts w:eastAsia="Arial" w:cs="Times New Roman"/>
                <w:sz w:val="20"/>
                <w:szCs w:val="20"/>
              </w:rPr>
              <w:t>1,744,188</w:t>
            </w:r>
          </w:p>
        </w:tc>
        <w:tc>
          <w:tcPr>
            <w:tcW w:w="1394" w:type="dxa"/>
            <w:tcBorders>
              <w:top w:val="nil"/>
              <w:left w:val="nil"/>
              <w:bottom w:val="nil"/>
              <w:right w:val="nil"/>
            </w:tcBorders>
            <w:shd w:val="clear" w:color="auto" w:fill="auto"/>
            <w:noWrap/>
            <w:vAlign w:val="bottom"/>
            <w:hideMark/>
          </w:tcPr>
          <w:p w14:paraId="1AAC47EA" w14:textId="49C3749C" w:rsidR="6C401F3D" w:rsidRPr="00AE3281" w:rsidRDefault="454E41B1" w:rsidP="00701430">
            <w:pPr>
              <w:keepNext/>
              <w:spacing w:after="0"/>
              <w:jc w:val="right"/>
              <w:rPr>
                <w:rFonts w:cs="Times New Roman"/>
              </w:rPr>
            </w:pPr>
            <w:r w:rsidRPr="454E41B1">
              <w:rPr>
                <w:rFonts w:eastAsia="Arial" w:cs="Times New Roman"/>
                <w:sz w:val="20"/>
                <w:szCs w:val="20"/>
              </w:rPr>
              <w:t>0.0532764</w:t>
            </w:r>
          </w:p>
        </w:tc>
        <w:tc>
          <w:tcPr>
            <w:tcW w:w="1395" w:type="dxa"/>
            <w:tcBorders>
              <w:top w:val="nil"/>
              <w:left w:val="nil"/>
              <w:bottom w:val="nil"/>
              <w:right w:val="nil"/>
            </w:tcBorders>
            <w:shd w:val="clear" w:color="auto" w:fill="auto"/>
            <w:noWrap/>
            <w:vAlign w:val="bottom"/>
            <w:hideMark/>
          </w:tcPr>
          <w:p w14:paraId="2C8F6C8F" w14:textId="687CB605" w:rsidR="6C401F3D" w:rsidRPr="00AE3281" w:rsidRDefault="454E41B1" w:rsidP="00701430">
            <w:pPr>
              <w:keepNext/>
              <w:spacing w:after="0"/>
              <w:jc w:val="right"/>
              <w:rPr>
                <w:rFonts w:cs="Times New Roman"/>
              </w:rPr>
            </w:pPr>
            <w:r w:rsidRPr="454E41B1">
              <w:rPr>
                <w:rFonts w:eastAsia="Arial" w:cs="Times New Roman"/>
                <w:sz w:val="20"/>
                <w:szCs w:val="20"/>
              </w:rPr>
              <w:t>0.2245841</w:t>
            </w:r>
          </w:p>
        </w:tc>
        <w:tc>
          <w:tcPr>
            <w:tcW w:w="1394" w:type="dxa"/>
            <w:tcBorders>
              <w:top w:val="nil"/>
              <w:left w:val="nil"/>
              <w:bottom w:val="nil"/>
              <w:right w:val="nil"/>
            </w:tcBorders>
            <w:shd w:val="clear" w:color="auto" w:fill="auto"/>
            <w:noWrap/>
            <w:vAlign w:val="bottom"/>
            <w:hideMark/>
          </w:tcPr>
          <w:p w14:paraId="6F5AEC9D" w14:textId="6200F43A" w:rsidR="6C401F3D" w:rsidRPr="00AE3281" w:rsidRDefault="454E41B1" w:rsidP="00701430">
            <w:pPr>
              <w:keepNext/>
              <w:spacing w:after="0"/>
              <w:jc w:val="right"/>
              <w:rPr>
                <w:rFonts w:cs="Times New Roman"/>
              </w:rPr>
            </w:pPr>
            <w:r w:rsidRPr="454E41B1">
              <w:rPr>
                <w:rFonts w:eastAsia="Arial" w:cs="Times New Roman"/>
                <w:sz w:val="20"/>
                <w:szCs w:val="20"/>
              </w:rPr>
              <w:t>0</w:t>
            </w:r>
          </w:p>
        </w:tc>
        <w:tc>
          <w:tcPr>
            <w:tcW w:w="1395" w:type="dxa"/>
            <w:tcBorders>
              <w:top w:val="nil"/>
              <w:left w:val="nil"/>
              <w:bottom w:val="nil"/>
              <w:right w:val="nil"/>
            </w:tcBorders>
            <w:shd w:val="clear" w:color="auto" w:fill="auto"/>
            <w:noWrap/>
            <w:vAlign w:val="bottom"/>
            <w:hideMark/>
          </w:tcPr>
          <w:p w14:paraId="2B767256" w14:textId="77789D7B" w:rsidR="6C401F3D" w:rsidRPr="00AE3281" w:rsidRDefault="454E41B1" w:rsidP="00701430">
            <w:pPr>
              <w:keepNext/>
              <w:spacing w:after="0"/>
              <w:jc w:val="right"/>
              <w:rPr>
                <w:rFonts w:cs="Times New Roman"/>
              </w:rPr>
            </w:pPr>
            <w:r w:rsidRPr="454E41B1">
              <w:rPr>
                <w:rFonts w:eastAsia="Arial" w:cs="Times New Roman"/>
                <w:sz w:val="20"/>
                <w:szCs w:val="20"/>
              </w:rPr>
              <w:t>1</w:t>
            </w:r>
          </w:p>
        </w:tc>
      </w:tr>
      <w:tr w:rsidR="00095E72" w:rsidRPr="00AE3281" w14:paraId="1D6D3C2E" w14:textId="77777777" w:rsidTr="454E41B1">
        <w:trPr>
          <w:trHeight w:val="300"/>
        </w:trPr>
        <w:tc>
          <w:tcPr>
            <w:tcW w:w="2100" w:type="dxa"/>
            <w:tcBorders>
              <w:top w:val="nil"/>
              <w:left w:val="nil"/>
              <w:bottom w:val="nil"/>
              <w:right w:val="nil"/>
            </w:tcBorders>
            <w:shd w:val="clear" w:color="auto" w:fill="auto"/>
            <w:noWrap/>
            <w:vAlign w:val="bottom"/>
            <w:hideMark/>
          </w:tcPr>
          <w:p w14:paraId="49044B14" w14:textId="12D93D04" w:rsidR="00095E72" w:rsidRPr="00AE3281" w:rsidRDefault="00A4568D" w:rsidP="005B3738">
            <w:pPr>
              <w:keepNext/>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Y</w:t>
            </w:r>
            <w:r w:rsidR="00095E72" w:rsidRPr="00AE3281">
              <w:rPr>
                <w:rFonts w:eastAsia="Times New Roman" w:cs="Times New Roman"/>
                <w:color w:val="000000"/>
                <w:sz w:val="22"/>
                <w:lang w:eastAsia="en-GB"/>
              </w:rPr>
              <w:t>ear</w:t>
            </w:r>
          </w:p>
        </w:tc>
        <w:tc>
          <w:tcPr>
            <w:tcW w:w="1394" w:type="dxa"/>
            <w:tcBorders>
              <w:top w:val="nil"/>
              <w:left w:val="nil"/>
              <w:bottom w:val="nil"/>
              <w:right w:val="nil"/>
            </w:tcBorders>
            <w:shd w:val="clear" w:color="auto" w:fill="auto"/>
            <w:noWrap/>
            <w:vAlign w:val="bottom"/>
            <w:hideMark/>
          </w:tcPr>
          <w:p w14:paraId="5C61511E" w14:textId="0CBA1DDD" w:rsidR="6C401F3D" w:rsidRPr="00AE3281" w:rsidRDefault="454E41B1" w:rsidP="00701430">
            <w:pPr>
              <w:keepNext/>
              <w:spacing w:after="0"/>
              <w:jc w:val="right"/>
              <w:rPr>
                <w:rFonts w:cs="Times New Roman"/>
              </w:rPr>
            </w:pPr>
            <w:r w:rsidRPr="454E41B1">
              <w:rPr>
                <w:rFonts w:eastAsia="Arial" w:cs="Times New Roman"/>
                <w:sz w:val="20"/>
                <w:szCs w:val="20"/>
              </w:rPr>
              <w:t>1,744,188</w:t>
            </w:r>
          </w:p>
        </w:tc>
        <w:tc>
          <w:tcPr>
            <w:tcW w:w="1394" w:type="dxa"/>
            <w:tcBorders>
              <w:top w:val="nil"/>
              <w:left w:val="nil"/>
              <w:bottom w:val="nil"/>
              <w:right w:val="nil"/>
            </w:tcBorders>
            <w:shd w:val="clear" w:color="auto" w:fill="auto"/>
            <w:noWrap/>
            <w:vAlign w:val="bottom"/>
            <w:hideMark/>
          </w:tcPr>
          <w:p w14:paraId="2B36972C" w14:textId="5EC1F091" w:rsidR="6C401F3D" w:rsidRPr="00AE3281" w:rsidRDefault="454E41B1" w:rsidP="00701430">
            <w:pPr>
              <w:keepNext/>
              <w:spacing w:after="0"/>
              <w:jc w:val="right"/>
              <w:rPr>
                <w:rFonts w:cs="Times New Roman"/>
              </w:rPr>
            </w:pPr>
            <w:r w:rsidRPr="454E41B1">
              <w:rPr>
                <w:rFonts w:eastAsia="Arial" w:cs="Times New Roman"/>
                <w:sz w:val="20"/>
                <w:szCs w:val="20"/>
              </w:rPr>
              <w:t>2016.431</w:t>
            </w:r>
          </w:p>
        </w:tc>
        <w:tc>
          <w:tcPr>
            <w:tcW w:w="1395" w:type="dxa"/>
            <w:tcBorders>
              <w:top w:val="nil"/>
              <w:left w:val="nil"/>
              <w:bottom w:val="nil"/>
              <w:right w:val="nil"/>
            </w:tcBorders>
            <w:shd w:val="clear" w:color="auto" w:fill="auto"/>
            <w:noWrap/>
            <w:vAlign w:val="bottom"/>
            <w:hideMark/>
          </w:tcPr>
          <w:p w14:paraId="36472AEA" w14:textId="639A1BD6" w:rsidR="6C401F3D" w:rsidRPr="00AE3281" w:rsidRDefault="454E41B1" w:rsidP="00701430">
            <w:pPr>
              <w:keepNext/>
              <w:spacing w:after="0"/>
              <w:jc w:val="right"/>
              <w:rPr>
                <w:rFonts w:cs="Times New Roman"/>
              </w:rPr>
            </w:pPr>
            <w:r w:rsidRPr="454E41B1">
              <w:rPr>
                <w:rFonts w:eastAsia="Arial" w:cs="Times New Roman"/>
                <w:sz w:val="20"/>
                <w:szCs w:val="20"/>
              </w:rPr>
              <w:t>3.044916</w:t>
            </w:r>
          </w:p>
        </w:tc>
        <w:tc>
          <w:tcPr>
            <w:tcW w:w="1394" w:type="dxa"/>
            <w:tcBorders>
              <w:top w:val="nil"/>
              <w:left w:val="nil"/>
              <w:bottom w:val="nil"/>
              <w:right w:val="nil"/>
            </w:tcBorders>
            <w:shd w:val="clear" w:color="auto" w:fill="auto"/>
            <w:noWrap/>
            <w:vAlign w:val="bottom"/>
            <w:hideMark/>
          </w:tcPr>
          <w:p w14:paraId="4BE219A1" w14:textId="5A651BD8" w:rsidR="6C401F3D" w:rsidRPr="00AE3281" w:rsidRDefault="454E41B1" w:rsidP="00701430">
            <w:pPr>
              <w:keepNext/>
              <w:spacing w:after="0"/>
              <w:jc w:val="right"/>
              <w:rPr>
                <w:rFonts w:cs="Times New Roman"/>
              </w:rPr>
            </w:pPr>
            <w:r w:rsidRPr="454E41B1">
              <w:rPr>
                <w:rFonts w:eastAsia="Arial" w:cs="Times New Roman"/>
                <w:sz w:val="20"/>
                <w:szCs w:val="20"/>
              </w:rPr>
              <w:t>2012</w:t>
            </w:r>
          </w:p>
        </w:tc>
        <w:tc>
          <w:tcPr>
            <w:tcW w:w="1395" w:type="dxa"/>
            <w:tcBorders>
              <w:top w:val="nil"/>
              <w:left w:val="nil"/>
              <w:bottom w:val="nil"/>
              <w:right w:val="nil"/>
            </w:tcBorders>
            <w:shd w:val="clear" w:color="auto" w:fill="auto"/>
            <w:noWrap/>
            <w:vAlign w:val="bottom"/>
            <w:hideMark/>
          </w:tcPr>
          <w:p w14:paraId="62493839" w14:textId="35FB85E4" w:rsidR="6C401F3D" w:rsidRPr="00AE3281" w:rsidRDefault="454E41B1" w:rsidP="00701430">
            <w:pPr>
              <w:keepNext/>
              <w:spacing w:after="0"/>
              <w:jc w:val="right"/>
              <w:rPr>
                <w:rFonts w:cs="Times New Roman"/>
              </w:rPr>
            </w:pPr>
            <w:r w:rsidRPr="454E41B1">
              <w:rPr>
                <w:rFonts w:eastAsia="Arial" w:cs="Times New Roman"/>
                <w:sz w:val="20"/>
                <w:szCs w:val="20"/>
              </w:rPr>
              <w:t>2022</w:t>
            </w:r>
          </w:p>
        </w:tc>
      </w:tr>
      <w:tr w:rsidR="00095E72" w:rsidRPr="00AE3281" w14:paraId="262A2BB0" w14:textId="77777777" w:rsidTr="454E41B1">
        <w:trPr>
          <w:trHeight w:val="300"/>
        </w:trPr>
        <w:tc>
          <w:tcPr>
            <w:tcW w:w="2100" w:type="dxa"/>
            <w:tcBorders>
              <w:top w:val="nil"/>
              <w:left w:val="nil"/>
              <w:bottom w:val="nil"/>
              <w:right w:val="nil"/>
            </w:tcBorders>
            <w:shd w:val="clear" w:color="auto" w:fill="auto"/>
            <w:noWrap/>
            <w:vAlign w:val="bottom"/>
            <w:hideMark/>
          </w:tcPr>
          <w:p w14:paraId="02AA7D84" w14:textId="381FD228" w:rsidR="00095E72" w:rsidRPr="00AE3281" w:rsidRDefault="00A4568D" w:rsidP="005B3738">
            <w:pPr>
              <w:keepNext/>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Month</w:t>
            </w:r>
          </w:p>
        </w:tc>
        <w:tc>
          <w:tcPr>
            <w:tcW w:w="1394" w:type="dxa"/>
            <w:tcBorders>
              <w:top w:val="nil"/>
              <w:left w:val="nil"/>
              <w:bottom w:val="nil"/>
              <w:right w:val="nil"/>
            </w:tcBorders>
            <w:shd w:val="clear" w:color="auto" w:fill="auto"/>
            <w:noWrap/>
            <w:vAlign w:val="bottom"/>
            <w:hideMark/>
          </w:tcPr>
          <w:p w14:paraId="7E77EF61" w14:textId="176F9E93" w:rsidR="6C401F3D" w:rsidRPr="00AE3281" w:rsidRDefault="454E41B1" w:rsidP="00701430">
            <w:pPr>
              <w:keepNext/>
              <w:spacing w:after="0"/>
              <w:jc w:val="right"/>
              <w:rPr>
                <w:rFonts w:cs="Times New Roman"/>
              </w:rPr>
            </w:pPr>
            <w:r w:rsidRPr="454E41B1">
              <w:rPr>
                <w:rFonts w:eastAsia="Arial" w:cs="Times New Roman"/>
                <w:sz w:val="20"/>
                <w:szCs w:val="20"/>
              </w:rPr>
              <w:t>1,744,188</w:t>
            </w:r>
          </w:p>
        </w:tc>
        <w:tc>
          <w:tcPr>
            <w:tcW w:w="1394" w:type="dxa"/>
            <w:tcBorders>
              <w:top w:val="nil"/>
              <w:left w:val="nil"/>
              <w:bottom w:val="nil"/>
              <w:right w:val="nil"/>
            </w:tcBorders>
            <w:shd w:val="clear" w:color="auto" w:fill="auto"/>
            <w:noWrap/>
            <w:vAlign w:val="bottom"/>
            <w:hideMark/>
          </w:tcPr>
          <w:p w14:paraId="1477C350" w14:textId="55F995BD" w:rsidR="6C401F3D" w:rsidRPr="00AE3281" w:rsidRDefault="454E41B1" w:rsidP="00701430">
            <w:pPr>
              <w:keepNext/>
              <w:spacing w:after="0"/>
              <w:jc w:val="right"/>
              <w:rPr>
                <w:rFonts w:cs="Times New Roman"/>
              </w:rPr>
            </w:pPr>
            <w:r w:rsidRPr="454E41B1">
              <w:rPr>
                <w:rFonts w:eastAsia="Arial" w:cs="Times New Roman"/>
                <w:sz w:val="20"/>
                <w:szCs w:val="20"/>
              </w:rPr>
              <w:t>6.45566</w:t>
            </w:r>
          </w:p>
        </w:tc>
        <w:tc>
          <w:tcPr>
            <w:tcW w:w="1395" w:type="dxa"/>
            <w:tcBorders>
              <w:top w:val="nil"/>
              <w:left w:val="nil"/>
              <w:bottom w:val="nil"/>
              <w:right w:val="nil"/>
            </w:tcBorders>
            <w:shd w:val="clear" w:color="auto" w:fill="auto"/>
            <w:noWrap/>
            <w:vAlign w:val="bottom"/>
            <w:hideMark/>
          </w:tcPr>
          <w:p w14:paraId="290A7836" w14:textId="43477A53" w:rsidR="6C401F3D" w:rsidRPr="00AE3281" w:rsidRDefault="454E41B1" w:rsidP="00701430">
            <w:pPr>
              <w:keepNext/>
              <w:spacing w:after="0"/>
              <w:jc w:val="right"/>
              <w:rPr>
                <w:rFonts w:cs="Times New Roman"/>
              </w:rPr>
            </w:pPr>
            <w:r w:rsidRPr="454E41B1">
              <w:rPr>
                <w:rFonts w:eastAsia="Arial" w:cs="Times New Roman"/>
                <w:sz w:val="20"/>
                <w:szCs w:val="20"/>
              </w:rPr>
              <w:t>3.448391</w:t>
            </w:r>
          </w:p>
        </w:tc>
        <w:tc>
          <w:tcPr>
            <w:tcW w:w="1394" w:type="dxa"/>
            <w:tcBorders>
              <w:top w:val="nil"/>
              <w:left w:val="nil"/>
              <w:bottom w:val="nil"/>
              <w:right w:val="nil"/>
            </w:tcBorders>
            <w:shd w:val="clear" w:color="auto" w:fill="auto"/>
            <w:noWrap/>
            <w:vAlign w:val="bottom"/>
            <w:hideMark/>
          </w:tcPr>
          <w:p w14:paraId="55FA428C" w14:textId="3FB0D03E" w:rsidR="6C401F3D" w:rsidRPr="00AE3281" w:rsidRDefault="454E41B1" w:rsidP="00701430">
            <w:pPr>
              <w:keepNext/>
              <w:spacing w:after="0"/>
              <w:jc w:val="right"/>
              <w:rPr>
                <w:rFonts w:cs="Times New Roman"/>
              </w:rPr>
            </w:pPr>
            <w:r w:rsidRPr="454E41B1">
              <w:rPr>
                <w:rFonts w:eastAsia="Arial" w:cs="Times New Roman"/>
                <w:sz w:val="20"/>
                <w:szCs w:val="20"/>
              </w:rPr>
              <w:t>1</w:t>
            </w:r>
          </w:p>
        </w:tc>
        <w:tc>
          <w:tcPr>
            <w:tcW w:w="1395" w:type="dxa"/>
            <w:tcBorders>
              <w:top w:val="nil"/>
              <w:left w:val="nil"/>
              <w:bottom w:val="nil"/>
              <w:right w:val="nil"/>
            </w:tcBorders>
            <w:shd w:val="clear" w:color="auto" w:fill="auto"/>
            <w:noWrap/>
            <w:vAlign w:val="bottom"/>
            <w:hideMark/>
          </w:tcPr>
          <w:p w14:paraId="2C818294" w14:textId="72AC41CF" w:rsidR="6C401F3D" w:rsidRPr="00AE3281" w:rsidRDefault="454E41B1" w:rsidP="00701430">
            <w:pPr>
              <w:keepNext/>
              <w:spacing w:after="0"/>
              <w:jc w:val="right"/>
              <w:rPr>
                <w:rFonts w:cs="Times New Roman"/>
              </w:rPr>
            </w:pPr>
            <w:r w:rsidRPr="454E41B1">
              <w:rPr>
                <w:rFonts w:eastAsia="Arial" w:cs="Times New Roman"/>
                <w:sz w:val="20"/>
                <w:szCs w:val="20"/>
              </w:rPr>
              <w:t>12</w:t>
            </w:r>
          </w:p>
        </w:tc>
      </w:tr>
      <w:tr w:rsidR="00095E72" w:rsidRPr="00AE3281" w14:paraId="3E3C21A4" w14:textId="77777777" w:rsidTr="454E41B1">
        <w:trPr>
          <w:trHeight w:val="300"/>
        </w:trPr>
        <w:tc>
          <w:tcPr>
            <w:tcW w:w="2100" w:type="dxa"/>
            <w:tcBorders>
              <w:top w:val="nil"/>
              <w:left w:val="nil"/>
              <w:bottom w:val="nil"/>
              <w:right w:val="nil"/>
            </w:tcBorders>
            <w:shd w:val="clear" w:color="auto" w:fill="auto"/>
            <w:noWrap/>
            <w:vAlign w:val="bottom"/>
            <w:hideMark/>
          </w:tcPr>
          <w:p w14:paraId="3ADAC811" w14:textId="7E4957C7" w:rsidR="00095E72" w:rsidRPr="00AE3281" w:rsidRDefault="00A4568D" w:rsidP="005B3738">
            <w:pPr>
              <w:keepNext/>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 xml:space="preserve">In </w:t>
            </w:r>
            <w:r w:rsidR="00095E72" w:rsidRPr="00AE3281">
              <w:rPr>
                <w:rFonts w:eastAsia="Times New Roman" w:cs="Times New Roman"/>
                <w:color w:val="000000"/>
                <w:sz w:val="22"/>
                <w:lang w:eastAsia="en-GB"/>
              </w:rPr>
              <w:t>work</w:t>
            </w:r>
          </w:p>
        </w:tc>
        <w:tc>
          <w:tcPr>
            <w:tcW w:w="1394" w:type="dxa"/>
            <w:tcBorders>
              <w:top w:val="nil"/>
              <w:left w:val="nil"/>
              <w:bottom w:val="nil"/>
              <w:right w:val="nil"/>
            </w:tcBorders>
            <w:shd w:val="clear" w:color="auto" w:fill="auto"/>
            <w:noWrap/>
            <w:vAlign w:val="bottom"/>
            <w:hideMark/>
          </w:tcPr>
          <w:p w14:paraId="7D4577B7" w14:textId="6DF38FE9" w:rsidR="6C401F3D" w:rsidRPr="00AE3281" w:rsidRDefault="454E41B1" w:rsidP="00701430">
            <w:pPr>
              <w:keepNext/>
              <w:spacing w:after="0"/>
              <w:jc w:val="right"/>
              <w:rPr>
                <w:rFonts w:cs="Times New Roman"/>
              </w:rPr>
            </w:pPr>
            <w:r w:rsidRPr="454E41B1">
              <w:rPr>
                <w:rFonts w:eastAsia="Arial" w:cs="Times New Roman"/>
                <w:sz w:val="20"/>
                <w:szCs w:val="20"/>
              </w:rPr>
              <w:t>1,744,188</w:t>
            </w:r>
          </w:p>
        </w:tc>
        <w:tc>
          <w:tcPr>
            <w:tcW w:w="1394" w:type="dxa"/>
            <w:tcBorders>
              <w:top w:val="nil"/>
              <w:left w:val="nil"/>
              <w:bottom w:val="nil"/>
              <w:right w:val="nil"/>
            </w:tcBorders>
            <w:shd w:val="clear" w:color="auto" w:fill="auto"/>
            <w:noWrap/>
            <w:vAlign w:val="bottom"/>
            <w:hideMark/>
          </w:tcPr>
          <w:p w14:paraId="17BB79E1" w14:textId="124F7972" w:rsidR="6C401F3D" w:rsidRPr="00AE3281" w:rsidRDefault="454E41B1" w:rsidP="00701430">
            <w:pPr>
              <w:keepNext/>
              <w:spacing w:after="0"/>
              <w:jc w:val="right"/>
              <w:rPr>
                <w:rFonts w:cs="Times New Roman"/>
              </w:rPr>
            </w:pPr>
            <w:r w:rsidRPr="454E41B1">
              <w:rPr>
                <w:rFonts w:eastAsia="Arial" w:cs="Times New Roman"/>
                <w:sz w:val="20"/>
                <w:szCs w:val="20"/>
              </w:rPr>
              <w:t>72.01351</w:t>
            </w:r>
          </w:p>
        </w:tc>
        <w:tc>
          <w:tcPr>
            <w:tcW w:w="1395" w:type="dxa"/>
            <w:tcBorders>
              <w:top w:val="nil"/>
              <w:left w:val="nil"/>
              <w:bottom w:val="nil"/>
              <w:right w:val="nil"/>
            </w:tcBorders>
            <w:shd w:val="clear" w:color="auto" w:fill="auto"/>
            <w:noWrap/>
            <w:vAlign w:val="bottom"/>
            <w:hideMark/>
          </w:tcPr>
          <w:p w14:paraId="1F41E8C3" w14:textId="0C5CB2C8" w:rsidR="6C401F3D" w:rsidRPr="00AE3281" w:rsidRDefault="454E41B1" w:rsidP="00701430">
            <w:pPr>
              <w:keepNext/>
              <w:spacing w:after="0"/>
              <w:jc w:val="right"/>
              <w:rPr>
                <w:rFonts w:cs="Times New Roman"/>
              </w:rPr>
            </w:pPr>
            <w:r w:rsidRPr="454E41B1">
              <w:rPr>
                <w:rFonts w:eastAsia="Arial" w:cs="Times New Roman"/>
                <w:sz w:val="20"/>
                <w:szCs w:val="20"/>
              </w:rPr>
              <w:t>44.89328</w:t>
            </w:r>
          </w:p>
        </w:tc>
        <w:tc>
          <w:tcPr>
            <w:tcW w:w="1394" w:type="dxa"/>
            <w:tcBorders>
              <w:top w:val="nil"/>
              <w:left w:val="nil"/>
              <w:bottom w:val="nil"/>
              <w:right w:val="nil"/>
            </w:tcBorders>
            <w:shd w:val="clear" w:color="auto" w:fill="auto"/>
            <w:noWrap/>
            <w:vAlign w:val="bottom"/>
            <w:hideMark/>
          </w:tcPr>
          <w:p w14:paraId="33460B95" w14:textId="616FC3C5" w:rsidR="6C401F3D" w:rsidRPr="00AE3281" w:rsidRDefault="454E41B1" w:rsidP="00701430">
            <w:pPr>
              <w:keepNext/>
              <w:spacing w:after="0"/>
              <w:jc w:val="right"/>
              <w:rPr>
                <w:rFonts w:cs="Times New Roman"/>
              </w:rPr>
            </w:pPr>
            <w:r w:rsidRPr="454E41B1">
              <w:rPr>
                <w:rFonts w:eastAsia="Arial" w:cs="Times New Roman"/>
                <w:sz w:val="20"/>
                <w:szCs w:val="20"/>
              </w:rPr>
              <w:t>0</w:t>
            </w:r>
          </w:p>
        </w:tc>
        <w:tc>
          <w:tcPr>
            <w:tcW w:w="1395" w:type="dxa"/>
            <w:tcBorders>
              <w:top w:val="nil"/>
              <w:left w:val="nil"/>
              <w:bottom w:val="nil"/>
              <w:right w:val="nil"/>
            </w:tcBorders>
            <w:shd w:val="clear" w:color="auto" w:fill="auto"/>
            <w:noWrap/>
            <w:vAlign w:val="bottom"/>
            <w:hideMark/>
          </w:tcPr>
          <w:p w14:paraId="36CED63E" w14:textId="6FF8D230" w:rsidR="6C401F3D" w:rsidRPr="00AE3281" w:rsidRDefault="454E41B1" w:rsidP="00701430">
            <w:pPr>
              <w:keepNext/>
              <w:spacing w:after="0"/>
              <w:jc w:val="right"/>
              <w:rPr>
                <w:rFonts w:cs="Times New Roman"/>
              </w:rPr>
            </w:pPr>
            <w:r w:rsidRPr="454E41B1">
              <w:rPr>
                <w:rFonts w:eastAsia="Arial" w:cs="Times New Roman"/>
                <w:sz w:val="20"/>
                <w:szCs w:val="20"/>
              </w:rPr>
              <w:t>100</w:t>
            </w:r>
          </w:p>
        </w:tc>
      </w:tr>
      <w:tr w:rsidR="00095E72" w:rsidRPr="00AE3281" w14:paraId="32625F2B" w14:textId="77777777" w:rsidTr="454E41B1">
        <w:trPr>
          <w:trHeight w:val="300"/>
        </w:trPr>
        <w:tc>
          <w:tcPr>
            <w:tcW w:w="2100" w:type="dxa"/>
            <w:tcBorders>
              <w:top w:val="nil"/>
              <w:left w:val="nil"/>
              <w:bottom w:val="nil"/>
              <w:right w:val="nil"/>
            </w:tcBorders>
            <w:shd w:val="clear" w:color="auto" w:fill="auto"/>
            <w:noWrap/>
            <w:vAlign w:val="bottom"/>
            <w:hideMark/>
          </w:tcPr>
          <w:p w14:paraId="23E36B9E" w14:textId="4A2A2005" w:rsidR="00095E72" w:rsidRPr="00AE3281" w:rsidRDefault="00A4568D" w:rsidP="005B3738">
            <w:pPr>
              <w:keepNext/>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Self-employed</w:t>
            </w:r>
          </w:p>
        </w:tc>
        <w:tc>
          <w:tcPr>
            <w:tcW w:w="1394" w:type="dxa"/>
            <w:tcBorders>
              <w:top w:val="nil"/>
              <w:left w:val="nil"/>
              <w:bottom w:val="nil"/>
              <w:right w:val="nil"/>
            </w:tcBorders>
            <w:shd w:val="clear" w:color="auto" w:fill="auto"/>
            <w:noWrap/>
            <w:vAlign w:val="bottom"/>
            <w:hideMark/>
          </w:tcPr>
          <w:p w14:paraId="26D57474" w14:textId="4850C669" w:rsidR="6C401F3D" w:rsidRPr="00AE3281" w:rsidRDefault="454E41B1" w:rsidP="00701430">
            <w:pPr>
              <w:keepNext/>
              <w:spacing w:after="0"/>
              <w:jc w:val="right"/>
              <w:rPr>
                <w:rFonts w:cs="Times New Roman"/>
              </w:rPr>
            </w:pPr>
            <w:r w:rsidRPr="454E41B1">
              <w:rPr>
                <w:rFonts w:eastAsia="Arial" w:cs="Times New Roman"/>
                <w:sz w:val="20"/>
                <w:szCs w:val="20"/>
              </w:rPr>
              <w:t>1,744,188</w:t>
            </w:r>
          </w:p>
        </w:tc>
        <w:tc>
          <w:tcPr>
            <w:tcW w:w="1394" w:type="dxa"/>
            <w:tcBorders>
              <w:top w:val="nil"/>
              <w:left w:val="nil"/>
              <w:bottom w:val="nil"/>
              <w:right w:val="nil"/>
            </w:tcBorders>
            <w:shd w:val="clear" w:color="auto" w:fill="auto"/>
            <w:noWrap/>
            <w:vAlign w:val="bottom"/>
            <w:hideMark/>
          </w:tcPr>
          <w:p w14:paraId="0D68132B" w14:textId="059E2576" w:rsidR="6C401F3D" w:rsidRPr="00AE3281" w:rsidRDefault="454E41B1" w:rsidP="00701430">
            <w:pPr>
              <w:keepNext/>
              <w:spacing w:after="0"/>
              <w:jc w:val="right"/>
              <w:rPr>
                <w:rFonts w:cs="Times New Roman"/>
              </w:rPr>
            </w:pPr>
            <w:r w:rsidRPr="454E41B1">
              <w:rPr>
                <w:rFonts w:eastAsia="Arial" w:cs="Times New Roman"/>
                <w:sz w:val="20"/>
                <w:szCs w:val="20"/>
              </w:rPr>
              <w:t>9.94738</w:t>
            </w:r>
          </w:p>
        </w:tc>
        <w:tc>
          <w:tcPr>
            <w:tcW w:w="1395" w:type="dxa"/>
            <w:tcBorders>
              <w:top w:val="nil"/>
              <w:left w:val="nil"/>
              <w:bottom w:val="nil"/>
              <w:right w:val="nil"/>
            </w:tcBorders>
            <w:shd w:val="clear" w:color="auto" w:fill="auto"/>
            <w:noWrap/>
            <w:vAlign w:val="bottom"/>
            <w:hideMark/>
          </w:tcPr>
          <w:p w14:paraId="0D27F1F0" w14:textId="16F1DB93" w:rsidR="6C401F3D" w:rsidRPr="00AE3281" w:rsidRDefault="454E41B1" w:rsidP="00701430">
            <w:pPr>
              <w:keepNext/>
              <w:spacing w:after="0"/>
              <w:jc w:val="right"/>
              <w:rPr>
                <w:rFonts w:cs="Times New Roman"/>
              </w:rPr>
            </w:pPr>
            <w:r w:rsidRPr="454E41B1">
              <w:rPr>
                <w:rFonts w:eastAsia="Arial" w:cs="Times New Roman"/>
                <w:sz w:val="20"/>
                <w:szCs w:val="20"/>
              </w:rPr>
              <w:t>29.92972</w:t>
            </w:r>
          </w:p>
        </w:tc>
        <w:tc>
          <w:tcPr>
            <w:tcW w:w="1394" w:type="dxa"/>
            <w:tcBorders>
              <w:top w:val="nil"/>
              <w:left w:val="nil"/>
              <w:bottom w:val="nil"/>
              <w:right w:val="nil"/>
            </w:tcBorders>
            <w:shd w:val="clear" w:color="auto" w:fill="auto"/>
            <w:noWrap/>
            <w:vAlign w:val="bottom"/>
            <w:hideMark/>
          </w:tcPr>
          <w:p w14:paraId="598CA987" w14:textId="431B5D37" w:rsidR="6C401F3D" w:rsidRPr="00AE3281" w:rsidRDefault="454E41B1" w:rsidP="00701430">
            <w:pPr>
              <w:keepNext/>
              <w:spacing w:after="0"/>
              <w:jc w:val="right"/>
              <w:rPr>
                <w:rFonts w:cs="Times New Roman"/>
              </w:rPr>
            </w:pPr>
            <w:r w:rsidRPr="454E41B1">
              <w:rPr>
                <w:rFonts w:eastAsia="Arial" w:cs="Times New Roman"/>
                <w:sz w:val="20"/>
                <w:szCs w:val="20"/>
              </w:rPr>
              <w:t>0</w:t>
            </w:r>
          </w:p>
        </w:tc>
        <w:tc>
          <w:tcPr>
            <w:tcW w:w="1395" w:type="dxa"/>
            <w:tcBorders>
              <w:top w:val="nil"/>
              <w:left w:val="nil"/>
              <w:bottom w:val="nil"/>
              <w:right w:val="nil"/>
            </w:tcBorders>
            <w:shd w:val="clear" w:color="auto" w:fill="auto"/>
            <w:noWrap/>
            <w:vAlign w:val="bottom"/>
            <w:hideMark/>
          </w:tcPr>
          <w:p w14:paraId="35205BF4" w14:textId="478CCEDC" w:rsidR="6C401F3D" w:rsidRPr="00AE3281" w:rsidRDefault="454E41B1" w:rsidP="00701430">
            <w:pPr>
              <w:keepNext/>
              <w:spacing w:after="0"/>
              <w:jc w:val="right"/>
              <w:rPr>
                <w:rFonts w:cs="Times New Roman"/>
              </w:rPr>
            </w:pPr>
            <w:r w:rsidRPr="454E41B1">
              <w:rPr>
                <w:rFonts w:eastAsia="Arial" w:cs="Times New Roman"/>
                <w:sz w:val="20"/>
                <w:szCs w:val="20"/>
              </w:rPr>
              <w:t>100</w:t>
            </w:r>
          </w:p>
        </w:tc>
      </w:tr>
      <w:tr w:rsidR="00095E72" w:rsidRPr="00AE3281" w14:paraId="6EFBCFB9" w14:textId="77777777" w:rsidTr="454E41B1">
        <w:trPr>
          <w:trHeight w:val="300"/>
        </w:trPr>
        <w:tc>
          <w:tcPr>
            <w:tcW w:w="2100" w:type="dxa"/>
            <w:tcBorders>
              <w:top w:val="nil"/>
              <w:left w:val="nil"/>
              <w:bottom w:val="nil"/>
              <w:right w:val="nil"/>
            </w:tcBorders>
            <w:shd w:val="clear" w:color="auto" w:fill="auto"/>
            <w:noWrap/>
            <w:vAlign w:val="bottom"/>
            <w:hideMark/>
          </w:tcPr>
          <w:p w14:paraId="57EBC3A5" w14:textId="1061507B" w:rsidR="00095E72" w:rsidRPr="00AE3281" w:rsidRDefault="00095E72" w:rsidP="005B3738">
            <w:pPr>
              <w:keepNext/>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Agricult</w:t>
            </w:r>
            <w:r w:rsidR="00A4568D" w:rsidRPr="00AE3281">
              <w:rPr>
                <w:rFonts w:eastAsia="Times New Roman" w:cs="Times New Roman"/>
                <w:color w:val="000000"/>
                <w:sz w:val="22"/>
                <w:lang w:eastAsia="en-GB"/>
              </w:rPr>
              <w:t>ure</w:t>
            </w:r>
          </w:p>
        </w:tc>
        <w:tc>
          <w:tcPr>
            <w:tcW w:w="1394" w:type="dxa"/>
            <w:tcBorders>
              <w:top w:val="nil"/>
              <w:left w:val="nil"/>
              <w:bottom w:val="nil"/>
              <w:right w:val="nil"/>
            </w:tcBorders>
            <w:shd w:val="clear" w:color="auto" w:fill="auto"/>
            <w:noWrap/>
            <w:vAlign w:val="bottom"/>
            <w:hideMark/>
          </w:tcPr>
          <w:p w14:paraId="178A49E5" w14:textId="12D8A2C8" w:rsidR="6C401F3D" w:rsidRPr="00AE3281" w:rsidRDefault="454E41B1" w:rsidP="00701430">
            <w:pPr>
              <w:keepNext/>
              <w:spacing w:after="0"/>
              <w:jc w:val="right"/>
              <w:rPr>
                <w:rFonts w:cs="Times New Roman"/>
              </w:rPr>
            </w:pPr>
            <w:r w:rsidRPr="454E41B1">
              <w:rPr>
                <w:rFonts w:eastAsia="Arial" w:cs="Times New Roman"/>
                <w:sz w:val="20"/>
                <w:szCs w:val="20"/>
              </w:rPr>
              <w:t>1,256,051</w:t>
            </w:r>
          </w:p>
        </w:tc>
        <w:tc>
          <w:tcPr>
            <w:tcW w:w="1394" w:type="dxa"/>
            <w:tcBorders>
              <w:top w:val="nil"/>
              <w:left w:val="nil"/>
              <w:bottom w:val="nil"/>
              <w:right w:val="nil"/>
            </w:tcBorders>
            <w:shd w:val="clear" w:color="auto" w:fill="auto"/>
            <w:noWrap/>
            <w:vAlign w:val="bottom"/>
            <w:hideMark/>
          </w:tcPr>
          <w:p w14:paraId="6EF68625" w14:textId="50457F41" w:rsidR="6C401F3D" w:rsidRPr="00AE3281" w:rsidRDefault="454E41B1" w:rsidP="00701430">
            <w:pPr>
              <w:keepNext/>
              <w:spacing w:after="0"/>
              <w:jc w:val="right"/>
              <w:rPr>
                <w:rFonts w:cs="Times New Roman"/>
              </w:rPr>
            </w:pPr>
            <w:r w:rsidRPr="454E41B1">
              <w:rPr>
                <w:rFonts w:eastAsia="Arial" w:cs="Times New Roman"/>
                <w:sz w:val="20"/>
                <w:szCs w:val="20"/>
              </w:rPr>
              <w:t>1.105847</w:t>
            </w:r>
          </w:p>
        </w:tc>
        <w:tc>
          <w:tcPr>
            <w:tcW w:w="1395" w:type="dxa"/>
            <w:tcBorders>
              <w:top w:val="nil"/>
              <w:left w:val="nil"/>
              <w:bottom w:val="nil"/>
              <w:right w:val="nil"/>
            </w:tcBorders>
            <w:shd w:val="clear" w:color="auto" w:fill="auto"/>
            <w:noWrap/>
            <w:vAlign w:val="bottom"/>
            <w:hideMark/>
          </w:tcPr>
          <w:p w14:paraId="236D124C" w14:textId="0310AB26" w:rsidR="6C401F3D" w:rsidRPr="00AE3281" w:rsidRDefault="454E41B1" w:rsidP="00701430">
            <w:pPr>
              <w:keepNext/>
              <w:spacing w:after="0"/>
              <w:jc w:val="right"/>
              <w:rPr>
                <w:rFonts w:cs="Times New Roman"/>
              </w:rPr>
            </w:pPr>
            <w:r w:rsidRPr="454E41B1">
              <w:rPr>
                <w:rFonts w:eastAsia="Arial" w:cs="Times New Roman"/>
                <w:sz w:val="20"/>
                <w:szCs w:val="20"/>
              </w:rPr>
              <w:t>10.45762</w:t>
            </w:r>
          </w:p>
        </w:tc>
        <w:tc>
          <w:tcPr>
            <w:tcW w:w="1394" w:type="dxa"/>
            <w:tcBorders>
              <w:top w:val="nil"/>
              <w:left w:val="nil"/>
              <w:bottom w:val="nil"/>
              <w:right w:val="nil"/>
            </w:tcBorders>
            <w:shd w:val="clear" w:color="auto" w:fill="auto"/>
            <w:noWrap/>
            <w:vAlign w:val="bottom"/>
            <w:hideMark/>
          </w:tcPr>
          <w:p w14:paraId="63D4C98D" w14:textId="0CF03E26" w:rsidR="6C401F3D" w:rsidRPr="00AE3281" w:rsidRDefault="454E41B1" w:rsidP="00701430">
            <w:pPr>
              <w:keepNext/>
              <w:spacing w:after="0"/>
              <w:jc w:val="right"/>
              <w:rPr>
                <w:rFonts w:cs="Times New Roman"/>
              </w:rPr>
            </w:pPr>
            <w:r w:rsidRPr="454E41B1">
              <w:rPr>
                <w:rFonts w:eastAsia="Arial" w:cs="Times New Roman"/>
                <w:sz w:val="20"/>
                <w:szCs w:val="20"/>
              </w:rPr>
              <w:t>0</w:t>
            </w:r>
          </w:p>
        </w:tc>
        <w:tc>
          <w:tcPr>
            <w:tcW w:w="1395" w:type="dxa"/>
            <w:tcBorders>
              <w:top w:val="nil"/>
              <w:left w:val="nil"/>
              <w:bottom w:val="nil"/>
              <w:right w:val="nil"/>
            </w:tcBorders>
            <w:shd w:val="clear" w:color="auto" w:fill="auto"/>
            <w:noWrap/>
            <w:vAlign w:val="bottom"/>
            <w:hideMark/>
          </w:tcPr>
          <w:p w14:paraId="39241EAE" w14:textId="67FAF8E7" w:rsidR="6C401F3D" w:rsidRPr="00AE3281" w:rsidRDefault="454E41B1" w:rsidP="00701430">
            <w:pPr>
              <w:keepNext/>
              <w:spacing w:after="0"/>
              <w:jc w:val="right"/>
              <w:rPr>
                <w:rFonts w:cs="Times New Roman"/>
              </w:rPr>
            </w:pPr>
            <w:r w:rsidRPr="454E41B1">
              <w:rPr>
                <w:rFonts w:eastAsia="Arial" w:cs="Times New Roman"/>
                <w:sz w:val="20"/>
                <w:szCs w:val="20"/>
              </w:rPr>
              <w:t>100</w:t>
            </w:r>
          </w:p>
        </w:tc>
      </w:tr>
      <w:tr w:rsidR="00095E72" w:rsidRPr="00AE3281" w14:paraId="496598A2" w14:textId="77777777" w:rsidTr="454E41B1">
        <w:trPr>
          <w:trHeight w:val="300"/>
        </w:trPr>
        <w:tc>
          <w:tcPr>
            <w:tcW w:w="2100" w:type="dxa"/>
            <w:tcBorders>
              <w:top w:val="nil"/>
              <w:left w:val="nil"/>
              <w:bottom w:val="nil"/>
              <w:right w:val="nil"/>
            </w:tcBorders>
            <w:shd w:val="clear" w:color="auto" w:fill="auto"/>
            <w:noWrap/>
            <w:vAlign w:val="bottom"/>
            <w:hideMark/>
          </w:tcPr>
          <w:p w14:paraId="4D5CCF43" w14:textId="77777777" w:rsidR="00095E72" w:rsidRPr="00AE3281" w:rsidRDefault="00095E72" w:rsidP="005B3738">
            <w:pPr>
              <w:keepNext/>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Banking</w:t>
            </w:r>
          </w:p>
        </w:tc>
        <w:tc>
          <w:tcPr>
            <w:tcW w:w="1394" w:type="dxa"/>
            <w:tcBorders>
              <w:top w:val="nil"/>
              <w:left w:val="nil"/>
              <w:bottom w:val="nil"/>
              <w:right w:val="nil"/>
            </w:tcBorders>
            <w:shd w:val="clear" w:color="auto" w:fill="auto"/>
            <w:noWrap/>
            <w:vAlign w:val="bottom"/>
            <w:hideMark/>
          </w:tcPr>
          <w:p w14:paraId="0A2D8E54" w14:textId="1383DA75" w:rsidR="6C401F3D" w:rsidRPr="00AE3281" w:rsidRDefault="454E41B1" w:rsidP="00701430">
            <w:pPr>
              <w:keepNext/>
              <w:spacing w:after="0"/>
              <w:jc w:val="right"/>
              <w:rPr>
                <w:rFonts w:cs="Times New Roman"/>
              </w:rPr>
            </w:pPr>
            <w:r w:rsidRPr="454E41B1">
              <w:rPr>
                <w:rFonts w:eastAsia="Arial" w:cs="Times New Roman"/>
                <w:sz w:val="20"/>
                <w:szCs w:val="20"/>
              </w:rPr>
              <w:t>1,256,051</w:t>
            </w:r>
          </w:p>
        </w:tc>
        <w:tc>
          <w:tcPr>
            <w:tcW w:w="1394" w:type="dxa"/>
            <w:tcBorders>
              <w:top w:val="nil"/>
              <w:left w:val="nil"/>
              <w:bottom w:val="nil"/>
              <w:right w:val="nil"/>
            </w:tcBorders>
            <w:shd w:val="clear" w:color="auto" w:fill="auto"/>
            <w:noWrap/>
            <w:vAlign w:val="bottom"/>
            <w:hideMark/>
          </w:tcPr>
          <w:p w14:paraId="12D88A2E" w14:textId="037C4545" w:rsidR="6C401F3D" w:rsidRPr="00AE3281" w:rsidRDefault="454E41B1" w:rsidP="00701430">
            <w:pPr>
              <w:keepNext/>
              <w:spacing w:after="0"/>
              <w:jc w:val="right"/>
              <w:rPr>
                <w:rFonts w:cs="Times New Roman"/>
              </w:rPr>
            </w:pPr>
            <w:r w:rsidRPr="454E41B1">
              <w:rPr>
                <w:rFonts w:eastAsia="Arial" w:cs="Times New Roman"/>
                <w:sz w:val="20"/>
                <w:szCs w:val="20"/>
              </w:rPr>
              <w:t>15.84569</w:t>
            </w:r>
          </w:p>
        </w:tc>
        <w:tc>
          <w:tcPr>
            <w:tcW w:w="1395" w:type="dxa"/>
            <w:tcBorders>
              <w:top w:val="nil"/>
              <w:left w:val="nil"/>
              <w:bottom w:val="nil"/>
              <w:right w:val="nil"/>
            </w:tcBorders>
            <w:shd w:val="clear" w:color="auto" w:fill="auto"/>
            <w:noWrap/>
            <w:vAlign w:val="bottom"/>
            <w:hideMark/>
          </w:tcPr>
          <w:p w14:paraId="09AE2748" w14:textId="54B30009" w:rsidR="6C401F3D" w:rsidRPr="00AE3281" w:rsidRDefault="454E41B1" w:rsidP="00701430">
            <w:pPr>
              <w:keepNext/>
              <w:spacing w:after="0"/>
              <w:jc w:val="right"/>
              <w:rPr>
                <w:rFonts w:cs="Times New Roman"/>
              </w:rPr>
            </w:pPr>
            <w:r w:rsidRPr="454E41B1">
              <w:rPr>
                <w:rFonts w:eastAsia="Arial" w:cs="Times New Roman"/>
                <w:sz w:val="20"/>
                <w:szCs w:val="20"/>
              </w:rPr>
              <w:t>36.51691</w:t>
            </w:r>
          </w:p>
        </w:tc>
        <w:tc>
          <w:tcPr>
            <w:tcW w:w="1394" w:type="dxa"/>
            <w:tcBorders>
              <w:top w:val="nil"/>
              <w:left w:val="nil"/>
              <w:bottom w:val="nil"/>
              <w:right w:val="nil"/>
            </w:tcBorders>
            <w:shd w:val="clear" w:color="auto" w:fill="auto"/>
            <w:noWrap/>
            <w:vAlign w:val="bottom"/>
            <w:hideMark/>
          </w:tcPr>
          <w:p w14:paraId="7BFF5834" w14:textId="0AF04699" w:rsidR="6C401F3D" w:rsidRPr="00AE3281" w:rsidRDefault="454E41B1" w:rsidP="00701430">
            <w:pPr>
              <w:keepNext/>
              <w:spacing w:after="0"/>
              <w:jc w:val="right"/>
              <w:rPr>
                <w:rFonts w:cs="Times New Roman"/>
              </w:rPr>
            </w:pPr>
            <w:r w:rsidRPr="454E41B1">
              <w:rPr>
                <w:rFonts w:eastAsia="Arial" w:cs="Times New Roman"/>
                <w:sz w:val="20"/>
                <w:szCs w:val="20"/>
              </w:rPr>
              <w:t>0</w:t>
            </w:r>
          </w:p>
        </w:tc>
        <w:tc>
          <w:tcPr>
            <w:tcW w:w="1395" w:type="dxa"/>
            <w:tcBorders>
              <w:top w:val="nil"/>
              <w:left w:val="nil"/>
              <w:bottom w:val="nil"/>
              <w:right w:val="nil"/>
            </w:tcBorders>
            <w:shd w:val="clear" w:color="auto" w:fill="auto"/>
            <w:noWrap/>
            <w:vAlign w:val="bottom"/>
            <w:hideMark/>
          </w:tcPr>
          <w:p w14:paraId="318D1046" w14:textId="1E3E101D" w:rsidR="6C401F3D" w:rsidRPr="00AE3281" w:rsidRDefault="454E41B1" w:rsidP="00701430">
            <w:pPr>
              <w:keepNext/>
              <w:spacing w:after="0"/>
              <w:jc w:val="right"/>
              <w:rPr>
                <w:rFonts w:cs="Times New Roman"/>
              </w:rPr>
            </w:pPr>
            <w:r w:rsidRPr="454E41B1">
              <w:rPr>
                <w:rFonts w:eastAsia="Arial" w:cs="Times New Roman"/>
                <w:sz w:val="20"/>
                <w:szCs w:val="20"/>
              </w:rPr>
              <w:t>100</w:t>
            </w:r>
          </w:p>
        </w:tc>
      </w:tr>
      <w:tr w:rsidR="00095E72" w:rsidRPr="00AE3281" w14:paraId="3D809ADD" w14:textId="77777777" w:rsidTr="454E41B1">
        <w:trPr>
          <w:trHeight w:val="300"/>
        </w:trPr>
        <w:tc>
          <w:tcPr>
            <w:tcW w:w="2100" w:type="dxa"/>
            <w:tcBorders>
              <w:top w:val="nil"/>
              <w:left w:val="nil"/>
              <w:bottom w:val="nil"/>
              <w:right w:val="nil"/>
            </w:tcBorders>
            <w:shd w:val="clear" w:color="auto" w:fill="auto"/>
            <w:noWrap/>
            <w:vAlign w:val="bottom"/>
            <w:hideMark/>
          </w:tcPr>
          <w:p w14:paraId="599D64FA" w14:textId="0FF5ED16" w:rsidR="00095E72" w:rsidRPr="00AE3281" w:rsidRDefault="00095E72" w:rsidP="005B3738">
            <w:pPr>
              <w:keepNext/>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Construct</w:t>
            </w:r>
            <w:r w:rsidR="00A4568D" w:rsidRPr="00AE3281">
              <w:rPr>
                <w:rFonts w:eastAsia="Times New Roman" w:cs="Times New Roman"/>
                <w:color w:val="000000"/>
                <w:sz w:val="22"/>
                <w:lang w:eastAsia="en-GB"/>
              </w:rPr>
              <w:t>ion</w:t>
            </w:r>
          </w:p>
        </w:tc>
        <w:tc>
          <w:tcPr>
            <w:tcW w:w="1394" w:type="dxa"/>
            <w:tcBorders>
              <w:top w:val="nil"/>
              <w:left w:val="nil"/>
              <w:bottom w:val="nil"/>
              <w:right w:val="nil"/>
            </w:tcBorders>
            <w:shd w:val="clear" w:color="auto" w:fill="auto"/>
            <w:noWrap/>
            <w:vAlign w:val="bottom"/>
            <w:hideMark/>
          </w:tcPr>
          <w:p w14:paraId="0F000DBD" w14:textId="7FC993BB" w:rsidR="6C401F3D" w:rsidRPr="00AE3281" w:rsidRDefault="454E41B1" w:rsidP="00701430">
            <w:pPr>
              <w:keepNext/>
              <w:spacing w:after="0"/>
              <w:jc w:val="right"/>
              <w:rPr>
                <w:rFonts w:cs="Times New Roman"/>
              </w:rPr>
            </w:pPr>
            <w:r w:rsidRPr="454E41B1">
              <w:rPr>
                <w:rFonts w:eastAsia="Arial" w:cs="Times New Roman"/>
                <w:sz w:val="20"/>
                <w:szCs w:val="20"/>
              </w:rPr>
              <w:t>1,256,051</w:t>
            </w:r>
          </w:p>
        </w:tc>
        <w:tc>
          <w:tcPr>
            <w:tcW w:w="1394" w:type="dxa"/>
            <w:tcBorders>
              <w:top w:val="nil"/>
              <w:left w:val="nil"/>
              <w:bottom w:val="nil"/>
              <w:right w:val="nil"/>
            </w:tcBorders>
            <w:shd w:val="clear" w:color="auto" w:fill="auto"/>
            <w:noWrap/>
            <w:vAlign w:val="bottom"/>
            <w:hideMark/>
          </w:tcPr>
          <w:p w14:paraId="49A91C4C" w14:textId="149B2A4E" w:rsidR="6C401F3D" w:rsidRPr="00AE3281" w:rsidRDefault="454E41B1" w:rsidP="00701430">
            <w:pPr>
              <w:keepNext/>
              <w:spacing w:after="0"/>
              <w:jc w:val="right"/>
              <w:rPr>
                <w:rFonts w:cs="Times New Roman"/>
              </w:rPr>
            </w:pPr>
            <w:r w:rsidRPr="454E41B1">
              <w:rPr>
                <w:rFonts w:eastAsia="Arial" w:cs="Times New Roman"/>
                <w:sz w:val="20"/>
                <w:szCs w:val="20"/>
              </w:rPr>
              <w:t>7.016435</w:t>
            </w:r>
          </w:p>
        </w:tc>
        <w:tc>
          <w:tcPr>
            <w:tcW w:w="1395" w:type="dxa"/>
            <w:tcBorders>
              <w:top w:val="nil"/>
              <w:left w:val="nil"/>
              <w:bottom w:val="nil"/>
              <w:right w:val="nil"/>
            </w:tcBorders>
            <w:shd w:val="clear" w:color="auto" w:fill="auto"/>
            <w:noWrap/>
            <w:vAlign w:val="bottom"/>
            <w:hideMark/>
          </w:tcPr>
          <w:p w14:paraId="70281034" w14:textId="583C00AC" w:rsidR="6C401F3D" w:rsidRPr="00AE3281" w:rsidRDefault="454E41B1" w:rsidP="00701430">
            <w:pPr>
              <w:keepNext/>
              <w:spacing w:after="0"/>
              <w:jc w:val="right"/>
              <w:rPr>
                <w:rFonts w:cs="Times New Roman"/>
              </w:rPr>
            </w:pPr>
            <w:r w:rsidRPr="454E41B1">
              <w:rPr>
                <w:rFonts w:eastAsia="Arial" w:cs="Times New Roman"/>
                <w:sz w:val="20"/>
                <w:szCs w:val="20"/>
              </w:rPr>
              <w:t>25.54239</w:t>
            </w:r>
          </w:p>
        </w:tc>
        <w:tc>
          <w:tcPr>
            <w:tcW w:w="1394" w:type="dxa"/>
            <w:tcBorders>
              <w:top w:val="nil"/>
              <w:left w:val="nil"/>
              <w:bottom w:val="nil"/>
              <w:right w:val="nil"/>
            </w:tcBorders>
            <w:shd w:val="clear" w:color="auto" w:fill="auto"/>
            <w:noWrap/>
            <w:vAlign w:val="bottom"/>
            <w:hideMark/>
          </w:tcPr>
          <w:p w14:paraId="6946A76D" w14:textId="39F038EA" w:rsidR="6C401F3D" w:rsidRPr="00AE3281" w:rsidRDefault="454E41B1" w:rsidP="00701430">
            <w:pPr>
              <w:keepNext/>
              <w:spacing w:after="0"/>
              <w:jc w:val="right"/>
              <w:rPr>
                <w:rFonts w:cs="Times New Roman"/>
              </w:rPr>
            </w:pPr>
            <w:r w:rsidRPr="454E41B1">
              <w:rPr>
                <w:rFonts w:eastAsia="Arial" w:cs="Times New Roman"/>
                <w:sz w:val="20"/>
                <w:szCs w:val="20"/>
              </w:rPr>
              <w:t>0</w:t>
            </w:r>
          </w:p>
        </w:tc>
        <w:tc>
          <w:tcPr>
            <w:tcW w:w="1395" w:type="dxa"/>
            <w:tcBorders>
              <w:top w:val="nil"/>
              <w:left w:val="nil"/>
              <w:bottom w:val="nil"/>
              <w:right w:val="nil"/>
            </w:tcBorders>
            <w:shd w:val="clear" w:color="auto" w:fill="auto"/>
            <w:noWrap/>
            <w:vAlign w:val="bottom"/>
            <w:hideMark/>
          </w:tcPr>
          <w:p w14:paraId="2AFBE38A" w14:textId="57907AA7" w:rsidR="6C401F3D" w:rsidRPr="00AE3281" w:rsidRDefault="454E41B1" w:rsidP="00701430">
            <w:pPr>
              <w:keepNext/>
              <w:spacing w:after="0"/>
              <w:jc w:val="right"/>
              <w:rPr>
                <w:rFonts w:cs="Times New Roman"/>
              </w:rPr>
            </w:pPr>
            <w:r w:rsidRPr="454E41B1">
              <w:rPr>
                <w:rFonts w:eastAsia="Arial" w:cs="Times New Roman"/>
                <w:sz w:val="20"/>
                <w:szCs w:val="20"/>
              </w:rPr>
              <w:t>100</w:t>
            </w:r>
          </w:p>
        </w:tc>
      </w:tr>
      <w:tr w:rsidR="00095E72" w:rsidRPr="00AE3281" w14:paraId="5E9B615A" w14:textId="77777777" w:rsidTr="454E41B1">
        <w:trPr>
          <w:trHeight w:val="300"/>
        </w:trPr>
        <w:tc>
          <w:tcPr>
            <w:tcW w:w="2100" w:type="dxa"/>
            <w:tcBorders>
              <w:top w:val="nil"/>
              <w:left w:val="nil"/>
              <w:bottom w:val="nil"/>
              <w:right w:val="nil"/>
            </w:tcBorders>
            <w:shd w:val="clear" w:color="auto" w:fill="auto"/>
            <w:noWrap/>
            <w:vAlign w:val="bottom"/>
            <w:hideMark/>
          </w:tcPr>
          <w:p w14:paraId="09C1DA65" w14:textId="1F2C8F13" w:rsidR="00095E72" w:rsidRPr="00AE3281" w:rsidRDefault="00A4568D" w:rsidP="005B3738">
            <w:pPr>
              <w:keepNext/>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H</w:t>
            </w:r>
            <w:r w:rsidR="00095E72" w:rsidRPr="00AE3281">
              <w:rPr>
                <w:rFonts w:eastAsia="Times New Roman" w:cs="Times New Roman"/>
                <w:color w:val="000000"/>
                <w:sz w:val="22"/>
                <w:lang w:eastAsia="en-GB"/>
              </w:rPr>
              <w:t>ealth</w:t>
            </w:r>
            <w:r w:rsidRPr="00AE3281">
              <w:rPr>
                <w:rFonts w:eastAsia="Times New Roman" w:cs="Times New Roman"/>
                <w:color w:val="000000"/>
                <w:sz w:val="22"/>
                <w:lang w:eastAsia="en-GB"/>
              </w:rPr>
              <w:t xml:space="preserve"> sector</w:t>
            </w:r>
          </w:p>
        </w:tc>
        <w:tc>
          <w:tcPr>
            <w:tcW w:w="1394" w:type="dxa"/>
            <w:tcBorders>
              <w:top w:val="nil"/>
              <w:left w:val="nil"/>
              <w:bottom w:val="nil"/>
              <w:right w:val="nil"/>
            </w:tcBorders>
            <w:shd w:val="clear" w:color="auto" w:fill="auto"/>
            <w:noWrap/>
            <w:vAlign w:val="bottom"/>
            <w:hideMark/>
          </w:tcPr>
          <w:p w14:paraId="4269770F" w14:textId="7D683413" w:rsidR="6C401F3D" w:rsidRPr="00AE3281" w:rsidRDefault="454E41B1" w:rsidP="00701430">
            <w:pPr>
              <w:keepNext/>
              <w:spacing w:after="0"/>
              <w:jc w:val="right"/>
              <w:rPr>
                <w:rFonts w:cs="Times New Roman"/>
              </w:rPr>
            </w:pPr>
            <w:r w:rsidRPr="454E41B1">
              <w:rPr>
                <w:rFonts w:eastAsia="Arial" w:cs="Times New Roman"/>
                <w:sz w:val="20"/>
                <w:szCs w:val="20"/>
              </w:rPr>
              <w:t>1,256,051</w:t>
            </w:r>
          </w:p>
        </w:tc>
        <w:tc>
          <w:tcPr>
            <w:tcW w:w="1394" w:type="dxa"/>
            <w:tcBorders>
              <w:top w:val="nil"/>
              <w:left w:val="nil"/>
              <w:bottom w:val="nil"/>
              <w:right w:val="nil"/>
            </w:tcBorders>
            <w:shd w:val="clear" w:color="auto" w:fill="auto"/>
            <w:noWrap/>
            <w:vAlign w:val="bottom"/>
            <w:hideMark/>
          </w:tcPr>
          <w:p w14:paraId="63F985B4" w14:textId="313367A4" w:rsidR="6C401F3D" w:rsidRPr="00AE3281" w:rsidRDefault="454E41B1" w:rsidP="00701430">
            <w:pPr>
              <w:keepNext/>
              <w:spacing w:after="0"/>
              <w:jc w:val="right"/>
              <w:rPr>
                <w:rFonts w:cs="Times New Roman"/>
              </w:rPr>
            </w:pPr>
            <w:r w:rsidRPr="454E41B1">
              <w:rPr>
                <w:rFonts w:eastAsia="Arial" w:cs="Times New Roman"/>
                <w:sz w:val="20"/>
                <w:szCs w:val="20"/>
              </w:rPr>
              <w:t>14.2042</w:t>
            </w:r>
          </w:p>
        </w:tc>
        <w:tc>
          <w:tcPr>
            <w:tcW w:w="1395" w:type="dxa"/>
            <w:tcBorders>
              <w:top w:val="nil"/>
              <w:left w:val="nil"/>
              <w:bottom w:val="nil"/>
              <w:right w:val="nil"/>
            </w:tcBorders>
            <w:shd w:val="clear" w:color="auto" w:fill="auto"/>
            <w:noWrap/>
            <w:vAlign w:val="bottom"/>
            <w:hideMark/>
          </w:tcPr>
          <w:p w14:paraId="1C49DB52" w14:textId="3E0F0212" w:rsidR="6C401F3D" w:rsidRPr="00AE3281" w:rsidRDefault="454E41B1" w:rsidP="00701430">
            <w:pPr>
              <w:keepNext/>
              <w:spacing w:after="0"/>
              <w:jc w:val="right"/>
              <w:rPr>
                <w:rFonts w:cs="Times New Roman"/>
              </w:rPr>
            </w:pPr>
            <w:r w:rsidRPr="454E41B1">
              <w:rPr>
                <w:rFonts w:eastAsia="Arial" w:cs="Times New Roman"/>
                <w:sz w:val="20"/>
                <w:szCs w:val="20"/>
              </w:rPr>
              <w:t>34.90934</w:t>
            </w:r>
          </w:p>
        </w:tc>
        <w:tc>
          <w:tcPr>
            <w:tcW w:w="1394" w:type="dxa"/>
            <w:tcBorders>
              <w:top w:val="nil"/>
              <w:left w:val="nil"/>
              <w:bottom w:val="nil"/>
              <w:right w:val="nil"/>
            </w:tcBorders>
            <w:shd w:val="clear" w:color="auto" w:fill="auto"/>
            <w:noWrap/>
            <w:vAlign w:val="bottom"/>
            <w:hideMark/>
          </w:tcPr>
          <w:p w14:paraId="2493F7A8" w14:textId="27672066" w:rsidR="6C401F3D" w:rsidRPr="00AE3281" w:rsidRDefault="454E41B1" w:rsidP="00701430">
            <w:pPr>
              <w:keepNext/>
              <w:spacing w:after="0"/>
              <w:jc w:val="right"/>
              <w:rPr>
                <w:rFonts w:cs="Times New Roman"/>
              </w:rPr>
            </w:pPr>
            <w:r w:rsidRPr="454E41B1">
              <w:rPr>
                <w:rFonts w:eastAsia="Arial" w:cs="Times New Roman"/>
                <w:sz w:val="20"/>
                <w:szCs w:val="20"/>
              </w:rPr>
              <w:t>0</w:t>
            </w:r>
          </w:p>
        </w:tc>
        <w:tc>
          <w:tcPr>
            <w:tcW w:w="1395" w:type="dxa"/>
            <w:tcBorders>
              <w:top w:val="nil"/>
              <w:left w:val="nil"/>
              <w:bottom w:val="nil"/>
              <w:right w:val="nil"/>
            </w:tcBorders>
            <w:shd w:val="clear" w:color="auto" w:fill="auto"/>
            <w:noWrap/>
            <w:vAlign w:val="bottom"/>
            <w:hideMark/>
          </w:tcPr>
          <w:p w14:paraId="23DDBD96" w14:textId="00748FAB" w:rsidR="6C401F3D" w:rsidRPr="00AE3281" w:rsidRDefault="454E41B1" w:rsidP="00701430">
            <w:pPr>
              <w:keepNext/>
              <w:spacing w:after="0"/>
              <w:jc w:val="right"/>
              <w:rPr>
                <w:rFonts w:cs="Times New Roman"/>
              </w:rPr>
            </w:pPr>
            <w:r w:rsidRPr="454E41B1">
              <w:rPr>
                <w:rFonts w:eastAsia="Arial" w:cs="Times New Roman"/>
                <w:sz w:val="20"/>
                <w:szCs w:val="20"/>
              </w:rPr>
              <w:t>100</w:t>
            </w:r>
          </w:p>
        </w:tc>
      </w:tr>
      <w:tr w:rsidR="00095E72" w:rsidRPr="00AE3281" w14:paraId="7A28F916" w14:textId="77777777" w:rsidTr="454E41B1">
        <w:trPr>
          <w:trHeight w:val="300"/>
        </w:trPr>
        <w:tc>
          <w:tcPr>
            <w:tcW w:w="2100" w:type="dxa"/>
            <w:tcBorders>
              <w:top w:val="nil"/>
              <w:left w:val="nil"/>
              <w:bottom w:val="nil"/>
              <w:right w:val="nil"/>
            </w:tcBorders>
            <w:shd w:val="clear" w:color="auto" w:fill="auto"/>
            <w:noWrap/>
            <w:vAlign w:val="bottom"/>
            <w:hideMark/>
          </w:tcPr>
          <w:p w14:paraId="09F29453" w14:textId="6914D082" w:rsidR="00095E72" w:rsidRPr="00AE3281" w:rsidRDefault="00095E72" w:rsidP="005B3738">
            <w:pPr>
              <w:keepNext/>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Manual</w:t>
            </w:r>
            <w:r w:rsidR="00A4568D" w:rsidRPr="00AE3281">
              <w:rPr>
                <w:rFonts w:eastAsia="Times New Roman" w:cs="Times New Roman"/>
                <w:color w:val="000000"/>
                <w:sz w:val="22"/>
                <w:lang w:eastAsia="en-GB"/>
              </w:rPr>
              <w:t xml:space="preserve"> worker</w:t>
            </w:r>
          </w:p>
        </w:tc>
        <w:tc>
          <w:tcPr>
            <w:tcW w:w="1394" w:type="dxa"/>
            <w:tcBorders>
              <w:top w:val="nil"/>
              <w:left w:val="nil"/>
              <w:bottom w:val="nil"/>
              <w:right w:val="nil"/>
            </w:tcBorders>
            <w:shd w:val="clear" w:color="auto" w:fill="auto"/>
            <w:noWrap/>
            <w:vAlign w:val="bottom"/>
            <w:hideMark/>
          </w:tcPr>
          <w:p w14:paraId="6E440E56" w14:textId="154D1900" w:rsidR="6C401F3D" w:rsidRPr="00AE3281" w:rsidRDefault="454E41B1" w:rsidP="00701430">
            <w:pPr>
              <w:keepNext/>
              <w:spacing w:after="0"/>
              <w:jc w:val="right"/>
              <w:rPr>
                <w:rFonts w:cs="Times New Roman"/>
              </w:rPr>
            </w:pPr>
            <w:r w:rsidRPr="454E41B1">
              <w:rPr>
                <w:rFonts w:eastAsia="Arial" w:cs="Times New Roman"/>
                <w:sz w:val="20"/>
                <w:szCs w:val="20"/>
              </w:rPr>
              <w:t>1,256,051</w:t>
            </w:r>
          </w:p>
        </w:tc>
        <w:tc>
          <w:tcPr>
            <w:tcW w:w="1394" w:type="dxa"/>
            <w:tcBorders>
              <w:top w:val="nil"/>
              <w:left w:val="nil"/>
              <w:bottom w:val="nil"/>
              <w:right w:val="nil"/>
            </w:tcBorders>
            <w:shd w:val="clear" w:color="auto" w:fill="auto"/>
            <w:noWrap/>
            <w:vAlign w:val="bottom"/>
            <w:hideMark/>
          </w:tcPr>
          <w:p w14:paraId="6F5328B3" w14:textId="39A6A07D" w:rsidR="6C401F3D" w:rsidRPr="00AE3281" w:rsidRDefault="454E41B1" w:rsidP="00701430">
            <w:pPr>
              <w:keepNext/>
              <w:spacing w:after="0"/>
              <w:jc w:val="right"/>
              <w:rPr>
                <w:rFonts w:cs="Times New Roman"/>
              </w:rPr>
            </w:pPr>
            <w:r w:rsidRPr="454E41B1">
              <w:rPr>
                <w:rFonts w:eastAsia="Arial" w:cs="Times New Roman"/>
                <w:sz w:val="20"/>
                <w:szCs w:val="20"/>
              </w:rPr>
              <w:t>8.113843</w:t>
            </w:r>
          </w:p>
        </w:tc>
        <w:tc>
          <w:tcPr>
            <w:tcW w:w="1395" w:type="dxa"/>
            <w:tcBorders>
              <w:top w:val="nil"/>
              <w:left w:val="nil"/>
              <w:bottom w:val="nil"/>
              <w:right w:val="nil"/>
            </w:tcBorders>
            <w:shd w:val="clear" w:color="auto" w:fill="auto"/>
            <w:noWrap/>
            <w:vAlign w:val="bottom"/>
            <w:hideMark/>
          </w:tcPr>
          <w:p w14:paraId="7FABE9F3" w14:textId="77EF4B91" w:rsidR="6C401F3D" w:rsidRPr="00AE3281" w:rsidRDefault="454E41B1" w:rsidP="00701430">
            <w:pPr>
              <w:keepNext/>
              <w:spacing w:after="0"/>
              <w:jc w:val="right"/>
              <w:rPr>
                <w:rFonts w:cs="Times New Roman"/>
              </w:rPr>
            </w:pPr>
            <w:r w:rsidRPr="454E41B1">
              <w:rPr>
                <w:rFonts w:eastAsia="Arial" w:cs="Times New Roman"/>
                <w:sz w:val="20"/>
                <w:szCs w:val="20"/>
              </w:rPr>
              <w:t>27.30477</w:t>
            </w:r>
          </w:p>
        </w:tc>
        <w:tc>
          <w:tcPr>
            <w:tcW w:w="1394" w:type="dxa"/>
            <w:tcBorders>
              <w:top w:val="nil"/>
              <w:left w:val="nil"/>
              <w:bottom w:val="nil"/>
              <w:right w:val="nil"/>
            </w:tcBorders>
            <w:shd w:val="clear" w:color="auto" w:fill="auto"/>
            <w:noWrap/>
            <w:vAlign w:val="bottom"/>
            <w:hideMark/>
          </w:tcPr>
          <w:p w14:paraId="02B35269" w14:textId="6A4DA350" w:rsidR="6C401F3D" w:rsidRPr="00AE3281" w:rsidRDefault="454E41B1" w:rsidP="00701430">
            <w:pPr>
              <w:keepNext/>
              <w:spacing w:after="0"/>
              <w:jc w:val="right"/>
              <w:rPr>
                <w:rFonts w:cs="Times New Roman"/>
              </w:rPr>
            </w:pPr>
            <w:r w:rsidRPr="454E41B1">
              <w:rPr>
                <w:rFonts w:eastAsia="Arial" w:cs="Times New Roman"/>
                <w:sz w:val="20"/>
                <w:szCs w:val="20"/>
              </w:rPr>
              <w:t>0</w:t>
            </w:r>
          </w:p>
        </w:tc>
        <w:tc>
          <w:tcPr>
            <w:tcW w:w="1395" w:type="dxa"/>
            <w:tcBorders>
              <w:top w:val="nil"/>
              <w:left w:val="nil"/>
              <w:bottom w:val="nil"/>
              <w:right w:val="nil"/>
            </w:tcBorders>
            <w:shd w:val="clear" w:color="auto" w:fill="auto"/>
            <w:noWrap/>
            <w:vAlign w:val="bottom"/>
            <w:hideMark/>
          </w:tcPr>
          <w:p w14:paraId="781E3A9F" w14:textId="68248849" w:rsidR="6C401F3D" w:rsidRPr="00AE3281" w:rsidRDefault="454E41B1" w:rsidP="00701430">
            <w:pPr>
              <w:keepNext/>
              <w:spacing w:after="0"/>
              <w:jc w:val="right"/>
              <w:rPr>
                <w:rFonts w:cs="Times New Roman"/>
              </w:rPr>
            </w:pPr>
            <w:r w:rsidRPr="454E41B1">
              <w:rPr>
                <w:rFonts w:eastAsia="Arial" w:cs="Times New Roman"/>
                <w:sz w:val="20"/>
                <w:szCs w:val="20"/>
              </w:rPr>
              <w:t>100</w:t>
            </w:r>
          </w:p>
        </w:tc>
      </w:tr>
      <w:tr w:rsidR="00095E72" w:rsidRPr="00AE3281" w14:paraId="0C85CC21" w14:textId="77777777" w:rsidTr="454E41B1">
        <w:trPr>
          <w:trHeight w:val="300"/>
        </w:trPr>
        <w:tc>
          <w:tcPr>
            <w:tcW w:w="2100" w:type="dxa"/>
            <w:tcBorders>
              <w:top w:val="nil"/>
              <w:left w:val="nil"/>
              <w:bottom w:val="nil"/>
              <w:right w:val="nil"/>
            </w:tcBorders>
            <w:shd w:val="clear" w:color="auto" w:fill="auto"/>
            <w:noWrap/>
            <w:vAlign w:val="bottom"/>
            <w:hideMark/>
          </w:tcPr>
          <w:p w14:paraId="10E8C2B2" w14:textId="499F46E6" w:rsidR="00095E72" w:rsidRPr="00AE3281" w:rsidRDefault="00095E72" w:rsidP="005B3738">
            <w:pPr>
              <w:keepNext/>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Manual</w:t>
            </w:r>
            <w:r w:rsidR="00A4568D" w:rsidRPr="00AE3281">
              <w:rPr>
                <w:rFonts w:eastAsia="Times New Roman" w:cs="Times New Roman"/>
                <w:color w:val="000000"/>
                <w:sz w:val="22"/>
                <w:lang w:eastAsia="en-GB"/>
              </w:rPr>
              <w:t xml:space="preserve"> worker </w:t>
            </w:r>
            <w:r w:rsidR="00FC5FCB" w:rsidRPr="00AE3281">
              <w:rPr>
                <w:rFonts w:eastAsia="Times New Roman" w:cs="Times New Roman"/>
                <w:color w:val="000000"/>
                <w:sz w:val="22"/>
                <w:lang w:eastAsia="en-GB"/>
              </w:rPr>
              <w:t>(</w:t>
            </w:r>
            <w:r w:rsidR="00A4568D" w:rsidRPr="00AE3281">
              <w:rPr>
                <w:rFonts w:eastAsia="Times New Roman" w:cs="Times New Roman"/>
                <w:color w:val="000000"/>
                <w:sz w:val="22"/>
                <w:lang w:eastAsia="en-GB"/>
              </w:rPr>
              <w:t>v2</w:t>
            </w:r>
            <w:r w:rsidR="00FC5FCB" w:rsidRPr="00AE3281">
              <w:rPr>
                <w:rFonts w:eastAsia="Times New Roman" w:cs="Times New Roman"/>
                <w:color w:val="000000"/>
                <w:sz w:val="22"/>
                <w:lang w:eastAsia="en-GB"/>
              </w:rPr>
              <w:t>)</w:t>
            </w:r>
          </w:p>
        </w:tc>
        <w:tc>
          <w:tcPr>
            <w:tcW w:w="1394" w:type="dxa"/>
            <w:tcBorders>
              <w:top w:val="nil"/>
              <w:left w:val="nil"/>
              <w:bottom w:val="nil"/>
              <w:right w:val="nil"/>
            </w:tcBorders>
            <w:shd w:val="clear" w:color="auto" w:fill="auto"/>
            <w:noWrap/>
            <w:vAlign w:val="bottom"/>
            <w:hideMark/>
          </w:tcPr>
          <w:p w14:paraId="45DA8ED0" w14:textId="5EFC2C65" w:rsidR="6C401F3D" w:rsidRPr="00AE3281" w:rsidRDefault="454E41B1" w:rsidP="00701430">
            <w:pPr>
              <w:keepNext/>
              <w:spacing w:after="0"/>
              <w:jc w:val="right"/>
              <w:rPr>
                <w:rFonts w:cs="Times New Roman"/>
              </w:rPr>
            </w:pPr>
            <w:r w:rsidRPr="454E41B1">
              <w:rPr>
                <w:rFonts w:eastAsia="Arial" w:cs="Times New Roman"/>
                <w:sz w:val="20"/>
                <w:szCs w:val="20"/>
              </w:rPr>
              <w:t>1,256,051</w:t>
            </w:r>
          </w:p>
        </w:tc>
        <w:tc>
          <w:tcPr>
            <w:tcW w:w="1394" w:type="dxa"/>
            <w:tcBorders>
              <w:top w:val="nil"/>
              <w:left w:val="nil"/>
              <w:bottom w:val="nil"/>
              <w:right w:val="nil"/>
            </w:tcBorders>
            <w:shd w:val="clear" w:color="auto" w:fill="auto"/>
            <w:noWrap/>
            <w:vAlign w:val="bottom"/>
            <w:hideMark/>
          </w:tcPr>
          <w:p w14:paraId="242AAD58" w14:textId="01CC9EF6" w:rsidR="6C401F3D" w:rsidRPr="00AE3281" w:rsidRDefault="454E41B1" w:rsidP="00701430">
            <w:pPr>
              <w:keepNext/>
              <w:spacing w:after="0"/>
              <w:jc w:val="right"/>
              <w:rPr>
                <w:rFonts w:cs="Times New Roman"/>
              </w:rPr>
            </w:pPr>
            <w:r w:rsidRPr="454E41B1">
              <w:rPr>
                <w:rFonts w:eastAsia="Arial" w:cs="Times New Roman"/>
                <w:sz w:val="20"/>
                <w:szCs w:val="20"/>
              </w:rPr>
              <w:t>19.53846</w:t>
            </w:r>
          </w:p>
        </w:tc>
        <w:tc>
          <w:tcPr>
            <w:tcW w:w="1395" w:type="dxa"/>
            <w:tcBorders>
              <w:top w:val="nil"/>
              <w:left w:val="nil"/>
              <w:bottom w:val="nil"/>
              <w:right w:val="nil"/>
            </w:tcBorders>
            <w:shd w:val="clear" w:color="auto" w:fill="auto"/>
            <w:noWrap/>
            <w:vAlign w:val="bottom"/>
            <w:hideMark/>
          </w:tcPr>
          <w:p w14:paraId="35785A1C" w14:textId="5B5F4463" w:rsidR="6C401F3D" w:rsidRPr="00AE3281" w:rsidRDefault="454E41B1" w:rsidP="00701430">
            <w:pPr>
              <w:keepNext/>
              <w:spacing w:after="0"/>
              <w:jc w:val="right"/>
              <w:rPr>
                <w:rFonts w:cs="Times New Roman"/>
              </w:rPr>
            </w:pPr>
            <w:r w:rsidRPr="454E41B1">
              <w:rPr>
                <w:rFonts w:eastAsia="Arial" w:cs="Times New Roman"/>
                <w:sz w:val="20"/>
                <w:szCs w:val="20"/>
              </w:rPr>
              <w:t>39.64966</w:t>
            </w:r>
          </w:p>
        </w:tc>
        <w:tc>
          <w:tcPr>
            <w:tcW w:w="1394" w:type="dxa"/>
            <w:tcBorders>
              <w:top w:val="nil"/>
              <w:left w:val="nil"/>
              <w:bottom w:val="nil"/>
              <w:right w:val="nil"/>
            </w:tcBorders>
            <w:shd w:val="clear" w:color="auto" w:fill="auto"/>
            <w:noWrap/>
            <w:vAlign w:val="bottom"/>
            <w:hideMark/>
          </w:tcPr>
          <w:p w14:paraId="0DCC101A" w14:textId="0642F9C9" w:rsidR="6C401F3D" w:rsidRPr="00AE3281" w:rsidRDefault="454E41B1" w:rsidP="00701430">
            <w:pPr>
              <w:keepNext/>
              <w:spacing w:after="0"/>
              <w:jc w:val="right"/>
              <w:rPr>
                <w:rFonts w:cs="Times New Roman"/>
              </w:rPr>
            </w:pPr>
            <w:r w:rsidRPr="454E41B1">
              <w:rPr>
                <w:rFonts w:eastAsia="Arial" w:cs="Times New Roman"/>
                <w:sz w:val="20"/>
                <w:szCs w:val="20"/>
              </w:rPr>
              <w:t>0</w:t>
            </w:r>
          </w:p>
        </w:tc>
        <w:tc>
          <w:tcPr>
            <w:tcW w:w="1395" w:type="dxa"/>
            <w:tcBorders>
              <w:top w:val="nil"/>
              <w:left w:val="nil"/>
              <w:bottom w:val="nil"/>
              <w:right w:val="nil"/>
            </w:tcBorders>
            <w:shd w:val="clear" w:color="auto" w:fill="auto"/>
            <w:noWrap/>
            <w:vAlign w:val="bottom"/>
            <w:hideMark/>
          </w:tcPr>
          <w:p w14:paraId="76149151" w14:textId="4A644A06" w:rsidR="6C401F3D" w:rsidRPr="00AE3281" w:rsidRDefault="454E41B1" w:rsidP="00701430">
            <w:pPr>
              <w:keepNext/>
              <w:spacing w:after="0"/>
              <w:jc w:val="right"/>
              <w:rPr>
                <w:rFonts w:cs="Times New Roman"/>
              </w:rPr>
            </w:pPr>
            <w:r w:rsidRPr="454E41B1">
              <w:rPr>
                <w:rFonts w:eastAsia="Arial" w:cs="Times New Roman"/>
                <w:sz w:val="20"/>
                <w:szCs w:val="20"/>
              </w:rPr>
              <w:t>100</w:t>
            </w:r>
          </w:p>
        </w:tc>
      </w:tr>
      <w:tr w:rsidR="00095E72" w:rsidRPr="00AE3281" w14:paraId="0C41E9F8" w14:textId="77777777" w:rsidTr="454E41B1">
        <w:trPr>
          <w:trHeight w:val="300"/>
        </w:trPr>
        <w:tc>
          <w:tcPr>
            <w:tcW w:w="2100" w:type="dxa"/>
            <w:tcBorders>
              <w:top w:val="nil"/>
              <w:left w:val="nil"/>
              <w:right w:val="nil"/>
            </w:tcBorders>
            <w:shd w:val="clear" w:color="auto" w:fill="auto"/>
            <w:noWrap/>
            <w:vAlign w:val="bottom"/>
            <w:hideMark/>
          </w:tcPr>
          <w:p w14:paraId="08C48DDC" w14:textId="20C445ED" w:rsidR="00095E72" w:rsidRPr="00AE3281" w:rsidRDefault="00A4568D" w:rsidP="005B3738">
            <w:pPr>
              <w:keepNext/>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Temporary work</w:t>
            </w:r>
          </w:p>
        </w:tc>
        <w:tc>
          <w:tcPr>
            <w:tcW w:w="1394" w:type="dxa"/>
            <w:tcBorders>
              <w:top w:val="nil"/>
              <w:left w:val="nil"/>
              <w:right w:val="nil"/>
            </w:tcBorders>
            <w:shd w:val="clear" w:color="auto" w:fill="auto"/>
            <w:noWrap/>
            <w:vAlign w:val="bottom"/>
            <w:hideMark/>
          </w:tcPr>
          <w:p w14:paraId="0AB48129" w14:textId="39CCD44A" w:rsidR="6C401F3D" w:rsidRPr="00AE3281" w:rsidRDefault="454E41B1" w:rsidP="00701430">
            <w:pPr>
              <w:keepNext/>
              <w:spacing w:after="0"/>
              <w:jc w:val="right"/>
              <w:rPr>
                <w:rFonts w:cs="Times New Roman"/>
              </w:rPr>
            </w:pPr>
            <w:r w:rsidRPr="454E41B1">
              <w:rPr>
                <w:rFonts w:eastAsia="Arial" w:cs="Times New Roman"/>
                <w:sz w:val="20"/>
                <w:szCs w:val="20"/>
              </w:rPr>
              <w:t>1,074,587</w:t>
            </w:r>
          </w:p>
        </w:tc>
        <w:tc>
          <w:tcPr>
            <w:tcW w:w="1394" w:type="dxa"/>
            <w:tcBorders>
              <w:top w:val="nil"/>
              <w:left w:val="nil"/>
              <w:right w:val="nil"/>
            </w:tcBorders>
            <w:shd w:val="clear" w:color="auto" w:fill="auto"/>
            <w:noWrap/>
            <w:vAlign w:val="bottom"/>
            <w:hideMark/>
          </w:tcPr>
          <w:p w14:paraId="5970143A" w14:textId="5A6E6DA8" w:rsidR="6C401F3D" w:rsidRPr="00AE3281" w:rsidRDefault="454E41B1" w:rsidP="00701430">
            <w:pPr>
              <w:keepNext/>
              <w:spacing w:after="0"/>
              <w:jc w:val="right"/>
              <w:rPr>
                <w:rFonts w:cs="Times New Roman"/>
              </w:rPr>
            </w:pPr>
            <w:r w:rsidRPr="454E41B1">
              <w:rPr>
                <w:rFonts w:eastAsia="Arial" w:cs="Times New Roman"/>
                <w:sz w:val="20"/>
                <w:szCs w:val="20"/>
              </w:rPr>
              <w:t>5.385604</w:t>
            </w:r>
          </w:p>
        </w:tc>
        <w:tc>
          <w:tcPr>
            <w:tcW w:w="1395" w:type="dxa"/>
            <w:tcBorders>
              <w:top w:val="nil"/>
              <w:left w:val="nil"/>
              <w:right w:val="nil"/>
            </w:tcBorders>
            <w:shd w:val="clear" w:color="auto" w:fill="auto"/>
            <w:noWrap/>
            <w:vAlign w:val="bottom"/>
            <w:hideMark/>
          </w:tcPr>
          <w:p w14:paraId="76567524" w14:textId="59C42465" w:rsidR="6C401F3D" w:rsidRPr="00AE3281" w:rsidRDefault="454E41B1" w:rsidP="00701430">
            <w:pPr>
              <w:keepNext/>
              <w:spacing w:after="0"/>
              <w:jc w:val="right"/>
              <w:rPr>
                <w:rFonts w:cs="Times New Roman"/>
              </w:rPr>
            </w:pPr>
            <w:r w:rsidRPr="454E41B1">
              <w:rPr>
                <w:rFonts w:eastAsia="Arial" w:cs="Times New Roman"/>
                <w:sz w:val="20"/>
                <w:szCs w:val="20"/>
              </w:rPr>
              <w:t>22.57335</w:t>
            </w:r>
          </w:p>
        </w:tc>
        <w:tc>
          <w:tcPr>
            <w:tcW w:w="1394" w:type="dxa"/>
            <w:tcBorders>
              <w:top w:val="nil"/>
              <w:left w:val="nil"/>
              <w:right w:val="nil"/>
            </w:tcBorders>
            <w:shd w:val="clear" w:color="auto" w:fill="auto"/>
            <w:noWrap/>
            <w:vAlign w:val="bottom"/>
            <w:hideMark/>
          </w:tcPr>
          <w:p w14:paraId="13A78928" w14:textId="331861FF" w:rsidR="6C401F3D" w:rsidRPr="00AE3281" w:rsidRDefault="454E41B1" w:rsidP="00701430">
            <w:pPr>
              <w:keepNext/>
              <w:spacing w:after="0"/>
              <w:jc w:val="right"/>
              <w:rPr>
                <w:rFonts w:cs="Times New Roman"/>
              </w:rPr>
            </w:pPr>
            <w:r w:rsidRPr="454E41B1">
              <w:rPr>
                <w:rFonts w:eastAsia="Arial" w:cs="Times New Roman"/>
                <w:sz w:val="20"/>
                <w:szCs w:val="20"/>
              </w:rPr>
              <w:t>0</w:t>
            </w:r>
          </w:p>
        </w:tc>
        <w:tc>
          <w:tcPr>
            <w:tcW w:w="1395" w:type="dxa"/>
            <w:tcBorders>
              <w:top w:val="nil"/>
              <w:left w:val="nil"/>
              <w:right w:val="nil"/>
            </w:tcBorders>
            <w:shd w:val="clear" w:color="auto" w:fill="auto"/>
            <w:noWrap/>
            <w:vAlign w:val="bottom"/>
            <w:hideMark/>
          </w:tcPr>
          <w:p w14:paraId="14D5AE5D" w14:textId="2D399C07" w:rsidR="6C401F3D" w:rsidRPr="00AE3281" w:rsidRDefault="454E41B1" w:rsidP="00701430">
            <w:pPr>
              <w:keepNext/>
              <w:spacing w:after="0"/>
              <w:jc w:val="right"/>
              <w:rPr>
                <w:rFonts w:cs="Times New Roman"/>
              </w:rPr>
            </w:pPr>
            <w:r w:rsidRPr="454E41B1">
              <w:rPr>
                <w:rFonts w:eastAsia="Arial" w:cs="Times New Roman"/>
                <w:sz w:val="20"/>
                <w:szCs w:val="20"/>
              </w:rPr>
              <w:t>100</w:t>
            </w:r>
          </w:p>
        </w:tc>
      </w:tr>
      <w:tr w:rsidR="00095E72" w:rsidRPr="00AE3281" w14:paraId="722FA87D" w14:textId="77777777" w:rsidTr="00701430">
        <w:trPr>
          <w:trHeight w:val="300"/>
        </w:trPr>
        <w:tc>
          <w:tcPr>
            <w:tcW w:w="2100" w:type="dxa"/>
            <w:tcBorders>
              <w:top w:val="nil"/>
              <w:left w:val="nil"/>
              <w:bottom w:val="single" w:sz="4" w:space="0" w:color="auto"/>
              <w:right w:val="nil"/>
            </w:tcBorders>
            <w:shd w:val="clear" w:color="auto" w:fill="auto"/>
            <w:noWrap/>
            <w:vAlign w:val="bottom"/>
          </w:tcPr>
          <w:p w14:paraId="57B9844B" w14:textId="1C7C1918" w:rsidR="00095E72" w:rsidRPr="00AE3281" w:rsidRDefault="00095E72" w:rsidP="005B3738">
            <w:pPr>
              <w:keepNext/>
              <w:spacing w:after="0" w:line="240" w:lineRule="auto"/>
              <w:jc w:val="both"/>
              <w:rPr>
                <w:rFonts w:eastAsia="Times New Roman" w:cs="Times New Roman"/>
                <w:color w:val="000000"/>
                <w:sz w:val="22"/>
                <w:lang w:eastAsia="en-GB"/>
              </w:rPr>
            </w:pPr>
          </w:p>
        </w:tc>
        <w:tc>
          <w:tcPr>
            <w:tcW w:w="1394" w:type="dxa"/>
            <w:tcBorders>
              <w:top w:val="nil"/>
              <w:left w:val="nil"/>
              <w:bottom w:val="single" w:sz="4" w:space="0" w:color="auto"/>
              <w:right w:val="nil"/>
            </w:tcBorders>
            <w:shd w:val="clear" w:color="auto" w:fill="auto"/>
            <w:noWrap/>
            <w:vAlign w:val="bottom"/>
          </w:tcPr>
          <w:p w14:paraId="3ED33C62" w14:textId="5FDB6FBB" w:rsidR="6C401F3D" w:rsidRPr="00AE3281" w:rsidRDefault="6C401F3D" w:rsidP="00701430">
            <w:pPr>
              <w:keepNext/>
              <w:spacing w:after="0"/>
              <w:jc w:val="right"/>
              <w:rPr>
                <w:rFonts w:cs="Times New Roman"/>
              </w:rPr>
            </w:pPr>
          </w:p>
        </w:tc>
        <w:tc>
          <w:tcPr>
            <w:tcW w:w="1394" w:type="dxa"/>
            <w:tcBorders>
              <w:top w:val="nil"/>
              <w:left w:val="nil"/>
              <w:bottom w:val="single" w:sz="4" w:space="0" w:color="auto"/>
              <w:right w:val="nil"/>
            </w:tcBorders>
            <w:shd w:val="clear" w:color="auto" w:fill="auto"/>
            <w:noWrap/>
            <w:vAlign w:val="bottom"/>
          </w:tcPr>
          <w:p w14:paraId="48FFD583" w14:textId="005A33C0" w:rsidR="6C401F3D" w:rsidRPr="00AE3281" w:rsidRDefault="6C401F3D" w:rsidP="00701430">
            <w:pPr>
              <w:keepNext/>
              <w:spacing w:after="0"/>
              <w:jc w:val="right"/>
              <w:rPr>
                <w:rFonts w:cs="Times New Roman"/>
              </w:rPr>
            </w:pPr>
          </w:p>
        </w:tc>
        <w:tc>
          <w:tcPr>
            <w:tcW w:w="1395" w:type="dxa"/>
            <w:tcBorders>
              <w:top w:val="nil"/>
              <w:left w:val="nil"/>
              <w:bottom w:val="single" w:sz="4" w:space="0" w:color="auto"/>
              <w:right w:val="nil"/>
            </w:tcBorders>
            <w:shd w:val="clear" w:color="auto" w:fill="auto"/>
            <w:noWrap/>
            <w:vAlign w:val="bottom"/>
          </w:tcPr>
          <w:p w14:paraId="3C161BF1" w14:textId="1F8005EC" w:rsidR="6C401F3D" w:rsidRPr="00AE3281" w:rsidRDefault="6C401F3D" w:rsidP="00701430">
            <w:pPr>
              <w:keepNext/>
              <w:spacing w:after="0"/>
              <w:jc w:val="right"/>
              <w:rPr>
                <w:rFonts w:cs="Times New Roman"/>
              </w:rPr>
            </w:pPr>
          </w:p>
        </w:tc>
        <w:tc>
          <w:tcPr>
            <w:tcW w:w="1394" w:type="dxa"/>
            <w:tcBorders>
              <w:top w:val="nil"/>
              <w:left w:val="nil"/>
              <w:bottom w:val="single" w:sz="4" w:space="0" w:color="auto"/>
              <w:right w:val="nil"/>
            </w:tcBorders>
            <w:shd w:val="clear" w:color="auto" w:fill="auto"/>
            <w:noWrap/>
            <w:vAlign w:val="bottom"/>
          </w:tcPr>
          <w:p w14:paraId="001CA9A0" w14:textId="0D6FF8EB" w:rsidR="6C401F3D" w:rsidRPr="00AE3281" w:rsidRDefault="6C401F3D" w:rsidP="00701430">
            <w:pPr>
              <w:keepNext/>
              <w:spacing w:after="0"/>
              <w:jc w:val="right"/>
              <w:rPr>
                <w:rFonts w:cs="Times New Roman"/>
              </w:rPr>
            </w:pPr>
          </w:p>
        </w:tc>
        <w:tc>
          <w:tcPr>
            <w:tcW w:w="1395" w:type="dxa"/>
            <w:tcBorders>
              <w:top w:val="nil"/>
              <w:left w:val="nil"/>
              <w:bottom w:val="single" w:sz="4" w:space="0" w:color="auto"/>
              <w:right w:val="nil"/>
            </w:tcBorders>
            <w:shd w:val="clear" w:color="auto" w:fill="auto"/>
            <w:noWrap/>
            <w:vAlign w:val="bottom"/>
          </w:tcPr>
          <w:p w14:paraId="79DEBE17" w14:textId="1BAD0A7E" w:rsidR="6C401F3D" w:rsidRPr="00AE3281" w:rsidRDefault="6C401F3D" w:rsidP="00701430">
            <w:pPr>
              <w:keepNext/>
              <w:spacing w:after="0"/>
              <w:jc w:val="right"/>
              <w:rPr>
                <w:rFonts w:cs="Times New Roman"/>
              </w:rPr>
            </w:pPr>
          </w:p>
        </w:tc>
      </w:tr>
    </w:tbl>
    <w:p w14:paraId="346E7C07" w14:textId="29CE7274" w:rsidR="41F128EC" w:rsidRDefault="001D4CB7" w:rsidP="005B3738">
      <w:pPr>
        <w:jc w:val="both"/>
        <w:rPr>
          <w:rFonts w:cs="Times New Roman"/>
          <w:sz w:val="20"/>
          <w:szCs w:val="20"/>
        </w:rPr>
      </w:pPr>
      <w:r>
        <w:rPr>
          <w:rFonts w:cs="Times New Roman"/>
          <w:sz w:val="20"/>
          <w:szCs w:val="20"/>
        </w:rPr>
        <w:t xml:space="preserve">Source: our elaborations. </w:t>
      </w:r>
    </w:p>
    <w:p w14:paraId="3B5224E6" w14:textId="77777777" w:rsidR="00194D0A" w:rsidRPr="00AE3281" w:rsidRDefault="00194D0A" w:rsidP="005B3738">
      <w:pPr>
        <w:jc w:val="both"/>
        <w:rPr>
          <w:rFonts w:cs="Times New Roman"/>
        </w:rPr>
      </w:pPr>
    </w:p>
    <w:p w14:paraId="79B7F7A6" w14:textId="484CE1F2" w:rsidR="00640883" w:rsidRPr="00AE3281" w:rsidRDefault="41F128EC" w:rsidP="005B3738">
      <w:pPr>
        <w:jc w:val="both"/>
        <w:rPr>
          <w:rFonts w:cs="Times New Roman"/>
          <w:b/>
          <w:bCs/>
          <w:i/>
          <w:iCs/>
        </w:rPr>
      </w:pPr>
      <w:r w:rsidRPr="00AE3281">
        <w:rPr>
          <w:rFonts w:cs="Times New Roman"/>
          <w:b/>
          <w:bCs/>
          <w:i/>
          <w:iCs/>
        </w:rPr>
        <w:t>Parallel trends assumption</w:t>
      </w:r>
    </w:p>
    <w:p w14:paraId="6E60673A" w14:textId="11DB6FA5" w:rsidR="004D783A" w:rsidRPr="00AE3281" w:rsidRDefault="4FCF3351" w:rsidP="00FB0F4F">
      <w:pPr>
        <w:jc w:val="both"/>
        <w:rPr>
          <w:rFonts w:cs="Times New Roman"/>
          <w:szCs w:val="24"/>
        </w:rPr>
      </w:pPr>
      <w:r w:rsidRPr="00AE3281">
        <w:rPr>
          <w:rFonts w:cs="Times New Roman"/>
          <w:szCs w:val="24"/>
        </w:rPr>
        <w:t>The parallel trends assumption in the Difference-in-Differences (</w:t>
      </w:r>
      <w:proofErr w:type="spellStart"/>
      <w:r w:rsidRPr="00AE3281">
        <w:rPr>
          <w:rFonts w:cs="Times New Roman"/>
          <w:szCs w:val="24"/>
        </w:rPr>
        <w:t>DiD</w:t>
      </w:r>
      <w:proofErr w:type="spellEnd"/>
      <w:r w:rsidRPr="00AE3281">
        <w:rPr>
          <w:rFonts w:cs="Times New Roman"/>
          <w:szCs w:val="24"/>
        </w:rPr>
        <w:t>) model is critical. This assumption requires that, in the absence of treatment, the average outcomes of the treated and control groups would have followed the same trend over time. Of course, this is an untestable assumption because it concerns what would have happened in the absence of treatment, which</w:t>
      </w:r>
      <w:r w:rsidR="00C91C4A" w:rsidRPr="00AE3281">
        <w:rPr>
          <w:rFonts w:cs="Times New Roman"/>
          <w:szCs w:val="24"/>
        </w:rPr>
        <w:t>,</w:t>
      </w:r>
      <w:r w:rsidRPr="00AE3281">
        <w:rPr>
          <w:rFonts w:cs="Times New Roman"/>
          <w:szCs w:val="24"/>
        </w:rPr>
        <w:t xml:space="preserve"> by definition</w:t>
      </w:r>
      <w:r w:rsidR="00C91C4A" w:rsidRPr="00AE3281">
        <w:rPr>
          <w:rFonts w:cs="Times New Roman"/>
          <w:szCs w:val="24"/>
        </w:rPr>
        <w:t>,</w:t>
      </w:r>
      <w:r w:rsidRPr="00AE3281">
        <w:rPr>
          <w:rFonts w:cs="Times New Roman"/>
          <w:szCs w:val="24"/>
        </w:rPr>
        <w:t xml:space="preserve"> is not observed. However, some checks may provide suggestive evidence </w:t>
      </w:r>
      <w:r w:rsidR="00416D4C" w:rsidRPr="00AE3281">
        <w:rPr>
          <w:rFonts w:cs="Times New Roman"/>
          <w:szCs w:val="24"/>
        </w:rPr>
        <w:t>regarding</w:t>
      </w:r>
      <w:r w:rsidRPr="00AE3281">
        <w:rPr>
          <w:rFonts w:cs="Times New Roman"/>
          <w:szCs w:val="24"/>
        </w:rPr>
        <w:t xml:space="preserve"> this assumption. </w:t>
      </w:r>
      <w:r w:rsidR="00416D4C" w:rsidRPr="00AE3281">
        <w:rPr>
          <w:rFonts w:cs="Times New Roman"/>
          <w:szCs w:val="24"/>
        </w:rPr>
        <w:t xml:space="preserve">In </w:t>
      </w:r>
      <w:r w:rsidRPr="00AE3281">
        <w:rPr>
          <w:rFonts w:cs="Times New Roman"/>
          <w:szCs w:val="24"/>
        </w:rPr>
        <w:t xml:space="preserve">Figure </w:t>
      </w:r>
      <w:r w:rsidR="00CF4142">
        <w:rPr>
          <w:rFonts w:cs="Times New Roman"/>
          <w:szCs w:val="24"/>
        </w:rPr>
        <w:t>3</w:t>
      </w:r>
      <w:r w:rsidR="00416D4C" w:rsidRPr="00AE3281">
        <w:rPr>
          <w:rFonts w:cs="Times New Roman"/>
          <w:szCs w:val="24"/>
        </w:rPr>
        <w:t xml:space="preserve"> we show</w:t>
      </w:r>
      <w:r w:rsidRPr="00AE3281">
        <w:rPr>
          <w:rFonts w:cs="Times New Roman"/>
          <w:szCs w:val="24"/>
        </w:rPr>
        <w:t xml:space="preserve"> rates of working according to nationality (UK vs EU)</w:t>
      </w:r>
      <w:r w:rsidR="00416D4C" w:rsidRPr="00AE3281">
        <w:rPr>
          <w:rFonts w:cs="Times New Roman"/>
          <w:szCs w:val="24"/>
        </w:rPr>
        <w:t>, which</w:t>
      </w:r>
      <w:r w:rsidRPr="00AE3281">
        <w:rPr>
          <w:rFonts w:cs="Times New Roman"/>
          <w:szCs w:val="24"/>
        </w:rPr>
        <w:t xml:space="preserve"> did seem to track similar courses </w:t>
      </w:r>
      <w:r w:rsidR="0057782E">
        <w:rPr>
          <w:rFonts w:cs="Times New Roman"/>
          <w:szCs w:val="24"/>
        </w:rPr>
        <w:t>before</w:t>
      </w:r>
      <w:r w:rsidRPr="00AE3281">
        <w:rPr>
          <w:rFonts w:cs="Times New Roman"/>
          <w:szCs w:val="24"/>
        </w:rPr>
        <w:t xml:space="preserve"> the EU referendum. This continued for a time after the Brexit vote, with some convergence for 2020 as the changes in rules were being put in place and implemented from 2021. The period from 2020-2022 saw </w:t>
      </w:r>
      <w:r w:rsidR="00416D4C" w:rsidRPr="00AE3281">
        <w:rPr>
          <w:rFonts w:cs="Times New Roman"/>
          <w:szCs w:val="24"/>
        </w:rPr>
        <w:t>somewhat</w:t>
      </w:r>
      <w:r w:rsidRPr="00AE3281">
        <w:rPr>
          <w:rFonts w:cs="Times New Roman"/>
          <w:szCs w:val="24"/>
        </w:rPr>
        <w:t xml:space="preserve"> compressed employment differentials between these</w:t>
      </w:r>
      <w:r w:rsidR="00804EF8" w:rsidRPr="00AE3281">
        <w:rPr>
          <w:rFonts w:cs="Times New Roman"/>
          <w:szCs w:val="24"/>
        </w:rPr>
        <w:t xml:space="preserve"> two</w:t>
      </w:r>
      <w:r w:rsidRPr="00AE3281">
        <w:rPr>
          <w:rFonts w:cs="Times New Roman"/>
          <w:szCs w:val="24"/>
        </w:rPr>
        <w:t xml:space="preserve"> groups.</w:t>
      </w:r>
    </w:p>
    <w:p w14:paraId="2636B6B0" w14:textId="77777777" w:rsidR="00114D4A" w:rsidRPr="00AE3281" w:rsidRDefault="00114D4A" w:rsidP="005B3738">
      <w:pPr>
        <w:spacing w:after="0" w:line="240" w:lineRule="auto"/>
        <w:jc w:val="both"/>
        <w:rPr>
          <w:rFonts w:cs="Times New Roman"/>
          <w:szCs w:val="24"/>
        </w:rPr>
      </w:pPr>
    </w:p>
    <w:p w14:paraId="527460D5" w14:textId="18BB2F1A" w:rsidR="00114D4A" w:rsidRPr="00AE3281" w:rsidRDefault="448BD5A0" w:rsidP="448BD5A0">
      <w:pPr>
        <w:pStyle w:val="Caption"/>
        <w:keepNext/>
        <w:jc w:val="both"/>
        <w:rPr>
          <w:rFonts w:cs="Times New Roman"/>
        </w:rPr>
      </w:pPr>
      <w:r w:rsidRPr="00AE3281">
        <w:rPr>
          <w:rFonts w:cs="Times New Roman"/>
        </w:rPr>
        <w:lastRenderedPageBreak/>
        <w:t xml:space="preserve">Figure </w:t>
      </w:r>
      <w:r w:rsidR="00114D4A" w:rsidRPr="00AE3281">
        <w:rPr>
          <w:rFonts w:cs="Times New Roman"/>
          <w:noProof/>
        </w:rPr>
        <w:fldChar w:fldCharType="begin"/>
      </w:r>
      <w:r w:rsidR="00114D4A" w:rsidRPr="00AE3281">
        <w:rPr>
          <w:rFonts w:cs="Times New Roman"/>
          <w:noProof/>
        </w:rPr>
        <w:instrText xml:space="preserve"> SEQ Figure \* ARABIC </w:instrText>
      </w:r>
      <w:r w:rsidR="00114D4A" w:rsidRPr="00AE3281">
        <w:rPr>
          <w:rFonts w:cs="Times New Roman"/>
          <w:noProof/>
        </w:rPr>
        <w:fldChar w:fldCharType="separate"/>
      </w:r>
      <w:r w:rsidR="00C57AAA">
        <w:rPr>
          <w:rFonts w:cs="Times New Roman"/>
          <w:noProof/>
        </w:rPr>
        <w:t>3</w:t>
      </w:r>
      <w:r w:rsidR="00114D4A" w:rsidRPr="00AE3281">
        <w:rPr>
          <w:rFonts w:cs="Times New Roman"/>
          <w:noProof/>
        </w:rPr>
        <w:fldChar w:fldCharType="end"/>
      </w:r>
      <w:r w:rsidR="00114D4A" w:rsidRPr="00AE3281">
        <w:rPr>
          <w:rFonts w:cs="Times New Roman"/>
        </w:rPr>
        <w:tab/>
      </w:r>
      <w:r w:rsidRPr="00AE3281">
        <w:rPr>
          <w:rFonts w:cs="Times New Roman"/>
        </w:rPr>
        <w:t>Rates of employment by nationality and year, in the UK.</w:t>
      </w:r>
    </w:p>
    <w:p w14:paraId="57EF9943" w14:textId="5C0FD39B" w:rsidR="00640883" w:rsidRPr="00AE3281" w:rsidRDefault="00114D4A" w:rsidP="007B0095">
      <w:pPr>
        <w:keepNext/>
        <w:spacing w:after="0" w:line="240" w:lineRule="auto"/>
        <w:jc w:val="both"/>
        <w:rPr>
          <w:rFonts w:cs="Times New Roman"/>
        </w:rPr>
      </w:pPr>
      <w:r w:rsidRPr="00AE3281">
        <w:rPr>
          <w:rFonts w:cs="Times New Roman"/>
          <w:noProof/>
          <w:lang w:eastAsia="en-GB"/>
        </w:rPr>
        <w:drawing>
          <wp:inline distT="0" distB="0" distL="0" distR="0" wp14:anchorId="7780EEF7" wp14:editId="312D66DD">
            <wp:extent cx="4591052" cy="2762250"/>
            <wp:effectExtent l="0" t="0" r="0" b="0"/>
            <wp:docPr id="1162066088" name="Picture 116206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91052" cy="2762250"/>
                    </a:xfrm>
                    <a:prstGeom prst="rect">
                      <a:avLst/>
                    </a:prstGeom>
                  </pic:spPr>
                </pic:pic>
              </a:graphicData>
            </a:graphic>
          </wp:inline>
        </w:drawing>
      </w:r>
    </w:p>
    <w:p w14:paraId="66B14FED" w14:textId="09244654" w:rsidR="00640883" w:rsidRPr="00AE3281" w:rsidRDefault="00640883" w:rsidP="448BD5A0">
      <w:pPr>
        <w:keepNext/>
        <w:spacing w:after="0" w:line="240" w:lineRule="auto"/>
        <w:jc w:val="both"/>
        <w:rPr>
          <w:rFonts w:cs="Times New Roman"/>
        </w:rPr>
      </w:pPr>
    </w:p>
    <w:p w14:paraId="29EC4734" w14:textId="5A820E67" w:rsidR="00640883" w:rsidRPr="00AE3281" w:rsidRDefault="00114D4A" w:rsidP="005B3738">
      <w:pPr>
        <w:keepNext/>
        <w:spacing w:after="0" w:line="240" w:lineRule="auto"/>
        <w:jc w:val="both"/>
        <w:rPr>
          <w:rFonts w:cs="Times New Roman"/>
          <w:sz w:val="20"/>
          <w:szCs w:val="20"/>
        </w:rPr>
      </w:pPr>
      <w:r w:rsidRPr="00AE3281">
        <w:rPr>
          <w:rFonts w:cs="Times New Roman"/>
          <w:sz w:val="20"/>
          <w:szCs w:val="20"/>
        </w:rPr>
        <w:t>Source: weighted APS figures.</w:t>
      </w:r>
    </w:p>
    <w:p w14:paraId="1C99DF36" w14:textId="77777777" w:rsidR="00114D4A" w:rsidRPr="00AE3281" w:rsidRDefault="00114D4A" w:rsidP="005B3738">
      <w:pPr>
        <w:spacing w:after="0" w:line="240" w:lineRule="auto"/>
        <w:jc w:val="both"/>
        <w:rPr>
          <w:rFonts w:cs="Times New Roman"/>
          <w:szCs w:val="24"/>
        </w:rPr>
      </w:pPr>
    </w:p>
    <w:p w14:paraId="44D4AA45" w14:textId="77777777" w:rsidR="008C565D" w:rsidRPr="00AE3281" w:rsidRDefault="008C565D" w:rsidP="005B3738">
      <w:pPr>
        <w:spacing w:after="0" w:line="240" w:lineRule="auto"/>
        <w:jc w:val="both"/>
        <w:rPr>
          <w:rFonts w:cs="Times New Roman"/>
          <w:szCs w:val="24"/>
        </w:rPr>
      </w:pPr>
    </w:p>
    <w:p w14:paraId="5AFE5C91" w14:textId="186EC080" w:rsidR="0074075E" w:rsidRPr="00AE3281" w:rsidRDefault="0074075E" w:rsidP="448BD5A0">
      <w:pPr>
        <w:spacing w:after="0" w:line="240" w:lineRule="auto"/>
        <w:jc w:val="both"/>
        <w:rPr>
          <w:rFonts w:cs="Times New Roman"/>
        </w:rPr>
      </w:pPr>
      <w:r w:rsidRPr="00AE3281">
        <w:rPr>
          <w:rFonts w:cs="Times New Roman"/>
        </w:rPr>
        <w:t xml:space="preserve">Turning to levels of self-employment as a proportion of employment, </w:t>
      </w:r>
      <w:r w:rsidR="00416D4C" w:rsidRPr="00AE3281">
        <w:rPr>
          <w:rFonts w:cs="Times New Roman"/>
        </w:rPr>
        <w:t>see</w:t>
      </w:r>
      <w:r w:rsidRPr="00AE3281">
        <w:rPr>
          <w:rFonts w:cs="Times New Roman"/>
        </w:rPr>
        <w:t xml:space="preserve"> </w:t>
      </w:r>
      <w:r w:rsidRPr="00AE3281">
        <w:rPr>
          <w:rFonts w:cs="Times New Roman"/>
        </w:rPr>
        <w:fldChar w:fldCharType="begin"/>
      </w:r>
      <w:r w:rsidRPr="00AE3281">
        <w:rPr>
          <w:rFonts w:cs="Times New Roman"/>
        </w:rPr>
        <w:instrText xml:space="preserve"> REF _Ref148016259 \h </w:instrText>
      </w:r>
      <w:r w:rsidR="005B3738" w:rsidRPr="00AE3281">
        <w:rPr>
          <w:rFonts w:cs="Times New Roman"/>
        </w:rPr>
        <w:instrText xml:space="preserve"> \* MERGEFORMAT </w:instrText>
      </w:r>
      <w:r w:rsidRPr="00AE3281">
        <w:rPr>
          <w:rFonts w:cs="Times New Roman"/>
        </w:rPr>
      </w:r>
      <w:r w:rsidRPr="00AE3281">
        <w:rPr>
          <w:rFonts w:cs="Times New Roman"/>
        </w:rPr>
        <w:fldChar w:fldCharType="separate"/>
      </w:r>
      <w:r w:rsidR="00C57AAA" w:rsidRPr="00AE3281">
        <w:rPr>
          <w:rFonts w:cs="Times New Roman"/>
        </w:rPr>
        <w:t xml:space="preserve">Figure </w:t>
      </w:r>
      <w:r w:rsidR="00C57AAA">
        <w:rPr>
          <w:rFonts w:cs="Times New Roman"/>
          <w:noProof/>
        </w:rPr>
        <w:t>4</w:t>
      </w:r>
      <w:r w:rsidRPr="00AE3281">
        <w:rPr>
          <w:rFonts w:cs="Times New Roman"/>
        </w:rPr>
        <w:fldChar w:fldCharType="end"/>
      </w:r>
      <w:r w:rsidRPr="00AE3281">
        <w:rPr>
          <w:rFonts w:cs="Times New Roman"/>
        </w:rPr>
        <w:t>. The patterns for the UK and EU do seem to move</w:t>
      </w:r>
      <w:r w:rsidR="00416D4C" w:rsidRPr="00AE3281">
        <w:rPr>
          <w:rFonts w:cs="Times New Roman"/>
        </w:rPr>
        <w:t xml:space="preserve"> somewhat </w:t>
      </w:r>
      <w:r w:rsidRPr="00AE3281">
        <w:rPr>
          <w:rFonts w:cs="Times New Roman"/>
        </w:rPr>
        <w:t>in parallel</w:t>
      </w:r>
      <w:r w:rsidR="00832949" w:rsidRPr="00AE3281">
        <w:rPr>
          <w:rFonts w:cs="Times New Roman"/>
        </w:rPr>
        <w:t>,</w:t>
      </w:r>
      <w:r w:rsidRPr="00AE3281">
        <w:rPr>
          <w:rFonts w:cs="Times New Roman"/>
        </w:rPr>
        <w:t xml:space="preserve"> the divergence at the end doubtless reflecting the change of rules.</w:t>
      </w:r>
    </w:p>
    <w:p w14:paraId="1CAD1BD9" w14:textId="77777777" w:rsidR="0074075E" w:rsidRPr="00AE3281" w:rsidRDefault="0074075E" w:rsidP="005B3738">
      <w:pPr>
        <w:spacing w:after="0" w:line="240" w:lineRule="auto"/>
        <w:jc w:val="both"/>
        <w:rPr>
          <w:rFonts w:cs="Times New Roman"/>
          <w:szCs w:val="24"/>
        </w:rPr>
      </w:pPr>
    </w:p>
    <w:p w14:paraId="2D94F441" w14:textId="6BDB9C5B" w:rsidR="008C565D" w:rsidRPr="00AE3281" w:rsidRDefault="448BD5A0" w:rsidP="448BD5A0">
      <w:pPr>
        <w:pStyle w:val="Caption"/>
        <w:keepNext/>
        <w:ind w:left="1134" w:hanging="1134"/>
        <w:jc w:val="both"/>
        <w:rPr>
          <w:rFonts w:cs="Times New Roman"/>
        </w:rPr>
      </w:pPr>
      <w:bookmarkStart w:id="4" w:name="_Ref148016259"/>
      <w:r w:rsidRPr="00AE3281">
        <w:rPr>
          <w:rFonts w:cs="Times New Roman"/>
        </w:rPr>
        <w:t xml:space="preserve">Figure </w:t>
      </w:r>
      <w:r w:rsidR="008C565D" w:rsidRPr="00AE3281">
        <w:rPr>
          <w:rFonts w:cs="Times New Roman"/>
          <w:noProof/>
        </w:rPr>
        <w:fldChar w:fldCharType="begin"/>
      </w:r>
      <w:r w:rsidR="008C565D" w:rsidRPr="00AE3281">
        <w:rPr>
          <w:rFonts w:cs="Times New Roman"/>
          <w:noProof/>
        </w:rPr>
        <w:instrText xml:space="preserve"> SEQ Figure \* ARABIC </w:instrText>
      </w:r>
      <w:r w:rsidR="008C565D" w:rsidRPr="00AE3281">
        <w:rPr>
          <w:rFonts w:cs="Times New Roman"/>
          <w:noProof/>
        </w:rPr>
        <w:fldChar w:fldCharType="separate"/>
      </w:r>
      <w:r w:rsidR="00C57AAA">
        <w:rPr>
          <w:rFonts w:cs="Times New Roman"/>
          <w:noProof/>
        </w:rPr>
        <w:t>4</w:t>
      </w:r>
      <w:r w:rsidR="008C565D" w:rsidRPr="00AE3281">
        <w:rPr>
          <w:rFonts w:cs="Times New Roman"/>
          <w:noProof/>
        </w:rPr>
        <w:fldChar w:fldCharType="end"/>
      </w:r>
      <w:bookmarkEnd w:id="4"/>
      <w:r w:rsidR="008C565D" w:rsidRPr="00AE3281">
        <w:rPr>
          <w:rFonts w:cs="Times New Roman"/>
        </w:rPr>
        <w:tab/>
      </w:r>
      <w:r w:rsidRPr="00AE3281">
        <w:rPr>
          <w:rFonts w:cs="Times New Roman"/>
        </w:rPr>
        <w:t>Rates of self-employment as proportion of employment by nationality and year, in the UK.</w:t>
      </w:r>
    </w:p>
    <w:p w14:paraId="18DDE945" w14:textId="31E58719" w:rsidR="448BD5A0" w:rsidRPr="00AE3281" w:rsidRDefault="448BD5A0" w:rsidP="007B0095">
      <w:pPr>
        <w:spacing w:after="0"/>
        <w:rPr>
          <w:rFonts w:cs="Times New Roman"/>
        </w:rPr>
      </w:pPr>
      <w:r>
        <w:rPr>
          <w:noProof/>
          <w:lang w:eastAsia="en-GB"/>
        </w:rPr>
        <w:drawing>
          <wp:inline distT="0" distB="0" distL="0" distR="0" wp14:anchorId="19D8B372" wp14:editId="15D4CAB9">
            <wp:extent cx="4572000" cy="2752725"/>
            <wp:effectExtent l="0" t="0" r="0" b="0"/>
            <wp:docPr id="1855153420" name="Picture 185515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153420"/>
                    <pic:cNvPicPr/>
                  </pic:nvPicPr>
                  <pic:blipFill>
                    <a:blip r:embed="rId11">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1B27FF11" w14:textId="77777777" w:rsidR="008C565D" w:rsidRPr="00AE3281" w:rsidRDefault="008C565D" w:rsidP="005B3738">
      <w:pPr>
        <w:keepNext/>
        <w:spacing w:after="0" w:line="240" w:lineRule="auto"/>
        <w:jc w:val="both"/>
        <w:rPr>
          <w:rFonts w:cs="Times New Roman"/>
          <w:sz w:val="20"/>
          <w:szCs w:val="20"/>
        </w:rPr>
      </w:pPr>
      <w:r w:rsidRPr="00AE3281">
        <w:rPr>
          <w:rFonts w:cs="Times New Roman"/>
          <w:sz w:val="20"/>
          <w:szCs w:val="20"/>
        </w:rPr>
        <w:t>Source: weighted APS figures.</w:t>
      </w:r>
    </w:p>
    <w:p w14:paraId="5EB8C3AE" w14:textId="77777777" w:rsidR="008C565D" w:rsidRPr="00AE3281" w:rsidRDefault="008C565D" w:rsidP="005B3738">
      <w:pPr>
        <w:spacing w:after="0" w:line="240" w:lineRule="auto"/>
        <w:jc w:val="both"/>
        <w:rPr>
          <w:rFonts w:cs="Times New Roman"/>
          <w:szCs w:val="24"/>
        </w:rPr>
      </w:pPr>
    </w:p>
    <w:p w14:paraId="06DB70B2" w14:textId="77777777" w:rsidR="008C565D" w:rsidRPr="00AE3281" w:rsidRDefault="008C565D" w:rsidP="005B3738">
      <w:pPr>
        <w:spacing w:after="0" w:line="240" w:lineRule="auto"/>
        <w:jc w:val="both"/>
        <w:rPr>
          <w:rFonts w:cs="Times New Roman"/>
          <w:szCs w:val="24"/>
        </w:rPr>
      </w:pPr>
    </w:p>
    <w:p w14:paraId="4BBE4B20" w14:textId="6608DFFC" w:rsidR="453EBFA6" w:rsidRDefault="453EBFA6" w:rsidP="453EBFA6">
      <w:pPr>
        <w:keepNext/>
        <w:spacing w:after="0" w:line="240" w:lineRule="auto"/>
        <w:jc w:val="both"/>
        <w:rPr>
          <w:rFonts w:cs="Times New Roman"/>
          <w:sz w:val="20"/>
          <w:szCs w:val="20"/>
        </w:rPr>
      </w:pPr>
    </w:p>
    <w:p w14:paraId="29BB9782" w14:textId="77777777" w:rsidR="00E546EE" w:rsidRPr="00AE3281" w:rsidRDefault="00E546EE" w:rsidP="005B3738">
      <w:pPr>
        <w:spacing w:after="0" w:line="240" w:lineRule="auto"/>
        <w:jc w:val="both"/>
        <w:rPr>
          <w:rFonts w:cs="Times New Roman"/>
          <w:szCs w:val="24"/>
        </w:rPr>
      </w:pPr>
    </w:p>
    <w:p w14:paraId="17DB65E6" w14:textId="77777777" w:rsidR="00077D74" w:rsidRDefault="00077D74" w:rsidP="005B3738">
      <w:pPr>
        <w:jc w:val="both"/>
        <w:rPr>
          <w:rFonts w:cs="Times New Roman"/>
          <w:b/>
          <w:bCs/>
          <w:i/>
          <w:iCs/>
        </w:rPr>
      </w:pPr>
    </w:p>
    <w:p w14:paraId="035459DA" w14:textId="2517A29C" w:rsidR="005213B6" w:rsidRPr="00AE3281" w:rsidRDefault="4FCF3351" w:rsidP="005B3738">
      <w:pPr>
        <w:jc w:val="both"/>
        <w:rPr>
          <w:rFonts w:cs="Times New Roman"/>
          <w:b/>
          <w:bCs/>
          <w:i/>
          <w:iCs/>
        </w:rPr>
      </w:pPr>
      <w:r w:rsidRPr="00AE3281">
        <w:rPr>
          <w:rFonts w:cs="Times New Roman"/>
          <w:b/>
          <w:bCs/>
          <w:i/>
          <w:iCs/>
        </w:rPr>
        <w:lastRenderedPageBreak/>
        <w:t>REGRESSION MODELS</w:t>
      </w:r>
    </w:p>
    <w:p w14:paraId="5D7F40CF" w14:textId="1BE490E5" w:rsidR="00097FB9" w:rsidRPr="00AE3281" w:rsidRDefault="3B057B99" w:rsidP="005B3738">
      <w:pPr>
        <w:jc w:val="both"/>
        <w:rPr>
          <w:rFonts w:cs="Times New Roman"/>
        </w:rPr>
      </w:pPr>
      <w:r w:rsidRPr="00AE3281">
        <w:rPr>
          <w:rFonts w:cs="Times New Roman"/>
        </w:rPr>
        <w:t xml:space="preserve">We work with a sizeable number of dependent variables under </w:t>
      </w:r>
      <w:r w:rsidR="006B276A">
        <w:rPr>
          <w:rFonts w:cs="Times New Roman"/>
        </w:rPr>
        <w:t>two</w:t>
      </w:r>
      <w:r w:rsidR="006B276A" w:rsidRPr="00AE3281">
        <w:rPr>
          <w:rFonts w:cs="Times New Roman"/>
        </w:rPr>
        <w:t xml:space="preserve"> </w:t>
      </w:r>
      <w:r w:rsidRPr="00AE3281">
        <w:rPr>
          <w:rFonts w:cs="Times New Roman"/>
        </w:rPr>
        <w:t>thematic groups.</w:t>
      </w:r>
    </w:p>
    <w:p w14:paraId="0B9EB315" w14:textId="21A4D7E2" w:rsidR="00F148F3" w:rsidRPr="00AE3281" w:rsidRDefault="00F148F3" w:rsidP="005B3738">
      <w:pPr>
        <w:pStyle w:val="ListParagraph"/>
        <w:numPr>
          <w:ilvl w:val="0"/>
          <w:numId w:val="2"/>
        </w:numPr>
        <w:jc w:val="both"/>
        <w:rPr>
          <w:rFonts w:cs="Times New Roman"/>
          <w:szCs w:val="24"/>
        </w:rPr>
      </w:pPr>
      <w:r w:rsidRPr="00AE3281">
        <w:rPr>
          <w:rFonts w:cs="Times New Roman"/>
          <w:i/>
          <w:iCs/>
          <w:szCs w:val="24"/>
        </w:rPr>
        <w:t>Labour market status</w:t>
      </w:r>
      <w:r w:rsidRPr="00AE3281">
        <w:rPr>
          <w:rFonts w:cs="Times New Roman"/>
          <w:szCs w:val="24"/>
        </w:rPr>
        <w:t xml:space="preserve"> – whether in paid work, earnings, self-employment.</w:t>
      </w:r>
    </w:p>
    <w:p w14:paraId="0123074F" w14:textId="3237DC88" w:rsidR="00F148F3" w:rsidRPr="00AE3281" w:rsidRDefault="00F148F3" w:rsidP="005B3738">
      <w:pPr>
        <w:pStyle w:val="ListParagraph"/>
        <w:numPr>
          <w:ilvl w:val="0"/>
          <w:numId w:val="2"/>
        </w:numPr>
        <w:jc w:val="both"/>
        <w:rPr>
          <w:rFonts w:cs="Times New Roman"/>
          <w:szCs w:val="24"/>
        </w:rPr>
      </w:pPr>
      <w:r w:rsidRPr="00AE3281">
        <w:rPr>
          <w:rFonts w:cs="Times New Roman"/>
          <w:i/>
          <w:iCs/>
          <w:szCs w:val="24"/>
        </w:rPr>
        <w:t>Employment sector</w:t>
      </w:r>
      <w:r w:rsidRPr="00AE3281">
        <w:rPr>
          <w:rFonts w:cs="Times New Roman"/>
          <w:szCs w:val="24"/>
        </w:rPr>
        <w:t xml:space="preserve"> – whether working in the agricultural sector, the hotels sector, in a routine and/or semi-routine job, a temporary job.</w:t>
      </w:r>
    </w:p>
    <w:p w14:paraId="14CA2933" w14:textId="77777777" w:rsidR="001505F7" w:rsidRPr="00AE3281" w:rsidRDefault="001505F7" w:rsidP="005B3738">
      <w:pPr>
        <w:jc w:val="both"/>
        <w:rPr>
          <w:rFonts w:cs="Times New Roman"/>
          <w:szCs w:val="24"/>
        </w:rPr>
      </w:pPr>
    </w:p>
    <w:p w14:paraId="57DADEED" w14:textId="5E6F4F2A" w:rsidR="006B6D85" w:rsidRPr="00AE3281" w:rsidRDefault="006B6D85" w:rsidP="005B3738">
      <w:pPr>
        <w:jc w:val="both"/>
        <w:rPr>
          <w:rFonts w:cs="Times New Roman"/>
          <w:b/>
          <w:bCs/>
        </w:rPr>
      </w:pPr>
      <w:r w:rsidRPr="00AE3281">
        <w:rPr>
          <w:rFonts w:cs="Times New Roman"/>
          <w:b/>
          <w:bCs/>
        </w:rPr>
        <w:t>Labour market status</w:t>
      </w:r>
    </w:p>
    <w:p w14:paraId="051AD4EF" w14:textId="7467D7DC" w:rsidR="00D1347C" w:rsidRPr="00AE3281" w:rsidRDefault="00C5166F" w:rsidP="005B3738">
      <w:pPr>
        <w:jc w:val="both"/>
        <w:rPr>
          <w:rFonts w:cs="Times New Roman"/>
          <w:szCs w:val="24"/>
        </w:rPr>
      </w:pPr>
      <w:r w:rsidRPr="454E41B1">
        <w:rPr>
          <w:rFonts w:cs="Times New Roman"/>
        </w:rPr>
        <w:t xml:space="preserve">For our key model of interest, being in paid work, we show full results. For </w:t>
      </w:r>
      <w:r w:rsidR="00C65A98" w:rsidRPr="454E41B1">
        <w:rPr>
          <w:rFonts w:cs="Times New Roman"/>
        </w:rPr>
        <w:t>brevity, we</w:t>
      </w:r>
      <w:r w:rsidRPr="454E41B1">
        <w:rPr>
          <w:rFonts w:cs="Times New Roman"/>
        </w:rPr>
        <w:t xml:space="preserve"> </w:t>
      </w:r>
      <w:r w:rsidR="00C65A98" w:rsidRPr="454E41B1">
        <w:rPr>
          <w:rFonts w:cs="Times New Roman"/>
        </w:rPr>
        <w:t xml:space="preserve">report the </w:t>
      </w:r>
      <w:r w:rsidRPr="454E41B1">
        <w:rPr>
          <w:rFonts w:cs="Times New Roman"/>
        </w:rPr>
        <w:t>key interaction terms</w:t>
      </w:r>
      <w:r w:rsidR="00C65A98" w:rsidRPr="454E41B1">
        <w:rPr>
          <w:rFonts w:cs="Times New Roman"/>
        </w:rPr>
        <w:t xml:space="preserve"> when focusing on the other models</w:t>
      </w:r>
      <w:r w:rsidR="00504FB7" w:rsidRPr="454E41B1">
        <w:rPr>
          <w:rStyle w:val="FootnoteReference"/>
          <w:rFonts w:cs="Times New Roman"/>
        </w:rPr>
        <w:footnoteReference w:id="8"/>
      </w:r>
      <w:r w:rsidRPr="454E41B1">
        <w:rPr>
          <w:rFonts w:cs="Times New Roman"/>
        </w:rPr>
        <w:t>.</w:t>
      </w:r>
      <w:r w:rsidR="0013451F" w:rsidRPr="454E41B1">
        <w:rPr>
          <w:rFonts w:cs="Times New Roman"/>
        </w:rPr>
        <w:t xml:space="preserve"> </w:t>
      </w:r>
      <w:r w:rsidR="00715C28" w:rsidRPr="454E41B1">
        <w:rPr>
          <w:rFonts w:cs="Times New Roman"/>
        </w:rPr>
        <w:t xml:space="preserve">Full results are reported in </w:t>
      </w:r>
      <w:r w:rsidR="00715C28" w:rsidRPr="00AE3281">
        <w:rPr>
          <w:rFonts w:cs="Times New Roman"/>
        </w:rPr>
        <w:t>Table</w:t>
      </w:r>
      <w:r w:rsidR="00416D4C" w:rsidRPr="00AE3281">
        <w:rPr>
          <w:rFonts w:cs="Times New Roman"/>
        </w:rPr>
        <w:t> </w:t>
      </w:r>
      <w:r w:rsidR="00715C28" w:rsidRPr="00AE3281">
        <w:rPr>
          <w:rFonts w:cs="Times New Roman"/>
        </w:rPr>
        <w:t>2</w:t>
      </w:r>
      <w:r w:rsidR="00715C28" w:rsidRPr="454E41B1">
        <w:rPr>
          <w:rFonts w:cs="Times New Roman"/>
        </w:rPr>
        <w:t xml:space="preserve">. </w:t>
      </w:r>
      <w:r w:rsidR="00D638F0" w:rsidRPr="454E41B1">
        <w:rPr>
          <w:rFonts w:cs="Times New Roman"/>
        </w:rPr>
        <w:t>In the first column, w</w:t>
      </w:r>
      <w:r w:rsidR="007961E1" w:rsidRPr="454E41B1">
        <w:rPr>
          <w:rFonts w:cs="Times New Roman"/>
        </w:rPr>
        <w:t>e</w:t>
      </w:r>
      <w:r w:rsidR="00230648" w:rsidRPr="454E41B1">
        <w:rPr>
          <w:rFonts w:cs="Times New Roman"/>
        </w:rPr>
        <w:t xml:space="preserve"> compare EU</w:t>
      </w:r>
      <w:r w:rsidR="00D638F0" w:rsidRPr="454E41B1">
        <w:rPr>
          <w:rFonts w:cs="Times New Roman"/>
        </w:rPr>
        <w:t>15</w:t>
      </w:r>
      <w:r w:rsidR="00230648" w:rsidRPr="454E41B1">
        <w:rPr>
          <w:rFonts w:cs="Times New Roman"/>
        </w:rPr>
        <w:t xml:space="preserve"> migrants (treated groups) versus UK workers. </w:t>
      </w:r>
      <w:r w:rsidR="00D638F0" w:rsidRPr="454E41B1">
        <w:rPr>
          <w:rFonts w:cs="Times New Roman"/>
        </w:rPr>
        <w:t xml:space="preserve">In the second column, we include A2/A8 controls. </w:t>
      </w:r>
      <w:r w:rsidR="00230648" w:rsidRPr="454E41B1">
        <w:rPr>
          <w:rFonts w:cs="Times New Roman"/>
        </w:rPr>
        <w:t>A quick look at t</w:t>
      </w:r>
      <w:r w:rsidR="00D128FD" w:rsidRPr="454E41B1">
        <w:rPr>
          <w:rFonts w:cs="Times New Roman"/>
        </w:rPr>
        <w:t xml:space="preserve">he </w:t>
      </w:r>
      <w:r w:rsidR="00230648" w:rsidRPr="454E41B1">
        <w:rPr>
          <w:rFonts w:cs="Times New Roman"/>
        </w:rPr>
        <w:t>independent variables offers a</w:t>
      </w:r>
      <w:r w:rsidR="00761E21" w:rsidRPr="454E41B1">
        <w:rPr>
          <w:rFonts w:cs="Times New Roman"/>
        </w:rPr>
        <w:t xml:space="preserve">n important view </w:t>
      </w:r>
      <w:r w:rsidR="00D638F0" w:rsidRPr="454E41B1">
        <w:rPr>
          <w:rFonts w:cs="Times New Roman"/>
        </w:rPr>
        <w:t xml:space="preserve">of </w:t>
      </w:r>
      <w:r w:rsidR="00230648" w:rsidRPr="454E41B1">
        <w:rPr>
          <w:rFonts w:cs="Times New Roman"/>
        </w:rPr>
        <w:t>the labour dynamics, such as the</w:t>
      </w:r>
      <w:r w:rsidR="00D128FD" w:rsidRPr="454E41B1">
        <w:rPr>
          <w:rFonts w:cs="Times New Roman"/>
        </w:rPr>
        <w:t xml:space="preserve"> </w:t>
      </w:r>
      <w:r w:rsidR="00230648" w:rsidRPr="454E41B1">
        <w:rPr>
          <w:rFonts w:cs="Times New Roman"/>
        </w:rPr>
        <w:t xml:space="preserve">significant negative impact of being female on paid work, and the importance of education. Geographical differences </w:t>
      </w:r>
      <w:r w:rsidR="00504FB7" w:rsidRPr="454E41B1">
        <w:rPr>
          <w:rFonts w:cs="Times New Roman"/>
        </w:rPr>
        <w:t xml:space="preserve">within </w:t>
      </w:r>
      <w:r w:rsidR="0057782E" w:rsidRPr="454E41B1">
        <w:rPr>
          <w:rFonts w:cs="Times New Roman"/>
        </w:rPr>
        <w:t xml:space="preserve">the </w:t>
      </w:r>
      <w:r w:rsidR="00504FB7" w:rsidRPr="454E41B1">
        <w:rPr>
          <w:rFonts w:cs="Times New Roman"/>
        </w:rPr>
        <w:t xml:space="preserve">UK </w:t>
      </w:r>
      <w:r w:rsidR="00230648" w:rsidRPr="454E41B1">
        <w:rPr>
          <w:rFonts w:cs="Times New Roman"/>
        </w:rPr>
        <w:t xml:space="preserve">are </w:t>
      </w:r>
      <w:r w:rsidR="00504FB7" w:rsidRPr="454E41B1">
        <w:rPr>
          <w:rFonts w:cs="Times New Roman"/>
        </w:rPr>
        <w:t xml:space="preserve">stressed as well. </w:t>
      </w:r>
    </w:p>
    <w:p w14:paraId="65F55BBD" w14:textId="048DEA15" w:rsidR="00230648" w:rsidRPr="00AE3281" w:rsidRDefault="00504FB7" w:rsidP="005B3738">
      <w:pPr>
        <w:jc w:val="both"/>
        <w:rPr>
          <w:rFonts w:cs="Times New Roman"/>
          <w:szCs w:val="24"/>
        </w:rPr>
      </w:pPr>
      <w:r w:rsidRPr="00AE3281">
        <w:rPr>
          <w:rFonts w:cs="Times New Roman"/>
          <w:szCs w:val="24"/>
        </w:rPr>
        <w:t>Moreover, EU nationals are the ones being the most</w:t>
      </w:r>
      <w:r w:rsidR="002974DC" w:rsidRPr="002974DC">
        <w:t xml:space="preserve"> </w:t>
      </w:r>
      <w:r w:rsidR="002974DC">
        <w:rPr>
          <w:rFonts w:cs="Times New Roman"/>
          <w:szCs w:val="24"/>
        </w:rPr>
        <w:t>likely to be</w:t>
      </w:r>
      <w:r w:rsidRPr="00AE3281">
        <w:rPr>
          <w:rFonts w:cs="Times New Roman"/>
          <w:szCs w:val="24"/>
        </w:rPr>
        <w:t xml:space="preserve"> in paid work when compared to UK workers. </w:t>
      </w:r>
    </w:p>
    <w:p w14:paraId="352321D6" w14:textId="3C9D2A2D" w:rsidR="00504FB7" w:rsidRPr="00AE3281" w:rsidRDefault="00504FB7" w:rsidP="005B3738">
      <w:pPr>
        <w:jc w:val="both"/>
        <w:rPr>
          <w:rFonts w:cs="Times New Roman"/>
          <w:szCs w:val="24"/>
        </w:rPr>
      </w:pPr>
      <w:r w:rsidRPr="00AE3281">
        <w:rPr>
          <w:rFonts w:cs="Times New Roman"/>
          <w:szCs w:val="24"/>
        </w:rPr>
        <w:t>Our main atte</w:t>
      </w:r>
      <w:r w:rsidR="00761E21" w:rsidRPr="00AE3281">
        <w:rPr>
          <w:rFonts w:cs="Times New Roman"/>
          <w:szCs w:val="24"/>
        </w:rPr>
        <w:t>ntion must be devoted to</w:t>
      </w:r>
      <w:r w:rsidRPr="00AE3281">
        <w:rPr>
          <w:rFonts w:cs="Times New Roman"/>
          <w:szCs w:val="24"/>
        </w:rPr>
        <w:t xml:space="preserve"> the </w:t>
      </w:r>
      <w:r w:rsidR="008336F9" w:rsidRPr="00AE3281">
        <w:rPr>
          <w:rFonts w:cs="Times New Roman"/>
          <w:szCs w:val="24"/>
        </w:rPr>
        <w:t>i</w:t>
      </w:r>
      <w:r w:rsidR="00761E21" w:rsidRPr="00AE3281">
        <w:rPr>
          <w:rFonts w:cs="Times New Roman"/>
          <w:szCs w:val="24"/>
        </w:rPr>
        <w:t xml:space="preserve">nteraction </w:t>
      </w:r>
      <w:r w:rsidR="0057782E" w:rsidRPr="00AE3281">
        <w:rPr>
          <w:rFonts w:cs="Times New Roman"/>
          <w:szCs w:val="24"/>
        </w:rPr>
        <w:t>term ‘</w:t>
      </w:r>
      <w:proofErr w:type="spellStart"/>
      <w:r w:rsidR="008336F9" w:rsidRPr="00AE3281">
        <w:rPr>
          <w:rFonts w:cs="Times New Roman"/>
          <w:szCs w:val="24"/>
        </w:rPr>
        <w:t>Inter_Vote</w:t>
      </w:r>
      <w:proofErr w:type="spellEnd"/>
      <w:r w:rsidR="00D128FD" w:rsidRPr="00AE3281">
        <w:rPr>
          <w:rFonts w:cs="Times New Roman"/>
          <w:szCs w:val="24"/>
        </w:rPr>
        <w:t>’ - between the Brexit vote period (June 2016 till the end of 2020) and EU nationality, and more importantly</w:t>
      </w:r>
      <w:r w:rsidR="00FC5FCB" w:rsidRPr="00AE3281">
        <w:rPr>
          <w:rFonts w:cs="Times New Roman"/>
          <w:szCs w:val="24"/>
        </w:rPr>
        <w:t xml:space="preserve"> to the</w:t>
      </w:r>
      <w:r w:rsidR="00D128FD" w:rsidRPr="00AE3281">
        <w:rPr>
          <w:rFonts w:cs="Times New Roman"/>
          <w:szCs w:val="24"/>
        </w:rPr>
        <w:t xml:space="preserve"> </w:t>
      </w:r>
      <w:bookmarkStart w:id="5" w:name="_Hlk150939563"/>
      <w:r w:rsidR="008336F9" w:rsidRPr="00AE3281">
        <w:rPr>
          <w:rFonts w:cs="Times New Roman"/>
          <w:szCs w:val="24"/>
        </w:rPr>
        <w:t>i</w:t>
      </w:r>
      <w:r w:rsidR="00FC5FCB" w:rsidRPr="00AE3281">
        <w:rPr>
          <w:rFonts w:cs="Times New Roman"/>
          <w:szCs w:val="24"/>
        </w:rPr>
        <w:t>nteraction term for 2021</w:t>
      </w:r>
      <w:bookmarkEnd w:id="5"/>
      <w:r w:rsidR="008336F9" w:rsidRPr="00AE3281">
        <w:rPr>
          <w:rFonts w:cs="Times New Roman"/>
          <w:szCs w:val="24"/>
        </w:rPr>
        <w:t xml:space="preserve"> - ‘</w:t>
      </w:r>
      <w:proofErr w:type="spellStart"/>
      <w:r w:rsidR="008336F9" w:rsidRPr="00AE3281">
        <w:rPr>
          <w:rFonts w:cs="Times New Roman"/>
          <w:szCs w:val="24"/>
        </w:rPr>
        <w:t>Inter_New_System</w:t>
      </w:r>
      <w:proofErr w:type="spellEnd"/>
      <w:r w:rsidR="00D128FD" w:rsidRPr="00AE3281">
        <w:rPr>
          <w:rFonts w:cs="Times New Roman"/>
          <w:szCs w:val="24"/>
        </w:rPr>
        <w:t xml:space="preserve">’ - between the post-implementation of the new migrant system period and EU nationality. </w:t>
      </w:r>
    </w:p>
    <w:p w14:paraId="7B1BEC54" w14:textId="1E112DC7" w:rsidR="00C5166F" w:rsidRPr="00AE3281" w:rsidRDefault="00C5166F" w:rsidP="005B3738">
      <w:pPr>
        <w:jc w:val="both"/>
        <w:rPr>
          <w:rFonts w:cs="Times New Roman"/>
          <w:szCs w:val="24"/>
        </w:rPr>
      </w:pPr>
      <w:r w:rsidRPr="00AE3281">
        <w:rPr>
          <w:rFonts w:cs="Times New Roman"/>
          <w:szCs w:val="24"/>
        </w:rPr>
        <w:t xml:space="preserve">For </w:t>
      </w:r>
      <w:r w:rsidR="00D638F0" w:rsidRPr="00AE3281">
        <w:rPr>
          <w:rFonts w:cs="Times New Roman"/>
          <w:szCs w:val="24"/>
        </w:rPr>
        <w:t>EU15 versus UK</w:t>
      </w:r>
      <w:r w:rsidRPr="00AE3281">
        <w:rPr>
          <w:rFonts w:cs="Times New Roman"/>
          <w:szCs w:val="24"/>
        </w:rPr>
        <w:t xml:space="preserve">, </w:t>
      </w:r>
      <w:bookmarkStart w:id="6" w:name="_Hlk136944267"/>
      <w:r w:rsidRPr="00AE3281">
        <w:rPr>
          <w:rFonts w:cs="Times New Roman"/>
          <w:szCs w:val="24"/>
        </w:rPr>
        <w:t xml:space="preserve">the post-2021 </w:t>
      </w:r>
      <w:proofErr w:type="spellStart"/>
      <w:r w:rsidRPr="00AE3281">
        <w:rPr>
          <w:rFonts w:cs="Times New Roman"/>
          <w:szCs w:val="24"/>
        </w:rPr>
        <w:t>DiD</w:t>
      </w:r>
      <w:proofErr w:type="spellEnd"/>
      <w:r w:rsidRPr="00AE3281">
        <w:rPr>
          <w:rFonts w:cs="Times New Roman"/>
          <w:szCs w:val="24"/>
        </w:rPr>
        <w:t xml:space="preserve"> term</w:t>
      </w:r>
      <w:r w:rsidR="00D128FD" w:rsidRPr="00AE3281">
        <w:rPr>
          <w:rFonts w:cs="Times New Roman"/>
          <w:szCs w:val="24"/>
        </w:rPr>
        <w:t xml:space="preserve"> </w:t>
      </w:r>
      <w:bookmarkEnd w:id="6"/>
      <w:r w:rsidR="00D128FD" w:rsidRPr="00AE3281">
        <w:rPr>
          <w:rFonts w:cs="Times New Roman"/>
          <w:szCs w:val="24"/>
        </w:rPr>
        <w:t>(</w:t>
      </w:r>
      <w:proofErr w:type="spellStart"/>
      <w:r w:rsidR="008336F9" w:rsidRPr="00AE3281">
        <w:rPr>
          <w:rFonts w:cs="Times New Roman"/>
          <w:szCs w:val="24"/>
        </w:rPr>
        <w:t>Inter_New_System</w:t>
      </w:r>
      <w:proofErr w:type="spellEnd"/>
      <w:r w:rsidR="00D128FD" w:rsidRPr="00AE3281">
        <w:rPr>
          <w:rFonts w:cs="Times New Roman"/>
          <w:szCs w:val="24"/>
        </w:rPr>
        <w:t>)</w:t>
      </w:r>
      <w:r w:rsidRPr="00AE3281">
        <w:rPr>
          <w:rFonts w:cs="Times New Roman"/>
          <w:szCs w:val="24"/>
        </w:rPr>
        <w:t xml:space="preserve"> is statistically significant. Since the model is OLS and the dependent variable is either 0 or 100, the coefficient may be interpreted as a change in percentage points of being in paid work, other things being equal. Overall, compared to UK nationals</w:t>
      </w:r>
      <w:r w:rsidR="00D128FD" w:rsidRPr="00AE3281">
        <w:rPr>
          <w:rFonts w:cs="Times New Roman"/>
          <w:szCs w:val="24"/>
        </w:rPr>
        <w:t>,</w:t>
      </w:r>
      <w:r w:rsidRPr="00AE3281">
        <w:rPr>
          <w:rFonts w:cs="Times New Roman"/>
          <w:szCs w:val="24"/>
        </w:rPr>
        <w:t xml:space="preserve"> the EU group had a</w:t>
      </w:r>
      <w:r w:rsidR="00573342" w:rsidRPr="00AE3281">
        <w:rPr>
          <w:rFonts w:cs="Times New Roman"/>
          <w:szCs w:val="24"/>
        </w:rPr>
        <w:t>bout</w:t>
      </w:r>
      <w:r w:rsidRPr="00AE3281">
        <w:rPr>
          <w:rFonts w:cs="Times New Roman"/>
          <w:szCs w:val="24"/>
        </w:rPr>
        <w:t xml:space="preserve"> one percentage point lower rate of paid work.</w:t>
      </w:r>
    </w:p>
    <w:p w14:paraId="6925EF74" w14:textId="1415E84A" w:rsidR="00332EFD" w:rsidRDefault="00332EFD" w:rsidP="005B3738">
      <w:pPr>
        <w:jc w:val="both"/>
        <w:rPr>
          <w:rFonts w:cs="Times New Roman"/>
          <w:szCs w:val="24"/>
        </w:rPr>
      </w:pPr>
      <w:r w:rsidRPr="00AE3281">
        <w:rPr>
          <w:rFonts w:cs="Times New Roman"/>
          <w:szCs w:val="24"/>
        </w:rPr>
        <w:t xml:space="preserve">When we look at </w:t>
      </w:r>
      <w:proofErr w:type="spellStart"/>
      <w:r w:rsidR="008336F9" w:rsidRPr="00AE3281">
        <w:rPr>
          <w:rFonts w:cs="Times New Roman"/>
          <w:szCs w:val="24"/>
        </w:rPr>
        <w:t>Inter_Vote</w:t>
      </w:r>
      <w:proofErr w:type="spellEnd"/>
      <w:r w:rsidR="00C81D21" w:rsidRPr="00AE3281">
        <w:rPr>
          <w:rFonts w:cs="Times New Roman"/>
          <w:szCs w:val="24"/>
        </w:rPr>
        <w:t xml:space="preserve">, indicating the </w:t>
      </w:r>
      <w:r w:rsidR="00ED6219" w:rsidRPr="00AE3281">
        <w:rPr>
          <w:rFonts w:cs="Times New Roman"/>
          <w:szCs w:val="24"/>
        </w:rPr>
        <w:t>‘adjustment</w:t>
      </w:r>
      <w:r w:rsidR="00C81D21" w:rsidRPr="00AE3281">
        <w:rPr>
          <w:rFonts w:cs="Times New Roman"/>
          <w:szCs w:val="24"/>
        </w:rPr>
        <w:t xml:space="preserve"> phase</w:t>
      </w:r>
      <w:r w:rsidR="00ED6219" w:rsidRPr="00AE3281">
        <w:rPr>
          <w:rFonts w:cs="Times New Roman"/>
          <w:szCs w:val="24"/>
        </w:rPr>
        <w:t>’</w:t>
      </w:r>
      <w:r w:rsidR="00C81D21" w:rsidRPr="00AE3281">
        <w:rPr>
          <w:rFonts w:cs="Times New Roman"/>
          <w:szCs w:val="24"/>
        </w:rPr>
        <w:t xml:space="preserve">, </w:t>
      </w:r>
      <w:r w:rsidR="00D81E89" w:rsidRPr="00AE3281">
        <w:rPr>
          <w:rFonts w:cs="Times New Roman"/>
          <w:szCs w:val="24"/>
        </w:rPr>
        <w:t>we observe a</w:t>
      </w:r>
      <w:r w:rsidR="00C81D21" w:rsidRPr="00AE3281">
        <w:rPr>
          <w:rFonts w:cs="Times New Roman"/>
          <w:szCs w:val="24"/>
        </w:rPr>
        <w:t xml:space="preserve"> significant positive effect on EU migrants when compared with UK workers</w:t>
      </w:r>
      <w:r w:rsidR="00D81E89" w:rsidRPr="00AE3281">
        <w:rPr>
          <w:rFonts w:cs="Times New Roman"/>
          <w:szCs w:val="24"/>
        </w:rPr>
        <w:t>. This</w:t>
      </w:r>
      <w:r w:rsidR="00C81D21" w:rsidRPr="00AE3281">
        <w:rPr>
          <w:rFonts w:cs="Times New Roman"/>
          <w:szCs w:val="24"/>
        </w:rPr>
        <w:t xml:space="preserve"> may indicate that EU workers tend to </w:t>
      </w:r>
      <w:r w:rsidR="00137810" w:rsidRPr="00AE3281">
        <w:rPr>
          <w:rFonts w:cs="Times New Roman"/>
          <w:szCs w:val="24"/>
        </w:rPr>
        <w:t>enter</w:t>
      </w:r>
      <w:r w:rsidR="00C81D21" w:rsidRPr="00AE3281">
        <w:rPr>
          <w:rFonts w:cs="Times New Roman"/>
          <w:szCs w:val="24"/>
        </w:rPr>
        <w:t xml:space="preserve"> the UK job market till this is still possible, that is, in a period of huge uncertainty about future rules, EU workers tend to “secure” their employment.</w:t>
      </w:r>
    </w:p>
    <w:p w14:paraId="56E0DF2D" w14:textId="77777777" w:rsidR="00077D74" w:rsidRDefault="00077D74" w:rsidP="005B3738">
      <w:pPr>
        <w:jc w:val="both"/>
        <w:rPr>
          <w:rFonts w:cs="Times New Roman"/>
          <w:szCs w:val="24"/>
        </w:rPr>
      </w:pPr>
    </w:p>
    <w:p w14:paraId="0BDEAB26" w14:textId="77777777" w:rsidR="00077D74" w:rsidRDefault="00077D74" w:rsidP="005B3738">
      <w:pPr>
        <w:jc w:val="both"/>
        <w:rPr>
          <w:rFonts w:cs="Times New Roman"/>
          <w:szCs w:val="24"/>
        </w:rPr>
      </w:pPr>
    </w:p>
    <w:p w14:paraId="7858968F" w14:textId="77777777" w:rsidR="00077D74" w:rsidRDefault="00077D74" w:rsidP="005B3738">
      <w:pPr>
        <w:jc w:val="both"/>
        <w:rPr>
          <w:rFonts w:cs="Times New Roman"/>
          <w:szCs w:val="24"/>
        </w:rPr>
      </w:pPr>
    </w:p>
    <w:p w14:paraId="7994F045" w14:textId="77777777" w:rsidR="00077D74" w:rsidRDefault="00077D74" w:rsidP="005B3738">
      <w:pPr>
        <w:jc w:val="both"/>
        <w:rPr>
          <w:rFonts w:cs="Times New Roman"/>
          <w:szCs w:val="24"/>
        </w:rPr>
      </w:pPr>
    </w:p>
    <w:p w14:paraId="61D27EE0" w14:textId="77777777" w:rsidR="00077D74" w:rsidRPr="00AE3281" w:rsidRDefault="00077D74" w:rsidP="005B3738">
      <w:pPr>
        <w:jc w:val="both"/>
        <w:rPr>
          <w:rFonts w:cs="Times New Roman"/>
          <w:szCs w:val="24"/>
        </w:rPr>
      </w:pPr>
    </w:p>
    <w:p w14:paraId="7DDCB6ED" w14:textId="7DE7E661" w:rsidR="308C6BB6" w:rsidRPr="00AE3281" w:rsidRDefault="308C6BB6" w:rsidP="005B3738">
      <w:pPr>
        <w:jc w:val="both"/>
        <w:rPr>
          <w:rFonts w:cs="Times New Roman"/>
        </w:rPr>
      </w:pPr>
    </w:p>
    <w:p w14:paraId="36EF0284" w14:textId="5BA4FB77" w:rsidR="00C5166F" w:rsidRPr="00AE3281" w:rsidRDefault="00C5166F" w:rsidP="005B3738">
      <w:pPr>
        <w:pStyle w:val="Caption"/>
        <w:keepNext/>
        <w:jc w:val="both"/>
        <w:rPr>
          <w:rFonts w:cs="Times New Roman"/>
        </w:rPr>
      </w:pPr>
      <w:r w:rsidRPr="00AE3281">
        <w:rPr>
          <w:rFonts w:cs="Times New Roman"/>
        </w:rPr>
        <w:lastRenderedPageBreak/>
        <w:t xml:space="preserve">Table </w:t>
      </w:r>
      <w:r w:rsidR="00D53541" w:rsidRPr="00AE3281">
        <w:rPr>
          <w:rFonts w:cs="Times New Roman"/>
          <w:noProof/>
        </w:rPr>
        <w:fldChar w:fldCharType="begin"/>
      </w:r>
      <w:r w:rsidR="00D53541" w:rsidRPr="00AE3281">
        <w:rPr>
          <w:rFonts w:cs="Times New Roman"/>
          <w:noProof/>
        </w:rPr>
        <w:instrText xml:space="preserve"> SEQ Table \* ARABIC </w:instrText>
      </w:r>
      <w:r w:rsidR="00D53541" w:rsidRPr="00AE3281">
        <w:rPr>
          <w:rFonts w:cs="Times New Roman"/>
          <w:noProof/>
        </w:rPr>
        <w:fldChar w:fldCharType="separate"/>
      </w:r>
      <w:r w:rsidR="00C57AAA">
        <w:rPr>
          <w:rFonts w:cs="Times New Roman"/>
          <w:noProof/>
        </w:rPr>
        <w:t>2</w:t>
      </w:r>
      <w:r w:rsidR="00D53541" w:rsidRPr="00AE3281">
        <w:rPr>
          <w:rFonts w:cs="Times New Roman"/>
          <w:noProof/>
        </w:rPr>
        <w:fldChar w:fldCharType="end"/>
      </w:r>
      <w:r w:rsidRPr="00AE3281">
        <w:rPr>
          <w:rFonts w:cs="Times New Roman"/>
        </w:rPr>
        <w:tab/>
        <w:t>OLS regression model</w:t>
      </w:r>
      <w:r w:rsidR="00770886" w:rsidRPr="00AE3281">
        <w:rPr>
          <w:rFonts w:cs="Times New Roman"/>
        </w:rPr>
        <w:t>s</w:t>
      </w:r>
      <w:r w:rsidRPr="00AE3281">
        <w:rPr>
          <w:rFonts w:cs="Times New Roman"/>
        </w:rPr>
        <w:t xml:space="preserve"> (</w:t>
      </w:r>
      <w:proofErr w:type="spellStart"/>
      <w:r w:rsidR="00FD7225" w:rsidRPr="00AE3281">
        <w:rPr>
          <w:rFonts w:cs="Times New Roman"/>
        </w:rPr>
        <w:t>DiD</w:t>
      </w:r>
      <w:proofErr w:type="spellEnd"/>
      <w:r w:rsidRPr="00AE3281">
        <w:rPr>
          <w:rFonts w:cs="Times New Roman"/>
        </w:rPr>
        <w:t xml:space="preserve">) for being in paid </w:t>
      </w:r>
      <w:r w:rsidR="000D440A" w:rsidRPr="00AE3281">
        <w:rPr>
          <w:rFonts w:cs="Times New Roman"/>
        </w:rPr>
        <w:t>work.</w:t>
      </w:r>
    </w:p>
    <w:tbl>
      <w:tblPr>
        <w:tblW w:w="7797" w:type="dxa"/>
        <w:tblLayout w:type="fixed"/>
        <w:tblLook w:val="04A0" w:firstRow="1" w:lastRow="0" w:firstColumn="1" w:lastColumn="0" w:noHBand="0" w:noVBand="1"/>
      </w:tblPr>
      <w:tblGrid>
        <w:gridCol w:w="2210"/>
        <w:gridCol w:w="1751"/>
        <w:gridCol w:w="1042"/>
        <w:gridCol w:w="2794"/>
      </w:tblGrid>
      <w:tr w:rsidR="00DE4533" w:rsidRPr="00AE3281" w14:paraId="1F04D8FD" w14:textId="77777777" w:rsidTr="453EBFA6">
        <w:trPr>
          <w:gridAfter w:val="2"/>
          <w:wAfter w:w="3836" w:type="dxa"/>
          <w:trHeight w:val="300"/>
        </w:trPr>
        <w:tc>
          <w:tcPr>
            <w:tcW w:w="2210" w:type="dxa"/>
            <w:tcBorders>
              <w:top w:val="single" w:sz="4" w:space="0" w:color="auto"/>
              <w:left w:val="nil"/>
              <w:right w:val="nil"/>
            </w:tcBorders>
            <w:shd w:val="clear" w:color="auto" w:fill="auto"/>
            <w:noWrap/>
            <w:vAlign w:val="bottom"/>
          </w:tcPr>
          <w:p w14:paraId="1C742BCB" w14:textId="77777777" w:rsidR="00DE4533" w:rsidRPr="00AE3281" w:rsidRDefault="00DE4533" w:rsidP="005B3738">
            <w:pPr>
              <w:spacing w:after="0" w:line="240" w:lineRule="auto"/>
              <w:jc w:val="both"/>
              <w:rPr>
                <w:rFonts w:eastAsia="Times New Roman" w:cs="Times New Roman"/>
                <w:sz w:val="20"/>
                <w:szCs w:val="24"/>
                <w:lang w:eastAsia="en-GB"/>
              </w:rPr>
            </w:pPr>
          </w:p>
        </w:tc>
        <w:tc>
          <w:tcPr>
            <w:tcW w:w="1751" w:type="dxa"/>
            <w:tcBorders>
              <w:top w:val="single" w:sz="4" w:space="0" w:color="auto"/>
              <w:left w:val="nil"/>
              <w:right w:val="nil"/>
            </w:tcBorders>
            <w:shd w:val="clear" w:color="auto" w:fill="auto"/>
            <w:noWrap/>
            <w:vAlign w:val="bottom"/>
          </w:tcPr>
          <w:p w14:paraId="2FC0DBD2" w14:textId="3FA0DF72" w:rsidR="00DE4533" w:rsidRPr="00AE3281" w:rsidRDefault="00DE4533" w:rsidP="005B3738">
            <w:pPr>
              <w:spacing w:after="0" w:line="240" w:lineRule="auto"/>
              <w:jc w:val="both"/>
              <w:rPr>
                <w:rFonts w:eastAsia="Times New Roman" w:cs="Times New Roman"/>
                <w:color w:val="000000"/>
                <w:sz w:val="22"/>
                <w:lang w:eastAsia="en-GB"/>
              </w:rPr>
            </w:pPr>
          </w:p>
        </w:tc>
      </w:tr>
      <w:tr w:rsidR="00DE4533" w:rsidRPr="00AE3281" w14:paraId="1ABFBB86" w14:textId="77777777" w:rsidTr="453EBFA6">
        <w:trPr>
          <w:trHeight w:val="300"/>
        </w:trPr>
        <w:tc>
          <w:tcPr>
            <w:tcW w:w="2210" w:type="dxa"/>
            <w:tcBorders>
              <w:left w:val="nil"/>
              <w:right w:val="nil"/>
            </w:tcBorders>
            <w:shd w:val="clear" w:color="auto" w:fill="auto"/>
            <w:noWrap/>
            <w:vAlign w:val="bottom"/>
            <w:hideMark/>
          </w:tcPr>
          <w:p w14:paraId="797BBDDC" w14:textId="19163DD4" w:rsidR="00DE4533" w:rsidRPr="00AE3281" w:rsidRDefault="00DE4533" w:rsidP="005B3738">
            <w:pPr>
              <w:spacing w:after="0" w:line="240" w:lineRule="auto"/>
              <w:jc w:val="both"/>
              <w:rPr>
                <w:rFonts w:eastAsia="Times New Roman" w:cs="Times New Roman"/>
                <w:sz w:val="20"/>
                <w:szCs w:val="24"/>
                <w:lang w:eastAsia="en-GB"/>
              </w:rPr>
            </w:pPr>
          </w:p>
        </w:tc>
        <w:tc>
          <w:tcPr>
            <w:tcW w:w="2793" w:type="dxa"/>
            <w:gridSpan w:val="2"/>
            <w:tcBorders>
              <w:left w:val="nil"/>
              <w:right w:val="nil"/>
            </w:tcBorders>
            <w:shd w:val="clear" w:color="auto" w:fill="auto"/>
            <w:noWrap/>
            <w:vAlign w:val="bottom"/>
            <w:hideMark/>
          </w:tcPr>
          <w:p w14:paraId="1B2F8840" w14:textId="277D0CD1"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EU</w:t>
            </w:r>
            <w:r w:rsidR="00483977" w:rsidRPr="00AE3281">
              <w:rPr>
                <w:rFonts w:eastAsia="Times New Roman" w:cs="Times New Roman"/>
                <w:color w:val="000000"/>
                <w:sz w:val="22"/>
                <w:lang w:eastAsia="en-GB"/>
              </w:rPr>
              <w:t>15</w:t>
            </w:r>
            <w:r w:rsidRPr="00AE3281">
              <w:rPr>
                <w:rFonts w:eastAsia="Times New Roman" w:cs="Times New Roman"/>
                <w:color w:val="000000"/>
                <w:sz w:val="22"/>
                <w:lang w:eastAsia="en-GB"/>
              </w:rPr>
              <w:t>v UK</w:t>
            </w:r>
          </w:p>
        </w:tc>
        <w:tc>
          <w:tcPr>
            <w:tcW w:w="2794" w:type="dxa"/>
            <w:tcBorders>
              <w:left w:val="single" w:sz="4" w:space="0" w:color="auto"/>
              <w:right w:val="nil"/>
            </w:tcBorders>
            <w:shd w:val="clear" w:color="auto" w:fill="auto"/>
            <w:noWrap/>
            <w:vAlign w:val="bottom"/>
            <w:hideMark/>
          </w:tcPr>
          <w:p w14:paraId="2BC03B2C" w14:textId="2B566E81"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EU v UK</w:t>
            </w:r>
            <w:r w:rsidR="00483977" w:rsidRPr="00AE3281">
              <w:rPr>
                <w:rFonts w:eastAsia="Times New Roman" w:cs="Times New Roman"/>
                <w:color w:val="000000"/>
                <w:sz w:val="22"/>
                <w:lang w:eastAsia="en-GB"/>
              </w:rPr>
              <w:t xml:space="preserve"> (A2/A8 controls included)</w:t>
            </w:r>
          </w:p>
        </w:tc>
      </w:tr>
      <w:tr w:rsidR="00DE4533" w:rsidRPr="00AE3281" w14:paraId="11621F67" w14:textId="77777777" w:rsidTr="453EBFA6">
        <w:trPr>
          <w:trHeight w:val="300"/>
        </w:trPr>
        <w:tc>
          <w:tcPr>
            <w:tcW w:w="2210" w:type="dxa"/>
            <w:tcBorders>
              <w:top w:val="nil"/>
              <w:left w:val="nil"/>
              <w:bottom w:val="single" w:sz="4" w:space="0" w:color="auto"/>
              <w:right w:val="nil"/>
            </w:tcBorders>
            <w:shd w:val="clear" w:color="auto" w:fill="auto"/>
            <w:noWrap/>
            <w:vAlign w:val="bottom"/>
            <w:hideMark/>
          </w:tcPr>
          <w:p w14:paraId="4889B20F"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single" w:sz="4" w:space="0" w:color="auto"/>
              <w:right w:val="nil"/>
            </w:tcBorders>
            <w:shd w:val="clear" w:color="auto" w:fill="auto"/>
            <w:noWrap/>
            <w:vAlign w:val="bottom"/>
            <w:hideMark/>
          </w:tcPr>
          <w:p w14:paraId="6580D3FF"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b/se</w:t>
            </w:r>
          </w:p>
        </w:tc>
        <w:tc>
          <w:tcPr>
            <w:tcW w:w="2794" w:type="dxa"/>
            <w:tcBorders>
              <w:top w:val="nil"/>
              <w:left w:val="single" w:sz="4" w:space="0" w:color="auto"/>
              <w:bottom w:val="single" w:sz="4" w:space="0" w:color="auto"/>
              <w:right w:val="nil"/>
            </w:tcBorders>
            <w:shd w:val="clear" w:color="auto" w:fill="auto"/>
            <w:noWrap/>
            <w:vAlign w:val="bottom"/>
            <w:hideMark/>
          </w:tcPr>
          <w:p w14:paraId="4DA7C198"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b/se</w:t>
            </w:r>
          </w:p>
        </w:tc>
      </w:tr>
      <w:tr w:rsidR="00DE4533" w:rsidRPr="00AE3281" w14:paraId="377D2AA2" w14:textId="77777777" w:rsidTr="453EBFA6">
        <w:trPr>
          <w:trHeight w:val="300"/>
        </w:trPr>
        <w:tc>
          <w:tcPr>
            <w:tcW w:w="2210" w:type="dxa"/>
            <w:tcBorders>
              <w:top w:val="single" w:sz="4" w:space="0" w:color="auto"/>
              <w:left w:val="nil"/>
              <w:bottom w:val="nil"/>
              <w:right w:val="nil"/>
            </w:tcBorders>
            <w:shd w:val="clear" w:color="auto" w:fill="auto"/>
            <w:noWrap/>
            <w:vAlign w:val="bottom"/>
            <w:hideMark/>
          </w:tcPr>
          <w:p w14:paraId="7C5B60A5" w14:textId="28C2764C"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Female</w:t>
            </w:r>
          </w:p>
        </w:tc>
        <w:tc>
          <w:tcPr>
            <w:tcW w:w="2793" w:type="dxa"/>
            <w:gridSpan w:val="2"/>
            <w:tcBorders>
              <w:top w:val="single" w:sz="4" w:space="0" w:color="auto"/>
              <w:left w:val="nil"/>
              <w:bottom w:val="nil"/>
              <w:right w:val="nil"/>
            </w:tcBorders>
            <w:shd w:val="clear" w:color="auto" w:fill="auto"/>
            <w:noWrap/>
            <w:vAlign w:val="bottom"/>
            <w:hideMark/>
          </w:tcPr>
          <w:p w14:paraId="58979CEA"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-8.5694***</w:t>
            </w:r>
          </w:p>
        </w:tc>
        <w:tc>
          <w:tcPr>
            <w:tcW w:w="2794" w:type="dxa"/>
            <w:tcBorders>
              <w:top w:val="single" w:sz="4" w:space="0" w:color="auto"/>
              <w:left w:val="nil"/>
              <w:bottom w:val="nil"/>
              <w:right w:val="nil"/>
            </w:tcBorders>
            <w:shd w:val="clear" w:color="auto" w:fill="auto"/>
            <w:noWrap/>
            <w:vAlign w:val="bottom"/>
            <w:hideMark/>
          </w:tcPr>
          <w:p w14:paraId="7C7232E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-8.5746***</w:t>
            </w:r>
          </w:p>
        </w:tc>
      </w:tr>
      <w:tr w:rsidR="00DE4533" w:rsidRPr="00AE3281" w14:paraId="389B4065" w14:textId="77777777" w:rsidTr="453EBFA6">
        <w:trPr>
          <w:trHeight w:val="300"/>
        </w:trPr>
        <w:tc>
          <w:tcPr>
            <w:tcW w:w="2210" w:type="dxa"/>
            <w:tcBorders>
              <w:top w:val="nil"/>
              <w:left w:val="nil"/>
              <w:bottom w:val="nil"/>
              <w:right w:val="nil"/>
            </w:tcBorders>
            <w:shd w:val="clear" w:color="auto" w:fill="auto"/>
            <w:noWrap/>
            <w:vAlign w:val="bottom"/>
            <w:hideMark/>
          </w:tcPr>
          <w:p w14:paraId="57D960AB"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495E5577" w14:textId="47198553"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(0.0611)</w:t>
            </w:r>
          </w:p>
        </w:tc>
        <w:tc>
          <w:tcPr>
            <w:tcW w:w="2794" w:type="dxa"/>
            <w:tcBorders>
              <w:top w:val="nil"/>
              <w:left w:val="nil"/>
              <w:bottom w:val="nil"/>
              <w:right w:val="nil"/>
            </w:tcBorders>
            <w:shd w:val="clear" w:color="auto" w:fill="auto"/>
            <w:noWrap/>
            <w:vAlign w:val="bottom"/>
            <w:hideMark/>
          </w:tcPr>
          <w:p w14:paraId="2D5CFB95" w14:textId="585E8875"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(0.0611)</w:t>
            </w:r>
          </w:p>
        </w:tc>
      </w:tr>
      <w:tr w:rsidR="00DE4533" w:rsidRPr="00AE3281" w14:paraId="17C1D65F" w14:textId="77777777" w:rsidTr="453EBFA6">
        <w:trPr>
          <w:trHeight w:val="300"/>
        </w:trPr>
        <w:tc>
          <w:tcPr>
            <w:tcW w:w="2210" w:type="dxa"/>
            <w:tcBorders>
              <w:top w:val="nil"/>
              <w:left w:val="nil"/>
              <w:bottom w:val="nil"/>
              <w:right w:val="nil"/>
            </w:tcBorders>
            <w:shd w:val="clear" w:color="auto" w:fill="auto"/>
            <w:noWrap/>
            <w:vAlign w:val="bottom"/>
            <w:hideMark/>
          </w:tcPr>
          <w:p w14:paraId="3702375C"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Age</w:t>
            </w:r>
          </w:p>
        </w:tc>
        <w:tc>
          <w:tcPr>
            <w:tcW w:w="2793" w:type="dxa"/>
            <w:gridSpan w:val="2"/>
            <w:tcBorders>
              <w:top w:val="nil"/>
              <w:left w:val="nil"/>
              <w:bottom w:val="nil"/>
              <w:right w:val="nil"/>
            </w:tcBorders>
            <w:shd w:val="clear" w:color="auto" w:fill="auto"/>
            <w:noWrap/>
            <w:vAlign w:val="bottom"/>
            <w:hideMark/>
          </w:tcPr>
          <w:p w14:paraId="6B12A80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6.6023***</w:t>
            </w:r>
          </w:p>
        </w:tc>
        <w:tc>
          <w:tcPr>
            <w:tcW w:w="2794" w:type="dxa"/>
            <w:tcBorders>
              <w:top w:val="nil"/>
              <w:left w:val="nil"/>
              <w:bottom w:val="nil"/>
              <w:right w:val="nil"/>
            </w:tcBorders>
            <w:shd w:val="clear" w:color="auto" w:fill="auto"/>
            <w:noWrap/>
            <w:vAlign w:val="bottom"/>
            <w:hideMark/>
          </w:tcPr>
          <w:p w14:paraId="09090C45"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6.5949***</w:t>
            </w:r>
          </w:p>
        </w:tc>
      </w:tr>
      <w:tr w:rsidR="00DE4533" w:rsidRPr="00AE3281" w14:paraId="76CBFC9F" w14:textId="77777777" w:rsidTr="453EBFA6">
        <w:trPr>
          <w:trHeight w:val="300"/>
        </w:trPr>
        <w:tc>
          <w:tcPr>
            <w:tcW w:w="2210" w:type="dxa"/>
            <w:tcBorders>
              <w:top w:val="nil"/>
              <w:left w:val="nil"/>
              <w:bottom w:val="nil"/>
              <w:right w:val="nil"/>
            </w:tcBorders>
            <w:shd w:val="clear" w:color="auto" w:fill="auto"/>
            <w:noWrap/>
            <w:vAlign w:val="bottom"/>
            <w:hideMark/>
          </w:tcPr>
          <w:p w14:paraId="0249A6E0"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5E9380DE" w14:textId="12F783AF"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(0.015)</w:t>
            </w:r>
          </w:p>
        </w:tc>
        <w:tc>
          <w:tcPr>
            <w:tcW w:w="2794" w:type="dxa"/>
            <w:tcBorders>
              <w:top w:val="nil"/>
              <w:left w:val="nil"/>
              <w:bottom w:val="nil"/>
              <w:right w:val="nil"/>
            </w:tcBorders>
            <w:shd w:val="clear" w:color="auto" w:fill="auto"/>
            <w:noWrap/>
            <w:vAlign w:val="bottom"/>
            <w:hideMark/>
          </w:tcPr>
          <w:p w14:paraId="7BC09D47" w14:textId="58439BBB"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(0.015)</w:t>
            </w:r>
          </w:p>
        </w:tc>
      </w:tr>
      <w:tr w:rsidR="00DE4533" w:rsidRPr="00AE3281" w14:paraId="429CE579" w14:textId="77777777" w:rsidTr="453EBFA6">
        <w:trPr>
          <w:trHeight w:val="300"/>
        </w:trPr>
        <w:tc>
          <w:tcPr>
            <w:tcW w:w="2210" w:type="dxa"/>
            <w:tcBorders>
              <w:top w:val="nil"/>
              <w:left w:val="nil"/>
              <w:bottom w:val="nil"/>
              <w:right w:val="nil"/>
            </w:tcBorders>
            <w:shd w:val="clear" w:color="auto" w:fill="auto"/>
            <w:noWrap/>
            <w:vAlign w:val="bottom"/>
            <w:hideMark/>
          </w:tcPr>
          <w:p w14:paraId="0AA75567" w14:textId="4F78B27D"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Age-squared</w:t>
            </w:r>
          </w:p>
        </w:tc>
        <w:tc>
          <w:tcPr>
            <w:tcW w:w="2793" w:type="dxa"/>
            <w:gridSpan w:val="2"/>
            <w:tcBorders>
              <w:top w:val="nil"/>
              <w:left w:val="nil"/>
              <w:bottom w:val="nil"/>
              <w:right w:val="nil"/>
            </w:tcBorders>
            <w:shd w:val="clear" w:color="auto" w:fill="auto"/>
            <w:noWrap/>
            <w:vAlign w:val="bottom"/>
            <w:hideMark/>
          </w:tcPr>
          <w:p w14:paraId="50840AC9"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-0.0803***</w:t>
            </w:r>
          </w:p>
        </w:tc>
        <w:tc>
          <w:tcPr>
            <w:tcW w:w="2794" w:type="dxa"/>
            <w:tcBorders>
              <w:top w:val="nil"/>
              <w:left w:val="nil"/>
              <w:bottom w:val="nil"/>
              <w:right w:val="nil"/>
            </w:tcBorders>
            <w:shd w:val="clear" w:color="auto" w:fill="auto"/>
            <w:noWrap/>
            <w:vAlign w:val="bottom"/>
            <w:hideMark/>
          </w:tcPr>
          <w:p w14:paraId="0684BA9F"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-0.0802***</w:t>
            </w:r>
          </w:p>
        </w:tc>
      </w:tr>
      <w:tr w:rsidR="00DE4533" w:rsidRPr="00AE3281" w14:paraId="16F6EC41" w14:textId="77777777" w:rsidTr="453EBFA6">
        <w:trPr>
          <w:trHeight w:val="300"/>
        </w:trPr>
        <w:tc>
          <w:tcPr>
            <w:tcW w:w="2210" w:type="dxa"/>
            <w:tcBorders>
              <w:top w:val="nil"/>
              <w:left w:val="nil"/>
              <w:bottom w:val="nil"/>
              <w:right w:val="nil"/>
            </w:tcBorders>
            <w:shd w:val="clear" w:color="auto" w:fill="auto"/>
            <w:noWrap/>
            <w:vAlign w:val="bottom"/>
            <w:hideMark/>
          </w:tcPr>
          <w:p w14:paraId="181C314B"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0C9BD806" w14:textId="3C838254"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(0.0002)</w:t>
            </w:r>
          </w:p>
        </w:tc>
        <w:tc>
          <w:tcPr>
            <w:tcW w:w="2794" w:type="dxa"/>
            <w:tcBorders>
              <w:top w:val="nil"/>
              <w:left w:val="nil"/>
              <w:bottom w:val="nil"/>
              <w:right w:val="nil"/>
            </w:tcBorders>
            <w:shd w:val="clear" w:color="auto" w:fill="auto"/>
            <w:noWrap/>
            <w:vAlign w:val="bottom"/>
            <w:hideMark/>
          </w:tcPr>
          <w:p w14:paraId="13C047C1" w14:textId="4FF45098"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(0.0002)</w:t>
            </w:r>
          </w:p>
        </w:tc>
      </w:tr>
      <w:tr w:rsidR="00DE4533" w:rsidRPr="00AE3281" w14:paraId="01D9BFE0" w14:textId="77777777" w:rsidTr="453EBFA6">
        <w:trPr>
          <w:trHeight w:val="300"/>
        </w:trPr>
        <w:tc>
          <w:tcPr>
            <w:tcW w:w="2210" w:type="dxa"/>
            <w:tcBorders>
              <w:top w:val="nil"/>
              <w:left w:val="nil"/>
              <w:bottom w:val="nil"/>
              <w:right w:val="nil"/>
            </w:tcBorders>
            <w:shd w:val="clear" w:color="auto" w:fill="auto"/>
            <w:noWrap/>
            <w:vAlign w:val="bottom"/>
            <w:hideMark/>
          </w:tcPr>
          <w:p w14:paraId="19D2317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Graduate</w:t>
            </w:r>
          </w:p>
        </w:tc>
        <w:tc>
          <w:tcPr>
            <w:tcW w:w="2793" w:type="dxa"/>
            <w:gridSpan w:val="2"/>
            <w:tcBorders>
              <w:top w:val="nil"/>
              <w:left w:val="nil"/>
              <w:bottom w:val="nil"/>
              <w:right w:val="nil"/>
            </w:tcBorders>
            <w:shd w:val="clear" w:color="auto" w:fill="auto"/>
            <w:noWrap/>
            <w:vAlign w:val="bottom"/>
            <w:hideMark/>
          </w:tcPr>
          <w:p w14:paraId="2FBF5587"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8.3373***</w:t>
            </w:r>
          </w:p>
        </w:tc>
        <w:tc>
          <w:tcPr>
            <w:tcW w:w="2794" w:type="dxa"/>
            <w:tcBorders>
              <w:top w:val="nil"/>
              <w:left w:val="nil"/>
              <w:bottom w:val="nil"/>
              <w:right w:val="nil"/>
            </w:tcBorders>
            <w:shd w:val="clear" w:color="auto" w:fill="auto"/>
            <w:noWrap/>
            <w:vAlign w:val="bottom"/>
            <w:hideMark/>
          </w:tcPr>
          <w:p w14:paraId="07C140D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8.4199***</w:t>
            </w:r>
          </w:p>
        </w:tc>
      </w:tr>
      <w:tr w:rsidR="00DE4533" w:rsidRPr="00AE3281" w14:paraId="341A9733" w14:textId="77777777" w:rsidTr="453EBFA6">
        <w:trPr>
          <w:trHeight w:val="300"/>
        </w:trPr>
        <w:tc>
          <w:tcPr>
            <w:tcW w:w="2210" w:type="dxa"/>
            <w:tcBorders>
              <w:top w:val="nil"/>
              <w:left w:val="nil"/>
              <w:bottom w:val="nil"/>
              <w:right w:val="nil"/>
            </w:tcBorders>
            <w:shd w:val="clear" w:color="auto" w:fill="auto"/>
            <w:noWrap/>
            <w:vAlign w:val="bottom"/>
            <w:hideMark/>
          </w:tcPr>
          <w:p w14:paraId="19A2A874"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102526D7" w14:textId="1980FED4"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(0.066)</w:t>
            </w:r>
          </w:p>
        </w:tc>
        <w:tc>
          <w:tcPr>
            <w:tcW w:w="2794" w:type="dxa"/>
            <w:tcBorders>
              <w:top w:val="nil"/>
              <w:left w:val="nil"/>
              <w:bottom w:val="nil"/>
              <w:right w:val="nil"/>
            </w:tcBorders>
            <w:shd w:val="clear" w:color="auto" w:fill="auto"/>
            <w:noWrap/>
            <w:vAlign w:val="bottom"/>
            <w:hideMark/>
          </w:tcPr>
          <w:p w14:paraId="17FFCCC8" w14:textId="57D939F6"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(0.0661)</w:t>
            </w:r>
          </w:p>
        </w:tc>
      </w:tr>
      <w:tr w:rsidR="00DE4533" w:rsidRPr="00AE3281" w14:paraId="6020D103" w14:textId="77777777" w:rsidTr="453EBFA6">
        <w:trPr>
          <w:trHeight w:val="300"/>
        </w:trPr>
        <w:tc>
          <w:tcPr>
            <w:tcW w:w="2210" w:type="dxa"/>
            <w:tcBorders>
              <w:top w:val="nil"/>
              <w:left w:val="nil"/>
              <w:bottom w:val="nil"/>
              <w:right w:val="nil"/>
            </w:tcBorders>
            <w:shd w:val="clear" w:color="auto" w:fill="auto"/>
            <w:noWrap/>
            <w:vAlign w:val="bottom"/>
            <w:hideMark/>
          </w:tcPr>
          <w:p w14:paraId="7B273DF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Other</w:t>
            </w:r>
          </w:p>
        </w:tc>
        <w:tc>
          <w:tcPr>
            <w:tcW w:w="2793" w:type="dxa"/>
            <w:gridSpan w:val="2"/>
            <w:tcBorders>
              <w:top w:val="nil"/>
              <w:left w:val="nil"/>
              <w:bottom w:val="nil"/>
              <w:right w:val="nil"/>
            </w:tcBorders>
            <w:shd w:val="clear" w:color="auto" w:fill="auto"/>
            <w:noWrap/>
            <w:vAlign w:val="bottom"/>
            <w:hideMark/>
          </w:tcPr>
          <w:p w14:paraId="2B802C28"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w:t>
            </w:r>
          </w:p>
        </w:tc>
        <w:tc>
          <w:tcPr>
            <w:tcW w:w="2794" w:type="dxa"/>
            <w:tcBorders>
              <w:top w:val="nil"/>
              <w:left w:val="nil"/>
              <w:bottom w:val="nil"/>
              <w:right w:val="nil"/>
            </w:tcBorders>
            <w:shd w:val="clear" w:color="auto" w:fill="auto"/>
            <w:noWrap/>
            <w:vAlign w:val="bottom"/>
            <w:hideMark/>
          </w:tcPr>
          <w:p w14:paraId="5522C039"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w:t>
            </w:r>
          </w:p>
        </w:tc>
      </w:tr>
      <w:tr w:rsidR="00DE4533" w:rsidRPr="00AE3281" w14:paraId="2AEC6FAA" w14:textId="77777777" w:rsidTr="453EBFA6">
        <w:trPr>
          <w:trHeight w:val="300"/>
        </w:trPr>
        <w:tc>
          <w:tcPr>
            <w:tcW w:w="2210" w:type="dxa"/>
            <w:tcBorders>
              <w:top w:val="nil"/>
              <w:left w:val="nil"/>
              <w:bottom w:val="nil"/>
              <w:right w:val="nil"/>
            </w:tcBorders>
            <w:shd w:val="clear" w:color="auto" w:fill="auto"/>
            <w:noWrap/>
            <w:vAlign w:val="bottom"/>
            <w:hideMark/>
          </w:tcPr>
          <w:p w14:paraId="65FF3DAC"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0BEDEAAC"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w:t>
            </w:r>
          </w:p>
        </w:tc>
        <w:tc>
          <w:tcPr>
            <w:tcW w:w="2794" w:type="dxa"/>
            <w:tcBorders>
              <w:top w:val="nil"/>
              <w:left w:val="nil"/>
              <w:bottom w:val="nil"/>
              <w:right w:val="nil"/>
            </w:tcBorders>
            <w:shd w:val="clear" w:color="auto" w:fill="auto"/>
            <w:noWrap/>
            <w:vAlign w:val="bottom"/>
            <w:hideMark/>
          </w:tcPr>
          <w:p w14:paraId="457CF763"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w:t>
            </w:r>
          </w:p>
        </w:tc>
      </w:tr>
      <w:tr w:rsidR="00DE4533" w:rsidRPr="00AE3281" w14:paraId="79CE5EAF" w14:textId="77777777" w:rsidTr="453EBFA6">
        <w:trPr>
          <w:trHeight w:val="300"/>
        </w:trPr>
        <w:tc>
          <w:tcPr>
            <w:tcW w:w="2210" w:type="dxa"/>
            <w:tcBorders>
              <w:top w:val="nil"/>
              <w:left w:val="nil"/>
              <w:bottom w:val="nil"/>
              <w:right w:val="nil"/>
            </w:tcBorders>
            <w:shd w:val="clear" w:color="auto" w:fill="auto"/>
            <w:noWrap/>
            <w:vAlign w:val="bottom"/>
            <w:hideMark/>
          </w:tcPr>
          <w:p w14:paraId="4B849836"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None</w:t>
            </w:r>
          </w:p>
        </w:tc>
        <w:tc>
          <w:tcPr>
            <w:tcW w:w="2793" w:type="dxa"/>
            <w:gridSpan w:val="2"/>
            <w:tcBorders>
              <w:top w:val="nil"/>
              <w:left w:val="nil"/>
              <w:bottom w:val="nil"/>
              <w:right w:val="nil"/>
            </w:tcBorders>
            <w:shd w:val="clear" w:color="auto" w:fill="auto"/>
            <w:noWrap/>
            <w:vAlign w:val="bottom"/>
            <w:hideMark/>
          </w:tcPr>
          <w:p w14:paraId="38D02616"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-25.4634***</w:t>
            </w:r>
          </w:p>
        </w:tc>
        <w:tc>
          <w:tcPr>
            <w:tcW w:w="2794" w:type="dxa"/>
            <w:tcBorders>
              <w:top w:val="nil"/>
              <w:left w:val="nil"/>
              <w:bottom w:val="nil"/>
              <w:right w:val="nil"/>
            </w:tcBorders>
            <w:shd w:val="clear" w:color="auto" w:fill="auto"/>
            <w:noWrap/>
            <w:vAlign w:val="bottom"/>
            <w:hideMark/>
          </w:tcPr>
          <w:p w14:paraId="74CADDA8"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-25.4841***</w:t>
            </w:r>
          </w:p>
        </w:tc>
      </w:tr>
      <w:tr w:rsidR="00DE4533" w:rsidRPr="00AE3281" w14:paraId="17B8DEB0" w14:textId="77777777" w:rsidTr="453EBFA6">
        <w:trPr>
          <w:trHeight w:val="300"/>
        </w:trPr>
        <w:tc>
          <w:tcPr>
            <w:tcW w:w="2210" w:type="dxa"/>
            <w:tcBorders>
              <w:top w:val="nil"/>
              <w:left w:val="nil"/>
              <w:bottom w:val="nil"/>
              <w:right w:val="nil"/>
            </w:tcBorders>
            <w:shd w:val="clear" w:color="auto" w:fill="auto"/>
            <w:noWrap/>
            <w:vAlign w:val="bottom"/>
            <w:hideMark/>
          </w:tcPr>
          <w:p w14:paraId="7D135F66"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6B3FC7C2" w14:textId="3F582340"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(0.1264)</w:t>
            </w:r>
          </w:p>
        </w:tc>
        <w:tc>
          <w:tcPr>
            <w:tcW w:w="2794" w:type="dxa"/>
            <w:tcBorders>
              <w:top w:val="nil"/>
              <w:left w:val="nil"/>
              <w:bottom w:val="nil"/>
              <w:right w:val="nil"/>
            </w:tcBorders>
            <w:shd w:val="clear" w:color="auto" w:fill="auto"/>
            <w:noWrap/>
            <w:vAlign w:val="bottom"/>
            <w:hideMark/>
          </w:tcPr>
          <w:p w14:paraId="7B78B532" w14:textId="3207CC0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(0.1264)</w:t>
            </w:r>
          </w:p>
        </w:tc>
      </w:tr>
      <w:tr w:rsidR="00DE4533" w:rsidRPr="00AE3281" w14:paraId="603A0E1E" w14:textId="77777777" w:rsidTr="453EBFA6">
        <w:trPr>
          <w:trHeight w:val="300"/>
        </w:trPr>
        <w:tc>
          <w:tcPr>
            <w:tcW w:w="2210" w:type="dxa"/>
            <w:tcBorders>
              <w:top w:val="nil"/>
              <w:left w:val="nil"/>
              <w:bottom w:val="nil"/>
              <w:right w:val="nil"/>
            </w:tcBorders>
            <w:shd w:val="clear" w:color="auto" w:fill="auto"/>
            <w:noWrap/>
            <w:vAlign w:val="bottom"/>
            <w:hideMark/>
          </w:tcPr>
          <w:p w14:paraId="2A43BF09"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Missing</w:t>
            </w:r>
          </w:p>
        </w:tc>
        <w:tc>
          <w:tcPr>
            <w:tcW w:w="2793" w:type="dxa"/>
            <w:gridSpan w:val="2"/>
            <w:tcBorders>
              <w:top w:val="nil"/>
              <w:left w:val="nil"/>
              <w:bottom w:val="nil"/>
              <w:right w:val="nil"/>
            </w:tcBorders>
            <w:shd w:val="clear" w:color="auto" w:fill="auto"/>
            <w:noWrap/>
            <w:vAlign w:val="bottom"/>
            <w:hideMark/>
          </w:tcPr>
          <w:p w14:paraId="04047F7C"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0.0205</w:t>
            </w:r>
          </w:p>
        </w:tc>
        <w:tc>
          <w:tcPr>
            <w:tcW w:w="2794" w:type="dxa"/>
            <w:tcBorders>
              <w:top w:val="nil"/>
              <w:left w:val="nil"/>
              <w:bottom w:val="nil"/>
              <w:right w:val="nil"/>
            </w:tcBorders>
            <w:shd w:val="clear" w:color="auto" w:fill="auto"/>
            <w:noWrap/>
            <w:vAlign w:val="bottom"/>
            <w:hideMark/>
          </w:tcPr>
          <w:p w14:paraId="541429E1"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0.0354</w:t>
            </w:r>
          </w:p>
        </w:tc>
      </w:tr>
      <w:tr w:rsidR="00DE4533" w:rsidRPr="00AE3281" w14:paraId="430E7077" w14:textId="77777777" w:rsidTr="453EBFA6">
        <w:trPr>
          <w:trHeight w:val="300"/>
        </w:trPr>
        <w:tc>
          <w:tcPr>
            <w:tcW w:w="2210" w:type="dxa"/>
            <w:tcBorders>
              <w:top w:val="nil"/>
              <w:left w:val="nil"/>
              <w:bottom w:val="nil"/>
              <w:right w:val="nil"/>
            </w:tcBorders>
            <w:shd w:val="clear" w:color="auto" w:fill="auto"/>
            <w:noWrap/>
            <w:vAlign w:val="bottom"/>
            <w:hideMark/>
          </w:tcPr>
          <w:p w14:paraId="2E3C8F2F"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644DC255" w14:textId="43D22C5B"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(0.224)</w:t>
            </w:r>
          </w:p>
        </w:tc>
        <w:tc>
          <w:tcPr>
            <w:tcW w:w="2794" w:type="dxa"/>
            <w:tcBorders>
              <w:top w:val="nil"/>
              <w:left w:val="nil"/>
              <w:bottom w:val="nil"/>
              <w:right w:val="nil"/>
            </w:tcBorders>
            <w:shd w:val="clear" w:color="auto" w:fill="auto"/>
            <w:noWrap/>
            <w:vAlign w:val="bottom"/>
            <w:hideMark/>
          </w:tcPr>
          <w:p w14:paraId="29B9B517" w14:textId="06E1A27F"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(0.2239)</w:t>
            </w:r>
          </w:p>
        </w:tc>
      </w:tr>
      <w:tr w:rsidR="00DE4533" w:rsidRPr="00AE3281" w14:paraId="43AFD60B" w14:textId="77777777" w:rsidTr="453EBFA6">
        <w:trPr>
          <w:trHeight w:val="300"/>
        </w:trPr>
        <w:tc>
          <w:tcPr>
            <w:tcW w:w="2210" w:type="dxa"/>
            <w:tcBorders>
              <w:top w:val="nil"/>
              <w:left w:val="nil"/>
              <w:bottom w:val="nil"/>
              <w:right w:val="nil"/>
            </w:tcBorders>
            <w:shd w:val="clear" w:color="auto" w:fill="auto"/>
            <w:noWrap/>
            <w:vAlign w:val="bottom"/>
            <w:hideMark/>
          </w:tcPr>
          <w:p w14:paraId="1BFD6B96" w14:textId="77777777" w:rsidR="00DE4533" w:rsidRPr="00AE3281" w:rsidRDefault="00DE4533" w:rsidP="005B3738">
            <w:pPr>
              <w:spacing w:after="0" w:line="240" w:lineRule="auto"/>
              <w:jc w:val="both"/>
              <w:rPr>
                <w:rFonts w:eastAsia="Times New Roman" w:cs="Times New Roman"/>
                <w:color w:val="000000"/>
                <w:sz w:val="22"/>
                <w:lang w:eastAsia="en-GB"/>
              </w:rPr>
            </w:pPr>
            <w:proofErr w:type="gramStart"/>
            <w:r w:rsidRPr="00AE3281">
              <w:rPr>
                <w:rFonts w:eastAsia="Times New Roman" w:cs="Times New Roman"/>
                <w:color w:val="000000"/>
                <w:sz w:val="22"/>
                <w:lang w:eastAsia="en-GB"/>
              </w:rPr>
              <w:t>North East</w:t>
            </w:r>
            <w:proofErr w:type="gramEnd"/>
          </w:p>
        </w:tc>
        <w:tc>
          <w:tcPr>
            <w:tcW w:w="2793" w:type="dxa"/>
            <w:gridSpan w:val="2"/>
            <w:tcBorders>
              <w:top w:val="nil"/>
              <w:left w:val="nil"/>
              <w:bottom w:val="nil"/>
              <w:right w:val="nil"/>
            </w:tcBorders>
            <w:shd w:val="clear" w:color="auto" w:fill="auto"/>
            <w:noWrap/>
            <w:vAlign w:val="bottom"/>
            <w:hideMark/>
          </w:tcPr>
          <w:p w14:paraId="6415119D"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-2.9739***</w:t>
            </w:r>
          </w:p>
        </w:tc>
        <w:tc>
          <w:tcPr>
            <w:tcW w:w="2794" w:type="dxa"/>
            <w:tcBorders>
              <w:top w:val="nil"/>
              <w:left w:val="nil"/>
              <w:bottom w:val="nil"/>
              <w:right w:val="nil"/>
            </w:tcBorders>
            <w:shd w:val="clear" w:color="auto" w:fill="auto"/>
            <w:noWrap/>
            <w:vAlign w:val="bottom"/>
            <w:hideMark/>
          </w:tcPr>
          <w:p w14:paraId="2F0478D1"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-2.9527***</w:t>
            </w:r>
          </w:p>
        </w:tc>
      </w:tr>
      <w:tr w:rsidR="00DE4533" w:rsidRPr="00AE3281" w14:paraId="5E4772CE" w14:textId="77777777" w:rsidTr="453EBFA6">
        <w:trPr>
          <w:trHeight w:val="300"/>
        </w:trPr>
        <w:tc>
          <w:tcPr>
            <w:tcW w:w="2210" w:type="dxa"/>
            <w:tcBorders>
              <w:top w:val="nil"/>
              <w:left w:val="nil"/>
              <w:bottom w:val="nil"/>
              <w:right w:val="nil"/>
            </w:tcBorders>
            <w:shd w:val="clear" w:color="auto" w:fill="auto"/>
            <w:noWrap/>
            <w:vAlign w:val="bottom"/>
            <w:hideMark/>
          </w:tcPr>
          <w:p w14:paraId="4BB34ACC"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3849560B" w14:textId="0443277E"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(0.1672)</w:t>
            </w:r>
          </w:p>
        </w:tc>
        <w:tc>
          <w:tcPr>
            <w:tcW w:w="2794" w:type="dxa"/>
            <w:tcBorders>
              <w:top w:val="nil"/>
              <w:left w:val="nil"/>
              <w:bottom w:val="nil"/>
              <w:right w:val="nil"/>
            </w:tcBorders>
            <w:shd w:val="clear" w:color="auto" w:fill="auto"/>
            <w:noWrap/>
            <w:vAlign w:val="bottom"/>
            <w:hideMark/>
          </w:tcPr>
          <w:p w14:paraId="12F0D3DD" w14:textId="6077BC0A"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(0.1672)</w:t>
            </w:r>
          </w:p>
        </w:tc>
      </w:tr>
      <w:tr w:rsidR="00DE4533" w:rsidRPr="00AE3281" w14:paraId="604BC67F" w14:textId="77777777" w:rsidTr="453EBFA6">
        <w:trPr>
          <w:trHeight w:val="300"/>
        </w:trPr>
        <w:tc>
          <w:tcPr>
            <w:tcW w:w="2210" w:type="dxa"/>
            <w:tcBorders>
              <w:top w:val="nil"/>
              <w:left w:val="nil"/>
              <w:bottom w:val="nil"/>
              <w:right w:val="nil"/>
            </w:tcBorders>
            <w:shd w:val="clear" w:color="auto" w:fill="auto"/>
            <w:noWrap/>
            <w:vAlign w:val="bottom"/>
            <w:hideMark/>
          </w:tcPr>
          <w:p w14:paraId="760C36C1" w14:textId="77777777" w:rsidR="00DE4533" w:rsidRPr="00AE3281" w:rsidRDefault="00DE4533" w:rsidP="005B3738">
            <w:pPr>
              <w:spacing w:after="0" w:line="240" w:lineRule="auto"/>
              <w:jc w:val="both"/>
              <w:rPr>
                <w:rFonts w:eastAsia="Times New Roman" w:cs="Times New Roman"/>
                <w:color w:val="000000"/>
                <w:sz w:val="22"/>
                <w:lang w:eastAsia="en-GB"/>
              </w:rPr>
            </w:pPr>
            <w:proofErr w:type="gramStart"/>
            <w:r w:rsidRPr="00AE3281">
              <w:rPr>
                <w:rFonts w:eastAsia="Times New Roman" w:cs="Times New Roman"/>
                <w:color w:val="000000"/>
                <w:sz w:val="22"/>
                <w:lang w:eastAsia="en-GB"/>
              </w:rPr>
              <w:t>North West</w:t>
            </w:r>
            <w:proofErr w:type="gramEnd"/>
          </w:p>
        </w:tc>
        <w:tc>
          <w:tcPr>
            <w:tcW w:w="2793" w:type="dxa"/>
            <w:gridSpan w:val="2"/>
            <w:tcBorders>
              <w:top w:val="nil"/>
              <w:left w:val="nil"/>
              <w:bottom w:val="nil"/>
              <w:right w:val="nil"/>
            </w:tcBorders>
            <w:shd w:val="clear" w:color="auto" w:fill="auto"/>
            <w:noWrap/>
            <w:vAlign w:val="bottom"/>
            <w:hideMark/>
          </w:tcPr>
          <w:p w14:paraId="4D9D75DC"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-0.9400***</w:t>
            </w:r>
          </w:p>
        </w:tc>
        <w:tc>
          <w:tcPr>
            <w:tcW w:w="2794" w:type="dxa"/>
            <w:tcBorders>
              <w:top w:val="nil"/>
              <w:left w:val="nil"/>
              <w:bottom w:val="nil"/>
              <w:right w:val="nil"/>
            </w:tcBorders>
            <w:shd w:val="clear" w:color="auto" w:fill="auto"/>
            <w:noWrap/>
            <w:vAlign w:val="bottom"/>
            <w:hideMark/>
          </w:tcPr>
          <w:p w14:paraId="4401C71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-0.9209***</w:t>
            </w:r>
          </w:p>
        </w:tc>
      </w:tr>
      <w:tr w:rsidR="00DE4533" w:rsidRPr="00AE3281" w14:paraId="2BE0013A" w14:textId="77777777" w:rsidTr="453EBFA6">
        <w:trPr>
          <w:trHeight w:val="300"/>
        </w:trPr>
        <w:tc>
          <w:tcPr>
            <w:tcW w:w="2210" w:type="dxa"/>
            <w:tcBorders>
              <w:top w:val="nil"/>
              <w:left w:val="nil"/>
              <w:bottom w:val="nil"/>
              <w:right w:val="nil"/>
            </w:tcBorders>
            <w:shd w:val="clear" w:color="auto" w:fill="auto"/>
            <w:noWrap/>
            <w:vAlign w:val="bottom"/>
            <w:hideMark/>
          </w:tcPr>
          <w:p w14:paraId="560AD346"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7857F5CC" w14:textId="48F2B0FE"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(0.1497)</w:t>
            </w:r>
          </w:p>
        </w:tc>
        <w:tc>
          <w:tcPr>
            <w:tcW w:w="2794" w:type="dxa"/>
            <w:tcBorders>
              <w:top w:val="nil"/>
              <w:left w:val="nil"/>
              <w:bottom w:val="nil"/>
              <w:right w:val="nil"/>
            </w:tcBorders>
            <w:shd w:val="clear" w:color="auto" w:fill="auto"/>
            <w:noWrap/>
            <w:vAlign w:val="bottom"/>
            <w:hideMark/>
          </w:tcPr>
          <w:p w14:paraId="2B0A647B" w14:textId="4D60E0DD"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(0.1497)</w:t>
            </w:r>
          </w:p>
        </w:tc>
      </w:tr>
      <w:tr w:rsidR="00DE4533" w:rsidRPr="00AE3281" w14:paraId="55C0B03D" w14:textId="77777777" w:rsidTr="453EBFA6">
        <w:trPr>
          <w:trHeight w:val="300"/>
        </w:trPr>
        <w:tc>
          <w:tcPr>
            <w:tcW w:w="2210" w:type="dxa"/>
            <w:tcBorders>
              <w:top w:val="nil"/>
              <w:left w:val="nil"/>
              <w:bottom w:val="nil"/>
              <w:right w:val="nil"/>
            </w:tcBorders>
            <w:shd w:val="clear" w:color="auto" w:fill="auto"/>
            <w:noWrap/>
            <w:vAlign w:val="bottom"/>
            <w:hideMark/>
          </w:tcPr>
          <w:p w14:paraId="4B9BCEA8"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Merseyside</w:t>
            </w:r>
          </w:p>
        </w:tc>
        <w:tc>
          <w:tcPr>
            <w:tcW w:w="2793" w:type="dxa"/>
            <w:gridSpan w:val="2"/>
            <w:tcBorders>
              <w:top w:val="nil"/>
              <w:left w:val="nil"/>
              <w:bottom w:val="nil"/>
              <w:right w:val="nil"/>
            </w:tcBorders>
            <w:shd w:val="clear" w:color="auto" w:fill="auto"/>
            <w:noWrap/>
            <w:vAlign w:val="bottom"/>
            <w:hideMark/>
          </w:tcPr>
          <w:p w14:paraId="3353F2E6"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-2.1631***</w:t>
            </w:r>
          </w:p>
        </w:tc>
        <w:tc>
          <w:tcPr>
            <w:tcW w:w="2794" w:type="dxa"/>
            <w:tcBorders>
              <w:top w:val="nil"/>
              <w:left w:val="nil"/>
              <w:bottom w:val="nil"/>
              <w:right w:val="nil"/>
            </w:tcBorders>
            <w:shd w:val="clear" w:color="auto" w:fill="auto"/>
            <w:noWrap/>
            <w:vAlign w:val="bottom"/>
            <w:hideMark/>
          </w:tcPr>
          <w:p w14:paraId="56FC36D1"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-2.1410***</w:t>
            </w:r>
          </w:p>
        </w:tc>
      </w:tr>
      <w:tr w:rsidR="00DE4533" w:rsidRPr="00AE3281" w14:paraId="1710C71C" w14:textId="77777777" w:rsidTr="453EBFA6">
        <w:trPr>
          <w:trHeight w:val="300"/>
        </w:trPr>
        <w:tc>
          <w:tcPr>
            <w:tcW w:w="2210" w:type="dxa"/>
            <w:tcBorders>
              <w:top w:val="nil"/>
              <w:left w:val="nil"/>
              <w:bottom w:val="nil"/>
              <w:right w:val="nil"/>
            </w:tcBorders>
            <w:shd w:val="clear" w:color="auto" w:fill="auto"/>
            <w:noWrap/>
            <w:vAlign w:val="bottom"/>
            <w:hideMark/>
          </w:tcPr>
          <w:p w14:paraId="5C3609F2"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20287770" w14:textId="0061DF85"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(0.2272)</w:t>
            </w:r>
          </w:p>
        </w:tc>
        <w:tc>
          <w:tcPr>
            <w:tcW w:w="2794" w:type="dxa"/>
            <w:tcBorders>
              <w:top w:val="nil"/>
              <w:left w:val="nil"/>
              <w:bottom w:val="nil"/>
              <w:right w:val="nil"/>
            </w:tcBorders>
            <w:shd w:val="clear" w:color="auto" w:fill="auto"/>
            <w:noWrap/>
            <w:vAlign w:val="bottom"/>
            <w:hideMark/>
          </w:tcPr>
          <w:p w14:paraId="3D5BBD3C" w14:textId="4E85C21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(0.2272)</w:t>
            </w:r>
          </w:p>
        </w:tc>
      </w:tr>
      <w:tr w:rsidR="00DE4533" w:rsidRPr="00AE3281" w14:paraId="3177AEC9" w14:textId="77777777" w:rsidTr="453EBFA6">
        <w:trPr>
          <w:trHeight w:val="300"/>
        </w:trPr>
        <w:tc>
          <w:tcPr>
            <w:tcW w:w="2210" w:type="dxa"/>
            <w:tcBorders>
              <w:top w:val="nil"/>
              <w:left w:val="nil"/>
              <w:bottom w:val="nil"/>
              <w:right w:val="nil"/>
            </w:tcBorders>
            <w:shd w:val="clear" w:color="auto" w:fill="auto"/>
            <w:noWrap/>
            <w:vAlign w:val="bottom"/>
            <w:hideMark/>
          </w:tcPr>
          <w:p w14:paraId="79B33FDB" w14:textId="77777777" w:rsidR="00DE4533" w:rsidRPr="00AE3281" w:rsidRDefault="00DE4533" w:rsidP="00416D4C">
            <w:pPr>
              <w:spacing w:after="0" w:line="240" w:lineRule="auto"/>
              <w:rPr>
                <w:rFonts w:eastAsia="Times New Roman" w:cs="Times New Roman"/>
                <w:color w:val="000000"/>
                <w:sz w:val="22"/>
                <w:lang w:eastAsia="en-GB"/>
              </w:rPr>
            </w:pPr>
            <w:r w:rsidRPr="00AE3281">
              <w:rPr>
                <w:rFonts w:eastAsia="Times New Roman" w:cs="Times New Roman"/>
                <w:color w:val="000000"/>
                <w:sz w:val="22"/>
                <w:lang w:eastAsia="en-GB"/>
              </w:rPr>
              <w:t>Yorkshire &amp; Humberside</w:t>
            </w:r>
          </w:p>
        </w:tc>
        <w:tc>
          <w:tcPr>
            <w:tcW w:w="2793" w:type="dxa"/>
            <w:gridSpan w:val="2"/>
            <w:tcBorders>
              <w:top w:val="nil"/>
              <w:left w:val="nil"/>
              <w:bottom w:val="nil"/>
              <w:right w:val="nil"/>
            </w:tcBorders>
            <w:shd w:val="clear" w:color="auto" w:fill="auto"/>
            <w:noWrap/>
            <w:vAlign w:val="bottom"/>
            <w:hideMark/>
          </w:tcPr>
          <w:p w14:paraId="6CA5A7B9"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-0.2312</w:t>
            </w:r>
          </w:p>
        </w:tc>
        <w:tc>
          <w:tcPr>
            <w:tcW w:w="2794" w:type="dxa"/>
            <w:tcBorders>
              <w:top w:val="nil"/>
              <w:left w:val="nil"/>
              <w:bottom w:val="nil"/>
              <w:right w:val="nil"/>
            </w:tcBorders>
            <w:shd w:val="clear" w:color="auto" w:fill="auto"/>
            <w:noWrap/>
            <w:vAlign w:val="bottom"/>
            <w:hideMark/>
          </w:tcPr>
          <w:p w14:paraId="330757F3"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-0.2432</w:t>
            </w:r>
          </w:p>
        </w:tc>
      </w:tr>
      <w:tr w:rsidR="00DE4533" w:rsidRPr="00AE3281" w14:paraId="0749BB06" w14:textId="77777777" w:rsidTr="453EBFA6">
        <w:trPr>
          <w:trHeight w:val="300"/>
        </w:trPr>
        <w:tc>
          <w:tcPr>
            <w:tcW w:w="2210" w:type="dxa"/>
            <w:tcBorders>
              <w:top w:val="nil"/>
              <w:left w:val="nil"/>
              <w:bottom w:val="nil"/>
              <w:right w:val="nil"/>
            </w:tcBorders>
            <w:shd w:val="clear" w:color="auto" w:fill="auto"/>
            <w:noWrap/>
            <w:vAlign w:val="bottom"/>
            <w:hideMark/>
          </w:tcPr>
          <w:p w14:paraId="57792F62"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5F1B9EB0" w14:textId="3F9FF7D0"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(0.1554)</w:t>
            </w:r>
          </w:p>
        </w:tc>
        <w:tc>
          <w:tcPr>
            <w:tcW w:w="2794" w:type="dxa"/>
            <w:tcBorders>
              <w:top w:val="nil"/>
              <w:left w:val="nil"/>
              <w:bottom w:val="nil"/>
              <w:right w:val="nil"/>
            </w:tcBorders>
            <w:shd w:val="clear" w:color="auto" w:fill="auto"/>
            <w:noWrap/>
            <w:vAlign w:val="bottom"/>
            <w:hideMark/>
          </w:tcPr>
          <w:p w14:paraId="3E913751" w14:textId="34E61FA3"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(0.1553)</w:t>
            </w:r>
          </w:p>
        </w:tc>
      </w:tr>
      <w:tr w:rsidR="00DE4533" w:rsidRPr="00AE3281" w14:paraId="5692265E" w14:textId="77777777" w:rsidTr="453EBFA6">
        <w:trPr>
          <w:trHeight w:val="300"/>
        </w:trPr>
        <w:tc>
          <w:tcPr>
            <w:tcW w:w="2210" w:type="dxa"/>
            <w:tcBorders>
              <w:top w:val="nil"/>
              <w:left w:val="nil"/>
              <w:bottom w:val="nil"/>
              <w:right w:val="nil"/>
            </w:tcBorders>
            <w:shd w:val="clear" w:color="auto" w:fill="auto"/>
            <w:noWrap/>
            <w:vAlign w:val="bottom"/>
            <w:hideMark/>
          </w:tcPr>
          <w:p w14:paraId="32989CD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East Midlands</w:t>
            </w:r>
          </w:p>
        </w:tc>
        <w:tc>
          <w:tcPr>
            <w:tcW w:w="2793" w:type="dxa"/>
            <w:gridSpan w:val="2"/>
            <w:tcBorders>
              <w:top w:val="nil"/>
              <w:left w:val="nil"/>
              <w:bottom w:val="nil"/>
              <w:right w:val="nil"/>
            </w:tcBorders>
            <w:shd w:val="clear" w:color="auto" w:fill="auto"/>
            <w:noWrap/>
            <w:vAlign w:val="bottom"/>
            <w:hideMark/>
          </w:tcPr>
          <w:p w14:paraId="23C4A3EB"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0.32</w:t>
            </w:r>
          </w:p>
        </w:tc>
        <w:tc>
          <w:tcPr>
            <w:tcW w:w="2794" w:type="dxa"/>
            <w:tcBorders>
              <w:top w:val="nil"/>
              <w:left w:val="nil"/>
              <w:bottom w:val="nil"/>
              <w:right w:val="nil"/>
            </w:tcBorders>
            <w:shd w:val="clear" w:color="auto" w:fill="auto"/>
            <w:noWrap/>
            <w:vAlign w:val="bottom"/>
            <w:hideMark/>
          </w:tcPr>
          <w:p w14:paraId="77936D6C"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0.308</w:t>
            </w:r>
          </w:p>
        </w:tc>
      </w:tr>
      <w:tr w:rsidR="00DE4533" w:rsidRPr="00AE3281" w14:paraId="6B2880E2" w14:textId="77777777" w:rsidTr="453EBFA6">
        <w:trPr>
          <w:trHeight w:val="300"/>
        </w:trPr>
        <w:tc>
          <w:tcPr>
            <w:tcW w:w="2210" w:type="dxa"/>
            <w:tcBorders>
              <w:top w:val="nil"/>
              <w:left w:val="nil"/>
              <w:bottom w:val="nil"/>
              <w:right w:val="nil"/>
            </w:tcBorders>
            <w:shd w:val="clear" w:color="auto" w:fill="auto"/>
            <w:noWrap/>
            <w:vAlign w:val="bottom"/>
            <w:hideMark/>
          </w:tcPr>
          <w:p w14:paraId="3FD6CA47"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2E1ACF60" w14:textId="5A55FAE2"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(0.1760)</w:t>
            </w:r>
          </w:p>
        </w:tc>
        <w:tc>
          <w:tcPr>
            <w:tcW w:w="2794" w:type="dxa"/>
            <w:tcBorders>
              <w:top w:val="nil"/>
              <w:left w:val="nil"/>
              <w:bottom w:val="nil"/>
              <w:right w:val="nil"/>
            </w:tcBorders>
            <w:shd w:val="clear" w:color="auto" w:fill="auto"/>
            <w:noWrap/>
            <w:vAlign w:val="bottom"/>
            <w:hideMark/>
          </w:tcPr>
          <w:p w14:paraId="6A36FACB" w14:textId="61006D51"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(0.1759)</w:t>
            </w:r>
          </w:p>
        </w:tc>
      </w:tr>
      <w:tr w:rsidR="00DE4533" w:rsidRPr="00AE3281" w14:paraId="2A3A2F52" w14:textId="77777777" w:rsidTr="453EBFA6">
        <w:trPr>
          <w:trHeight w:val="300"/>
        </w:trPr>
        <w:tc>
          <w:tcPr>
            <w:tcW w:w="2210" w:type="dxa"/>
            <w:tcBorders>
              <w:top w:val="nil"/>
              <w:left w:val="nil"/>
              <w:bottom w:val="nil"/>
              <w:right w:val="nil"/>
            </w:tcBorders>
            <w:shd w:val="clear" w:color="auto" w:fill="auto"/>
            <w:noWrap/>
            <w:vAlign w:val="bottom"/>
            <w:hideMark/>
          </w:tcPr>
          <w:p w14:paraId="0BE53F49"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West Midlands</w:t>
            </w:r>
          </w:p>
        </w:tc>
        <w:tc>
          <w:tcPr>
            <w:tcW w:w="2793" w:type="dxa"/>
            <w:gridSpan w:val="2"/>
            <w:tcBorders>
              <w:top w:val="nil"/>
              <w:left w:val="nil"/>
              <w:bottom w:val="nil"/>
              <w:right w:val="nil"/>
            </w:tcBorders>
            <w:shd w:val="clear" w:color="auto" w:fill="auto"/>
            <w:noWrap/>
            <w:vAlign w:val="bottom"/>
            <w:hideMark/>
          </w:tcPr>
          <w:p w14:paraId="74B99D9F"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w:t>
            </w:r>
          </w:p>
        </w:tc>
        <w:tc>
          <w:tcPr>
            <w:tcW w:w="2794" w:type="dxa"/>
            <w:tcBorders>
              <w:top w:val="nil"/>
              <w:left w:val="nil"/>
              <w:bottom w:val="nil"/>
              <w:right w:val="nil"/>
            </w:tcBorders>
            <w:shd w:val="clear" w:color="auto" w:fill="auto"/>
            <w:noWrap/>
            <w:vAlign w:val="bottom"/>
            <w:hideMark/>
          </w:tcPr>
          <w:p w14:paraId="3E7BB912"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w:t>
            </w:r>
          </w:p>
        </w:tc>
      </w:tr>
      <w:tr w:rsidR="00DE4533" w:rsidRPr="00AE3281" w14:paraId="06DAB649" w14:textId="77777777" w:rsidTr="453EBFA6">
        <w:trPr>
          <w:trHeight w:val="300"/>
        </w:trPr>
        <w:tc>
          <w:tcPr>
            <w:tcW w:w="2210" w:type="dxa"/>
            <w:tcBorders>
              <w:top w:val="nil"/>
              <w:left w:val="nil"/>
              <w:bottom w:val="nil"/>
              <w:right w:val="nil"/>
            </w:tcBorders>
            <w:shd w:val="clear" w:color="auto" w:fill="auto"/>
            <w:noWrap/>
            <w:vAlign w:val="bottom"/>
            <w:hideMark/>
          </w:tcPr>
          <w:p w14:paraId="153620D4"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589615CB"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w:t>
            </w:r>
          </w:p>
        </w:tc>
        <w:tc>
          <w:tcPr>
            <w:tcW w:w="2794" w:type="dxa"/>
            <w:tcBorders>
              <w:top w:val="nil"/>
              <w:left w:val="nil"/>
              <w:bottom w:val="nil"/>
              <w:right w:val="nil"/>
            </w:tcBorders>
            <w:shd w:val="clear" w:color="auto" w:fill="auto"/>
            <w:noWrap/>
            <w:vAlign w:val="bottom"/>
            <w:hideMark/>
          </w:tcPr>
          <w:p w14:paraId="6DDDE9BD"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w:t>
            </w:r>
          </w:p>
        </w:tc>
      </w:tr>
      <w:tr w:rsidR="00DE4533" w:rsidRPr="00AE3281" w14:paraId="0D70AF34" w14:textId="77777777" w:rsidTr="453EBFA6">
        <w:trPr>
          <w:trHeight w:val="300"/>
        </w:trPr>
        <w:tc>
          <w:tcPr>
            <w:tcW w:w="2210" w:type="dxa"/>
            <w:tcBorders>
              <w:top w:val="nil"/>
              <w:left w:val="nil"/>
              <w:bottom w:val="nil"/>
              <w:right w:val="nil"/>
            </w:tcBorders>
            <w:shd w:val="clear" w:color="auto" w:fill="auto"/>
            <w:noWrap/>
            <w:vAlign w:val="bottom"/>
            <w:hideMark/>
          </w:tcPr>
          <w:p w14:paraId="0F8FC119"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Eastern</w:t>
            </w:r>
          </w:p>
        </w:tc>
        <w:tc>
          <w:tcPr>
            <w:tcW w:w="2793" w:type="dxa"/>
            <w:gridSpan w:val="2"/>
            <w:tcBorders>
              <w:top w:val="nil"/>
              <w:left w:val="nil"/>
              <w:bottom w:val="nil"/>
              <w:right w:val="nil"/>
            </w:tcBorders>
            <w:shd w:val="clear" w:color="auto" w:fill="auto"/>
            <w:noWrap/>
            <w:vAlign w:val="bottom"/>
            <w:hideMark/>
          </w:tcPr>
          <w:p w14:paraId="18EFA6DD"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2.2130***</w:t>
            </w:r>
          </w:p>
        </w:tc>
        <w:tc>
          <w:tcPr>
            <w:tcW w:w="2794" w:type="dxa"/>
            <w:tcBorders>
              <w:top w:val="nil"/>
              <w:left w:val="nil"/>
              <w:bottom w:val="nil"/>
              <w:right w:val="nil"/>
            </w:tcBorders>
            <w:shd w:val="clear" w:color="auto" w:fill="auto"/>
            <w:noWrap/>
            <w:vAlign w:val="bottom"/>
            <w:hideMark/>
          </w:tcPr>
          <w:p w14:paraId="25247B26"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2.1962***</w:t>
            </w:r>
          </w:p>
        </w:tc>
      </w:tr>
      <w:tr w:rsidR="00DE4533" w:rsidRPr="00AE3281" w14:paraId="11730A67" w14:textId="77777777" w:rsidTr="453EBFA6">
        <w:trPr>
          <w:trHeight w:val="300"/>
        </w:trPr>
        <w:tc>
          <w:tcPr>
            <w:tcW w:w="2210" w:type="dxa"/>
            <w:tcBorders>
              <w:top w:val="nil"/>
              <w:left w:val="nil"/>
              <w:bottom w:val="nil"/>
              <w:right w:val="nil"/>
            </w:tcBorders>
            <w:shd w:val="clear" w:color="auto" w:fill="auto"/>
            <w:noWrap/>
            <w:vAlign w:val="bottom"/>
            <w:hideMark/>
          </w:tcPr>
          <w:p w14:paraId="36FE284C"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4F5CAD3F" w14:textId="78140304"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(0.1612)</w:t>
            </w:r>
          </w:p>
        </w:tc>
        <w:tc>
          <w:tcPr>
            <w:tcW w:w="2794" w:type="dxa"/>
            <w:tcBorders>
              <w:top w:val="nil"/>
              <w:left w:val="nil"/>
              <w:bottom w:val="nil"/>
              <w:right w:val="nil"/>
            </w:tcBorders>
            <w:shd w:val="clear" w:color="auto" w:fill="auto"/>
            <w:noWrap/>
            <w:vAlign w:val="bottom"/>
            <w:hideMark/>
          </w:tcPr>
          <w:p w14:paraId="1066E07C" w14:textId="3C7268F5"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(0.1611)</w:t>
            </w:r>
          </w:p>
        </w:tc>
      </w:tr>
      <w:tr w:rsidR="00DE4533" w:rsidRPr="00AE3281" w14:paraId="749B2318" w14:textId="77777777" w:rsidTr="453EBFA6">
        <w:trPr>
          <w:trHeight w:val="300"/>
        </w:trPr>
        <w:tc>
          <w:tcPr>
            <w:tcW w:w="2210" w:type="dxa"/>
            <w:tcBorders>
              <w:top w:val="nil"/>
              <w:left w:val="nil"/>
              <w:bottom w:val="nil"/>
              <w:right w:val="nil"/>
            </w:tcBorders>
            <w:shd w:val="clear" w:color="auto" w:fill="auto"/>
            <w:noWrap/>
            <w:vAlign w:val="bottom"/>
            <w:hideMark/>
          </w:tcPr>
          <w:p w14:paraId="0562C9B1"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London</w:t>
            </w:r>
          </w:p>
        </w:tc>
        <w:tc>
          <w:tcPr>
            <w:tcW w:w="2793" w:type="dxa"/>
            <w:gridSpan w:val="2"/>
            <w:tcBorders>
              <w:top w:val="nil"/>
              <w:left w:val="nil"/>
              <w:bottom w:val="nil"/>
              <w:right w:val="nil"/>
            </w:tcBorders>
            <w:shd w:val="clear" w:color="auto" w:fill="auto"/>
            <w:noWrap/>
            <w:vAlign w:val="bottom"/>
            <w:hideMark/>
          </w:tcPr>
          <w:p w14:paraId="39E04E96"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-4.0865***</w:t>
            </w:r>
          </w:p>
        </w:tc>
        <w:tc>
          <w:tcPr>
            <w:tcW w:w="2794" w:type="dxa"/>
            <w:tcBorders>
              <w:top w:val="nil"/>
              <w:left w:val="nil"/>
              <w:bottom w:val="nil"/>
              <w:right w:val="nil"/>
            </w:tcBorders>
            <w:shd w:val="clear" w:color="auto" w:fill="auto"/>
            <w:noWrap/>
            <w:vAlign w:val="bottom"/>
            <w:hideMark/>
          </w:tcPr>
          <w:p w14:paraId="72C1090C"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-3.9273***</w:t>
            </w:r>
          </w:p>
        </w:tc>
      </w:tr>
      <w:tr w:rsidR="00DE4533" w:rsidRPr="00AE3281" w14:paraId="19167664" w14:textId="77777777" w:rsidTr="453EBFA6">
        <w:trPr>
          <w:trHeight w:val="300"/>
        </w:trPr>
        <w:tc>
          <w:tcPr>
            <w:tcW w:w="2210" w:type="dxa"/>
            <w:tcBorders>
              <w:top w:val="nil"/>
              <w:left w:val="nil"/>
              <w:bottom w:val="nil"/>
              <w:right w:val="nil"/>
            </w:tcBorders>
            <w:shd w:val="clear" w:color="auto" w:fill="auto"/>
            <w:noWrap/>
            <w:vAlign w:val="bottom"/>
            <w:hideMark/>
          </w:tcPr>
          <w:p w14:paraId="7E9E3C70"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1781841C" w14:textId="46582E0E"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(0.1563)</w:t>
            </w:r>
          </w:p>
        </w:tc>
        <w:tc>
          <w:tcPr>
            <w:tcW w:w="2794" w:type="dxa"/>
            <w:tcBorders>
              <w:top w:val="nil"/>
              <w:left w:val="nil"/>
              <w:bottom w:val="nil"/>
              <w:right w:val="nil"/>
            </w:tcBorders>
            <w:shd w:val="clear" w:color="auto" w:fill="auto"/>
            <w:noWrap/>
            <w:vAlign w:val="bottom"/>
            <w:hideMark/>
          </w:tcPr>
          <w:p w14:paraId="02010041" w14:textId="7E64694B"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(0.1565)</w:t>
            </w:r>
          </w:p>
        </w:tc>
      </w:tr>
      <w:tr w:rsidR="00DE4533" w:rsidRPr="00AE3281" w14:paraId="567432A2" w14:textId="77777777" w:rsidTr="453EBFA6">
        <w:trPr>
          <w:trHeight w:val="300"/>
        </w:trPr>
        <w:tc>
          <w:tcPr>
            <w:tcW w:w="2210" w:type="dxa"/>
            <w:tcBorders>
              <w:top w:val="nil"/>
              <w:left w:val="nil"/>
              <w:bottom w:val="nil"/>
              <w:right w:val="nil"/>
            </w:tcBorders>
            <w:shd w:val="clear" w:color="auto" w:fill="auto"/>
            <w:noWrap/>
            <w:vAlign w:val="bottom"/>
            <w:hideMark/>
          </w:tcPr>
          <w:p w14:paraId="0DC89F7E" w14:textId="77777777" w:rsidR="00DE4533" w:rsidRPr="00AE3281" w:rsidRDefault="00DE4533" w:rsidP="005B3738">
            <w:pPr>
              <w:spacing w:after="0" w:line="240" w:lineRule="auto"/>
              <w:jc w:val="both"/>
              <w:rPr>
                <w:rFonts w:eastAsia="Times New Roman" w:cs="Times New Roman"/>
                <w:color w:val="000000"/>
                <w:sz w:val="22"/>
                <w:lang w:eastAsia="en-GB"/>
              </w:rPr>
            </w:pPr>
            <w:proofErr w:type="gramStart"/>
            <w:r w:rsidRPr="00AE3281">
              <w:rPr>
                <w:rFonts w:eastAsia="Times New Roman" w:cs="Times New Roman"/>
                <w:color w:val="000000"/>
                <w:sz w:val="22"/>
                <w:lang w:eastAsia="en-GB"/>
              </w:rPr>
              <w:t>South East</w:t>
            </w:r>
            <w:proofErr w:type="gramEnd"/>
          </w:p>
        </w:tc>
        <w:tc>
          <w:tcPr>
            <w:tcW w:w="2793" w:type="dxa"/>
            <w:gridSpan w:val="2"/>
            <w:tcBorders>
              <w:top w:val="nil"/>
              <w:left w:val="nil"/>
              <w:bottom w:val="nil"/>
              <w:right w:val="nil"/>
            </w:tcBorders>
            <w:shd w:val="clear" w:color="auto" w:fill="auto"/>
            <w:noWrap/>
            <w:vAlign w:val="bottom"/>
            <w:hideMark/>
          </w:tcPr>
          <w:p w14:paraId="649B4AFC"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1.8226***</w:t>
            </w:r>
          </w:p>
        </w:tc>
        <w:tc>
          <w:tcPr>
            <w:tcW w:w="2794" w:type="dxa"/>
            <w:tcBorders>
              <w:top w:val="nil"/>
              <w:left w:val="nil"/>
              <w:bottom w:val="nil"/>
              <w:right w:val="nil"/>
            </w:tcBorders>
            <w:shd w:val="clear" w:color="auto" w:fill="auto"/>
            <w:noWrap/>
            <w:vAlign w:val="bottom"/>
            <w:hideMark/>
          </w:tcPr>
          <w:p w14:paraId="5D04E07A"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1.8574***</w:t>
            </w:r>
          </w:p>
        </w:tc>
      </w:tr>
      <w:tr w:rsidR="00DE4533" w:rsidRPr="00AE3281" w14:paraId="0EE51CE5" w14:textId="77777777" w:rsidTr="453EBFA6">
        <w:trPr>
          <w:trHeight w:val="300"/>
        </w:trPr>
        <w:tc>
          <w:tcPr>
            <w:tcW w:w="2210" w:type="dxa"/>
            <w:tcBorders>
              <w:top w:val="nil"/>
              <w:left w:val="nil"/>
              <w:bottom w:val="nil"/>
              <w:right w:val="nil"/>
            </w:tcBorders>
            <w:shd w:val="clear" w:color="auto" w:fill="auto"/>
            <w:noWrap/>
            <w:vAlign w:val="bottom"/>
            <w:hideMark/>
          </w:tcPr>
          <w:p w14:paraId="42C765D1"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7699CB27" w14:textId="1EC6A943"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(0.1414)</w:t>
            </w:r>
          </w:p>
        </w:tc>
        <w:tc>
          <w:tcPr>
            <w:tcW w:w="2794" w:type="dxa"/>
            <w:tcBorders>
              <w:top w:val="nil"/>
              <w:left w:val="nil"/>
              <w:bottom w:val="nil"/>
              <w:right w:val="nil"/>
            </w:tcBorders>
            <w:shd w:val="clear" w:color="auto" w:fill="auto"/>
            <w:noWrap/>
            <w:vAlign w:val="bottom"/>
            <w:hideMark/>
          </w:tcPr>
          <w:p w14:paraId="5C386288" w14:textId="2047D288"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(0.1414)</w:t>
            </w:r>
          </w:p>
        </w:tc>
      </w:tr>
      <w:tr w:rsidR="00DE4533" w:rsidRPr="00AE3281" w14:paraId="234D5791" w14:textId="77777777" w:rsidTr="453EBFA6">
        <w:trPr>
          <w:trHeight w:val="300"/>
        </w:trPr>
        <w:tc>
          <w:tcPr>
            <w:tcW w:w="2210" w:type="dxa"/>
            <w:tcBorders>
              <w:top w:val="nil"/>
              <w:left w:val="nil"/>
              <w:bottom w:val="nil"/>
              <w:right w:val="nil"/>
            </w:tcBorders>
            <w:shd w:val="clear" w:color="auto" w:fill="auto"/>
            <w:noWrap/>
            <w:vAlign w:val="bottom"/>
            <w:hideMark/>
          </w:tcPr>
          <w:p w14:paraId="06922BBA" w14:textId="77777777" w:rsidR="00DE4533" w:rsidRPr="00AE3281" w:rsidRDefault="00DE4533" w:rsidP="005B3738">
            <w:pPr>
              <w:spacing w:after="0" w:line="240" w:lineRule="auto"/>
              <w:jc w:val="both"/>
              <w:rPr>
                <w:rFonts w:eastAsia="Times New Roman" w:cs="Times New Roman"/>
                <w:color w:val="000000"/>
                <w:sz w:val="22"/>
                <w:lang w:eastAsia="en-GB"/>
              </w:rPr>
            </w:pPr>
            <w:proofErr w:type="gramStart"/>
            <w:r w:rsidRPr="00AE3281">
              <w:rPr>
                <w:rFonts w:eastAsia="Times New Roman" w:cs="Times New Roman"/>
                <w:color w:val="000000"/>
                <w:sz w:val="22"/>
                <w:lang w:eastAsia="en-GB"/>
              </w:rPr>
              <w:t>South West</w:t>
            </w:r>
            <w:proofErr w:type="gramEnd"/>
          </w:p>
        </w:tc>
        <w:tc>
          <w:tcPr>
            <w:tcW w:w="2793" w:type="dxa"/>
            <w:gridSpan w:val="2"/>
            <w:tcBorders>
              <w:top w:val="nil"/>
              <w:left w:val="nil"/>
              <w:bottom w:val="nil"/>
              <w:right w:val="nil"/>
            </w:tcBorders>
            <w:shd w:val="clear" w:color="auto" w:fill="auto"/>
            <w:noWrap/>
            <w:vAlign w:val="bottom"/>
            <w:hideMark/>
          </w:tcPr>
          <w:p w14:paraId="30A42A54"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2.4478***</w:t>
            </w:r>
          </w:p>
        </w:tc>
        <w:tc>
          <w:tcPr>
            <w:tcW w:w="2794" w:type="dxa"/>
            <w:tcBorders>
              <w:top w:val="nil"/>
              <w:left w:val="nil"/>
              <w:bottom w:val="nil"/>
              <w:right w:val="nil"/>
            </w:tcBorders>
            <w:shd w:val="clear" w:color="auto" w:fill="auto"/>
            <w:noWrap/>
            <w:vAlign w:val="bottom"/>
            <w:hideMark/>
          </w:tcPr>
          <w:p w14:paraId="7452198E"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2.4685***</w:t>
            </w:r>
          </w:p>
        </w:tc>
      </w:tr>
      <w:tr w:rsidR="00DE4533" w:rsidRPr="00AE3281" w14:paraId="2C092648" w14:textId="77777777" w:rsidTr="453EBFA6">
        <w:trPr>
          <w:trHeight w:val="300"/>
        </w:trPr>
        <w:tc>
          <w:tcPr>
            <w:tcW w:w="2210" w:type="dxa"/>
            <w:tcBorders>
              <w:top w:val="nil"/>
              <w:left w:val="nil"/>
              <w:bottom w:val="nil"/>
              <w:right w:val="nil"/>
            </w:tcBorders>
            <w:shd w:val="clear" w:color="auto" w:fill="auto"/>
            <w:noWrap/>
            <w:vAlign w:val="bottom"/>
            <w:hideMark/>
          </w:tcPr>
          <w:p w14:paraId="69250E9E"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4DAEC566" w14:textId="0A5CA22F"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(0.1531)</w:t>
            </w:r>
          </w:p>
        </w:tc>
        <w:tc>
          <w:tcPr>
            <w:tcW w:w="2794" w:type="dxa"/>
            <w:tcBorders>
              <w:top w:val="nil"/>
              <w:left w:val="nil"/>
              <w:bottom w:val="nil"/>
              <w:right w:val="nil"/>
            </w:tcBorders>
            <w:shd w:val="clear" w:color="auto" w:fill="auto"/>
            <w:noWrap/>
            <w:vAlign w:val="bottom"/>
            <w:hideMark/>
          </w:tcPr>
          <w:p w14:paraId="22F4C02A" w14:textId="3750ED42"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(0.1531)</w:t>
            </w:r>
          </w:p>
        </w:tc>
      </w:tr>
      <w:tr w:rsidR="00DE4533" w:rsidRPr="00AE3281" w14:paraId="06895B5B" w14:textId="77777777" w:rsidTr="453EBFA6">
        <w:trPr>
          <w:trHeight w:val="300"/>
        </w:trPr>
        <w:tc>
          <w:tcPr>
            <w:tcW w:w="2210" w:type="dxa"/>
            <w:tcBorders>
              <w:top w:val="nil"/>
              <w:left w:val="nil"/>
              <w:bottom w:val="nil"/>
              <w:right w:val="nil"/>
            </w:tcBorders>
            <w:shd w:val="clear" w:color="auto" w:fill="auto"/>
            <w:noWrap/>
            <w:vAlign w:val="bottom"/>
            <w:hideMark/>
          </w:tcPr>
          <w:p w14:paraId="760E6854"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Wales</w:t>
            </w:r>
          </w:p>
        </w:tc>
        <w:tc>
          <w:tcPr>
            <w:tcW w:w="2793" w:type="dxa"/>
            <w:gridSpan w:val="2"/>
            <w:tcBorders>
              <w:top w:val="nil"/>
              <w:left w:val="nil"/>
              <w:bottom w:val="nil"/>
              <w:right w:val="nil"/>
            </w:tcBorders>
            <w:shd w:val="clear" w:color="auto" w:fill="auto"/>
            <w:noWrap/>
            <w:vAlign w:val="bottom"/>
            <w:hideMark/>
          </w:tcPr>
          <w:p w14:paraId="21C545FE"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-0.9808***</w:t>
            </w:r>
          </w:p>
        </w:tc>
        <w:tc>
          <w:tcPr>
            <w:tcW w:w="2794" w:type="dxa"/>
            <w:tcBorders>
              <w:top w:val="nil"/>
              <w:left w:val="nil"/>
              <w:bottom w:val="nil"/>
              <w:right w:val="nil"/>
            </w:tcBorders>
            <w:shd w:val="clear" w:color="auto" w:fill="auto"/>
            <w:noWrap/>
            <w:vAlign w:val="bottom"/>
            <w:hideMark/>
          </w:tcPr>
          <w:p w14:paraId="2D40234C"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-0.9610***</w:t>
            </w:r>
          </w:p>
        </w:tc>
      </w:tr>
      <w:tr w:rsidR="00DE4533" w:rsidRPr="00AE3281" w14:paraId="706ADCC0" w14:textId="77777777" w:rsidTr="453EBFA6">
        <w:trPr>
          <w:trHeight w:val="300"/>
        </w:trPr>
        <w:tc>
          <w:tcPr>
            <w:tcW w:w="2210" w:type="dxa"/>
            <w:tcBorders>
              <w:top w:val="nil"/>
              <w:left w:val="nil"/>
              <w:bottom w:val="nil"/>
              <w:right w:val="nil"/>
            </w:tcBorders>
            <w:shd w:val="clear" w:color="auto" w:fill="auto"/>
            <w:noWrap/>
            <w:vAlign w:val="bottom"/>
            <w:hideMark/>
          </w:tcPr>
          <w:p w14:paraId="5E825D97"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4A4D5826" w14:textId="4B294C30"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(0.1464)</w:t>
            </w:r>
          </w:p>
        </w:tc>
        <w:tc>
          <w:tcPr>
            <w:tcW w:w="2794" w:type="dxa"/>
            <w:tcBorders>
              <w:top w:val="nil"/>
              <w:left w:val="nil"/>
              <w:bottom w:val="nil"/>
              <w:right w:val="nil"/>
            </w:tcBorders>
            <w:shd w:val="clear" w:color="auto" w:fill="auto"/>
            <w:noWrap/>
            <w:vAlign w:val="bottom"/>
            <w:hideMark/>
          </w:tcPr>
          <w:p w14:paraId="4C5E09C8" w14:textId="64FDB288"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(0.1464)</w:t>
            </w:r>
          </w:p>
        </w:tc>
      </w:tr>
      <w:tr w:rsidR="00DE4533" w:rsidRPr="00AE3281" w14:paraId="4E359AAC" w14:textId="77777777" w:rsidTr="453EBFA6">
        <w:trPr>
          <w:trHeight w:val="300"/>
        </w:trPr>
        <w:tc>
          <w:tcPr>
            <w:tcW w:w="2210" w:type="dxa"/>
            <w:tcBorders>
              <w:top w:val="nil"/>
              <w:left w:val="nil"/>
              <w:bottom w:val="nil"/>
              <w:right w:val="nil"/>
            </w:tcBorders>
            <w:shd w:val="clear" w:color="auto" w:fill="auto"/>
            <w:noWrap/>
            <w:vAlign w:val="bottom"/>
            <w:hideMark/>
          </w:tcPr>
          <w:p w14:paraId="4EA3B24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Scotland</w:t>
            </w:r>
          </w:p>
        </w:tc>
        <w:tc>
          <w:tcPr>
            <w:tcW w:w="2793" w:type="dxa"/>
            <w:gridSpan w:val="2"/>
            <w:tcBorders>
              <w:top w:val="nil"/>
              <w:left w:val="nil"/>
              <w:bottom w:val="nil"/>
              <w:right w:val="nil"/>
            </w:tcBorders>
            <w:shd w:val="clear" w:color="auto" w:fill="auto"/>
            <w:noWrap/>
            <w:vAlign w:val="bottom"/>
            <w:hideMark/>
          </w:tcPr>
          <w:p w14:paraId="78FA2EDE"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0.4082**</w:t>
            </w:r>
          </w:p>
        </w:tc>
        <w:tc>
          <w:tcPr>
            <w:tcW w:w="2794" w:type="dxa"/>
            <w:tcBorders>
              <w:top w:val="nil"/>
              <w:left w:val="nil"/>
              <w:bottom w:val="nil"/>
              <w:right w:val="nil"/>
            </w:tcBorders>
            <w:shd w:val="clear" w:color="auto" w:fill="auto"/>
            <w:noWrap/>
            <w:vAlign w:val="bottom"/>
            <w:hideMark/>
          </w:tcPr>
          <w:p w14:paraId="59FA0037"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0.4192**</w:t>
            </w:r>
          </w:p>
        </w:tc>
      </w:tr>
      <w:tr w:rsidR="00DE4533" w:rsidRPr="00AE3281" w14:paraId="0A9121B2" w14:textId="77777777" w:rsidTr="453EBFA6">
        <w:trPr>
          <w:trHeight w:val="300"/>
        </w:trPr>
        <w:tc>
          <w:tcPr>
            <w:tcW w:w="2210" w:type="dxa"/>
            <w:tcBorders>
              <w:top w:val="nil"/>
              <w:left w:val="nil"/>
              <w:bottom w:val="nil"/>
              <w:right w:val="nil"/>
            </w:tcBorders>
            <w:shd w:val="clear" w:color="auto" w:fill="auto"/>
            <w:noWrap/>
            <w:vAlign w:val="bottom"/>
            <w:hideMark/>
          </w:tcPr>
          <w:p w14:paraId="797B8D00"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13DD3502" w14:textId="3FEBAA33"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(0.1417)</w:t>
            </w:r>
          </w:p>
        </w:tc>
        <w:tc>
          <w:tcPr>
            <w:tcW w:w="2794" w:type="dxa"/>
            <w:tcBorders>
              <w:top w:val="nil"/>
              <w:left w:val="nil"/>
              <w:bottom w:val="nil"/>
              <w:right w:val="nil"/>
            </w:tcBorders>
            <w:shd w:val="clear" w:color="auto" w:fill="auto"/>
            <w:noWrap/>
            <w:vAlign w:val="bottom"/>
            <w:hideMark/>
          </w:tcPr>
          <w:p w14:paraId="542990B2" w14:textId="7E133018"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(0.1417)</w:t>
            </w:r>
          </w:p>
        </w:tc>
      </w:tr>
      <w:tr w:rsidR="00DE4533" w:rsidRPr="00AE3281" w14:paraId="39C511B4" w14:textId="77777777" w:rsidTr="453EBFA6">
        <w:trPr>
          <w:trHeight w:val="300"/>
        </w:trPr>
        <w:tc>
          <w:tcPr>
            <w:tcW w:w="2210" w:type="dxa"/>
            <w:tcBorders>
              <w:top w:val="nil"/>
              <w:left w:val="nil"/>
              <w:bottom w:val="nil"/>
              <w:right w:val="nil"/>
            </w:tcBorders>
            <w:shd w:val="clear" w:color="auto" w:fill="auto"/>
            <w:noWrap/>
            <w:vAlign w:val="bottom"/>
            <w:hideMark/>
          </w:tcPr>
          <w:p w14:paraId="7CC64EC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Northern Ireland</w:t>
            </w:r>
          </w:p>
        </w:tc>
        <w:tc>
          <w:tcPr>
            <w:tcW w:w="2793" w:type="dxa"/>
            <w:gridSpan w:val="2"/>
            <w:tcBorders>
              <w:top w:val="nil"/>
              <w:left w:val="nil"/>
              <w:bottom w:val="nil"/>
              <w:right w:val="nil"/>
            </w:tcBorders>
            <w:shd w:val="clear" w:color="auto" w:fill="auto"/>
            <w:noWrap/>
            <w:vAlign w:val="bottom"/>
            <w:hideMark/>
          </w:tcPr>
          <w:p w14:paraId="5EC81894"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-2.4741***</w:t>
            </w:r>
          </w:p>
        </w:tc>
        <w:tc>
          <w:tcPr>
            <w:tcW w:w="2794" w:type="dxa"/>
            <w:tcBorders>
              <w:top w:val="nil"/>
              <w:left w:val="nil"/>
              <w:bottom w:val="nil"/>
              <w:right w:val="nil"/>
            </w:tcBorders>
            <w:shd w:val="clear" w:color="auto" w:fill="auto"/>
            <w:noWrap/>
            <w:vAlign w:val="bottom"/>
            <w:hideMark/>
          </w:tcPr>
          <w:p w14:paraId="3A46C61D"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-2.2442***</w:t>
            </w:r>
          </w:p>
        </w:tc>
      </w:tr>
      <w:tr w:rsidR="00DE4533" w:rsidRPr="00AE3281" w14:paraId="17D051AB" w14:textId="77777777" w:rsidTr="453EBFA6">
        <w:trPr>
          <w:trHeight w:val="300"/>
        </w:trPr>
        <w:tc>
          <w:tcPr>
            <w:tcW w:w="2210" w:type="dxa"/>
            <w:tcBorders>
              <w:top w:val="nil"/>
              <w:left w:val="nil"/>
              <w:bottom w:val="nil"/>
              <w:right w:val="nil"/>
            </w:tcBorders>
            <w:shd w:val="clear" w:color="auto" w:fill="auto"/>
            <w:noWrap/>
            <w:vAlign w:val="bottom"/>
            <w:hideMark/>
          </w:tcPr>
          <w:p w14:paraId="5844F1D8"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67FEC1EF" w14:textId="3C3CF7BE"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(0.2139)</w:t>
            </w:r>
          </w:p>
        </w:tc>
        <w:tc>
          <w:tcPr>
            <w:tcW w:w="2794" w:type="dxa"/>
            <w:tcBorders>
              <w:top w:val="nil"/>
              <w:left w:val="nil"/>
              <w:bottom w:val="nil"/>
              <w:right w:val="nil"/>
            </w:tcBorders>
            <w:shd w:val="clear" w:color="auto" w:fill="auto"/>
            <w:noWrap/>
            <w:vAlign w:val="bottom"/>
            <w:hideMark/>
          </w:tcPr>
          <w:p w14:paraId="73192DD2" w14:textId="6778B5B1"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(0.2141)</w:t>
            </w:r>
          </w:p>
        </w:tc>
      </w:tr>
      <w:tr w:rsidR="00DE4533" w:rsidRPr="00AE3281" w14:paraId="1062501F" w14:textId="77777777" w:rsidTr="453EBFA6">
        <w:trPr>
          <w:trHeight w:val="300"/>
        </w:trPr>
        <w:tc>
          <w:tcPr>
            <w:tcW w:w="2210" w:type="dxa"/>
            <w:tcBorders>
              <w:top w:val="nil"/>
              <w:left w:val="nil"/>
              <w:bottom w:val="nil"/>
              <w:right w:val="nil"/>
            </w:tcBorders>
            <w:shd w:val="clear" w:color="auto" w:fill="auto"/>
            <w:noWrap/>
            <w:vAlign w:val="bottom"/>
            <w:hideMark/>
          </w:tcPr>
          <w:p w14:paraId="2DD9C039" w14:textId="781277F3"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lastRenderedPageBreak/>
              <w:t>From vote to end-2020</w:t>
            </w:r>
          </w:p>
        </w:tc>
        <w:tc>
          <w:tcPr>
            <w:tcW w:w="2793" w:type="dxa"/>
            <w:gridSpan w:val="2"/>
            <w:tcBorders>
              <w:top w:val="nil"/>
              <w:left w:val="nil"/>
              <w:bottom w:val="nil"/>
              <w:right w:val="nil"/>
            </w:tcBorders>
            <w:shd w:val="clear" w:color="auto" w:fill="auto"/>
            <w:noWrap/>
            <w:vAlign w:val="bottom"/>
            <w:hideMark/>
          </w:tcPr>
          <w:p w14:paraId="15B01FE7"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-0.21</w:t>
            </w:r>
          </w:p>
        </w:tc>
        <w:tc>
          <w:tcPr>
            <w:tcW w:w="2794" w:type="dxa"/>
            <w:tcBorders>
              <w:top w:val="nil"/>
              <w:left w:val="nil"/>
              <w:bottom w:val="nil"/>
              <w:right w:val="nil"/>
            </w:tcBorders>
            <w:shd w:val="clear" w:color="auto" w:fill="auto"/>
            <w:noWrap/>
            <w:vAlign w:val="bottom"/>
            <w:hideMark/>
          </w:tcPr>
          <w:p w14:paraId="3382F593"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-0.2233</w:t>
            </w:r>
          </w:p>
        </w:tc>
      </w:tr>
      <w:tr w:rsidR="00DE4533" w:rsidRPr="00AE3281" w14:paraId="3D43A96B" w14:textId="77777777" w:rsidTr="453EBFA6">
        <w:trPr>
          <w:trHeight w:val="300"/>
        </w:trPr>
        <w:tc>
          <w:tcPr>
            <w:tcW w:w="2210" w:type="dxa"/>
            <w:tcBorders>
              <w:top w:val="nil"/>
              <w:left w:val="nil"/>
              <w:bottom w:val="nil"/>
              <w:right w:val="nil"/>
            </w:tcBorders>
            <w:shd w:val="clear" w:color="auto" w:fill="auto"/>
            <w:noWrap/>
            <w:vAlign w:val="bottom"/>
            <w:hideMark/>
          </w:tcPr>
          <w:p w14:paraId="26A8666B"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256DD058" w14:textId="09F91369"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(0.1327)</w:t>
            </w:r>
          </w:p>
        </w:tc>
        <w:tc>
          <w:tcPr>
            <w:tcW w:w="2794" w:type="dxa"/>
            <w:tcBorders>
              <w:top w:val="nil"/>
              <w:left w:val="nil"/>
              <w:bottom w:val="nil"/>
              <w:right w:val="nil"/>
            </w:tcBorders>
            <w:shd w:val="clear" w:color="auto" w:fill="auto"/>
            <w:noWrap/>
            <w:vAlign w:val="bottom"/>
            <w:hideMark/>
          </w:tcPr>
          <w:p w14:paraId="72D43901" w14:textId="12DA344E"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(0.1327)</w:t>
            </w:r>
          </w:p>
        </w:tc>
      </w:tr>
      <w:tr w:rsidR="00DE4533" w:rsidRPr="00AE3281" w14:paraId="7C1D2C9D" w14:textId="77777777" w:rsidTr="453EBFA6">
        <w:trPr>
          <w:trHeight w:val="300"/>
        </w:trPr>
        <w:tc>
          <w:tcPr>
            <w:tcW w:w="2210" w:type="dxa"/>
            <w:tcBorders>
              <w:top w:val="nil"/>
              <w:left w:val="nil"/>
              <w:bottom w:val="nil"/>
              <w:right w:val="nil"/>
            </w:tcBorders>
            <w:shd w:val="clear" w:color="auto" w:fill="auto"/>
            <w:noWrap/>
            <w:vAlign w:val="bottom"/>
            <w:hideMark/>
          </w:tcPr>
          <w:p w14:paraId="67C739FF" w14:textId="27BF91F0"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Year 2021/22</w:t>
            </w:r>
          </w:p>
        </w:tc>
        <w:tc>
          <w:tcPr>
            <w:tcW w:w="2793" w:type="dxa"/>
            <w:gridSpan w:val="2"/>
            <w:tcBorders>
              <w:top w:val="nil"/>
              <w:left w:val="nil"/>
              <w:bottom w:val="nil"/>
              <w:right w:val="nil"/>
            </w:tcBorders>
            <w:shd w:val="clear" w:color="auto" w:fill="auto"/>
            <w:noWrap/>
            <w:vAlign w:val="bottom"/>
            <w:hideMark/>
          </w:tcPr>
          <w:p w14:paraId="6108DA74"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-1.4000***</w:t>
            </w:r>
          </w:p>
        </w:tc>
        <w:tc>
          <w:tcPr>
            <w:tcW w:w="2794" w:type="dxa"/>
            <w:tcBorders>
              <w:top w:val="nil"/>
              <w:left w:val="nil"/>
              <w:bottom w:val="nil"/>
              <w:right w:val="nil"/>
            </w:tcBorders>
            <w:shd w:val="clear" w:color="auto" w:fill="auto"/>
            <w:noWrap/>
            <w:vAlign w:val="bottom"/>
            <w:hideMark/>
          </w:tcPr>
          <w:p w14:paraId="548C7D0C"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-1.4297***</w:t>
            </w:r>
          </w:p>
        </w:tc>
      </w:tr>
      <w:tr w:rsidR="00DE4533" w:rsidRPr="00AE3281" w14:paraId="608A2055" w14:textId="77777777" w:rsidTr="453EBFA6">
        <w:trPr>
          <w:trHeight w:val="300"/>
        </w:trPr>
        <w:tc>
          <w:tcPr>
            <w:tcW w:w="2210" w:type="dxa"/>
            <w:tcBorders>
              <w:top w:val="nil"/>
              <w:left w:val="nil"/>
              <w:bottom w:val="nil"/>
              <w:right w:val="nil"/>
            </w:tcBorders>
            <w:shd w:val="clear" w:color="auto" w:fill="auto"/>
            <w:noWrap/>
            <w:vAlign w:val="bottom"/>
            <w:hideMark/>
          </w:tcPr>
          <w:p w14:paraId="06458CC2"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35359C8F" w14:textId="0CAD7FEC"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(0.223)</w:t>
            </w:r>
          </w:p>
        </w:tc>
        <w:tc>
          <w:tcPr>
            <w:tcW w:w="2794" w:type="dxa"/>
            <w:tcBorders>
              <w:top w:val="nil"/>
              <w:left w:val="nil"/>
              <w:bottom w:val="nil"/>
              <w:right w:val="nil"/>
            </w:tcBorders>
            <w:shd w:val="clear" w:color="auto" w:fill="auto"/>
            <w:noWrap/>
            <w:vAlign w:val="bottom"/>
            <w:hideMark/>
          </w:tcPr>
          <w:p w14:paraId="4AC01153" w14:textId="75E16DAD"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(0.223)</w:t>
            </w:r>
          </w:p>
        </w:tc>
      </w:tr>
      <w:tr w:rsidR="00DE4533" w:rsidRPr="00AE3281" w14:paraId="26CC4B79" w14:textId="77777777" w:rsidTr="453EBFA6">
        <w:trPr>
          <w:trHeight w:val="300"/>
        </w:trPr>
        <w:tc>
          <w:tcPr>
            <w:tcW w:w="2210" w:type="dxa"/>
            <w:tcBorders>
              <w:top w:val="nil"/>
              <w:left w:val="nil"/>
              <w:bottom w:val="nil"/>
              <w:right w:val="nil"/>
            </w:tcBorders>
            <w:shd w:val="clear" w:color="auto" w:fill="auto"/>
            <w:noWrap/>
            <w:vAlign w:val="bottom"/>
            <w:hideMark/>
          </w:tcPr>
          <w:p w14:paraId="2E0742A2"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EU nationality</w:t>
            </w:r>
          </w:p>
        </w:tc>
        <w:tc>
          <w:tcPr>
            <w:tcW w:w="2793" w:type="dxa"/>
            <w:gridSpan w:val="2"/>
            <w:tcBorders>
              <w:top w:val="nil"/>
              <w:left w:val="nil"/>
              <w:bottom w:val="nil"/>
              <w:right w:val="nil"/>
            </w:tcBorders>
            <w:shd w:val="clear" w:color="auto" w:fill="auto"/>
            <w:noWrap/>
            <w:vAlign w:val="bottom"/>
            <w:hideMark/>
          </w:tcPr>
          <w:p w14:paraId="67940DF3"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1.5990***</w:t>
            </w:r>
          </w:p>
        </w:tc>
        <w:tc>
          <w:tcPr>
            <w:tcW w:w="2794" w:type="dxa"/>
            <w:tcBorders>
              <w:top w:val="nil"/>
              <w:left w:val="nil"/>
              <w:bottom w:val="nil"/>
              <w:right w:val="nil"/>
            </w:tcBorders>
            <w:shd w:val="clear" w:color="auto" w:fill="auto"/>
            <w:noWrap/>
            <w:vAlign w:val="bottom"/>
            <w:hideMark/>
          </w:tcPr>
          <w:p w14:paraId="251EDD7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-1.7381***</w:t>
            </w:r>
          </w:p>
        </w:tc>
      </w:tr>
      <w:tr w:rsidR="00DE4533" w:rsidRPr="00AE3281" w14:paraId="45B72564" w14:textId="77777777" w:rsidTr="453EBFA6">
        <w:trPr>
          <w:trHeight w:val="300"/>
        </w:trPr>
        <w:tc>
          <w:tcPr>
            <w:tcW w:w="2210" w:type="dxa"/>
            <w:tcBorders>
              <w:top w:val="nil"/>
              <w:left w:val="nil"/>
              <w:bottom w:val="nil"/>
              <w:right w:val="nil"/>
            </w:tcBorders>
            <w:shd w:val="clear" w:color="auto" w:fill="auto"/>
            <w:noWrap/>
            <w:vAlign w:val="bottom"/>
            <w:hideMark/>
          </w:tcPr>
          <w:p w14:paraId="067838C7"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4D26D946" w14:textId="77114152"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(0.2085)</w:t>
            </w:r>
          </w:p>
        </w:tc>
        <w:tc>
          <w:tcPr>
            <w:tcW w:w="2794" w:type="dxa"/>
            <w:tcBorders>
              <w:top w:val="nil"/>
              <w:left w:val="nil"/>
              <w:bottom w:val="nil"/>
              <w:right w:val="nil"/>
            </w:tcBorders>
            <w:shd w:val="clear" w:color="auto" w:fill="auto"/>
            <w:noWrap/>
            <w:vAlign w:val="bottom"/>
            <w:hideMark/>
          </w:tcPr>
          <w:p w14:paraId="118D4C1D" w14:textId="6A4ECC36"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(0.255)</w:t>
            </w:r>
          </w:p>
        </w:tc>
      </w:tr>
      <w:tr w:rsidR="00DE4533" w:rsidRPr="00AE3281" w14:paraId="7E6BA62C" w14:textId="77777777" w:rsidTr="453EBFA6">
        <w:trPr>
          <w:trHeight w:val="300"/>
        </w:trPr>
        <w:tc>
          <w:tcPr>
            <w:tcW w:w="2210" w:type="dxa"/>
            <w:tcBorders>
              <w:top w:val="nil"/>
              <w:left w:val="nil"/>
              <w:bottom w:val="nil"/>
              <w:right w:val="nil"/>
            </w:tcBorders>
            <w:shd w:val="clear" w:color="auto" w:fill="E7E6E6" w:themeFill="background2"/>
            <w:noWrap/>
            <w:hideMark/>
          </w:tcPr>
          <w:p w14:paraId="1E224213" w14:textId="5F83E848" w:rsidR="00DE4533" w:rsidRPr="00AE3281" w:rsidRDefault="00DE4533" w:rsidP="005B3738">
            <w:pPr>
              <w:spacing w:after="0" w:line="240" w:lineRule="auto"/>
              <w:jc w:val="both"/>
              <w:rPr>
                <w:rFonts w:eastAsia="Times New Roman" w:cs="Times New Roman"/>
                <w:color w:val="000000"/>
                <w:sz w:val="22"/>
                <w:lang w:eastAsia="en-GB"/>
              </w:rPr>
            </w:pPr>
            <w:proofErr w:type="spellStart"/>
            <w:r w:rsidRPr="00AE3281">
              <w:rPr>
                <w:rFonts w:eastAsia="Times New Roman" w:cs="Times New Roman"/>
                <w:color w:val="000000"/>
                <w:sz w:val="22"/>
                <w:lang w:eastAsia="en-GB"/>
              </w:rPr>
              <w:t>Inter_Vote</w:t>
            </w:r>
            <w:proofErr w:type="spellEnd"/>
          </w:p>
        </w:tc>
        <w:tc>
          <w:tcPr>
            <w:tcW w:w="2793" w:type="dxa"/>
            <w:gridSpan w:val="2"/>
            <w:tcBorders>
              <w:top w:val="nil"/>
              <w:left w:val="nil"/>
              <w:bottom w:val="nil"/>
              <w:right w:val="nil"/>
            </w:tcBorders>
            <w:shd w:val="clear" w:color="auto" w:fill="E7E6E6" w:themeFill="background2"/>
            <w:noWrap/>
            <w:hideMark/>
          </w:tcPr>
          <w:p w14:paraId="234D9717" w14:textId="0A888BEA"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 xml:space="preserve"> 0.8891**</w:t>
            </w:r>
          </w:p>
        </w:tc>
        <w:tc>
          <w:tcPr>
            <w:tcW w:w="2794" w:type="dxa"/>
            <w:tcBorders>
              <w:top w:val="nil"/>
              <w:left w:val="nil"/>
              <w:bottom w:val="nil"/>
              <w:right w:val="nil"/>
            </w:tcBorders>
            <w:shd w:val="clear" w:color="auto" w:fill="E7E6E6" w:themeFill="background2"/>
            <w:noWrap/>
            <w:hideMark/>
          </w:tcPr>
          <w:p w14:paraId="009DE9A8"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0.9508***</w:t>
            </w:r>
          </w:p>
        </w:tc>
      </w:tr>
      <w:tr w:rsidR="00DE4533" w:rsidRPr="00AE3281" w14:paraId="336715BD" w14:textId="77777777" w:rsidTr="453EBFA6">
        <w:trPr>
          <w:trHeight w:val="300"/>
        </w:trPr>
        <w:tc>
          <w:tcPr>
            <w:tcW w:w="2210" w:type="dxa"/>
            <w:tcBorders>
              <w:top w:val="nil"/>
              <w:left w:val="nil"/>
              <w:bottom w:val="nil"/>
              <w:right w:val="nil"/>
            </w:tcBorders>
            <w:shd w:val="clear" w:color="auto" w:fill="auto"/>
            <w:noWrap/>
            <w:hideMark/>
          </w:tcPr>
          <w:p w14:paraId="02D2EC69"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hideMark/>
          </w:tcPr>
          <w:p w14:paraId="70C42686" w14:textId="3D2A79E0"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(0.2793)</w:t>
            </w:r>
          </w:p>
        </w:tc>
        <w:tc>
          <w:tcPr>
            <w:tcW w:w="2794" w:type="dxa"/>
            <w:tcBorders>
              <w:top w:val="nil"/>
              <w:left w:val="nil"/>
              <w:bottom w:val="nil"/>
              <w:right w:val="nil"/>
            </w:tcBorders>
            <w:shd w:val="clear" w:color="auto" w:fill="auto"/>
            <w:noWrap/>
            <w:hideMark/>
          </w:tcPr>
          <w:p w14:paraId="0FFC263B" w14:textId="3D8B2EF5"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(0.2793)</w:t>
            </w:r>
          </w:p>
        </w:tc>
      </w:tr>
      <w:tr w:rsidR="00DE4533" w:rsidRPr="00AE3281" w14:paraId="4809F15D" w14:textId="77777777" w:rsidTr="453EBFA6">
        <w:trPr>
          <w:trHeight w:val="300"/>
        </w:trPr>
        <w:tc>
          <w:tcPr>
            <w:tcW w:w="2210" w:type="dxa"/>
            <w:tcBorders>
              <w:top w:val="nil"/>
              <w:left w:val="nil"/>
              <w:bottom w:val="nil"/>
              <w:right w:val="nil"/>
            </w:tcBorders>
            <w:shd w:val="clear" w:color="auto" w:fill="E7E6E6" w:themeFill="background2"/>
            <w:noWrap/>
            <w:hideMark/>
          </w:tcPr>
          <w:p w14:paraId="14B9D405" w14:textId="72A2AFF4" w:rsidR="00DE4533" w:rsidRPr="00AE3281" w:rsidRDefault="00DE4533" w:rsidP="005B3738">
            <w:pPr>
              <w:spacing w:after="0" w:line="240" w:lineRule="auto"/>
              <w:jc w:val="both"/>
              <w:rPr>
                <w:rFonts w:eastAsia="Times New Roman" w:cs="Times New Roman"/>
                <w:color w:val="000000"/>
                <w:sz w:val="22"/>
                <w:lang w:eastAsia="en-GB"/>
              </w:rPr>
            </w:pPr>
            <w:proofErr w:type="spellStart"/>
            <w:r w:rsidRPr="00AE3281">
              <w:rPr>
                <w:rFonts w:eastAsia="Times New Roman" w:cs="Times New Roman"/>
                <w:color w:val="000000"/>
                <w:sz w:val="22"/>
                <w:lang w:eastAsia="en-GB"/>
              </w:rPr>
              <w:t>Inter_New_System</w:t>
            </w:r>
            <w:proofErr w:type="spellEnd"/>
          </w:p>
        </w:tc>
        <w:tc>
          <w:tcPr>
            <w:tcW w:w="2793" w:type="dxa"/>
            <w:gridSpan w:val="2"/>
            <w:tcBorders>
              <w:top w:val="nil"/>
              <w:left w:val="nil"/>
              <w:bottom w:val="nil"/>
              <w:right w:val="nil"/>
            </w:tcBorders>
            <w:shd w:val="clear" w:color="auto" w:fill="E7E6E6" w:themeFill="background2"/>
            <w:noWrap/>
            <w:hideMark/>
          </w:tcPr>
          <w:p w14:paraId="38078DEC"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-0.9168*</w:t>
            </w:r>
          </w:p>
        </w:tc>
        <w:tc>
          <w:tcPr>
            <w:tcW w:w="2794" w:type="dxa"/>
            <w:tcBorders>
              <w:top w:val="nil"/>
              <w:left w:val="nil"/>
              <w:bottom w:val="nil"/>
              <w:right w:val="nil"/>
            </w:tcBorders>
            <w:shd w:val="clear" w:color="auto" w:fill="E7E6E6" w:themeFill="background2"/>
            <w:noWrap/>
            <w:hideMark/>
          </w:tcPr>
          <w:p w14:paraId="65C980BD"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0.1192</w:t>
            </w:r>
          </w:p>
        </w:tc>
      </w:tr>
      <w:tr w:rsidR="00DE4533" w:rsidRPr="00AE3281" w14:paraId="6670AC5C" w14:textId="77777777" w:rsidTr="453EBFA6">
        <w:trPr>
          <w:trHeight w:val="300"/>
        </w:trPr>
        <w:tc>
          <w:tcPr>
            <w:tcW w:w="2210" w:type="dxa"/>
            <w:tcBorders>
              <w:top w:val="nil"/>
              <w:left w:val="nil"/>
              <w:bottom w:val="nil"/>
              <w:right w:val="nil"/>
            </w:tcBorders>
            <w:shd w:val="clear" w:color="auto" w:fill="auto"/>
            <w:noWrap/>
            <w:hideMark/>
          </w:tcPr>
          <w:p w14:paraId="407D6742"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hideMark/>
          </w:tcPr>
          <w:p w14:paraId="25EF2D17" w14:textId="21924ADD"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(0.3934)</w:t>
            </w:r>
          </w:p>
        </w:tc>
        <w:tc>
          <w:tcPr>
            <w:tcW w:w="2794" w:type="dxa"/>
            <w:tcBorders>
              <w:top w:val="nil"/>
              <w:left w:val="nil"/>
              <w:bottom w:val="nil"/>
              <w:right w:val="nil"/>
            </w:tcBorders>
            <w:shd w:val="clear" w:color="auto" w:fill="auto"/>
            <w:noWrap/>
            <w:hideMark/>
          </w:tcPr>
          <w:p w14:paraId="465A79BD" w14:textId="5A6FD038"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(0.396)</w:t>
            </w:r>
          </w:p>
        </w:tc>
      </w:tr>
      <w:tr w:rsidR="00DE4533" w:rsidRPr="00AE3281" w14:paraId="4D003CE9" w14:textId="77777777" w:rsidTr="453EBFA6">
        <w:trPr>
          <w:trHeight w:val="300"/>
        </w:trPr>
        <w:tc>
          <w:tcPr>
            <w:tcW w:w="2210" w:type="dxa"/>
            <w:tcBorders>
              <w:top w:val="nil"/>
              <w:left w:val="nil"/>
              <w:bottom w:val="nil"/>
              <w:right w:val="nil"/>
            </w:tcBorders>
            <w:shd w:val="clear" w:color="auto" w:fill="auto"/>
            <w:noWrap/>
            <w:vAlign w:val="bottom"/>
            <w:hideMark/>
          </w:tcPr>
          <w:p w14:paraId="0B91202A" w14:textId="0203FEA0"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Year</w:t>
            </w:r>
          </w:p>
        </w:tc>
        <w:tc>
          <w:tcPr>
            <w:tcW w:w="2793" w:type="dxa"/>
            <w:gridSpan w:val="2"/>
            <w:tcBorders>
              <w:top w:val="nil"/>
              <w:left w:val="nil"/>
              <w:bottom w:val="nil"/>
              <w:right w:val="nil"/>
            </w:tcBorders>
            <w:shd w:val="clear" w:color="auto" w:fill="auto"/>
            <w:noWrap/>
            <w:vAlign w:val="bottom"/>
            <w:hideMark/>
          </w:tcPr>
          <w:p w14:paraId="598B9D75"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0.5574***</w:t>
            </w:r>
          </w:p>
        </w:tc>
        <w:tc>
          <w:tcPr>
            <w:tcW w:w="2794" w:type="dxa"/>
            <w:tcBorders>
              <w:top w:val="nil"/>
              <w:left w:val="nil"/>
              <w:bottom w:val="nil"/>
              <w:right w:val="nil"/>
            </w:tcBorders>
            <w:shd w:val="clear" w:color="auto" w:fill="auto"/>
            <w:noWrap/>
            <w:vAlign w:val="bottom"/>
            <w:hideMark/>
          </w:tcPr>
          <w:p w14:paraId="003BF259"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0.5589***</w:t>
            </w:r>
          </w:p>
        </w:tc>
      </w:tr>
      <w:tr w:rsidR="00DE4533" w:rsidRPr="00AE3281" w14:paraId="640BC3FE" w14:textId="77777777" w:rsidTr="453EBFA6">
        <w:trPr>
          <w:trHeight w:val="300"/>
        </w:trPr>
        <w:tc>
          <w:tcPr>
            <w:tcW w:w="2210" w:type="dxa"/>
            <w:tcBorders>
              <w:top w:val="nil"/>
              <w:left w:val="nil"/>
              <w:bottom w:val="nil"/>
              <w:right w:val="nil"/>
            </w:tcBorders>
            <w:shd w:val="clear" w:color="auto" w:fill="auto"/>
            <w:noWrap/>
            <w:vAlign w:val="bottom"/>
            <w:hideMark/>
          </w:tcPr>
          <w:p w14:paraId="1D2D9603"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78E0B532" w14:textId="2ED4423E"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(0.0258)</w:t>
            </w:r>
          </w:p>
        </w:tc>
        <w:tc>
          <w:tcPr>
            <w:tcW w:w="2794" w:type="dxa"/>
            <w:tcBorders>
              <w:top w:val="nil"/>
              <w:left w:val="nil"/>
              <w:bottom w:val="nil"/>
              <w:right w:val="nil"/>
            </w:tcBorders>
            <w:shd w:val="clear" w:color="auto" w:fill="auto"/>
            <w:noWrap/>
            <w:vAlign w:val="bottom"/>
            <w:hideMark/>
          </w:tcPr>
          <w:p w14:paraId="55F3A373" w14:textId="3310EF9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(0.0258)</w:t>
            </w:r>
          </w:p>
        </w:tc>
      </w:tr>
      <w:tr w:rsidR="00DE4533" w:rsidRPr="00AE3281" w14:paraId="5101DF94" w14:textId="77777777" w:rsidTr="453EBFA6">
        <w:trPr>
          <w:trHeight w:val="300"/>
        </w:trPr>
        <w:tc>
          <w:tcPr>
            <w:tcW w:w="2210" w:type="dxa"/>
            <w:tcBorders>
              <w:top w:val="nil"/>
              <w:left w:val="nil"/>
              <w:bottom w:val="nil"/>
              <w:right w:val="nil"/>
            </w:tcBorders>
            <w:shd w:val="clear" w:color="auto" w:fill="auto"/>
            <w:noWrap/>
            <w:vAlign w:val="bottom"/>
            <w:hideMark/>
          </w:tcPr>
          <w:p w14:paraId="326AD08D"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January</w:t>
            </w:r>
          </w:p>
        </w:tc>
        <w:tc>
          <w:tcPr>
            <w:tcW w:w="2793" w:type="dxa"/>
            <w:gridSpan w:val="2"/>
            <w:tcBorders>
              <w:top w:val="nil"/>
              <w:left w:val="nil"/>
              <w:bottom w:val="nil"/>
              <w:right w:val="nil"/>
            </w:tcBorders>
            <w:shd w:val="clear" w:color="auto" w:fill="auto"/>
            <w:noWrap/>
            <w:vAlign w:val="bottom"/>
            <w:hideMark/>
          </w:tcPr>
          <w:p w14:paraId="46CF6C91"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-0.8631***</w:t>
            </w:r>
          </w:p>
        </w:tc>
        <w:tc>
          <w:tcPr>
            <w:tcW w:w="2794" w:type="dxa"/>
            <w:tcBorders>
              <w:top w:val="nil"/>
              <w:left w:val="nil"/>
              <w:bottom w:val="nil"/>
              <w:right w:val="nil"/>
            </w:tcBorders>
            <w:shd w:val="clear" w:color="auto" w:fill="auto"/>
            <w:noWrap/>
            <w:vAlign w:val="bottom"/>
            <w:hideMark/>
          </w:tcPr>
          <w:p w14:paraId="677132EF"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-0.8685***</w:t>
            </w:r>
          </w:p>
        </w:tc>
      </w:tr>
      <w:tr w:rsidR="00DE4533" w:rsidRPr="00AE3281" w14:paraId="17A102E7" w14:textId="77777777" w:rsidTr="453EBFA6">
        <w:trPr>
          <w:trHeight w:val="300"/>
        </w:trPr>
        <w:tc>
          <w:tcPr>
            <w:tcW w:w="2210" w:type="dxa"/>
            <w:tcBorders>
              <w:top w:val="nil"/>
              <w:left w:val="nil"/>
              <w:bottom w:val="nil"/>
              <w:right w:val="nil"/>
            </w:tcBorders>
            <w:shd w:val="clear" w:color="auto" w:fill="auto"/>
            <w:noWrap/>
            <w:vAlign w:val="bottom"/>
            <w:hideMark/>
          </w:tcPr>
          <w:p w14:paraId="4FEB13E5"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08671DF3" w14:textId="1FFE1DC4"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(0.1489)</w:t>
            </w:r>
          </w:p>
        </w:tc>
        <w:tc>
          <w:tcPr>
            <w:tcW w:w="2794" w:type="dxa"/>
            <w:tcBorders>
              <w:top w:val="nil"/>
              <w:left w:val="nil"/>
              <w:bottom w:val="nil"/>
              <w:right w:val="nil"/>
            </w:tcBorders>
            <w:shd w:val="clear" w:color="auto" w:fill="auto"/>
            <w:noWrap/>
            <w:vAlign w:val="bottom"/>
            <w:hideMark/>
          </w:tcPr>
          <w:p w14:paraId="20C561C6" w14:textId="7A1EA88A"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(0.1488)</w:t>
            </w:r>
          </w:p>
        </w:tc>
      </w:tr>
      <w:tr w:rsidR="00DE4533" w:rsidRPr="00AE3281" w14:paraId="58F1F9FC" w14:textId="77777777" w:rsidTr="453EBFA6">
        <w:trPr>
          <w:trHeight w:val="300"/>
        </w:trPr>
        <w:tc>
          <w:tcPr>
            <w:tcW w:w="2210" w:type="dxa"/>
            <w:tcBorders>
              <w:top w:val="nil"/>
              <w:left w:val="nil"/>
              <w:bottom w:val="nil"/>
              <w:right w:val="nil"/>
            </w:tcBorders>
            <w:shd w:val="clear" w:color="auto" w:fill="auto"/>
            <w:noWrap/>
            <w:vAlign w:val="bottom"/>
            <w:hideMark/>
          </w:tcPr>
          <w:p w14:paraId="16F9148A"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February</w:t>
            </w:r>
          </w:p>
        </w:tc>
        <w:tc>
          <w:tcPr>
            <w:tcW w:w="2793" w:type="dxa"/>
            <w:gridSpan w:val="2"/>
            <w:tcBorders>
              <w:top w:val="nil"/>
              <w:left w:val="nil"/>
              <w:bottom w:val="nil"/>
              <w:right w:val="nil"/>
            </w:tcBorders>
            <w:shd w:val="clear" w:color="auto" w:fill="auto"/>
            <w:noWrap/>
            <w:vAlign w:val="bottom"/>
            <w:hideMark/>
          </w:tcPr>
          <w:p w14:paraId="6C95A395"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-0.2212</w:t>
            </w:r>
          </w:p>
        </w:tc>
        <w:tc>
          <w:tcPr>
            <w:tcW w:w="2794" w:type="dxa"/>
            <w:tcBorders>
              <w:top w:val="nil"/>
              <w:left w:val="nil"/>
              <w:bottom w:val="nil"/>
              <w:right w:val="nil"/>
            </w:tcBorders>
            <w:shd w:val="clear" w:color="auto" w:fill="auto"/>
            <w:noWrap/>
            <w:vAlign w:val="bottom"/>
            <w:hideMark/>
          </w:tcPr>
          <w:p w14:paraId="0C8E9564"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-0.2199</w:t>
            </w:r>
          </w:p>
        </w:tc>
      </w:tr>
      <w:tr w:rsidR="00DE4533" w:rsidRPr="00AE3281" w14:paraId="40C9CE74" w14:textId="77777777" w:rsidTr="453EBFA6">
        <w:trPr>
          <w:trHeight w:val="300"/>
        </w:trPr>
        <w:tc>
          <w:tcPr>
            <w:tcW w:w="2210" w:type="dxa"/>
            <w:tcBorders>
              <w:top w:val="nil"/>
              <w:left w:val="nil"/>
              <w:bottom w:val="nil"/>
              <w:right w:val="nil"/>
            </w:tcBorders>
            <w:shd w:val="clear" w:color="auto" w:fill="auto"/>
            <w:noWrap/>
            <w:vAlign w:val="bottom"/>
            <w:hideMark/>
          </w:tcPr>
          <w:p w14:paraId="56101828"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427B87AE" w14:textId="72C8A87D"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(0.1513)</w:t>
            </w:r>
          </w:p>
        </w:tc>
        <w:tc>
          <w:tcPr>
            <w:tcW w:w="2794" w:type="dxa"/>
            <w:tcBorders>
              <w:top w:val="nil"/>
              <w:left w:val="nil"/>
              <w:bottom w:val="nil"/>
              <w:right w:val="nil"/>
            </w:tcBorders>
            <w:shd w:val="clear" w:color="auto" w:fill="auto"/>
            <w:noWrap/>
            <w:vAlign w:val="bottom"/>
            <w:hideMark/>
          </w:tcPr>
          <w:p w14:paraId="5C680F25" w14:textId="0534AFBF"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(0.1513)</w:t>
            </w:r>
          </w:p>
        </w:tc>
      </w:tr>
      <w:tr w:rsidR="00DE4533" w:rsidRPr="00AE3281" w14:paraId="497F5A17" w14:textId="77777777" w:rsidTr="453EBFA6">
        <w:trPr>
          <w:trHeight w:val="300"/>
        </w:trPr>
        <w:tc>
          <w:tcPr>
            <w:tcW w:w="2210" w:type="dxa"/>
            <w:tcBorders>
              <w:top w:val="nil"/>
              <w:left w:val="nil"/>
              <w:bottom w:val="nil"/>
              <w:right w:val="nil"/>
            </w:tcBorders>
            <w:shd w:val="clear" w:color="auto" w:fill="auto"/>
            <w:noWrap/>
            <w:vAlign w:val="bottom"/>
            <w:hideMark/>
          </w:tcPr>
          <w:p w14:paraId="19020FCF"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March</w:t>
            </w:r>
          </w:p>
        </w:tc>
        <w:tc>
          <w:tcPr>
            <w:tcW w:w="2793" w:type="dxa"/>
            <w:gridSpan w:val="2"/>
            <w:tcBorders>
              <w:top w:val="nil"/>
              <w:left w:val="nil"/>
              <w:bottom w:val="nil"/>
              <w:right w:val="nil"/>
            </w:tcBorders>
            <w:shd w:val="clear" w:color="auto" w:fill="auto"/>
            <w:noWrap/>
            <w:vAlign w:val="bottom"/>
            <w:hideMark/>
          </w:tcPr>
          <w:p w14:paraId="7F253F9A"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-0.6422***</w:t>
            </w:r>
          </w:p>
        </w:tc>
        <w:tc>
          <w:tcPr>
            <w:tcW w:w="2794" w:type="dxa"/>
            <w:tcBorders>
              <w:top w:val="nil"/>
              <w:left w:val="nil"/>
              <w:bottom w:val="nil"/>
              <w:right w:val="nil"/>
            </w:tcBorders>
            <w:shd w:val="clear" w:color="auto" w:fill="auto"/>
            <w:noWrap/>
            <w:vAlign w:val="bottom"/>
            <w:hideMark/>
          </w:tcPr>
          <w:p w14:paraId="277F97A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-0.6485***</w:t>
            </w:r>
          </w:p>
        </w:tc>
      </w:tr>
      <w:tr w:rsidR="00DE4533" w:rsidRPr="00AE3281" w14:paraId="2069E76E" w14:textId="77777777" w:rsidTr="453EBFA6">
        <w:trPr>
          <w:trHeight w:val="300"/>
        </w:trPr>
        <w:tc>
          <w:tcPr>
            <w:tcW w:w="2210" w:type="dxa"/>
            <w:tcBorders>
              <w:top w:val="nil"/>
              <w:left w:val="nil"/>
              <w:bottom w:val="nil"/>
              <w:right w:val="nil"/>
            </w:tcBorders>
            <w:shd w:val="clear" w:color="auto" w:fill="auto"/>
            <w:noWrap/>
            <w:vAlign w:val="bottom"/>
            <w:hideMark/>
          </w:tcPr>
          <w:p w14:paraId="35AFF547"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3A61853A" w14:textId="061F08A2"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(0.1496)</w:t>
            </w:r>
          </w:p>
        </w:tc>
        <w:tc>
          <w:tcPr>
            <w:tcW w:w="2794" w:type="dxa"/>
            <w:tcBorders>
              <w:top w:val="nil"/>
              <w:left w:val="nil"/>
              <w:bottom w:val="nil"/>
              <w:right w:val="nil"/>
            </w:tcBorders>
            <w:shd w:val="clear" w:color="auto" w:fill="auto"/>
            <w:noWrap/>
            <w:vAlign w:val="bottom"/>
            <w:hideMark/>
          </w:tcPr>
          <w:p w14:paraId="33F0FA73" w14:textId="53F86BFF"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(0.1495)</w:t>
            </w:r>
          </w:p>
        </w:tc>
      </w:tr>
      <w:tr w:rsidR="00DE4533" w:rsidRPr="00AE3281" w14:paraId="51AA99F9" w14:textId="77777777" w:rsidTr="453EBFA6">
        <w:trPr>
          <w:trHeight w:val="300"/>
        </w:trPr>
        <w:tc>
          <w:tcPr>
            <w:tcW w:w="2210" w:type="dxa"/>
            <w:tcBorders>
              <w:top w:val="nil"/>
              <w:left w:val="nil"/>
              <w:bottom w:val="nil"/>
              <w:right w:val="nil"/>
            </w:tcBorders>
            <w:shd w:val="clear" w:color="auto" w:fill="auto"/>
            <w:noWrap/>
            <w:vAlign w:val="bottom"/>
            <w:hideMark/>
          </w:tcPr>
          <w:p w14:paraId="19E028C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April</w:t>
            </w:r>
          </w:p>
        </w:tc>
        <w:tc>
          <w:tcPr>
            <w:tcW w:w="2793" w:type="dxa"/>
            <w:gridSpan w:val="2"/>
            <w:tcBorders>
              <w:top w:val="nil"/>
              <w:left w:val="nil"/>
              <w:bottom w:val="nil"/>
              <w:right w:val="nil"/>
            </w:tcBorders>
            <w:shd w:val="clear" w:color="auto" w:fill="auto"/>
            <w:noWrap/>
            <w:vAlign w:val="bottom"/>
            <w:hideMark/>
          </w:tcPr>
          <w:p w14:paraId="478813A8"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-0.7557***</w:t>
            </w:r>
          </w:p>
        </w:tc>
        <w:tc>
          <w:tcPr>
            <w:tcW w:w="2794" w:type="dxa"/>
            <w:tcBorders>
              <w:top w:val="nil"/>
              <w:left w:val="nil"/>
              <w:bottom w:val="nil"/>
              <w:right w:val="nil"/>
            </w:tcBorders>
            <w:shd w:val="clear" w:color="auto" w:fill="auto"/>
            <w:noWrap/>
            <w:vAlign w:val="bottom"/>
            <w:hideMark/>
          </w:tcPr>
          <w:p w14:paraId="6C751683"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-0.7539***</w:t>
            </w:r>
          </w:p>
        </w:tc>
      </w:tr>
      <w:tr w:rsidR="00DE4533" w:rsidRPr="00AE3281" w14:paraId="1E86E173" w14:textId="77777777" w:rsidTr="453EBFA6">
        <w:trPr>
          <w:trHeight w:val="300"/>
        </w:trPr>
        <w:tc>
          <w:tcPr>
            <w:tcW w:w="2210" w:type="dxa"/>
            <w:tcBorders>
              <w:top w:val="nil"/>
              <w:left w:val="nil"/>
              <w:bottom w:val="nil"/>
              <w:right w:val="nil"/>
            </w:tcBorders>
            <w:shd w:val="clear" w:color="auto" w:fill="auto"/>
            <w:noWrap/>
            <w:vAlign w:val="bottom"/>
            <w:hideMark/>
          </w:tcPr>
          <w:p w14:paraId="18E1BA6E"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26B9C0B0" w14:textId="6F9AEA0B"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(0.1515)</w:t>
            </w:r>
          </w:p>
        </w:tc>
        <w:tc>
          <w:tcPr>
            <w:tcW w:w="2794" w:type="dxa"/>
            <w:tcBorders>
              <w:top w:val="nil"/>
              <w:left w:val="nil"/>
              <w:bottom w:val="nil"/>
              <w:right w:val="nil"/>
            </w:tcBorders>
            <w:shd w:val="clear" w:color="auto" w:fill="auto"/>
            <w:noWrap/>
            <w:vAlign w:val="bottom"/>
            <w:hideMark/>
          </w:tcPr>
          <w:p w14:paraId="154CFAE8" w14:textId="7C53F22B"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(0.1515)</w:t>
            </w:r>
          </w:p>
        </w:tc>
      </w:tr>
      <w:tr w:rsidR="00DE4533" w:rsidRPr="00AE3281" w14:paraId="73EF77B6" w14:textId="77777777" w:rsidTr="453EBFA6">
        <w:trPr>
          <w:trHeight w:val="300"/>
        </w:trPr>
        <w:tc>
          <w:tcPr>
            <w:tcW w:w="2210" w:type="dxa"/>
            <w:tcBorders>
              <w:top w:val="nil"/>
              <w:left w:val="nil"/>
              <w:bottom w:val="nil"/>
              <w:right w:val="nil"/>
            </w:tcBorders>
            <w:shd w:val="clear" w:color="auto" w:fill="auto"/>
            <w:noWrap/>
            <w:vAlign w:val="bottom"/>
            <w:hideMark/>
          </w:tcPr>
          <w:p w14:paraId="3783ACA1"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May</w:t>
            </w:r>
          </w:p>
        </w:tc>
        <w:tc>
          <w:tcPr>
            <w:tcW w:w="2793" w:type="dxa"/>
            <w:gridSpan w:val="2"/>
            <w:tcBorders>
              <w:top w:val="nil"/>
              <w:left w:val="nil"/>
              <w:bottom w:val="nil"/>
              <w:right w:val="nil"/>
            </w:tcBorders>
            <w:shd w:val="clear" w:color="auto" w:fill="auto"/>
            <w:noWrap/>
            <w:vAlign w:val="bottom"/>
            <w:hideMark/>
          </w:tcPr>
          <w:p w14:paraId="51826AA3"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-0.5575***</w:t>
            </w:r>
          </w:p>
        </w:tc>
        <w:tc>
          <w:tcPr>
            <w:tcW w:w="2794" w:type="dxa"/>
            <w:tcBorders>
              <w:top w:val="nil"/>
              <w:left w:val="nil"/>
              <w:bottom w:val="nil"/>
              <w:right w:val="nil"/>
            </w:tcBorders>
            <w:shd w:val="clear" w:color="auto" w:fill="auto"/>
            <w:noWrap/>
            <w:vAlign w:val="bottom"/>
            <w:hideMark/>
          </w:tcPr>
          <w:p w14:paraId="6062F1E2"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-0.5606***</w:t>
            </w:r>
          </w:p>
        </w:tc>
      </w:tr>
      <w:tr w:rsidR="00DE4533" w:rsidRPr="00AE3281" w14:paraId="194F0112" w14:textId="77777777" w:rsidTr="453EBFA6">
        <w:trPr>
          <w:trHeight w:val="300"/>
        </w:trPr>
        <w:tc>
          <w:tcPr>
            <w:tcW w:w="2210" w:type="dxa"/>
            <w:tcBorders>
              <w:top w:val="nil"/>
              <w:left w:val="nil"/>
              <w:bottom w:val="nil"/>
              <w:right w:val="nil"/>
            </w:tcBorders>
            <w:shd w:val="clear" w:color="auto" w:fill="auto"/>
            <w:noWrap/>
            <w:vAlign w:val="bottom"/>
            <w:hideMark/>
          </w:tcPr>
          <w:p w14:paraId="44D06B5E"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0AB3BE82" w14:textId="67374006"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(0.1501)</w:t>
            </w:r>
          </w:p>
        </w:tc>
        <w:tc>
          <w:tcPr>
            <w:tcW w:w="2794" w:type="dxa"/>
            <w:tcBorders>
              <w:top w:val="nil"/>
              <w:left w:val="nil"/>
              <w:bottom w:val="nil"/>
              <w:right w:val="nil"/>
            </w:tcBorders>
            <w:shd w:val="clear" w:color="auto" w:fill="auto"/>
            <w:noWrap/>
            <w:vAlign w:val="bottom"/>
            <w:hideMark/>
          </w:tcPr>
          <w:p w14:paraId="1812DA93" w14:textId="0EDA09BB"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(0.1501)</w:t>
            </w:r>
          </w:p>
        </w:tc>
      </w:tr>
      <w:tr w:rsidR="00DE4533" w:rsidRPr="00AE3281" w14:paraId="7EF4DA40" w14:textId="77777777" w:rsidTr="453EBFA6">
        <w:trPr>
          <w:trHeight w:val="300"/>
        </w:trPr>
        <w:tc>
          <w:tcPr>
            <w:tcW w:w="2210" w:type="dxa"/>
            <w:tcBorders>
              <w:top w:val="nil"/>
              <w:left w:val="nil"/>
              <w:bottom w:val="nil"/>
              <w:right w:val="nil"/>
            </w:tcBorders>
            <w:shd w:val="clear" w:color="auto" w:fill="auto"/>
            <w:noWrap/>
            <w:vAlign w:val="bottom"/>
            <w:hideMark/>
          </w:tcPr>
          <w:p w14:paraId="06E8E1D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June</w:t>
            </w:r>
          </w:p>
        </w:tc>
        <w:tc>
          <w:tcPr>
            <w:tcW w:w="2793" w:type="dxa"/>
            <w:gridSpan w:val="2"/>
            <w:tcBorders>
              <w:top w:val="nil"/>
              <w:left w:val="nil"/>
              <w:bottom w:val="nil"/>
              <w:right w:val="nil"/>
            </w:tcBorders>
            <w:shd w:val="clear" w:color="auto" w:fill="auto"/>
            <w:noWrap/>
            <w:vAlign w:val="bottom"/>
            <w:hideMark/>
          </w:tcPr>
          <w:p w14:paraId="2F2BACF9"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w:t>
            </w:r>
          </w:p>
        </w:tc>
        <w:tc>
          <w:tcPr>
            <w:tcW w:w="2794" w:type="dxa"/>
            <w:tcBorders>
              <w:top w:val="nil"/>
              <w:left w:val="nil"/>
              <w:bottom w:val="nil"/>
              <w:right w:val="nil"/>
            </w:tcBorders>
            <w:shd w:val="clear" w:color="auto" w:fill="auto"/>
            <w:noWrap/>
            <w:vAlign w:val="bottom"/>
            <w:hideMark/>
          </w:tcPr>
          <w:p w14:paraId="08E4EE05"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w:t>
            </w:r>
          </w:p>
        </w:tc>
      </w:tr>
      <w:tr w:rsidR="00DE4533" w:rsidRPr="00AE3281" w14:paraId="01E85C55" w14:textId="77777777" w:rsidTr="453EBFA6">
        <w:trPr>
          <w:trHeight w:val="300"/>
        </w:trPr>
        <w:tc>
          <w:tcPr>
            <w:tcW w:w="2210" w:type="dxa"/>
            <w:tcBorders>
              <w:top w:val="nil"/>
              <w:left w:val="nil"/>
              <w:bottom w:val="nil"/>
              <w:right w:val="nil"/>
            </w:tcBorders>
            <w:shd w:val="clear" w:color="auto" w:fill="auto"/>
            <w:noWrap/>
            <w:vAlign w:val="bottom"/>
            <w:hideMark/>
          </w:tcPr>
          <w:p w14:paraId="1265D31F"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67610821"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w:t>
            </w:r>
          </w:p>
        </w:tc>
        <w:tc>
          <w:tcPr>
            <w:tcW w:w="2794" w:type="dxa"/>
            <w:tcBorders>
              <w:top w:val="nil"/>
              <w:left w:val="nil"/>
              <w:bottom w:val="nil"/>
              <w:right w:val="nil"/>
            </w:tcBorders>
            <w:shd w:val="clear" w:color="auto" w:fill="auto"/>
            <w:noWrap/>
            <w:vAlign w:val="bottom"/>
            <w:hideMark/>
          </w:tcPr>
          <w:p w14:paraId="5B9D3505"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w:t>
            </w:r>
          </w:p>
        </w:tc>
      </w:tr>
      <w:tr w:rsidR="00DE4533" w:rsidRPr="00AE3281" w14:paraId="645FB54B" w14:textId="77777777" w:rsidTr="453EBFA6">
        <w:trPr>
          <w:trHeight w:val="300"/>
        </w:trPr>
        <w:tc>
          <w:tcPr>
            <w:tcW w:w="2210" w:type="dxa"/>
            <w:tcBorders>
              <w:top w:val="nil"/>
              <w:left w:val="nil"/>
              <w:bottom w:val="nil"/>
              <w:right w:val="nil"/>
            </w:tcBorders>
            <w:shd w:val="clear" w:color="auto" w:fill="auto"/>
            <w:noWrap/>
            <w:vAlign w:val="bottom"/>
            <w:hideMark/>
          </w:tcPr>
          <w:p w14:paraId="4A2AC88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July</w:t>
            </w:r>
          </w:p>
        </w:tc>
        <w:tc>
          <w:tcPr>
            <w:tcW w:w="2793" w:type="dxa"/>
            <w:gridSpan w:val="2"/>
            <w:tcBorders>
              <w:top w:val="nil"/>
              <w:left w:val="nil"/>
              <w:bottom w:val="nil"/>
              <w:right w:val="nil"/>
            </w:tcBorders>
            <w:shd w:val="clear" w:color="auto" w:fill="auto"/>
            <w:noWrap/>
            <w:vAlign w:val="bottom"/>
            <w:hideMark/>
          </w:tcPr>
          <w:p w14:paraId="665AA301"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-0.0592</w:t>
            </w:r>
          </w:p>
        </w:tc>
        <w:tc>
          <w:tcPr>
            <w:tcW w:w="2794" w:type="dxa"/>
            <w:tcBorders>
              <w:top w:val="nil"/>
              <w:left w:val="nil"/>
              <w:bottom w:val="nil"/>
              <w:right w:val="nil"/>
            </w:tcBorders>
            <w:shd w:val="clear" w:color="auto" w:fill="auto"/>
            <w:noWrap/>
            <w:vAlign w:val="bottom"/>
            <w:hideMark/>
          </w:tcPr>
          <w:p w14:paraId="419F13F1"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-0.0556</w:t>
            </w:r>
          </w:p>
        </w:tc>
      </w:tr>
      <w:tr w:rsidR="00DE4533" w:rsidRPr="00AE3281" w14:paraId="10C28662" w14:textId="77777777" w:rsidTr="453EBFA6">
        <w:trPr>
          <w:trHeight w:val="300"/>
        </w:trPr>
        <w:tc>
          <w:tcPr>
            <w:tcW w:w="2210" w:type="dxa"/>
            <w:tcBorders>
              <w:top w:val="nil"/>
              <w:left w:val="nil"/>
              <w:bottom w:val="nil"/>
              <w:right w:val="nil"/>
            </w:tcBorders>
            <w:shd w:val="clear" w:color="auto" w:fill="auto"/>
            <w:noWrap/>
            <w:vAlign w:val="bottom"/>
            <w:hideMark/>
          </w:tcPr>
          <w:p w14:paraId="46BADA7C"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095C9187" w14:textId="17ED2201"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(0.1498)</w:t>
            </w:r>
          </w:p>
        </w:tc>
        <w:tc>
          <w:tcPr>
            <w:tcW w:w="2794" w:type="dxa"/>
            <w:tcBorders>
              <w:top w:val="nil"/>
              <w:left w:val="nil"/>
              <w:bottom w:val="nil"/>
              <w:right w:val="nil"/>
            </w:tcBorders>
            <w:shd w:val="clear" w:color="auto" w:fill="auto"/>
            <w:noWrap/>
            <w:vAlign w:val="bottom"/>
            <w:hideMark/>
          </w:tcPr>
          <w:p w14:paraId="3C50AA85" w14:textId="68C8CFEB"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(0.1498)</w:t>
            </w:r>
          </w:p>
        </w:tc>
      </w:tr>
      <w:tr w:rsidR="00DE4533" w:rsidRPr="00AE3281" w14:paraId="18CF0080" w14:textId="77777777" w:rsidTr="453EBFA6">
        <w:trPr>
          <w:trHeight w:val="300"/>
        </w:trPr>
        <w:tc>
          <w:tcPr>
            <w:tcW w:w="2210" w:type="dxa"/>
            <w:tcBorders>
              <w:top w:val="nil"/>
              <w:left w:val="nil"/>
              <w:bottom w:val="nil"/>
              <w:right w:val="nil"/>
            </w:tcBorders>
            <w:shd w:val="clear" w:color="auto" w:fill="auto"/>
            <w:noWrap/>
            <w:vAlign w:val="bottom"/>
            <w:hideMark/>
          </w:tcPr>
          <w:p w14:paraId="11AA077D"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August</w:t>
            </w:r>
          </w:p>
        </w:tc>
        <w:tc>
          <w:tcPr>
            <w:tcW w:w="2793" w:type="dxa"/>
            <w:gridSpan w:val="2"/>
            <w:tcBorders>
              <w:top w:val="nil"/>
              <w:left w:val="nil"/>
              <w:bottom w:val="nil"/>
              <w:right w:val="nil"/>
            </w:tcBorders>
            <w:shd w:val="clear" w:color="auto" w:fill="auto"/>
            <w:noWrap/>
            <w:vAlign w:val="bottom"/>
            <w:hideMark/>
          </w:tcPr>
          <w:p w14:paraId="42EE0E7E"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-0.139</w:t>
            </w:r>
          </w:p>
        </w:tc>
        <w:tc>
          <w:tcPr>
            <w:tcW w:w="2794" w:type="dxa"/>
            <w:tcBorders>
              <w:top w:val="nil"/>
              <w:left w:val="nil"/>
              <w:bottom w:val="nil"/>
              <w:right w:val="nil"/>
            </w:tcBorders>
            <w:shd w:val="clear" w:color="auto" w:fill="auto"/>
            <w:noWrap/>
            <w:vAlign w:val="bottom"/>
            <w:hideMark/>
          </w:tcPr>
          <w:p w14:paraId="692B1709"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-0.1428</w:t>
            </w:r>
          </w:p>
        </w:tc>
      </w:tr>
      <w:tr w:rsidR="00DE4533" w:rsidRPr="00AE3281" w14:paraId="62A84885" w14:textId="77777777" w:rsidTr="453EBFA6">
        <w:trPr>
          <w:trHeight w:val="300"/>
        </w:trPr>
        <w:tc>
          <w:tcPr>
            <w:tcW w:w="2210" w:type="dxa"/>
            <w:tcBorders>
              <w:top w:val="nil"/>
              <w:left w:val="nil"/>
              <w:bottom w:val="nil"/>
              <w:right w:val="nil"/>
            </w:tcBorders>
            <w:shd w:val="clear" w:color="auto" w:fill="auto"/>
            <w:noWrap/>
            <w:vAlign w:val="bottom"/>
            <w:hideMark/>
          </w:tcPr>
          <w:p w14:paraId="5852DF6D"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7E5249E3" w14:textId="1D753985"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(0.1500)</w:t>
            </w:r>
          </w:p>
        </w:tc>
        <w:tc>
          <w:tcPr>
            <w:tcW w:w="2794" w:type="dxa"/>
            <w:tcBorders>
              <w:top w:val="nil"/>
              <w:left w:val="nil"/>
              <w:bottom w:val="nil"/>
              <w:right w:val="nil"/>
            </w:tcBorders>
            <w:shd w:val="clear" w:color="auto" w:fill="auto"/>
            <w:noWrap/>
            <w:vAlign w:val="bottom"/>
            <w:hideMark/>
          </w:tcPr>
          <w:p w14:paraId="59424EAA" w14:textId="63A3C97A"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(0.1500)</w:t>
            </w:r>
          </w:p>
        </w:tc>
      </w:tr>
      <w:tr w:rsidR="00DE4533" w:rsidRPr="00AE3281" w14:paraId="3E2B53B3" w14:textId="77777777" w:rsidTr="453EBFA6">
        <w:trPr>
          <w:trHeight w:val="300"/>
        </w:trPr>
        <w:tc>
          <w:tcPr>
            <w:tcW w:w="2210" w:type="dxa"/>
            <w:tcBorders>
              <w:top w:val="nil"/>
              <w:left w:val="nil"/>
              <w:bottom w:val="nil"/>
              <w:right w:val="nil"/>
            </w:tcBorders>
            <w:shd w:val="clear" w:color="auto" w:fill="auto"/>
            <w:noWrap/>
            <w:vAlign w:val="bottom"/>
            <w:hideMark/>
          </w:tcPr>
          <w:p w14:paraId="6CF3049C"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September</w:t>
            </w:r>
          </w:p>
        </w:tc>
        <w:tc>
          <w:tcPr>
            <w:tcW w:w="2793" w:type="dxa"/>
            <w:gridSpan w:val="2"/>
            <w:tcBorders>
              <w:top w:val="nil"/>
              <w:left w:val="nil"/>
              <w:bottom w:val="nil"/>
              <w:right w:val="nil"/>
            </w:tcBorders>
            <w:shd w:val="clear" w:color="auto" w:fill="auto"/>
            <w:noWrap/>
            <w:vAlign w:val="bottom"/>
            <w:hideMark/>
          </w:tcPr>
          <w:p w14:paraId="4204BCE6"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-0.6837***</w:t>
            </w:r>
          </w:p>
        </w:tc>
        <w:tc>
          <w:tcPr>
            <w:tcW w:w="2794" w:type="dxa"/>
            <w:tcBorders>
              <w:top w:val="nil"/>
              <w:left w:val="nil"/>
              <w:bottom w:val="nil"/>
              <w:right w:val="nil"/>
            </w:tcBorders>
            <w:shd w:val="clear" w:color="auto" w:fill="auto"/>
            <w:noWrap/>
            <w:vAlign w:val="bottom"/>
            <w:hideMark/>
          </w:tcPr>
          <w:p w14:paraId="17E7939C"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-0.6835***</w:t>
            </w:r>
          </w:p>
        </w:tc>
      </w:tr>
      <w:tr w:rsidR="00DE4533" w:rsidRPr="00AE3281" w14:paraId="2F5BC54C" w14:textId="77777777" w:rsidTr="453EBFA6">
        <w:trPr>
          <w:trHeight w:val="300"/>
        </w:trPr>
        <w:tc>
          <w:tcPr>
            <w:tcW w:w="2210" w:type="dxa"/>
            <w:tcBorders>
              <w:top w:val="nil"/>
              <w:left w:val="nil"/>
              <w:bottom w:val="nil"/>
              <w:right w:val="nil"/>
            </w:tcBorders>
            <w:shd w:val="clear" w:color="auto" w:fill="auto"/>
            <w:noWrap/>
            <w:vAlign w:val="bottom"/>
            <w:hideMark/>
          </w:tcPr>
          <w:p w14:paraId="1F36BDB1"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1217E39B" w14:textId="352C61E2"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(0.1503)</w:t>
            </w:r>
          </w:p>
        </w:tc>
        <w:tc>
          <w:tcPr>
            <w:tcW w:w="2794" w:type="dxa"/>
            <w:tcBorders>
              <w:top w:val="nil"/>
              <w:left w:val="nil"/>
              <w:bottom w:val="nil"/>
              <w:right w:val="nil"/>
            </w:tcBorders>
            <w:shd w:val="clear" w:color="auto" w:fill="auto"/>
            <w:noWrap/>
            <w:vAlign w:val="bottom"/>
            <w:hideMark/>
          </w:tcPr>
          <w:p w14:paraId="7F8212EA" w14:textId="7C4F710A"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(0.1503)</w:t>
            </w:r>
          </w:p>
        </w:tc>
      </w:tr>
      <w:tr w:rsidR="00DE4533" w:rsidRPr="00AE3281" w14:paraId="77B680C5" w14:textId="77777777" w:rsidTr="453EBFA6">
        <w:trPr>
          <w:trHeight w:val="300"/>
        </w:trPr>
        <w:tc>
          <w:tcPr>
            <w:tcW w:w="2210" w:type="dxa"/>
            <w:tcBorders>
              <w:top w:val="nil"/>
              <w:left w:val="nil"/>
              <w:bottom w:val="nil"/>
              <w:right w:val="nil"/>
            </w:tcBorders>
            <w:shd w:val="clear" w:color="auto" w:fill="auto"/>
            <w:noWrap/>
            <w:vAlign w:val="bottom"/>
            <w:hideMark/>
          </w:tcPr>
          <w:p w14:paraId="6EACCB13"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October</w:t>
            </w:r>
          </w:p>
        </w:tc>
        <w:tc>
          <w:tcPr>
            <w:tcW w:w="2793" w:type="dxa"/>
            <w:gridSpan w:val="2"/>
            <w:tcBorders>
              <w:top w:val="nil"/>
              <w:left w:val="nil"/>
              <w:bottom w:val="nil"/>
              <w:right w:val="nil"/>
            </w:tcBorders>
            <w:shd w:val="clear" w:color="auto" w:fill="auto"/>
            <w:noWrap/>
            <w:vAlign w:val="bottom"/>
            <w:hideMark/>
          </w:tcPr>
          <w:p w14:paraId="75F78944"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-0.1161</w:t>
            </w:r>
          </w:p>
        </w:tc>
        <w:tc>
          <w:tcPr>
            <w:tcW w:w="2794" w:type="dxa"/>
            <w:tcBorders>
              <w:top w:val="nil"/>
              <w:left w:val="nil"/>
              <w:bottom w:val="nil"/>
              <w:right w:val="nil"/>
            </w:tcBorders>
            <w:shd w:val="clear" w:color="auto" w:fill="auto"/>
            <w:noWrap/>
            <w:vAlign w:val="bottom"/>
            <w:hideMark/>
          </w:tcPr>
          <w:p w14:paraId="7938E2AA"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-0.1177</w:t>
            </w:r>
          </w:p>
        </w:tc>
      </w:tr>
      <w:tr w:rsidR="00DE4533" w:rsidRPr="00AE3281" w14:paraId="595DD8B4" w14:textId="77777777" w:rsidTr="453EBFA6">
        <w:trPr>
          <w:trHeight w:val="300"/>
        </w:trPr>
        <w:tc>
          <w:tcPr>
            <w:tcW w:w="2210" w:type="dxa"/>
            <w:tcBorders>
              <w:top w:val="nil"/>
              <w:left w:val="nil"/>
              <w:bottom w:val="nil"/>
              <w:right w:val="nil"/>
            </w:tcBorders>
            <w:shd w:val="clear" w:color="auto" w:fill="auto"/>
            <w:noWrap/>
            <w:vAlign w:val="bottom"/>
            <w:hideMark/>
          </w:tcPr>
          <w:p w14:paraId="2F770219"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03984EBB" w14:textId="02B3E848"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(0.1527)</w:t>
            </w:r>
          </w:p>
        </w:tc>
        <w:tc>
          <w:tcPr>
            <w:tcW w:w="2794" w:type="dxa"/>
            <w:tcBorders>
              <w:top w:val="nil"/>
              <w:left w:val="nil"/>
              <w:bottom w:val="nil"/>
              <w:right w:val="nil"/>
            </w:tcBorders>
            <w:shd w:val="clear" w:color="auto" w:fill="auto"/>
            <w:noWrap/>
            <w:vAlign w:val="bottom"/>
            <w:hideMark/>
          </w:tcPr>
          <w:p w14:paraId="7852BA4A" w14:textId="0EB0898B"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(0.1527)</w:t>
            </w:r>
          </w:p>
        </w:tc>
      </w:tr>
      <w:tr w:rsidR="00DE4533" w:rsidRPr="00AE3281" w14:paraId="6B95FE78" w14:textId="77777777" w:rsidTr="453EBFA6">
        <w:trPr>
          <w:trHeight w:val="300"/>
        </w:trPr>
        <w:tc>
          <w:tcPr>
            <w:tcW w:w="2210" w:type="dxa"/>
            <w:tcBorders>
              <w:top w:val="nil"/>
              <w:left w:val="nil"/>
              <w:bottom w:val="nil"/>
              <w:right w:val="nil"/>
            </w:tcBorders>
            <w:shd w:val="clear" w:color="auto" w:fill="auto"/>
            <w:noWrap/>
            <w:vAlign w:val="bottom"/>
            <w:hideMark/>
          </w:tcPr>
          <w:p w14:paraId="004F66BC"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November</w:t>
            </w:r>
          </w:p>
        </w:tc>
        <w:tc>
          <w:tcPr>
            <w:tcW w:w="2793" w:type="dxa"/>
            <w:gridSpan w:val="2"/>
            <w:tcBorders>
              <w:top w:val="nil"/>
              <w:left w:val="nil"/>
              <w:bottom w:val="nil"/>
              <w:right w:val="nil"/>
            </w:tcBorders>
            <w:shd w:val="clear" w:color="auto" w:fill="auto"/>
            <w:noWrap/>
            <w:vAlign w:val="bottom"/>
            <w:hideMark/>
          </w:tcPr>
          <w:p w14:paraId="0124D8A6"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0.0341</w:t>
            </w:r>
          </w:p>
        </w:tc>
        <w:tc>
          <w:tcPr>
            <w:tcW w:w="2794" w:type="dxa"/>
            <w:tcBorders>
              <w:top w:val="nil"/>
              <w:left w:val="nil"/>
              <w:bottom w:val="nil"/>
              <w:right w:val="nil"/>
            </w:tcBorders>
            <w:shd w:val="clear" w:color="auto" w:fill="auto"/>
            <w:noWrap/>
            <w:vAlign w:val="bottom"/>
            <w:hideMark/>
          </w:tcPr>
          <w:p w14:paraId="4A87D48A"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0.0353</w:t>
            </w:r>
          </w:p>
        </w:tc>
      </w:tr>
      <w:tr w:rsidR="00DE4533" w:rsidRPr="00AE3281" w14:paraId="16C8AECC" w14:textId="77777777" w:rsidTr="453EBFA6">
        <w:trPr>
          <w:trHeight w:val="300"/>
        </w:trPr>
        <w:tc>
          <w:tcPr>
            <w:tcW w:w="2210" w:type="dxa"/>
            <w:tcBorders>
              <w:top w:val="nil"/>
              <w:left w:val="nil"/>
              <w:bottom w:val="nil"/>
              <w:right w:val="nil"/>
            </w:tcBorders>
            <w:shd w:val="clear" w:color="auto" w:fill="auto"/>
            <w:noWrap/>
            <w:vAlign w:val="bottom"/>
            <w:hideMark/>
          </w:tcPr>
          <w:p w14:paraId="74502313"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415E75E1" w14:textId="70FC7CCB"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(0.1503)</w:t>
            </w:r>
          </w:p>
        </w:tc>
        <w:tc>
          <w:tcPr>
            <w:tcW w:w="2794" w:type="dxa"/>
            <w:tcBorders>
              <w:top w:val="nil"/>
              <w:left w:val="nil"/>
              <w:bottom w:val="nil"/>
              <w:right w:val="nil"/>
            </w:tcBorders>
            <w:shd w:val="clear" w:color="auto" w:fill="auto"/>
            <w:noWrap/>
            <w:vAlign w:val="bottom"/>
            <w:hideMark/>
          </w:tcPr>
          <w:p w14:paraId="405ABB36" w14:textId="2F3DC102"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(0.1502</w:t>
            </w:r>
          </w:p>
        </w:tc>
      </w:tr>
      <w:tr w:rsidR="00DE4533" w:rsidRPr="00AE3281" w14:paraId="68B2A90C" w14:textId="77777777" w:rsidTr="453EBFA6">
        <w:trPr>
          <w:trHeight w:val="300"/>
        </w:trPr>
        <w:tc>
          <w:tcPr>
            <w:tcW w:w="2210" w:type="dxa"/>
            <w:tcBorders>
              <w:top w:val="nil"/>
              <w:left w:val="nil"/>
              <w:bottom w:val="nil"/>
              <w:right w:val="nil"/>
            </w:tcBorders>
            <w:shd w:val="clear" w:color="auto" w:fill="auto"/>
            <w:noWrap/>
            <w:vAlign w:val="bottom"/>
            <w:hideMark/>
          </w:tcPr>
          <w:p w14:paraId="2BE69044"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December</w:t>
            </w:r>
          </w:p>
        </w:tc>
        <w:tc>
          <w:tcPr>
            <w:tcW w:w="2793" w:type="dxa"/>
            <w:gridSpan w:val="2"/>
            <w:tcBorders>
              <w:top w:val="nil"/>
              <w:left w:val="nil"/>
              <w:bottom w:val="nil"/>
              <w:right w:val="nil"/>
            </w:tcBorders>
            <w:shd w:val="clear" w:color="auto" w:fill="auto"/>
            <w:noWrap/>
            <w:vAlign w:val="bottom"/>
            <w:hideMark/>
          </w:tcPr>
          <w:p w14:paraId="47395778"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0.0353</w:t>
            </w:r>
          </w:p>
        </w:tc>
        <w:tc>
          <w:tcPr>
            <w:tcW w:w="2794" w:type="dxa"/>
            <w:tcBorders>
              <w:top w:val="nil"/>
              <w:left w:val="nil"/>
              <w:bottom w:val="nil"/>
              <w:right w:val="nil"/>
            </w:tcBorders>
            <w:shd w:val="clear" w:color="auto" w:fill="auto"/>
            <w:noWrap/>
            <w:vAlign w:val="bottom"/>
            <w:hideMark/>
          </w:tcPr>
          <w:p w14:paraId="35234D7F"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0.0346</w:t>
            </w:r>
          </w:p>
        </w:tc>
      </w:tr>
      <w:tr w:rsidR="00DE4533" w:rsidRPr="00AE3281" w14:paraId="5C6A1D98" w14:textId="77777777" w:rsidTr="453EBFA6">
        <w:trPr>
          <w:trHeight w:val="300"/>
        </w:trPr>
        <w:tc>
          <w:tcPr>
            <w:tcW w:w="2210" w:type="dxa"/>
            <w:tcBorders>
              <w:top w:val="nil"/>
              <w:left w:val="nil"/>
              <w:bottom w:val="nil"/>
              <w:right w:val="nil"/>
            </w:tcBorders>
            <w:shd w:val="clear" w:color="auto" w:fill="auto"/>
            <w:noWrap/>
            <w:vAlign w:val="bottom"/>
            <w:hideMark/>
          </w:tcPr>
          <w:p w14:paraId="290C2487"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51E2097C" w14:textId="214C5A81"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(0.1515)</w:t>
            </w:r>
          </w:p>
        </w:tc>
        <w:tc>
          <w:tcPr>
            <w:tcW w:w="2794" w:type="dxa"/>
            <w:tcBorders>
              <w:top w:val="nil"/>
              <w:left w:val="nil"/>
              <w:bottom w:val="nil"/>
              <w:right w:val="nil"/>
            </w:tcBorders>
            <w:shd w:val="clear" w:color="auto" w:fill="auto"/>
            <w:noWrap/>
            <w:vAlign w:val="bottom"/>
            <w:hideMark/>
          </w:tcPr>
          <w:p w14:paraId="05F43023" w14:textId="42BCD69C"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(0.1514)</w:t>
            </w:r>
          </w:p>
        </w:tc>
      </w:tr>
      <w:tr w:rsidR="00DE4533" w:rsidRPr="00AE3281" w14:paraId="000617FA" w14:textId="77777777" w:rsidTr="453EBFA6">
        <w:trPr>
          <w:trHeight w:val="300"/>
        </w:trPr>
        <w:tc>
          <w:tcPr>
            <w:tcW w:w="2210" w:type="dxa"/>
            <w:tcBorders>
              <w:top w:val="nil"/>
              <w:left w:val="nil"/>
              <w:bottom w:val="nil"/>
              <w:right w:val="nil"/>
            </w:tcBorders>
            <w:shd w:val="clear" w:color="auto" w:fill="auto"/>
            <w:noWrap/>
            <w:vAlign w:val="bottom"/>
            <w:hideMark/>
          </w:tcPr>
          <w:p w14:paraId="00439F53" w14:textId="484BA7D2"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A8 country</w:t>
            </w:r>
          </w:p>
        </w:tc>
        <w:tc>
          <w:tcPr>
            <w:tcW w:w="2793" w:type="dxa"/>
            <w:gridSpan w:val="2"/>
            <w:tcBorders>
              <w:top w:val="nil"/>
              <w:left w:val="nil"/>
              <w:bottom w:val="nil"/>
              <w:right w:val="nil"/>
            </w:tcBorders>
            <w:shd w:val="clear" w:color="auto" w:fill="auto"/>
            <w:noWrap/>
            <w:vAlign w:val="bottom"/>
            <w:hideMark/>
          </w:tcPr>
          <w:p w14:paraId="3D43E402"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4" w:type="dxa"/>
            <w:tcBorders>
              <w:top w:val="nil"/>
              <w:left w:val="nil"/>
              <w:bottom w:val="nil"/>
              <w:right w:val="nil"/>
            </w:tcBorders>
            <w:shd w:val="clear" w:color="auto" w:fill="auto"/>
            <w:noWrap/>
            <w:vAlign w:val="bottom"/>
            <w:hideMark/>
          </w:tcPr>
          <w:p w14:paraId="34E8127F"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6.2070***</w:t>
            </w:r>
          </w:p>
        </w:tc>
      </w:tr>
      <w:tr w:rsidR="00DE4533" w:rsidRPr="00AE3281" w14:paraId="5548BC51" w14:textId="77777777" w:rsidTr="453EBFA6">
        <w:trPr>
          <w:trHeight w:val="300"/>
        </w:trPr>
        <w:tc>
          <w:tcPr>
            <w:tcW w:w="2210" w:type="dxa"/>
            <w:tcBorders>
              <w:top w:val="nil"/>
              <w:left w:val="nil"/>
              <w:bottom w:val="nil"/>
              <w:right w:val="nil"/>
            </w:tcBorders>
            <w:shd w:val="clear" w:color="auto" w:fill="auto"/>
            <w:noWrap/>
            <w:vAlign w:val="bottom"/>
            <w:hideMark/>
          </w:tcPr>
          <w:p w14:paraId="04D2890C"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1BE03FD2" w14:textId="77777777" w:rsidR="00DE4533" w:rsidRPr="00AE3281" w:rsidRDefault="00DE4533" w:rsidP="005B3738">
            <w:pPr>
              <w:spacing w:after="0" w:line="240" w:lineRule="auto"/>
              <w:jc w:val="both"/>
              <w:rPr>
                <w:rFonts w:eastAsia="Times New Roman" w:cs="Times New Roman"/>
                <w:sz w:val="20"/>
                <w:szCs w:val="20"/>
                <w:lang w:eastAsia="en-GB"/>
              </w:rPr>
            </w:pPr>
          </w:p>
        </w:tc>
        <w:tc>
          <w:tcPr>
            <w:tcW w:w="2794" w:type="dxa"/>
            <w:tcBorders>
              <w:top w:val="nil"/>
              <w:left w:val="nil"/>
              <w:bottom w:val="nil"/>
              <w:right w:val="nil"/>
            </w:tcBorders>
            <w:shd w:val="clear" w:color="auto" w:fill="auto"/>
            <w:noWrap/>
            <w:vAlign w:val="bottom"/>
            <w:hideMark/>
          </w:tcPr>
          <w:p w14:paraId="7B04C0A2" w14:textId="339D1791"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(0.2658)</w:t>
            </w:r>
          </w:p>
        </w:tc>
      </w:tr>
      <w:tr w:rsidR="00DE4533" w:rsidRPr="00AE3281" w14:paraId="53847C8C" w14:textId="77777777" w:rsidTr="453EBFA6">
        <w:trPr>
          <w:trHeight w:val="300"/>
        </w:trPr>
        <w:tc>
          <w:tcPr>
            <w:tcW w:w="2210" w:type="dxa"/>
            <w:tcBorders>
              <w:top w:val="nil"/>
              <w:left w:val="nil"/>
              <w:bottom w:val="nil"/>
              <w:right w:val="nil"/>
            </w:tcBorders>
            <w:shd w:val="clear" w:color="auto" w:fill="auto"/>
            <w:noWrap/>
            <w:vAlign w:val="bottom"/>
            <w:hideMark/>
          </w:tcPr>
          <w:p w14:paraId="626D5315" w14:textId="1020D51E"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A2 country</w:t>
            </w:r>
          </w:p>
        </w:tc>
        <w:tc>
          <w:tcPr>
            <w:tcW w:w="2793" w:type="dxa"/>
            <w:gridSpan w:val="2"/>
            <w:tcBorders>
              <w:top w:val="nil"/>
              <w:left w:val="nil"/>
              <w:bottom w:val="nil"/>
              <w:right w:val="nil"/>
            </w:tcBorders>
            <w:shd w:val="clear" w:color="auto" w:fill="auto"/>
            <w:noWrap/>
            <w:vAlign w:val="bottom"/>
            <w:hideMark/>
          </w:tcPr>
          <w:p w14:paraId="171924D3"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4" w:type="dxa"/>
            <w:tcBorders>
              <w:top w:val="nil"/>
              <w:left w:val="nil"/>
              <w:bottom w:val="nil"/>
              <w:right w:val="nil"/>
            </w:tcBorders>
            <w:shd w:val="clear" w:color="auto" w:fill="auto"/>
            <w:noWrap/>
            <w:vAlign w:val="bottom"/>
            <w:hideMark/>
          </w:tcPr>
          <w:p w14:paraId="1B753F8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5.0775***</w:t>
            </w:r>
          </w:p>
        </w:tc>
      </w:tr>
      <w:tr w:rsidR="00DE4533" w:rsidRPr="00AE3281" w14:paraId="3EBA5692" w14:textId="77777777" w:rsidTr="453EBFA6">
        <w:trPr>
          <w:trHeight w:val="300"/>
        </w:trPr>
        <w:tc>
          <w:tcPr>
            <w:tcW w:w="2210" w:type="dxa"/>
            <w:tcBorders>
              <w:top w:val="nil"/>
              <w:left w:val="nil"/>
              <w:bottom w:val="nil"/>
              <w:right w:val="nil"/>
            </w:tcBorders>
            <w:shd w:val="clear" w:color="auto" w:fill="auto"/>
            <w:noWrap/>
            <w:vAlign w:val="bottom"/>
            <w:hideMark/>
          </w:tcPr>
          <w:p w14:paraId="1CAAF23C"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nil"/>
              <w:right w:val="nil"/>
            </w:tcBorders>
            <w:shd w:val="clear" w:color="auto" w:fill="auto"/>
            <w:noWrap/>
            <w:vAlign w:val="bottom"/>
            <w:hideMark/>
          </w:tcPr>
          <w:p w14:paraId="651BA66F" w14:textId="77777777" w:rsidR="00DE4533" w:rsidRPr="00AE3281" w:rsidRDefault="00DE4533" w:rsidP="005B3738">
            <w:pPr>
              <w:spacing w:after="0" w:line="240" w:lineRule="auto"/>
              <w:jc w:val="both"/>
              <w:rPr>
                <w:rFonts w:eastAsia="Times New Roman" w:cs="Times New Roman"/>
                <w:sz w:val="20"/>
                <w:szCs w:val="20"/>
                <w:lang w:eastAsia="en-GB"/>
              </w:rPr>
            </w:pPr>
          </w:p>
        </w:tc>
        <w:tc>
          <w:tcPr>
            <w:tcW w:w="2794" w:type="dxa"/>
            <w:tcBorders>
              <w:top w:val="nil"/>
              <w:left w:val="nil"/>
              <w:bottom w:val="nil"/>
              <w:right w:val="nil"/>
            </w:tcBorders>
            <w:shd w:val="clear" w:color="auto" w:fill="auto"/>
            <w:noWrap/>
            <w:vAlign w:val="bottom"/>
            <w:hideMark/>
          </w:tcPr>
          <w:p w14:paraId="0059C68C" w14:textId="2C9DEF11"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(0.4271)</w:t>
            </w:r>
          </w:p>
        </w:tc>
      </w:tr>
      <w:tr w:rsidR="00DE4533" w:rsidRPr="00AE3281" w14:paraId="682C679C" w14:textId="77777777" w:rsidTr="453EBFA6">
        <w:trPr>
          <w:trHeight w:val="300"/>
        </w:trPr>
        <w:tc>
          <w:tcPr>
            <w:tcW w:w="2210" w:type="dxa"/>
            <w:tcBorders>
              <w:top w:val="nil"/>
              <w:left w:val="nil"/>
              <w:bottom w:val="nil"/>
              <w:right w:val="nil"/>
            </w:tcBorders>
            <w:shd w:val="clear" w:color="auto" w:fill="auto"/>
            <w:noWrap/>
            <w:vAlign w:val="bottom"/>
            <w:hideMark/>
          </w:tcPr>
          <w:p w14:paraId="0D97F005"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Constant</w:t>
            </w:r>
          </w:p>
        </w:tc>
        <w:tc>
          <w:tcPr>
            <w:tcW w:w="2793" w:type="dxa"/>
            <w:gridSpan w:val="2"/>
            <w:tcBorders>
              <w:top w:val="nil"/>
              <w:left w:val="nil"/>
              <w:bottom w:val="nil"/>
              <w:right w:val="nil"/>
            </w:tcBorders>
            <w:shd w:val="clear" w:color="auto" w:fill="auto"/>
            <w:noWrap/>
            <w:vAlign w:val="bottom"/>
            <w:hideMark/>
          </w:tcPr>
          <w:p w14:paraId="18DFB8B9"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-1165.8750***</w:t>
            </w:r>
          </w:p>
        </w:tc>
        <w:tc>
          <w:tcPr>
            <w:tcW w:w="2794" w:type="dxa"/>
            <w:tcBorders>
              <w:top w:val="nil"/>
              <w:left w:val="nil"/>
              <w:bottom w:val="nil"/>
              <w:right w:val="nil"/>
            </w:tcBorders>
            <w:shd w:val="clear" w:color="auto" w:fill="auto"/>
            <w:noWrap/>
            <w:vAlign w:val="bottom"/>
            <w:hideMark/>
          </w:tcPr>
          <w:p w14:paraId="77996E7D"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-1168.6823***</w:t>
            </w:r>
          </w:p>
        </w:tc>
      </w:tr>
      <w:tr w:rsidR="00DE4533" w:rsidRPr="00AE3281" w14:paraId="2B6F4589" w14:textId="77777777" w:rsidTr="453EBFA6">
        <w:trPr>
          <w:trHeight w:val="300"/>
        </w:trPr>
        <w:tc>
          <w:tcPr>
            <w:tcW w:w="2210" w:type="dxa"/>
            <w:tcBorders>
              <w:top w:val="nil"/>
              <w:left w:val="nil"/>
              <w:bottom w:val="single" w:sz="4" w:space="0" w:color="auto"/>
              <w:right w:val="nil"/>
            </w:tcBorders>
            <w:shd w:val="clear" w:color="auto" w:fill="auto"/>
            <w:noWrap/>
            <w:vAlign w:val="bottom"/>
            <w:hideMark/>
          </w:tcPr>
          <w:p w14:paraId="0A8FB46D" w14:textId="77777777" w:rsidR="00DE4533" w:rsidRPr="00AE3281" w:rsidRDefault="00DE4533" w:rsidP="005B3738">
            <w:pPr>
              <w:spacing w:after="0" w:line="240" w:lineRule="auto"/>
              <w:jc w:val="both"/>
              <w:rPr>
                <w:rFonts w:eastAsia="Times New Roman" w:cs="Times New Roman"/>
                <w:color w:val="000000"/>
                <w:sz w:val="22"/>
                <w:lang w:eastAsia="en-GB"/>
              </w:rPr>
            </w:pPr>
          </w:p>
        </w:tc>
        <w:tc>
          <w:tcPr>
            <w:tcW w:w="2793" w:type="dxa"/>
            <w:gridSpan w:val="2"/>
            <w:tcBorders>
              <w:top w:val="nil"/>
              <w:left w:val="nil"/>
              <w:bottom w:val="single" w:sz="4" w:space="0" w:color="auto"/>
              <w:right w:val="nil"/>
            </w:tcBorders>
            <w:shd w:val="clear" w:color="auto" w:fill="auto"/>
            <w:noWrap/>
            <w:vAlign w:val="bottom"/>
            <w:hideMark/>
          </w:tcPr>
          <w:p w14:paraId="46096A87" w14:textId="44CA10C5"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(51.9163)</w:t>
            </w:r>
          </w:p>
        </w:tc>
        <w:tc>
          <w:tcPr>
            <w:tcW w:w="2794" w:type="dxa"/>
            <w:tcBorders>
              <w:top w:val="nil"/>
              <w:left w:val="nil"/>
              <w:bottom w:val="single" w:sz="4" w:space="0" w:color="auto"/>
              <w:right w:val="nil"/>
            </w:tcBorders>
            <w:shd w:val="clear" w:color="auto" w:fill="auto"/>
            <w:noWrap/>
            <w:vAlign w:val="bottom"/>
            <w:hideMark/>
          </w:tcPr>
          <w:p w14:paraId="63952782" w14:textId="1E6427F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(51.9075)</w:t>
            </w:r>
          </w:p>
        </w:tc>
      </w:tr>
      <w:tr w:rsidR="00DE4533" w:rsidRPr="00AE3281" w14:paraId="085C7CA0" w14:textId="77777777" w:rsidTr="453EBFA6">
        <w:trPr>
          <w:trHeight w:val="300"/>
        </w:trPr>
        <w:tc>
          <w:tcPr>
            <w:tcW w:w="2210" w:type="dxa"/>
            <w:tcBorders>
              <w:top w:val="single" w:sz="4" w:space="0" w:color="auto"/>
              <w:left w:val="nil"/>
              <w:bottom w:val="nil"/>
              <w:right w:val="nil"/>
            </w:tcBorders>
            <w:shd w:val="clear" w:color="auto" w:fill="auto"/>
            <w:noWrap/>
            <w:vAlign w:val="bottom"/>
            <w:hideMark/>
          </w:tcPr>
          <w:p w14:paraId="66CB6AD0"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N</w:t>
            </w:r>
          </w:p>
        </w:tc>
        <w:tc>
          <w:tcPr>
            <w:tcW w:w="2793" w:type="dxa"/>
            <w:gridSpan w:val="2"/>
            <w:tcBorders>
              <w:top w:val="single" w:sz="4" w:space="0" w:color="auto"/>
              <w:left w:val="nil"/>
              <w:bottom w:val="nil"/>
              <w:right w:val="nil"/>
            </w:tcBorders>
            <w:shd w:val="clear" w:color="auto" w:fill="auto"/>
            <w:noWrap/>
            <w:vAlign w:val="bottom"/>
            <w:hideMark/>
          </w:tcPr>
          <w:p w14:paraId="24CDA9CC" w14:textId="4063E80C"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1,744,188</w:t>
            </w:r>
          </w:p>
        </w:tc>
        <w:tc>
          <w:tcPr>
            <w:tcW w:w="2794" w:type="dxa"/>
            <w:tcBorders>
              <w:top w:val="single" w:sz="4" w:space="0" w:color="auto"/>
              <w:left w:val="nil"/>
              <w:bottom w:val="nil"/>
              <w:right w:val="nil"/>
            </w:tcBorders>
            <w:shd w:val="clear" w:color="auto" w:fill="auto"/>
            <w:noWrap/>
            <w:vAlign w:val="bottom"/>
            <w:hideMark/>
          </w:tcPr>
          <w:p w14:paraId="3943C38F" w14:textId="60FC1C36"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1,744,188</w:t>
            </w:r>
          </w:p>
        </w:tc>
      </w:tr>
      <w:tr w:rsidR="00DE4533" w:rsidRPr="00AE3281" w14:paraId="337C4971" w14:textId="77777777" w:rsidTr="453EBFA6">
        <w:trPr>
          <w:trHeight w:val="300"/>
        </w:trPr>
        <w:tc>
          <w:tcPr>
            <w:tcW w:w="2210" w:type="dxa"/>
            <w:tcBorders>
              <w:top w:val="nil"/>
              <w:left w:val="nil"/>
              <w:bottom w:val="nil"/>
              <w:right w:val="nil"/>
            </w:tcBorders>
            <w:shd w:val="clear" w:color="auto" w:fill="auto"/>
            <w:noWrap/>
            <w:vAlign w:val="bottom"/>
            <w:hideMark/>
          </w:tcPr>
          <w:p w14:paraId="5F25B5B4" w14:textId="4CA0CEBA"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R</w:t>
            </w:r>
            <w:r w:rsidRPr="00AE3281">
              <w:rPr>
                <w:rFonts w:eastAsia="Times New Roman" w:cs="Times New Roman"/>
                <w:color w:val="000000"/>
                <w:sz w:val="22"/>
                <w:vertAlign w:val="superscript"/>
                <w:lang w:eastAsia="en-GB"/>
              </w:rPr>
              <w:t>2</w:t>
            </w:r>
          </w:p>
        </w:tc>
        <w:tc>
          <w:tcPr>
            <w:tcW w:w="2793" w:type="dxa"/>
            <w:gridSpan w:val="2"/>
            <w:tcBorders>
              <w:top w:val="nil"/>
              <w:left w:val="nil"/>
              <w:bottom w:val="nil"/>
              <w:right w:val="nil"/>
            </w:tcBorders>
            <w:shd w:val="clear" w:color="auto" w:fill="auto"/>
            <w:noWrap/>
            <w:vAlign w:val="bottom"/>
            <w:hideMark/>
          </w:tcPr>
          <w:p w14:paraId="44B8A158"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0.1849</w:t>
            </w:r>
          </w:p>
        </w:tc>
        <w:tc>
          <w:tcPr>
            <w:tcW w:w="2794" w:type="dxa"/>
            <w:tcBorders>
              <w:top w:val="nil"/>
              <w:left w:val="nil"/>
              <w:bottom w:val="nil"/>
              <w:right w:val="nil"/>
            </w:tcBorders>
            <w:shd w:val="clear" w:color="auto" w:fill="auto"/>
            <w:noWrap/>
            <w:vAlign w:val="bottom"/>
            <w:hideMark/>
          </w:tcPr>
          <w:p w14:paraId="3157E111"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0.1851</w:t>
            </w:r>
          </w:p>
        </w:tc>
      </w:tr>
      <w:tr w:rsidR="00DE4533" w:rsidRPr="00AE3281" w14:paraId="3D2DF01C" w14:textId="77777777" w:rsidTr="453EBFA6">
        <w:trPr>
          <w:trHeight w:val="300"/>
        </w:trPr>
        <w:tc>
          <w:tcPr>
            <w:tcW w:w="2210" w:type="dxa"/>
            <w:tcBorders>
              <w:top w:val="nil"/>
              <w:left w:val="nil"/>
              <w:bottom w:val="single" w:sz="4" w:space="0" w:color="auto"/>
              <w:right w:val="nil"/>
            </w:tcBorders>
            <w:shd w:val="clear" w:color="auto" w:fill="auto"/>
            <w:noWrap/>
            <w:vAlign w:val="bottom"/>
            <w:hideMark/>
          </w:tcPr>
          <w:p w14:paraId="421A4041" w14:textId="669C05DC"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Adjusted R</w:t>
            </w:r>
            <w:r w:rsidRPr="00AE3281">
              <w:rPr>
                <w:rFonts w:eastAsia="Times New Roman" w:cs="Times New Roman"/>
                <w:color w:val="000000"/>
                <w:sz w:val="22"/>
                <w:vertAlign w:val="superscript"/>
                <w:lang w:eastAsia="en-GB"/>
              </w:rPr>
              <w:t>2</w:t>
            </w:r>
          </w:p>
        </w:tc>
        <w:tc>
          <w:tcPr>
            <w:tcW w:w="2793" w:type="dxa"/>
            <w:gridSpan w:val="2"/>
            <w:tcBorders>
              <w:top w:val="nil"/>
              <w:left w:val="nil"/>
              <w:bottom w:val="single" w:sz="4" w:space="0" w:color="auto"/>
              <w:right w:val="nil"/>
            </w:tcBorders>
            <w:shd w:val="clear" w:color="auto" w:fill="auto"/>
            <w:noWrap/>
            <w:vAlign w:val="bottom"/>
            <w:hideMark/>
          </w:tcPr>
          <w:p w14:paraId="041FCD0B"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0.1849</w:t>
            </w:r>
          </w:p>
        </w:tc>
        <w:tc>
          <w:tcPr>
            <w:tcW w:w="2794" w:type="dxa"/>
            <w:tcBorders>
              <w:top w:val="nil"/>
              <w:left w:val="nil"/>
              <w:bottom w:val="single" w:sz="4" w:space="0" w:color="auto"/>
              <w:right w:val="nil"/>
            </w:tcBorders>
            <w:shd w:val="clear" w:color="auto" w:fill="auto"/>
            <w:noWrap/>
            <w:vAlign w:val="bottom"/>
            <w:hideMark/>
          </w:tcPr>
          <w:p w14:paraId="3835DC27" w14:textId="77777777" w:rsidR="00DE4533" w:rsidRPr="00AE3281" w:rsidRDefault="00DE4533" w:rsidP="005B3738">
            <w:pPr>
              <w:spacing w:after="0" w:line="240" w:lineRule="auto"/>
              <w:jc w:val="both"/>
              <w:rPr>
                <w:rFonts w:eastAsia="Times New Roman" w:cs="Times New Roman"/>
                <w:color w:val="000000"/>
                <w:sz w:val="22"/>
                <w:lang w:eastAsia="en-GB"/>
              </w:rPr>
            </w:pPr>
            <w:r w:rsidRPr="00AE3281">
              <w:rPr>
                <w:rFonts w:eastAsia="Times New Roman" w:cs="Times New Roman"/>
                <w:color w:val="000000"/>
                <w:sz w:val="22"/>
                <w:lang w:eastAsia="en-GB"/>
              </w:rPr>
              <w:t>0.1851</w:t>
            </w:r>
          </w:p>
        </w:tc>
      </w:tr>
    </w:tbl>
    <w:p w14:paraId="2638BACF" w14:textId="70B31556" w:rsidR="00242F5A" w:rsidRPr="00AE3281" w:rsidRDefault="0085041F" w:rsidP="005B3738">
      <w:pPr>
        <w:jc w:val="both"/>
        <w:rPr>
          <w:rFonts w:cs="Times New Roman"/>
          <w:sz w:val="20"/>
          <w:szCs w:val="20"/>
          <w:lang w:val="en-US"/>
        </w:rPr>
      </w:pPr>
      <w:r w:rsidRPr="00AE3281">
        <w:rPr>
          <w:rFonts w:cs="Times New Roman"/>
          <w:sz w:val="20"/>
          <w:szCs w:val="20"/>
        </w:rPr>
        <w:t xml:space="preserve">Source: our elaborations. </w:t>
      </w:r>
      <w:r w:rsidR="007979C5" w:rsidRPr="00AE3281">
        <w:rPr>
          <w:rFonts w:cs="Times New Roman"/>
          <w:sz w:val="20"/>
          <w:szCs w:val="20"/>
        </w:rPr>
        <w:t xml:space="preserve">Standard errors in </w:t>
      </w:r>
      <w:r w:rsidR="0057782E" w:rsidRPr="00AE3281">
        <w:rPr>
          <w:rFonts w:cs="Times New Roman"/>
          <w:sz w:val="20"/>
          <w:szCs w:val="20"/>
        </w:rPr>
        <w:t>brackets. *</w:t>
      </w:r>
      <w:r w:rsidRPr="00AE3281">
        <w:rPr>
          <w:rFonts w:cs="Times New Roman"/>
          <w:sz w:val="20"/>
          <w:szCs w:val="20"/>
        </w:rPr>
        <w:t xml:space="preserve"> p&lt;0.05, ** p&lt;0.01, *** p&lt;0.001.</w:t>
      </w:r>
    </w:p>
    <w:p w14:paraId="593534EC" w14:textId="5B7EB027" w:rsidR="00FA7421" w:rsidRPr="00AE3281" w:rsidRDefault="00FA7421" w:rsidP="005B3738">
      <w:pPr>
        <w:jc w:val="both"/>
        <w:rPr>
          <w:rFonts w:cs="Times New Roman"/>
          <w:szCs w:val="24"/>
        </w:rPr>
      </w:pPr>
      <w:r w:rsidRPr="00AE3281">
        <w:rPr>
          <w:rFonts w:cs="Times New Roman"/>
          <w:szCs w:val="24"/>
        </w:rPr>
        <w:lastRenderedPageBreak/>
        <w:t xml:space="preserve">We continue our analysis in Table 3 focusing for brevity only on the relevant interaction terms with respect to the other work-related outcomes. </w:t>
      </w:r>
    </w:p>
    <w:p w14:paraId="693C38A5" w14:textId="77777777" w:rsidR="00FA7421" w:rsidRPr="00AE3281" w:rsidRDefault="00FA7421" w:rsidP="005B3738">
      <w:pPr>
        <w:jc w:val="both"/>
        <w:rPr>
          <w:rFonts w:cs="Times New Roman"/>
          <w:szCs w:val="24"/>
        </w:rPr>
      </w:pPr>
    </w:p>
    <w:p w14:paraId="6235E9B6" w14:textId="5AF7B700" w:rsidR="00A0679F" w:rsidRPr="00AE3281" w:rsidRDefault="00A0679F" w:rsidP="005B3738">
      <w:pPr>
        <w:pStyle w:val="Caption"/>
        <w:keepNext/>
        <w:jc w:val="both"/>
        <w:rPr>
          <w:rFonts w:cs="Times New Roman"/>
          <w:sz w:val="22"/>
          <w:szCs w:val="22"/>
        </w:rPr>
      </w:pPr>
      <w:r w:rsidRPr="00AE3281">
        <w:rPr>
          <w:rFonts w:cs="Times New Roman"/>
          <w:sz w:val="22"/>
          <w:szCs w:val="22"/>
        </w:rPr>
        <w:t xml:space="preserve">Table </w:t>
      </w:r>
      <w:r w:rsidR="00D53541" w:rsidRPr="00AE3281">
        <w:rPr>
          <w:rFonts w:cs="Times New Roman"/>
          <w:noProof/>
          <w:sz w:val="22"/>
          <w:szCs w:val="22"/>
        </w:rPr>
        <w:fldChar w:fldCharType="begin"/>
      </w:r>
      <w:r w:rsidR="00D53541" w:rsidRPr="00AE3281">
        <w:rPr>
          <w:rFonts w:cs="Times New Roman"/>
          <w:noProof/>
          <w:sz w:val="22"/>
          <w:szCs w:val="22"/>
        </w:rPr>
        <w:instrText xml:space="preserve"> SEQ Table \* ARABIC </w:instrText>
      </w:r>
      <w:r w:rsidR="00D53541" w:rsidRPr="00AE3281">
        <w:rPr>
          <w:rFonts w:cs="Times New Roman"/>
          <w:noProof/>
          <w:sz w:val="22"/>
          <w:szCs w:val="22"/>
        </w:rPr>
        <w:fldChar w:fldCharType="separate"/>
      </w:r>
      <w:r w:rsidR="00C57AAA">
        <w:rPr>
          <w:rFonts w:cs="Times New Roman"/>
          <w:noProof/>
          <w:sz w:val="22"/>
          <w:szCs w:val="22"/>
        </w:rPr>
        <w:t>3</w:t>
      </w:r>
      <w:r w:rsidR="00D53541" w:rsidRPr="00AE3281">
        <w:rPr>
          <w:rFonts w:cs="Times New Roman"/>
          <w:noProof/>
          <w:sz w:val="22"/>
          <w:szCs w:val="22"/>
        </w:rPr>
        <w:fldChar w:fldCharType="end"/>
      </w:r>
      <w:r w:rsidRPr="00AE3281">
        <w:rPr>
          <w:rFonts w:cs="Times New Roman"/>
          <w:sz w:val="22"/>
          <w:szCs w:val="22"/>
        </w:rPr>
        <w:tab/>
      </w:r>
      <w:proofErr w:type="spellStart"/>
      <w:r w:rsidR="001843D2" w:rsidRPr="00AE3281">
        <w:rPr>
          <w:rFonts w:cs="Times New Roman"/>
          <w:sz w:val="22"/>
          <w:szCs w:val="22"/>
        </w:rPr>
        <w:t>DiD</w:t>
      </w:r>
      <w:proofErr w:type="spellEnd"/>
      <w:r w:rsidR="001843D2" w:rsidRPr="00AE3281">
        <w:rPr>
          <w:rFonts w:cs="Times New Roman"/>
          <w:sz w:val="22"/>
          <w:szCs w:val="22"/>
        </w:rPr>
        <w:t xml:space="preserve"> coefficients for work-related </w:t>
      </w:r>
      <w:r w:rsidR="000D440A" w:rsidRPr="00AE3281">
        <w:rPr>
          <w:rFonts w:cs="Times New Roman"/>
          <w:sz w:val="22"/>
          <w:szCs w:val="22"/>
        </w:rPr>
        <w:t>outcomes.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1745"/>
        <w:gridCol w:w="1745"/>
        <w:gridCol w:w="1745"/>
        <w:gridCol w:w="1745"/>
      </w:tblGrid>
      <w:tr w:rsidR="00A0679F" w:rsidRPr="00AE3281" w14:paraId="4D04FEBE" w14:textId="77777777" w:rsidTr="453EBFA6">
        <w:trPr>
          <w:trHeight w:hRule="exact" w:val="113"/>
        </w:trPr>
        <w:tc>
          <w:tcPr>
            <w:tcW w:w="2087" w:type="dxa"/>
            <w:tcBorders>
              <w:top w:val="single" w:sz="4" w:space="0" w:color="auto"/>
            </w:tcBorders>
          </w:tcPr>
          <w:p w14:paraId="064EFA4C" w14:textId="77777777" w:rsidR="00A0679F" w:rsidRPr="00AE3281" w:rsidRDefault="00A0679F" w:rsidP="005B3738">
            <w:pPr>
              <w:keepNext/>
              <w:jc w:val="both"/>
              <w:rPr>
                <w:rFonts w:cs="Times New Roman"/>
                <w:sz w:val="22"/>
              </w:rPr>
            </w:pPr>
          </w:p>
        </w:tc>
        <w:tc>
          <w:tcPr>
            <w:tcW w:w="1745" w:type="dxa"/>
            <w:tcBorders>
              <w:top w:val="single" w:sz="4" w:space="0" w:color="auto"/>
            </w:tcBorders>
          </w:tcPr>
          <w:p w14:paraId="6382B1B2" w14:textId="77777777" w:rsidR="00A0679F" w:rsidRPr="00AE3281" w:rsidRDefault="00A0679F" w:rsidP="005B3738">
            <w:pPr>
              <w:keepNext/>
              <w:jc w:val="both"/>
              <w:rPr>
                <w:rFonts w:cs="Times New Roman"/>
                <w:sz w:val="22"/>
              </w:rPr>
            </w:pPr>
          </w:p>
        </w:tc>
        <w:tc>
          <w:tcPr>
            <w:tcW w:w="1745" w:type="dxa"/>
            <w:tcBorders>
              <w:top w:val="single" w:sz="4" w:space="0" w:color="auto"/>
            </w:tcBorders>
          </w:tcPr>
          <w:p w14:paraId="1EE4FAC5" w14:textId="347765A1" w:rsidR="00A0679F" w:rsidRPr="00AE3281" w:rsidRDefault="00A0679F" w:rsidP="005B3738">
            <w:pPr>
              <w:keepNext/>
              <w:jc w:val="both"/>
              <w:rPr>
                <w:rFonts w:cs="Times New Roman"/>
                <w:sz w:val="22"/>
              </w:rPr>
            </w:pPr>
          </w:p>
        </w:tc>
        <w:tc>
          <w:tcPr>
            <w:tcW w:w="1745" w:type="dxa"/>
            <w:tcBorders>
              <w:top w:val="single" w:sz="4" w:space="0" w:color="auto"/>
            </w:tcBorders>
          </w:tcPr>
          <w:p w14:paraId="51752424" w14:textId="77777777" w:rsidR="00A0679F" w:rsidRPr="00AE3281" w:rsidRDefault="00A0679F" w:rsidP="005B3738">
            <w:pPr>
              <w:keepNext/>
              <w:jc w:val="both"/>
              <w:rPr>
                <w:rFonts w:cs="Times New Roman"/>
                <w:sz w:val="22"/>
              </w:rPr>
            </w:pPr>
          </w:p>
        </w:tc>
        <w:tc>
          <w:tcPr>
            <w:tcW w:w="1745" w:type="dxa"/>
            <w:tcBorders>
              <w:top w:val="single" w:sz="4" w:space="0" w:color="auto"/>
            </w:tcBorders>
          </w:tcPr>
          <w:p w14:paraId="15F86B59" w14:textId="77777777" w:rsidR="00A0679F" w:rsidRPr="00AE3281" w:rsidRDefault="00A0679F" w:rsidP="005B3738">
            <w:pPr>
              <w:keepNext/>
              <w:jc w:val="both"/>
              <w:rPr>
                <w:rFonts w:cs="Times New Roman"/>
                <w:sz w:val="22"/>
              </w:rPr>
            </w:pPr>
          </w:p>
        </w:tc>
      </w:tr>
      <w:tr w:rsidR="00A0679F" w:rsidRPr="00AE3281" w14:paraId="5C931737" w14:textId="77777777" w:rsidTr="453EBFA6">
        <w:tc>
          <w:tcPr>
            <w:tcW w:w="2087" w:type="dxa"/>
          </w:tcPr>
          <w:p w14:paraId="53AD945E" w14:textId="77777777" w:rsidR="00A0679F" w:rsidRPr="00AE3281" w:rsidRDefault="00A0679F" w:rsidP="005B3738">
            <w:pPr>
              <w:keepNext/>
              <w:jc w:val="both"/>
              <w:rPr>
                <w:rFonts w:cs="Times New Roman"/>
                <w:b/>
                <w:bCs/>
                <w:sz w:val="22"/>
              </w:rPr>
            </w:pPr>
          </w:p>
        </w:tc>
        <w:tc>
          <w:tcPr>
            <w:tcW w:w="1745" w:type="dxa"/>
          </w:tcPr>
          <w:p w14:paraId="04F73E8A" w14:textId="47EC3505" w:rsidR="00A0679F" w:rsidRPr="00AE3281" w:rsidRDefault="00A0679F" w:rsidP="005B3738">
            <w:pPr>
              <w:keepNext/>
              <w:jc w:val="both"/>
              <w:rPr>
                <w:rFonts w:cs="Times New Roman"/>
                <w:sz w:val="22"/>
              </w:rPr>
            </w:pPr>
            <w:r w:rsidRPr="00AE3281">
              <w:rPr>
                <w:rFonts w:cs="Times New Roman"/>
                <w:sz w:val="22"/>
              </w:rPr>
              <w:t>I</w:t>
            </w:r>
            <w:r w:rsidR="005213B6" w:rsidRPr="00AE3281">
              <w:rPr>
                <w:rFonts w:cs="Times New Roman"/>
                <w:sz w:val="22"/>
              </w:rPr>
              <w:t>n</w:t>
            </w:r>
            <w:r w:rsidRPr="00AE3281">
              <w:rPr>
                <w:rFonts w:cs="Times New Roman"/>
                <w:sz w:val="22"/>
              </w:rPr>
              <w:t xml:space="preserve"> paid work (as Table 2)</w:t>
            </w:r>
          </w:p>
        </w:tc>
        <w:tc>
          <w:tcPr>
            <w:tcW w:w="1745" w:type="dxa"/>
          </w:tcPr>
          <w:p w14:paraId="4521AFB7" w14:textId="27E7DC32" w:rsidR="00A0679F" w:rsidRPr="00AE3281" w:rsidRDefault="00A0679F" w:rsidP="005B3738">
            <w:pPr>
              <w:keepNext/>
              <w:jc w:val="both"/>
              <w:rPr>
                <w:rFonts w:cs="Times New Roman"/>
                <w:sz w:val="22"/>
              </w:rPr>
            </w:pPr>
            <w:r w:rsidRPr="00AE3281">
              <w:rPr>
                <w:rFonts w:cs="Times New Roman"/>
                <w:sz w:val="22"/>
              </w:rPr>
              <w:t>Self-employment</w:t>
            </w:r>
          </w:p>
        </w:tc>
        <w:tc>
          <w:tcPr>
            <w:tcW w:w="1745" w:type="dxa"/>
          </w:tcPr>
          <w:p w14:paraId="385EE9F4" w14:textId="5D1E7C2E" w:rsidR="00A0679F" w:rsidRPr="00AE3281" w:rsidRDefault="00A0679F" w:rsidP="005B3738">
            <w:pPr>
              <w:keepNext/>
              <w:jc w:val="both"/>
              <w:rPr>
                <w:rFonts w:cs="Times New Roman"/>
                <w:sz w:val="22"/>
              </w:rPr>
            </w:pPr>
            <w:r w:rsidRPr="00AE3281">
              <w:rPr>
                <w:rFonts w:cs="Times New Roman"/>
                <w:sz w:val="22"/>
              </w:rPr>
              <w:t>Self-employment v employment</w:t>
            </w:r>
          </w:p>
        </w:tc>
        <w:tc>
          <w:tcPr>
            <w:tcW w:w="1745" w:type="dxa"/>
          </w:tcPr>
          <w:p w14:paraId="2C4213C1" w14:textId="758EDEDA" w:rsidR="00A0679F" w:rsidRPr="00AE3281" w:rsidRDefault="00A0679F" w:rsidP="005B3738">
            <w:pPr>
              <w:keepNext/>
              <w:jc w:val="both"/>
              <w:rPr>
                <w:rFonts w:cs="Times New Roman"/>
                <w:sz w:val="22"/>
              </w:rPr>
            </w:pPr>
            <w:r w:rsidRPr="00AE3281">
              <w:rPr>
                <w:rFonts w:cs="Times New Roman"/>
                <w:sz w:val="22"/>
              </w:rPr>
              <w:t>Pay (log hourly earnings)</w:t>
            </w:r>
          </w:p>
        </w:tc>
      </w:tr>
      <w:tr w:rsidR="00F54F52" w:rsidRPr="00AE3281" w14:paraId="0A29AA65" w14:textId="77777777" w:rsidTr="453EBFA6">
        <w:trPr>
          <w:trHeight w:hRule="exact" w:val="113"/>
        </w:trPr>
        <w:tc>
          <w:tcPr>
            <w:tcW w:w="2087" w:type="dxa"/>
            <w:tcBorders>
              <w:bottom w:val="single" w:sz="4" w:space="0" w:color="auto"/>
            </w:tcBorders>
          </w:tcPr>
          <w:p w14:paraId="1841EB9D" w14:textId="77777777" w:rsidR="00F54F52" w:rsidRPr="00AE3281" w:rsidRDefault="00F54F52" w:rsidP="005B3738">
            <w:pPr>
              <w:keepNext/>
              <w:jc w:val="both"/>
              <w:rPr>
                <w:rFonts w:cs="Times New Roman"/>
                <w:b/>
                <w:bCs/>
                <w:sz w:val="22"/>
              </w:rPr>
            </w:pPr>
          </w:p>
        </w:tc>
        <w:tc>
          <w:tcPr>
            <w:tcW w:w="1745" w:type="dxa"/>
            <w:tcBorders>
              <w:bottom w:val="single" w:sz="4" w:space="0" w:color="auto"/>
            </w:tcBorders>
          </w:tcPr>
          <w:p w14:paraId="33F8B5AF" w14:textId="77777777" w:rsidR="00F54F52" w:rsidRPr="00AE3281" w:rsidRDefault="00F54F52" w:rsidP="005B3738">
            <w:pPr>
              <w:keepNext/>
              <w:jc w:val="both"/>
              <w:rPr>
                <w:rFonts w:cs="Times New Roman"/>
                <w:sz w:val="22"/>
              </w:rPr>
            </w:pPr>
          </w:p>
        </w:tc>
        <w:tc>
          <w:tcPr>
            <w:tcW w:w="1745" w:type="dxa"/>
            <w:tcBorders>
              <w:bottom w:val="single" w:sz="4" w:space="0" w:color="auto"/>
            </w:tcBorders>
          </w:tcPr>
          <w:p w14:paraId="675ED7A2" w14:textId="77777777" w:rsidR="00F54F52" w:rsidRPr="00AE3281" w:rsidRDefault="00F54F52" w:rsidP="005B3738">
            <w:pPr>
              <w:keepNext/>
              <w:jc w:val="both"/>
              <w:rPr>
                <w:rFonts w:cs="Times New Roman"/>
                <w:sz w:val="22"/>
              </w:rPr>
            </w:pPr>
          </w:p>
        </w:tc>
        <w:tc>
          <w:tcPr>
            <w:tcW w:w="1745" w:type="dxa"/>
            <w:tcBorders>
              <w:bottom w:val="single" w:sz="4" w:space="0" w:color="auto"/>
            </w:tcBorders>
          </w:tcPr>
          <w:p w14:paraId="3C83529F" w14:textId="77777777" w:rsidR="00F54F52" w:rsidRPr="00AE3281" w:rsidRDefault="00F54F52" w:rsidP="005B3738">
            <w:pPr>
              <w:keepNext/>
              <w:jc w:val="both"/>
              <w:rPr>
                <w:rFonts w:cs="Times New Roman"/>
                <w:sz w:val="22"/>
              </w:rPr>
            </w:pPr>
          </w:p>
        </w:tc>
        <w:tc>
          <w:tcPr>
            <w:tcW w:w="1745" w:type="dxa"/>
            <w:tcBorders>
              <w:bottom w:val="single" w:sz="4" w:space="0" w:color="auto"/>
            </w:tcBorders>
          </w:tcPr>
          <w:p w14:paraId="15055F67" w14:textId="77777777" w:rsidR="00F54F52" w:rsidRPr="00AE3281" w:rsidRDefault="00F54F52" w:rsidP="005B3738">
            <w:pPr>
              <w:keepNext/>
              <w:jc w:val="both"/>
              <w:rPr>
                <w:rFonts w:cs="Times New Roman"/>
                <w:sz w:val="22"/>
              </w:rPr>
            </w:pPr>
          </w:p>
        </w:tc>
      </w:tr>
      <w:tr w:rsidR="00A0679F" w:rsidRPr="00AE3281" w14:paraId="44E4F912" w14:textId="77777777" w:rsidTr="453EBFA6">
        <w:tc>
          <w:tcPr>
            <w:tcW w:w="2087" w:type="dxa"/>
            <w:tcBorders>
              <w:top w:val="single" w:sz="4" w:space="0" w:color="auto"/>
            </w:tcBorders>
          </w:tcPr>
          <w:p w14:paraId="11EE7CB7" w14:textId="75E67DF6" w:rsidR="00A0679F" w:rsidRPr="00AE3281" w:rsidRDefault="00A0679F" w:rsidP="005B3738">
            <w:pPr>
              <w:keepNext/>
              <w:jc w:val="both"/>
              <w:rPr>
                <w:rFonts w:cs="Times New Roman"/>
                <w:b/>
                <w:bCs/>
                <w:sz w:val="22"/>
              </w:rPr>
            </w:pPr>
            <w:r w:rsidRPr="00AE3281">
              <w:rPr>
                <w:rFonts w:cs="Times New Roman"/>
                <w:b/>
                <w:bCs/>
                <w:sz w:val="22"/>
              </w:rPr>
              <w:t>EU v UK</w:t>
            </w:r>
          </w:p>
        </w:tc>
        <w:tc>
          <w:tcPr>
            <w:tcW w:w="1745" w:type="dxa"/>
            <w:tcBorders>
              <w:top w:val="single" w:sz="4" w:space="0" w:color="auto"/>
            </w:tcBorders>
          </w:tcPr>
          <w:p w14:paraId="18D87CA5" w14:textId="77777777" w:rsidR="00A0679F" w:rsidRPr="00AE3281" w:rsidRDefault="00A0679F" w:rsidP="005B3738">
            <w:pPr>
              <w:keepNext/>
              <w:jc w:val="both"/>
              <w:rPr>
                <w:rFonts w:cs="Times New Roman"/>
                <w:sz w:val="22"/>
              </w:rPr>
            </w:pPr>
          </w:p>
        </w:tc>
        <w:tc>
          <w:tcPr>
            <w:tcW w:w="1745" w:type="dxa"/>
            <w:tcBorders>
              <w:top w:val="single" w:sz="4" w:space="0" w:color="auto"/>
            </w:tcBorders>
          </w:tcPr>
          <w:p w14:paraId="053322E5" w14:textId="1C26D57A" w:rsidR="00A0679F" w:rsidRPr="00AE3281" w:rsidRDefault="00A0679F" w:rsidP="005B3738">
            <w:pPr>
              <w:keepNext/>
              <w:jc w:val="both"/>
              <w:rPr>
                <w:rFonts w:cs="Times New Roman"/>
                <w:sz w:val="22"/>
              </w:rPr>
            </w:pPr>
          </w:p>
        </w:tc>
        <w:tc>
          <w:tcPr>
            <w:tcW w:w="1745" w:type="dxa"/>
            <w:tcBorders>
              <w:top w:val="single" w:sz="4" w:space="0" w:color="auto"/>
            </w:tcBorders>
          </w:tcPr>
          <w:p w14:paraId="15CE5754" w14:textId="77777777" w:rsidR="00A0679F" w:rsidRPr="00AE3281" w:rsidRDefault="00A0679F" w:rsidP="005B3738">
            <w:pPr>
              <w:keepNext/>
              <w:jc w:val="both"/>
              <w:rPr>
                <w:rFonts w:cs="Times New Roman"/>
                <w:sz w:val="22"/>
              </w:rPr>
            </w:pPr>
          </w:p>
        </w:tc>
        <w:tc>
          <w:tcPr>
            <w:tcW w:w="1745" w:type="dxa"/>
            <w:tcBorders>
              <w:top w:val="single" w:sz="4" w:space="0" w:color="auto"/>
            </w:tcBorders>
          </w:tcPr>
          <w:p w14:paraId="27F8E478" w14:textId="77777777" w:rsidR="00A0679F" w:rsidRPr="00AE3281" w:rsidRDefault="00A0679F" w:rsidP="005B3738">
            <w:pPr>
              <w:keepNext/>
              <w:jc w:val="both"/>
              <w:rPr>
                <w:rFonts w:cs="Times New Roman"/>
                <w:sz w:val="22"/>
              </w:rPr>
            </w:pPr>
          </w:p>
        </w:tc>
      </w:tr>
      <w:tr w:rsidR="00A0679F" w:rsidRPr="00AE3281" w14:paraId="468CCF95" w14:textId="77777777" w:rsidTr="453EBFA6">
        <w:tc>
          <w:tcPr>
            <w:tcW w:w="2087" w:type="dxa"/>
          </w:tcPr>
          <w:p w14:paraId="1F33F325" w14:textId="1BBB1CD0" w:rsidR="00A0679F" w:rsidRPr="00AE3281" w:rsidRDefault="453EBFA6" w:rsidP="453EBFA6">
            <w:pPr>
              <w:keepNext/>
              <w:jc w:val="both"/>
              <w:rPr>
                <w:rFonts w:cs="Times New Roman"/>
                <w:sz w:val="22"/>
              </w:rPr>
            </w:pPr>
            <w:proofErr w:type="spellStart"/>
            <w:r w:rsidRPr="453EBFA6">
              <w:rPr>
                <w:rFonts w:cs="Times New Roman"/>
                <w:sz w:val="22"/>
              </w:rPr>
              <w:t>Inter_Vote</w:t>
            </w:r>
            <w:proofErr w:type="spellEnd"/>
          </w:p>
        </w:tc>
        <w:tc>
          <w:tcPr>
            <w:tcW w:w="1745" w:type="dxa"/>
          </w:tcPr>
          <w:p w14:paraId="5F51D093" w14:textId="041495F8" w:rsidR="00A0679F" w:rsidRPr="00AE3281" w:rsidRDefault="0085041F" w:rsidP="005B3738">
            <w:pPr>
              <w:keepNext/>
              <w:jc w:val="both"/>
              <w:rPr>
                <w:rFonts w:cs="Times New Roman"/>
                <w:sz w:val="22"/>
              </w:rPr>
            </w:pPr>
            <w:r w:rsidRPr="00AE3281">
              <w:rPr>
                <w:rFonts w:cs="Times New Roman"/>
                <w:sz w:val="22"/>
              </w:rPr>
              <w:t>0</w:t>
            </w:r>
            <w:r w:rsidR="007001EC" w:rsidRPr="00AE3281">
              <w:rPr>
                <w:rFonts w:cs="Times New Roman"/>
                <w:sz w:val="22"/>
              </w:rPr>
              <w:t>.8891**</w:t>
            </w:r>
          </w:p>
        </w:tc>
        <w:tc>
          <w:tcPr>
            <w:tcW w:w="1745" w:type="dxa"/>
          </w:tcPr>
          <w:p w14:paraId="2703907C" w14:textId="24C9EEFD" w:rsidR="00A0679F" w:rsidRPr="00AE3281" w:rsidRDefault="00714D2E" w:rsidP="005B3738">
            <w:pPr>
              <w:keepNext/>
              <w:jc w:val="both"/>
              <w:rPr>
                <w:rFonts w:cs="Times New Roman"/>
                <w:sz w:val="22"/>
              </w:rPr>
            </w:pPr>
            <w:r w:rsidRPr="00AE3281">
              <w:rPr>
                <w:rFonts w:cs="Times New Roman"/>
                <w:sz w:val="22"/>
              </w:rPr>
              <w:t>-</w:t>
            </w:r>
            <w:r w:rsidR="0085041F" w:rsidRPr="00AE3281">
              <w:rPr>
                <w:rFonts w:cs="Times New Roman"/>
                <w:sz w:val="22"/>
              </w:rPr>
              <w:t>0</w:t>
            </w:r>
            <w:r w:rsidRPr="00AE3281">
              <w:rPr>
                <w:rFonts w:cs="Times New Roman"/>
                <w:sz w:val="22"/>
              </w:rPr>
              <w:t>.250</w:t>
            </w:r>
            <w:r w:rsidR="00A91342" w:rsidRPr="00AE3281">
              <w:rPr>
                <w:rFonts w:cs="Times New Roman"/>
                <w:sz w:val="22"/>
              </w:rPr>
              <w:t>7</w:t>
            </w:r>
          </w:p>
        </w:tc>
        <w:tc>
          <w:tcPr>
            <w:tcW w:w="1745" w:type="dxa"/>
          </w:tcPr>
          <w:p w14:paraId="4ECAA7CF" w14:textId="71E2139C" w:rsidR="00A0679F" w:rsidRPr="00AE3281" w:rsidRDefault="00714D2E" w:rsidP="005B3738">
            <w:pPr>
              <w:keepNext/>
              <w:jc w:val="both"/>
              <w:rPr>
                <w:rFonts w:cs="Times New Roman"/>
                <w:sz w:val="22"/>
              </w:rPr>
            </w:pPr>
            <w:r w:rsidRPr="00AE3281">
              <w:rPr>
                <w:rFonts w:cs="Times New Roman"/>
                <w:sz w:val="22"/>
              </w:rPr>
              <w:t>-</w:t>
            </w:r>
            <w:r w:rsidR="0085041F" w:rsidRPr="00AE3281">
              <w:rPr>
                <w:rFonts w:cs="Times New Roman"/>
                <w:sz w:val="22"/>
              </w:rPr>
              <w:t>0</w:t>
            </w:r>
            <w:r w:rsidRPr="00AE3281">
              <w:rPr>
                <w:rFonts w:cs="Times New Roman"/>
                <w:sz w:val="22"/>
              </w:rPr>
              <w:t>.699</w:t>
            </w:r>
            <w:r w:rsidR="00A91342" w:rsidRPr="00AE3281">
              <w:rPr>
                <w:rFonts w:cs="Times New Roman"/>
                <w:sz w:val="22"/>
              </w:rPr>
              <w:t>2</w:t>
            </w:r>
            <w:r w:rsidRPr="00AE3281">
              <w:rPr>
                <w:rFonts w:cs="Times New Roman"/>
                <w:sz w:val="22"/>
              </w:rPr>
              <w:t>*</w:t>
            </w:r>
          </w:p>
        </w:tc>
        <w:tc>
          <w:tcPr>
            <w:tcW w:w="1745" w:type="dxa"/>
          </w:tcPr>
          <w:p w14:paraId="4F9483F8" w14:textId="1F9383FD" w:rsidR="00A0679F" w:rsidRPr="00AE3281" w:rsidRDefault="0085041F" w:rsidP="005B3738">
            <w:pPr>
              <w:keepNext/>
              <w:jc w:val="both"/>
              <w:rPr>
                <w:rFonts w:cs="Times New Roman"/>
                <w:sz w:val="22"/>
              </w:rPr>
            </w:pPr>
            <w:r w:rsidRPr="00AE3281">
              <w:rPr>
                <w:rFonts w:cs="Times New Roman"/>
                <w:sz w:val="22"/>
              </w:rPr>
              <w:t>0</w:t>
            </w:r>
            <w:r w:rsidR="00714D2E" w:rsidRPr="00AE3281">
              <w:rPr>
                <w:rFonts w:cs="Times New Roman"/>
                <w:sz w:val="22"/>
              </w:rPr>
              <w:t>.0078</w:t>
            </w:r>
          </w:p>
        </w:tc>
      </w:tr>
      <w:tr w:rsidR="00A0679F" w:rsidRPr="00AE3281" w14:paraId="3B49B8FB" w14:textId="77777777" w:rsidTr="453EBFA6">
        <w:tc>
          <w:tcPr>
            <w:tcW w:w="2087" w:type="dxa"/>
            <w:shd w:val="clear" w:color="auto" w:fill="FFFFFF" w:themeFill="background1"/>
          </w:tcPr>
          <w:p w14:paraId="23045D60" w14:textId="473F28A3" w:rsidR="00A0679F" w:rsidRPr="00AE3281" w:rsidRDefault="453EBFA6" w:rsidP="453EBFA6">
            <w:pPr>
              <w:keepNext/>
              <w:jc w:val="both"/>
              <w:rPr>
                <w:rFonts w:cs="Times New Roman"/>
                <w:sz w:val="22"/>
                <w:highlight w:val="yellow"/>
              </w:rPr>
            </w:pPr>
            <w:proofErr w:type="spellStart"/>
            <w:r w:rsidRPr="453EBFA6">
              <w:rPr>
                <w:rFonts w:cs="Times New Roman"/>
                <w:sz w:val="22"/>
              </w:rPr>
              <w:t>Inter_New_System</w:t>
            </w:r>
            <w:proofErr w:type="spellEnd"/>
          </w:p>
        </w:tc>
        <w:tc>
          <w:tcPr>
            <w:tcW w:w="1745" w:type="dxa"/>
          </w:tcPr>
          <w:p w14:paraId="16D3B112" w14:textId="11112734" w:rsidR="00A0679F" w:rsidRPr="00AE3281" w:rsidRDefault="007001EC" w:rsidP="005B3738">
            <w:pPr>
              <w:keepNext/>
              <w:jc w:val="both"/>
              <w:rPr>
                <w:rFonts w:cs="Times New Roman"/>
                <w:sz w:val="22"/>
                <w:highlight w:val="yellow"/>
              </w:rPr>
            </w:pPr>
            <w:r w:rsidRPr="00AE3281">
              <w:rPr>
                <w:rFonts w:cs="Times New Roman"/>
                <w:sz w:val="22"/>
              </w:rPr>
              <w:t>-</w:t>
            </w:r>
            <w:r w:rsidR="0085041F" w:rsidRPr="00AE3281">
              <w:rPr>
                <w:rFonts w:cs="Times New Roman"/>
                <w:sz w:val="22"/>
              </w:rPr>
              <w:t>0</w:t>
            </w:r>
            <w:r w:rsidRPr="00AE3281">
              <w:rPr>
                <w:rFonts w:cs="Times New Roman"/>
                <w:sz w:val="22"/>
              </w:rPr>
              <w:t>.916</w:t>
            </w:r>
            <w:r w:rsidR="00A91342" w:rsidRPr="00AE3281">
              <w:rPr>
                <w:rFonts w:cs="Times New Roman"/>
                <w:sz w:val="22"/>
              </w:rPr>
              <w:t>8</w:t>
            </w:r>
            <w:r w:rsidRPr="00AE3281">
              <w:rPr>
                <w:rFonts w:cs="Times New Roman"/>
                <w:sz w:val="22"/>
              </w:rPr>
              <w:t>*</w:t>
            </w:r>
          </w:p>
        </w:tc>
        <w:tc>
          <w:tcPr>
            <w:tcW w:w="1745" w:type="dxa"/>
          </w:tcPr>
          <w:p w14:paraId="797EE1F8" w14:textId="2B925B05" w:rsidR="00A0679F" w:rsidRPr="00AE3281" w:rsidRDefault="00714D2E" w:rsidP="005B3738">
            <w:pPr>
              <w:keepNext/>
              <w:jc w:val="both"/>
              <w:rPr>
                <w:rFonts w:cs="Times New Roman"/>
                <w:sz w:val="22"/>
                <w:highlight w:val="yellow"/>
              </w:rPr>
            </w:pPr>
            <w:r w:rsidRPr="00AE3281">
              <w:rPr>
                <w:rFonts w:cs="Times New Roman"/>
                <w:sz w:val="22"/>
              </w:rPr>
              <w:t>-</w:t>
            </w:r>
            <w:r w:rsidR="0085041F" w:rsidRPr="00AE3281">
              <w:rPr>
                <w:rFonts w:cs="Times New Roman"/>
                <w:sz w:val="22"/>
              </w:rPr>
              <w:t>0</w:t>
            </w:r>
            <w:r w:rsidRPr="00AE3281">
              <w:rPr>
                <w:rFonts w:cs="Times New Roman"/>
                <w:sz w:val="22"/>
              </w:rPr>
              <w:t>.889</w:t>
            </w:r>
            <w:r w:rsidR="00A91342" w:rsidRPr="00AE3281">
              <w:rPr>
                <w:rFonts w:cs="Times New Roman"/>
                <w:sz w:val="22"/>
              </w:rPr>
              <w:t>5</w:t>
            </w:r>
            <w:r w:rsidRPr="00AE3281">
              <w:rPr>
                <w:rFonts w:cs="Times New Roman"/>
                <w:sz w:val="22"/>
              </w:rPr>
              <w:t>**</w:t>
            </w:r>
          </w:p>
        </w:tc>
        <w:tc>
          <w:tcPr>
            <w:tcW w:w="1745" w:type="dxa"/>
          </w:tcPr>
          <w:p w14:paraId="13AFECD8" w14:textId="28CEBA38" w:rsidR="00A0679F" w:rsidRPr="00AE3281" w:rsidRDefault="00714D2E" w:rsidP="005B3738">
            <w:pPr>
              <w:keepNext/>
              <w:jc w:val="both"/>
              <w:rPr>
                <w:rFonts w:cs="Times New Roman"/>
                <w:sz w:val="22"/>
                <w:highlight w:val="yellow"/>
              </w:rPr>
            </w:pPr>
            <w:r w:rsidRPr="00AE3281">
              <w:rPr>
                <w:rFonts w:cs="Times New Roman"/>
                <w:sz w:val="22"/>
              </w:rPr>
              <w:t>-1.158</w:t>
            </w:r>
            <w:r w:rsidR="00A91342" w:rsidRPr="00AE3281">
              <w:rPr>
                <w:rFonts w:cs="Times New Roman"/>
                <w:sz w:val="22"/>
              </w:rPr>
              <w:t>7</w:t>
            </w:r>
            <w:r w:rsidRPr="00AE3281">
              <w:rPr>
                <w:rFonts w:cs="Times New Roman"/>
                <w:sz w:val="22"/>
              </w:rPr>
              <w:t>**</w:t>
            </w:r>
          </w:p>
        </w:tc>
        <w:tc>
          <w:tcPr>
            <w:tcW w:w="1745" w:type="dxa"/>
          </w:tcPr>
          <w:p w14:paraId="5F1DD6C9" w14:textId="72A5857C" w:rsidR="00A0679F" w:rsidRPr="00AE3281" w:rsidRDefault="00714D2E" w:rsidP="005B3738">
            <w:pPr>
              <w:keepNext/>
              <w:jc w:val="both"/>
              <w:rPr>
                <w:rFonts w:cs="Times New Roman"/>
                <w:sz w:val="22"/>
              </w:rPr>
            </w:pPr>
            <w:r w:rsidRPr="00AE3281">
              <w:rPr>
                <w:rFonts w:cs="Times New Roman"/>
                <w:sz w:val="22"/>
              </w:rPr>
              <w:t>-</w:t>
            </w:r>
            <w:r w:rsidR="0085041F" w:rsidRPr="00AE3281">
              <w:rPr>
                <w:rFonts w:cs="Times New Roman"/>
                <w:sz w:val="22"/>
              </w:rPr>
              <w:t>0</w:t>
            </w:r>
            <w:r w:rsidRPr="00AE3281">
              <w:rPr>
                <w:rFonts w:cs="Times New Roman"/>
                <w:sz w:val="22"/>
              </w:rPr>
              <w:t>.0042</w:t>
            </w:r>
          </w:p>
        </w:tc>
      </w:tr>
      <w:tr w:rsidR="00A0679F" w:rsidRPr="00AE3281" w14:paraId="27EA352D" w14:textId="77777777" w:rsidTr="453EBFA6">
        <w:trPr>
          <w:trHeight w:hRule="exact" w:val="113"/>
        </w:trPr>
        <w:tc>
          <w:tcPr>
            <w:tcW w:w="2087" w:type="dxa"/>
            <w:tcBorders>
              <w:bottom w:val="single" w:sz="4" w:space="0" w:color="auto"/>
            </w:tcBorders>
          </w:tcPr>
          <w:p w14:paraId="74FE8802" w14:textId="77777777" w:rsidR="00A0679F" w:rsidRPr="00AE3281" w:rsidRDefault="00A0679F" w:rsidP="005B3738">
            <w:pPr>
              <w:keepNext/>
              <w:jc w:val="both"/>
              <w:rPr>
                <w:rFonts w:cs="Times New Roman"/>
                <w:sz w:val="22"/>
              </w:rPr>
            </w:pPr>
          </w:p>
        </w:tc>
        <w:tc>
          <w:tcPr>
            <w:tcW w:w="1745" w:type="dxa"/>
            <w:tcBorders>
              <w:bottom w:val="single" w:sz="4" w:space="0" w:color="auto"/>
            </w:tcBorders>
          </w:tcPr>
          <w:p w14:paraId="08B7072A" w14:textId="77777777" w:rsidR="00A0679F" w:rsidRPr="00AE3281" w:rsidRDefault="00A0679F" w:rsidP="005B3738">
            <w:pPr>
              <w:keepNext/>
              <w:jc w:val="both"/>
              <w:rPr>
                <w:rFonts w:cs="Times New Roman"/>
                <w:sz w:val="22"/>
              </w:rPr>
            </w:pPr>
          </w:p>
        </w:tc>
        <w:tc>
          <w:tcPr>
            <w:tcW w:w="1745" w:type="dxa"/>
            <w:tcBorders>
              <w:bottom w:val="single" w:sz="4" w:space="0" w:color="auto"/>
            </w:tcBorders>
          </w:tcPr>
          <w:p w14:paraId="63B4BDB2" w14:textId="4245BED7" w:rsidR="00A0679F" w:rsidRPr="00AE3281" w:rsidRDefault="00A0679F" w:rsidP="005B3738">
            <w:pPr>
              <w:keepNext/>
              <w:jc w:val="both"/>
              <w:rPr>
                <w:rFonts w:cs="Times New Roman"/>
                <w:sz w:val="22"/>
              </w:rPr>
            </w:pPr>
          </w:p>
        </w:tc>
        <w:tc>
          <w:tcPr>
            <w:tcW w:w="1745" w:type="dxa"/>
            <w:tcBorders>
              <w:bottom w:val="single" w:sz="4" w:space="0" w:color="auto"/>
            </w:tcBorders>
          </w:tcPr>
          <w:p w14:paraId="27DE3101" w14:textId="77777777" w:rsidR="00A0679F" w:rsidRPr="00AE3281" w:rsidRDefault="00A0679F" w:rsidP="005B3738">
            <w:pPr>
              <w:keepNext/>
              <w:jc w:val="both"/>
              <w:rPr>
                <w:rFonts w:cs="Times New Roman"/>
                <w:sz w:val="22"/>
              </w:rPr>
            </w:pPr>
          </w:p>
        </w:tc>
        <w:tc>
          <w:tcPr>
            <w:tcW w:w="1745" w:type="dxa"/>
            <w:tcBorders>
              <w:bottom w:val="single" w:sz="4" w:space="0" w:color="auto"/>
            </w:tcBorders>
          </w:tcPr>
          <w:p w14:paraId="120AB6F4" w14:textId="77777777" w:rsidR="00A0679F" w:rsidRPr="00AE3281" w:rsidRDefault="00A0679F" w:rsidP="005B3738">
            <w:pPr>
              <w:keepNext/>
              <w:jc w:val="both"/>
              <w:rPr>
                <w:rFonts w:cs="Times New Roman"/>
                <w:sz w:val="22"/>
              </w:rPr>
            </w:pPr>
          </w:p>
        </w:tc>
      </w:tr>
      <w:tr w:rsidR="005213B6" w:rsidRPr="00AE3281" w14:paraId="5FD38C1F" w14:textId="77777777" w:rsidTr="453EBFA6">
        <w:trPr>
          <w:trHeight w:hRule="exact" w:val="113"/>
        </w:trPr>
        <w:tc>
          <w:tcPr>
            <w:tcW w:w="2087" w:type="dxa"/>
            <w:tcBorders>
              <w:top w:val="single" w:sz="4" w:space="0" w:color="auto"/>
            </w:tcBorders>
          </w:tcPr>
          <w:p w14:paraId="69FACAEE" w14:textId="77777777" w:rsidR="005213B6" w:rsidRPr="00AE3281" w:rsidRDefault="005213B6" w:rsidP="005B3738">
            <w:pPr>
              <w:keepNext/>
              <w:jc w:val="both"/>
              <w:rPr>
                <w:rFonts w:cs="Times New Roman"/>
                <w:sz w:val="22"/>
              </w:rPr>
            </w:pPr>
          </w:p>
        </w:tc>
        <w:tc>
          <w:tcPr>
            <w:tcW w:w="1745" w:type="dxa"/>
            <w:tcBorders>
              <w:top w:val="single" w:sz="4" w:space="0" w:color="auto"/>
            </w:tcBorders>
          </w:tcPr>
          <w:p w14:paraId="5547F1FD" w14:textId="77777777" w:rsidR="005213B6" w:rsidRPr="00AE3281" w:rsidRDefault="005213B6" w:rsidP="005B3738">
            <w:pPr>
              <w:keepNext/>
              <w:jc w:val="both"/>
              <w:rPr>
                <w:rFonts w:cs="Times New Roman"/>
                <w:sz w:val="22"/>
              </w:rPr>
            </w:pPr>
          </w:p>
        </w:tc>
        <w:tc>
          <w:tcPr>
            <w:tcW w:w="1745" w:type="dxa"/>
            <w:tcBorders>
              <w:top w:val="single" w:sz="4" w:space="0" w:color="auto"/>
            </w:tcBorders>
          </w:tcPr>
          <w:p w14:paraId="441B5578" w14:textId="77777777" w:rsidR="005213B6" w:rsidRPr="00AE3281" w:rsidRDefault="005213B6" w:rsidP="005B3738">
            <w:pPr>
              <w:keepNext/>
              <w:jc w:val="both"/>
              <w:rPr>
                <w:rFonts w:cs="Times New Roman"/>
                <w:sz w:val="22"/>
              </w:rPr>
            </w:pPr>
          </w:p>
        </w:tc>
        <w:tc>
          <w:tcPr>
            <w:tcW w:w="1745" w:type="dxa"/>
            <w:tcBorders>
              <w:top w:val="single" w:sz="4" w:space="0" w:color="auto"/>
            </w:tcBorders>
          </w:tcPr>
          <w:p w14:paraId="67AABF46" w14:textId="77777777" w:rsidR="005213B6" w:rsidRPr="00AE3281" w:rsidRDefault="005213B6" w:rsidP="005B3738">
            <w:pPr>
              <w:keepNext/>
              <w:jc w:val="both"/>
              <w:rPr>
                <w:rFonts w:cs="Times New Roman"/>
                <w:sz w:val="22"/>
              </w:rPr>
            </w:pPr>
          </w:p>
        </w:tc>
        <w:tc>
          <w:tcPr>
            <w:tcW w:w="1745" w:type="dxa"/>
            <w:tcBorders>
              <w:top w:val="single" w:sz="4" w:space="0" w:color="auto"/>
            </w:tcBorders>
          </w:tcPr>
          <w:p w14:paraId="1C78C2BD" w14:textId="77777777" w:rsidR="005213B6" w:rsidRPr="00AE3281" w:rsidRDefault="005213B6" w:rsidP="005B3738">
            <w:pPr>
              <w:keepNext/>
              <w:jc w:val="both"/>
              <w:rPr>
                <w:rFonts w:cs="Times New Roman"/>
                <w:sz w:val="22"/>
              </w:rPr>
            </w:pPr>
          </w:p>
        </w:tc>
      </w:tr>
      <w:tr w:rsidR="005213B6" w:rsidRPr="00AE3281" w14:paraId="5E5D858E" w14:textId="77777777" w:rsidTr="453EBFA6">
        <w:tc>
          <w:tcPr>
            <w:tcW w:w="2087" w:type="dxa"/>
          </w:tcPr>
          <w:p w14:paraId="260E8234" w14:textId="77777777" w:rsidR="005213B6" w:rsidRPr="00AE3281" w:rsidRDefault="005213B6" w:rsidP="005B3738">
            <w:pPr>
              <w:keepNext/>
              <w:jc w:val="both"/>
              <w:rPr>
                <w:rFonts w:cs="Times New Roman"/>
                <w:b/>
                <w:bCs/>
                <w:sz w:val="22"/>
              </w:rPr>
            </w:pPr>
            <w:r w:rsidRPr="00AE3281">
              <w:rPr>
                <w:rFonts w:cs="Times New Roman"/>
                <w:b/>
                <w:bCs/>
                <w:sz w:val="22"/>
              </w:rPr>
              <w:t>EU v UK</w:t>
            </w:r>
          </w:p>
          <w:p w14:paraId="05F355E0" w14:textId="15A5D6A4" w:rsidR="00943B52" w:rsidRPr="00AE3281" w:rsidRDefault="00943B52" w:rsidP="005B3738">
            <w:pPr>
              <w:keepNext/>
              <w:jc w:val="both"/>
              <w:rPr>
                <w:rFonts w:cs="Times New Roman"/>
                <w:sz w:val="22"/>
              </w:rPr>
            </w:pPr>
            <w:r w:rsidRPr="00AE3281">
              <w:rPr>
                <w:rFonts w:eastAsia="Times New Roman" w:cs="Times New Roman"/>
                <w:color w:val="000000"/>
                <w:sz w:val="22"/>
                <w:lang w:eastAsia="en-GB"/>
              </w:rPr>
              <w:t>(A2/A8 controls included)</w:t>
            </w:r>
          </w:p>
        </w:tc>
        <w:tc>
          <w:tcPr>
            <w:tcW w:w="1745" w:type="dxa"/>
          </w:tcPr>
          <w:p w14:paraId="63321A3C" w14:textId="77777777" w:rsidR="005213B6" w:rsidRPr="00AE3281" w:rsidRDefault="005213B6" w:rsidP="005B3738">
            <w:pPr>
              <w:keepNext/>
              <w:jc w:val="both"/>
              <w:rPr>
                <w:rFonts w:cs="Times New Roman"/>
                <w:sz w:val="22"/>
              </w:rPr>
            </w:pPr>
          </w:p>
        </w:tc>
        <w:tc>
          <w:tcPr>
            <w:tcW w:w="1745" w:type="dxa"/>
          </w:tcPr>
          <w:p w14:paraId="142561EA" w14:textId="77777777" w:rsidR="005213B6" w:rsidRPr="00AE3281" w:rsidRDefault="005213B6" w:rsidP="005B3738">
            <w:pPr>
              <w:keepNext/>
              <w:jc w:val="both"/>
              <w:rPr>
                <w:rFonts w:cs="Times New Roman"/>
                <w:sz w:val="22"/>
              </w:rPr>
            </w:pPr>
          </w:p>
        </w:tc>
        <w:tc>
          <w:tcPr>
            <w:tcW w:w="1745" w:type="dxa"/>
          </w:tcPr>
          <w:p w14:paraId="792A19FB" w14:textId="77777777" w:rsidR="005213B6" w:rsidRPr="00AE3281" w:rsidRDefault="005213B6" w:rsidP="005B3738">
            <w:pPr>
              <w:keepNext/>
              <w:jc w:val="both"/>
              <w:rPr>
                <w:rFonts w:cs="Times New Roman"/>
                <w:sz w:val="22"/>
              </w:rPr>
            </w:pPr>
          </w:p>
        </w:tc>
        <w:tc>
          <w:tcPr>
            <w:tcW w:w="1745" w:type="dxa"/>
          </w:tcPr>
          <w:p w14:paraId="5F33B96D" w14:textId="77777777" w:rsidR="005213B6" w:rsidRPr="00AE3281" w:rsidRDefault="005213B6" w:rsidP="005B3738">
            <w:pPr>
              <w:keepNext/>
              <w:jc w:val="both"/>
              <w:rPr>
                <w:rFonts w:cs="Times New Roman"/>
                <w:sz w:val="22"/>
              </w:rPr>
            </w:pPr>
          </w:p>
        </w:tc>
      </w:tr>
      <w:tr w:rsidR="005213B6" w:rsidRPr="00AE3281" w14:paraId="1833C9FD" w14:textId="77777777" w:rsidTr="453EBFA6">
        <w:tc>
          <w:tcPr>
            <w:tcW w:w="2087" w:type="dxa"/>
          </w:tcPr>
          <w:p w14:paraId="1EDA3181" w14:textId="79AAE519" w:rsidR="005213B6" w:rsidRPr="00AE3281" w:rsidRDefault="453EBFA6" w:rsidP="453EBFA6">
            <w:pPr>
              <w:keepNext/>
              <w:jc w:val="both"/>
              <w:rPr>
                <w:rFonts w:cs="Times New Roman"/>
                <w:sz w:val="22"/>
              </w:rPr>
            </w:pPr>
            <w:proofErr w:type="spellStart"/>
            <w:r w:rsidRPr="453EBFA6">
              <w:rPr>
                <w:rFonts w:cs="Times New Roman"/>
                <w:sz w:val="22"/>
              </w:rPr>
              <w:t>Inter_Vote</w:t>
            </w:r>
            <w:proofErr w:type="spellEnd"/>
          </w:p>
        </w:tc>
        <w:tc>
          <w:tcPr>
            <w:tcW w:w="1745" w:type="dxa"/>
          </w:tcPr>
          <w:p w14:paraId="33A9E97F" w14:textId="2532D072" w:rsidR="005213B6" w:rsidRPr="00AE3281" w:rsidRDefault="0085041F" w:rsidP="005B3738">
            <w:pPr>
              <w:keepNext/>
              <w:jc w:val="both"/>
              <w:rPr>
                <w:rFonts w:cs="Times New Roman"/>
                <w:sz w:val="22"/>
              </w:rPr>
            </w:pPr>
            <w:r w:rsidRPr="00AE3281">
              <w:rPr>
                <w:rFonts w:cs="Times New Roman"/>
                <w:sz w:val="22"/>
              </w:rPr>
              <w:t>0</w:t>
            </w:r>
            <w:r w:rsidR="00714D2E" w:rsidRPr="00AE3281">
              <w:rPr>
                <w:rFonts w:cs="Times New Roman"/>
                <w:sz w:val="22"/>
              </w:rPr>
              <w:t>.950</w:t>
            </w:r>
            <w:r w:rsidR="00A91342" w:rsidRPr="00AE3281">
              <w:rPr>
                <w:rFonts w:cs="Times New Roman"/>
                <w:sz w:val="22"/>
              </w:rPr>
              <w:t>8</w:t>
            </w:r>
            <w:r w:rsidR="00714D2E" w:rsidRPr="00AE3281">
              <w:rPr>
                <w:rFonts w:cs="Times New Roman"/>
                <w:sz w:val="22"/>
              </w:rPr>
              <w:t>***</w:t>
            </w:r>
          </w:p>
        </w:tc>
        <w:tc>
          <w:tcPr>
            <w:tcW w:w="1745" w:type="dxa"/>
          </w:tcPr>
          <w:p w14:paraId="186F797E" w14:textId="033F6024" w:rsidR="005213B6" w:rsidRPr="00AE3281" w:rsidRDefault="00714D2E" w:rsidP="005B3738">
            <w:pPr>
              <w:keepNext/>
              <w:jc w:val="both"/>
              <w:rPr>
                <w:rFonts w:cs="Times New Roman"/>
                <w:sz w:val="22"/>
              </w:rPr>
            </w:pPr>
            <w:r w:rsidRPr="00AE3281">
              <w:rPr>
                <w:rFonts w:cs="Times New Roman"/>
                <w:sz w:val="22"/>
              </w:rPr>
              <w:t>-</w:t>
            </w:r>
            <w:r w:rsidR="0085041F" w:rsidRPr="00AE3281">
              <w:rPr>
                <w:rFonts w:cs="Times New Roman"/>
                <w:sz w:val="22"/>
              </w:rPr>
              <w:t>0</w:t>
            </w:r>
            <w:r w:rsidRPr="00AE3281">
              <w:rPr>
                <w:rFonts w:cs="Times New Roman"/>
                <w:sz w:val="22"/>
              </w:rPr>
              <w:t>.775</w:t>
            </w:r>
            <w:r w:rsidR="0085041F" w:rsidRPr="00AE3281">
              <w:rPr>
                <w:rFonts w:cs="Times New Roman"/>
                <w:sz w:val="22"/>
              </w:rPr>
              <w:t>4</w:t>
            </w:r>
            <w:r w:rsidRPr="00AE3281">
              <w:rPr>
                <w:rFonts w:cs="Times New Roman"/>
                <w:sz w:val="22"/>
              </w:rPr>
              <w:t>***</w:t>
            </w:r>
          </w:p>
        </w:tc>
        <w:tc>
          <w:tcPr>
            <w:tcW w:w="1745" w:type="dxa"/>
          </w:tcPr>
          <w:p w14:paraId="07948DC6" w14:textId="20EA03DE" w:rsidR="005213B6" w:rsidRPr="00AE3281" w:rsidRDefault="00931808" w:rsidP="005B3738">
            <w:pPr>
              <w:keepNext/>
              <w:jc w:val="both"/>
              <w:rPr>
                <w:rFonts w:cs="Times New Roman"/>
                <w:sz w:val="22"/>
              </w:rPr>
            </w:pPr>
            <w:r w:rsidRPr="00AE3281">
              <w:rPr>
                <w:rFonts w:cs="Times New Roman"/>
                <w:sz w:val="22"/>
              </w:rPr>
              <w:t>-1.3882***</w:t>
            </w:r>
          </w:p>
        </w:tc>
        <w:tc>
          <w:tcPr>
            <w:tcW w:w="1745" w:type="dxa"/>
          </w:tcPr>
          <w:p w14:paraId="690FA4D7" w14:textId="17712B0E" w:rsidR="005213B6" w:rsidRPr="00AE3281" w:rsidRDefault="0085041F" w:rsidP="005B3738">
            <w:pPr>
              <w:keepNext/>
              <w:jc w:val="both"/>
              <w:rPr>
                <w:rFonts w:cs="Times New Roman"/>
                <w:sz w:val="22"/>
              </w:rPr>
            </w:pPr>
            <w:r w:rsidRPr="00AE3281">
              <w:rPr>
                <w:rFonts w:cs="Times New Roman"/>
                <w:sz w:val="22"/>
              </w:rPr>
              <w:t>0</w:t>
            </w:r>
            <w:r w:rsidR="00931808" w:rsidRPr="00AE3281">
              <w:rPr>
                <w:rFonts w:cs="Times New Roman"/>
                <w:sz w:val="22"/>
              </w:rPr>
              <w:t>.007</w:t>
            </w:r>
            <w:r w:rsidRPr="00AE3281">
              <w:rPr>
                <w:rFonts w:cs="Times New Roman"/>
                <w:sz w:val="22"/>
              </w:rPr>
              <w:t>9</w:t>
            </w:r>
          </w:p>
        </w:tc>
      </w:tr>
      <w:tr w:rsidR="005213B6" w:rsidRPr="00AE3281" w14:paraId="737FFB6B" w14:textId="77777777" w:rsidTr="453EBFA6">
        <w:tc>
          <w:tcPr>
            <w:tcW w:w="2087" w:type="dxa"/>
          </w:tcPr>
          <w:p w14:paraId="003DD61F" w14:textId="1EF4C5CC" w:rsidR="005213B6" w:rsidRPr="00AE3281" w:rsidRDefault="00F57316" w:rsidP="005B3738">
            <w:pPr>
              <w:keepNext/>
              <w:jc w:val="both"/>
              <w:rPr>
                <w:rFonts w:cs="Times New Roman"/>
                <w:sz w:val="22"/>
              </w:rPr>
            </w:pPr>
            <w:proofErr w:type="spellStart"/>
            <w:r w:rsidRPr="00AE3281">
              <w:rPr>
                <w:rFonts w:cs="Times New Roman"/>
                <w:sz w:val="22"/>
              </w:rPr>
              <w:t>Inter_New_System</w:t>
            </w:r>
            <w:proofErr w:type="spellEnd"/>
          </w:p>
        </w:tc>
        <w:tc>
          <w:tcPr>
            <w:tcW w:w="1745" w:type="dxa"/>
          </w:tcPr>
          <w:p w14:paraId="5F4C104B" w14:textId="492034C2" w:rsidR="005213B6" w:rsidRPr="00AE3281" w:rsidRDefault="0085041F" w:rsidP="005B3738">
            <w:pPr>
              <w:keepNext/>
              <w:jc w:val="both"/>
              <w:rPr>
                <w:rFonts w:cs="Times New Roman"/>
                <w:sz w:val="22"/>
              </w:rPr>
            </w:pPr>
            <w:r w:rsidRPr="00AE3281">
              <w:rPr>
                <w:rFonts w:cs="Times New Roman"/>
                <w:sz w:val="22"/>
              </w:rPr>
              <w:t>0</w:t>
            </w:r>
            <w:r w:rsidR="00714D2E" w:rsidRPr="00AE3281">
              <w:rPr>
                <w:rFonts w:cs="Times New Roman"/>
                <w:sz w:val="22"/>
              </w:rPr>
              <w:t>.1192</w:t>
            </w:r>
          </w:p>
        </w:tc>
        <w:tc>
          <w:tcPr>
            <w:tcW w:w="1745" w:type="dxa"/>
          </w:tcPr>
          <w:p w14:paraId="0419ED76" w14:textId="6B8D7C1E" w:rsidR="005213B6" w:rsidRPr="00AE3281" w:rsidRDefault="00714D2E" w:rsidP="005B3738">
            <w:pPr>
              <w:keepNext/>
              <w:jc w:val="both"/>
              <w:rPr>
                <w:rFonts w:cs="Times New Roman"/>
                <w:sz w:val="22"/>
              </w:rPr>
            </w:pPr>
            <w:r w:rsidRPr="00AE3281">
              <w:rPr>
                <w:rFonts w:cs="Times New Roman"/>
                <w:sz w:val="22"/>
              </w:rPr>
              <w:t>-</w:t>
            </w:r>
            <w:r w:rsidR="0085041F" w:rsidRPr="00AE3281">
              <w:rPr>
                <w:rFonts w:cs="Times New Roman"/>
                <w:sz w:val="22"/>
              </w:rPr>
              <w:t>0</w:t>
            </w:r>
            <w:r w:rsidRPr="00AE3281">
              <w:rPr>
                <w:rFonts w:cs="Times New Roman"/>
                <w:sz w:val="22"/>
              </w:rPr>
              <w:t>.9369**</w:t>
            </w:r>
          </w:p>
        </w:tc>
        <w:tc>
          <w:tcPr>
            <w:tcW w:w="1745" w:type="dxa"/>
          </w:tcPr>
          <w:p w14:paraId="71B76C0E" w14:textId="2DDF8868" w:rsidR="005213B6" w:rsidRPr="00AE3281" w:rsidRDefault="00931808" w:rsidP="005B3738">
            <w:pPr>
              <w:keepNext/>
              <w:jc w:val="both"/>
              <w:rPr>
                <w:rFonts w:cs="Times New Roman"/>
                <w:sz w:val="22"/>
              </w:rPr>
            </w:pPr>
            <w:r w:rsidRPr="00AE3281">
              <w:rPr>
                <w:rFonts w:cs="Times New Roman"/>
                <w:sz w:val="22"/>
              </w:rPr>
              <w:t>-1.3999***</w:t>
            </w:r>
          </w:p>
        </w:tc>
        <w:tc>
          <w:tcPr>
            <w:tcW w:w="1745" w:type="dxa"/>
          </w:tcPr>
          <w:p w14:paraId="24B94B06" w14:textId="3B1A732A" w:rsidR="005213B6" w:rsidRPr="00AE3281" w:rsidRDefault="00931808" w:rsidP="005B3738">
            <w:pPr>
              <w:keepNext/>
              <w:jc w:val="both"/>
              <w:rPr>
                <w:rFonts w:cs="Times New Roman"/>
                <w:sz w:val="22"/>
              </w:rPr>
            </w:pPr>
            <w:r w:rsidRPr="00AE3281">
              <w:rPr>
                <w:rFonts w:cs="Times New Roman"/>
                <w:sz w:val="22"/>
              </w:rPr>
              <w:t>-</w:t>
            </w:r>
            <w:r w:rsidR="0085041F" w:rsidRPr="00AE3281">
              <w:rPr>
                <w:rFonts w:cs="Times New Roman"/>
                <w:sz w:val="22"/>
              </w:rPr>
              <w:t>0</w:t>
            </w:r>
            <w:r w:rsidRPr="00AE3281">
              <w:rPr>
                <w:rFonts w:cs="Times New Roman"/>
                <w:sz w:val="22"/>
              </w:rPr>
              <w:t>.0159</w:t>
            </w:r>
            <w:r w:rsidR="00A91342" w:rsidRPr="00AE3281">
              <w:rPr>
                <w:rFonts w:cs="Times New Roman"/>
                <w:sz w:val="22"/>
              </w:rPr>
              <w:t>3</w:t>
            </w:r>
            <w:r w:rsidRPr="00AE3281">
              <w:rPr>
                <w:rFonts w:cs="Times New Roman"/>
                <w:sz w:val="22"/>
              </w:rPr>
              <w:t>*</w:t>
            </w:r>
          </w:p>
        </w:tc>
      </w:tr>
      <w:tr w:rsidR="005213B6" w:rsidRPr="00AE3281" w14:paraId="0A70F6FC" w14:textId="77777777" w:rsidTr="453EBFA6">
        <w:trPr>
          <w:trHeight w:hRule="exact" w:val="113"/>
        </w:trPr>
        <w:tc>
          <w:tcPr>
            <w:tcW w:w="2087" w:type="dxa"/>
            <w:tcBorders>
              <w:bottom w:val="single" w:sz="4" w:space="0" w:color="auto"/>
            </w:tcBorders>
          </w:tcPr>
          <w:p w14:paraId="58941480" w14:textId="77777777" w:rsidR="005213B6" w:rsidRPr="00AE3281" w:rsidRDefault="005213B6" w:rsidP="005B3738">
            <w:pPr>
              <w:keepNext/>
              <w:jc w:val="both"/>
              <w:rPr>
                <w:rFonts w:cs="Times New Roman"/>
                <w:sz w:val="22"/>
              </w:rPr>
            </w:pPr>
          </w:p>
        </w:tc>
        <w:tc>
          <w:tcPr>
            <w:tcW w:w="1745" w:type="dxa"/>
            <w:tcBorders>
              <w:bottom w:val="single" w:sz="4" w:space="0" w:color="auto"/>
            </w:tcBorders>
          </w:tcPr>
          <w:p w14:paraId="43E34598" w14:textId="77777777" w:rsidR="005213B6" w:rsidRPr="00AE3281" w:rsidRDefault="005213B6" w:rsidP="005B3738">
            <w:pPr>
              <w:keepNext/>
              <w:jc w:val="both"/>
              <w:rPr>
                <w:rFonts w:cs="Times New Roman"/>
                <w:sz w:val="22"/>
              </w:rPr>
            </w:pPr>
          </w:p>
        </w:tc>
        <w:tc>
          <w:tcPr>
            <w:tcW w:w="1745" w:type="dxa"/>
            <w:tcBorders>
              <w:bottom w:val="single" w:sz="4" w:space="0" w:color="auto"/>
            </w:tcBorders>
          </w:tcPr>
          <w:p w14:paraId="00F1C2EC" w14:textId="77777777" w:rsidR="005213B6" w:rsidRPr="00AE3281" w:rsidRDefault="005213B6" w:rsidP="005B3738">
            <w:pPr>
              <w:keepNext/>
              <w:jc w:val="both"/>
              <w:rPr>
                <w:rFonts w:cs="Times New Roman"/>
                <w:sz w:val="22"/>
              </w:rPr>
            </w:pPr>
          </w:p>
        </w:tc>
        <w:tc>
          <w:tcPr>
            <w:tcW w:w="1745" w:type="dxa"/>
            <w:tcBorders>
              <w:bottom w:val="single" w:sz="4" w:space="0" w:color="auto"/>
            </w:tcBorders>
          </w:tcPr>
          <w:p w14:paraId="55CF7E06" w14:textId="77777777" w:rsidR="005213B6" w:rsidRPr="00AE3281" w:rsidRDefault="005213B6" w:rsidP="005B3738">
            <w:pPr>
              <w:keepNext/>
              <w:jc w:val="both"/>
              <w:rPr>
                <w:rFonts w:cs="Times New Roman"/>
                <w:sz w:val="22"/>
              </w:rPr>
            </w:pPr>
          </w:p>
        </w:tc>
        <w:tc>
          <w:tcPr>
            <w:tcW w:w="1745" w:type="dxa"/>
            <w:tcBorders>
              <w:bottom w:val="single" w:sz="4" w:space="0" w:color="auto"/>
            </w:tcBorders>
          </w:tcPr>
          <w:p w14:paraId="14227F0E" w14:textId="77777777" w:rsidR="005213B6" w:rsidRPr="00AE3281" w:rsidRDefault="005213B6" w:rsidP="005B3738">
            <w:pPr>
              <w:keepNext/>
              <w:jc w:val="both"/>
              <w:rPr>
                <w:rFonts w:cs="Times New Roman"/>
                <w:sz w:val="22"/>
              </w:rPr>
            </w:pPr>
          </w:p>
        </w:tc>
      </w:tr>
    </w:tbl>
    <w:p w14:paraId="0DEFAB7F" w14:textId="77777777" w:rsidR="0085041F" w:rsidRPr="00AE3281" w:rsidRDefault="0085041F" w:rsidP="0085041F">
      <w:pPr>
        <w:jc w:val="both"/>
        <w:rPr>
          <w:rFonts w:cs="Times New Roman"/>
          <w:sz w:val="20"/>
          <w:szCs w:val="20"/>
          <w:lang w:val="en-US"/>
        </w:rPr>
      </w:pPr>
      <w:r w:rsidRPr="00AE3281">
        <w:rPr>
          <w:rFonts w:cs="Times New Roman"/>
          <w:sz w:val="20"/>
          <w:szCs w:val="20"/>
        </w:rPr>
        <w:t>Source: our elaborations. * p&lt;0.05, ** p&lt;0.01, *** p&lt;0.001.</w:t>
      </w:r>
    </w:p>
    <w:p w14:paraId="6FBB063A" w14:textId="77777777" w:rsidR="00A0679F" w:rsidRPr="00AE3281" w:rsidRDefault="00A0679F" w:rsidP="005B3738">
      <w:pPr>
        <w:jc w:val="both"/>
        <w:rPr>
          <w:rFonts w:cs="Times New Roman"/>
          <w:szCs w:val="24"/>
          <w:lang w:val="en-US"/>
        </w:rPr>
      </w:pPr>
    </w:p>
    <w:p w14:paraId="40F9C5D9" w14:textId="2E9A2D1A" w:rsidR="00DC5533" w:rsidRPr="00AE3281" w:rsidRDefault="453EBFA6" w:rsidP="005B3738">
      <w:pPr>
        <w:spacing w:after="0"/>
        <w:jc w:val="both"/>
        <w:rPr>
          <w:rFonts w:cs="Times New Roman"/>
        </w:rPr>
      </w:pPr>
      <w:r w:rsidRPr="453EBFA6">
        <w:rPr>
          <w:rFonts w:cs="Times New Roman"/>
        </w:rPr>
        <w:t>In detail, we focus on self-employment and log hourly earnings (the first column only reports results from table 2, to help comparisons). We also compare self-employment versus employment. Starting from the second column, post-vote differences (2016-2020 period) are rather smaller and often statistically insignificant</w:t>
      </w:r>
      <w:r w:rsidRPr="453EBFA6">
        <w:rPr>
          <w:rFonts w:eastAsiaTheme="minorEastAsia" w:cs="Times New Roman"/>
        </w:rPr>
        <w:t xml:space="preserve">. These coefficients include the A8 and A2 </w:t>
      </w:r>
      <w:r w:rsidRPr="453EBFA6">
        <w:rPr>
          <w:rFonts w:cs="Times New Roman"/>
        </w:rPr>
        <w:t xml:space="preserve">nationals that have turned to self-employment </w:t>
      </w:r>
      <w:proofErr w:type="gramStart"/>
      <w:r w:rsidRPr="453EBFA6">
        <w:rPr>
          <w:rFonts w:cs="Times New Roman"/>
        </w:rPr>
        <w:t>as a means to</w:t>
      </w:r>
      <w:proofErr w:type="gramEnd"/>
      <w:r w:rsidRPr="453EBFA6">
        <w:rPr>
          <w:rFonts w:cs="Times New Roman"/>
        </w:rPr>
        <w:t xml:space="preserve"> evade the transitional arrangements introduced right after the EU enlargement in 2004 and 2007, leading at that time to an increase in self-employment rates. </w:t>
      </w:r>
      <w:proofErr w:type="gramStart"/>
      <w:r w:rsidRPr="453EBFA6">
        <w:rPr>
          <w:rFonts w:cs="Times New Roman"/>
        </w:rPr>
        <w:t>Later on</w:t>
      </w:r>
      <w:proofErr w:type="gramEnd"/>
      <w:r w:rsidRPr="453EBFA6">
        <w:rPr>
          <w:rFonts w:cs="Times New Roman"/>
        </w:rPr>
        <w:t xml:space="preserve">, the removal of those transitional arrangements reduced the self-employment rates of A2 nationals, but seemingly had no effect on the self-employment rates of A8 nationals as demonstrated by </w:t>
      </w:r>
      <w:proofErr w:type="spellStart"/>
      <w:r w:rsidRPr="453EBFA6">
        <w:rPr>
          <w:rFonts w:cs="Times New Roman"/>
        </w:rPr>
        <w:t>Ulceluse</w:t>
      </w:r>
      <w:proofErr w:type="spellEnd"/>
      <w:r w:rsidRPr="453EBFA6">
        <w:rPr>
          <w:rFonts w:cs="Times New Roman"/>
        </w:rPr>
        <w:t xml:space="preserve"> and </w:t>
      </w:r>
      <w:proofErr w:type="spellStart"/>
      <w:r w:rsidRPr="453EBFA6">
        <w:rPr>
          <w:rFonts w:cs="Times New Roman"/>
        </w:rPr>
        <w:t>and</w:t>
      </w:r>
      <w:proofErr w:type="spellEnd"/>
      <w:r w:rsidRPr="453EBFA6">
        <w:rPr>
          <w:rFonts w:cs="Times New Roman"/>
        </w:rPr>
        <w:t xml:space="preserve"> </w:t>
      </w:r>
      <w:proofErr w:type="spellStart"/>
      <w:r w:rsidRPr="453EBFA6">
        <w:rPr>
          <w:rFonts w:cs="Times New Roman"/>
        </w:rPr>
        <w:t>Kahanec</w:t>
      </w:r>
      <w:proofErr w:type="spellEnd"/>
      <w:r w:rsidRPr="453EBFA6">
        <w:rPr>
          <w:rFonts w:cs="Times New Roman"/>
        </w:rPr>
        <w:t xml:space="preserve"> (2023). </w:t>
      </w:r>
    </w:p>
    <w:p w14:paraId="2CFD1A66" w14:textId="77777777" w:rsidR="00D03DA4" w:rsidRPr="00AE3281" w:rsidRDefault="00D03DA4" w:rsidP="005B3738">
      <w:pPr>
        <w:spacing w:after="0"/>
        <w:jc w:val="both"/>
        <w:rPr>
          <w:rFonts w:cs="Times New Roman"/>
        </w:rPr>
      </w:pPr>
    </w:p>
    <w:p w14:paraId="57D31DD0" w14:textId="28E82CBF" w:rsidR="00B0784A" w:rsidRPr="00AE3281" w:rsidRDefault="41F128EC" w:rsidP="005B3738">
      <w:pPr>
        <w:jc w:val="both"/>
        <w:rPr>
          <w:rFonts w:cs="Times New Roman"/>
        </w:rPr>
      </w:pPr>
      <w:r w:rsidRPr="00AE3281">
        <w:rPr>
          <w:rFonts w:cs="Times New Roman"/>
        </w:rPr>
        <w:t xml:space="preserve">Results are instead strongly significant when we refer to the post-2021 </w:t>
      </w:r>
      <w:proofErr w:type="spellStart"/>
      <w:r w:rsidRPr="00AE3281">
        <w:rPr>
          <w:rFonts w:cs="Times New Roman"/>
        </w:rPr>
        <w:t>DiD</w:t>
      </w:r>
      <w:proofErr w:type="spellEnd"/>
      <w:r w:rsidRPr="00AE3281">
        <w:rPr>
          <w:rFonts w:cs="Times New Roman"/>
        </w:rPr>
        <w:t xml:space="preserve"> term. The negative impact on EU nationals is </w:t>
      </w:r>
      <w:r w:rsidR="008747FC" w:rsidRPr="00AE3281">
        <w:rPr>
          <w:rFonts w:cs="Times New Roman"/>
        </w:rPr>
        <w:t xml:space="preserve">indeed </w:t>
      </w:r>
      <w:r w:rsidRPr="00AE3281">
        <w:rPr>
          <w:rFonts w:cs="Times New Roman"/>
        </w:rPr>
        <w:t xml:space="preserve">clear </w:t>
      </w:r>
      <w:r w:rsidR="00832949" w:rsidRPr="00AE3281">
        <w:rPr>
          <w:rFonts w:cs="Times New Roman"/>
        </w:rPr>
        <w:t>concerning</w:t>
      </w:r>
      <w:r w:rsidRPr="00AE3281">
        <w:rPr>
          <w:rFonts w:cs="Times New Roman"/>
        </w:rPr>
        <w:t xml:space="preserve"> all the outcome measures</w:t>
      </w:r>
      <w:r w:rsidR="008747FC" w:rsidRPr="00AE3281">
        <w:rPr>
          <w:rFonts w:cs="Times New Roman"/>
        </w:rPr>
        <w:t>.</w:t>
      </w:r>
    </w:p>
    <w:p w14:paraId="7181CC4A" w14:textId="77777777" w:rsidR="00B0784A" w:rsidRPr="00AE3281" w:rsidRDefault="00B0784A" w:rsidP="005B3738">
      <w:pPr>
        <w:jc w:val="both"/>
        <w:rPr>
          <w:rFonts w:cs="Times New Roman"/>
          <w:szCs w:val="24"/>
        </w:rPr>
      </w:pPr>
    </w:p>
    <w:p w14:paraId="072B1699" w14:textId="13E2E303" w:rsidR="006B6D85" w:rsidRPr="00AE3281" w:rsidRDefault="006B6D85" w:rsidP="005B3738">
      <w:pPr>
        <w:jc w:val="both"/>
        <w:rPr>
          <w:rFonts w:cs="Times New Roman"/>
          <w:b/>
          <w:bCs/>
        </w:rPr>
      </w:pPr>
      <w:r w:rsidRPr="00AE3281">
        <w:rPr>
          <w:rFonts w:cs="Times New Roman"/>
          <w:b/>
          <w:bCs/>
        </w:rPr>
        <w:t>Employment sector</w:t>
      </w:r>
    </w:p>
    <w:p w14:paraId="5F3CEA5A" w14:textId="7A8E9580" w:rsidR="006B6D85" w:rsidRPr="00AE3281" w:rsidRDefault="3B057B99" w:rsidP="005B3738">
      <w:pPr>
        <w:jc w:val="both"/>
        <w:rPr>
          <w:rFonts w:cs="Times New Roman"/>
        </w:rPr>
      </w:pPr>
      <w:r w:rsidRPr="00AE3281">
        <w:rPr>
          <w:rFonts w:cs="Times New Roman"/>
        </w:rPr>
        <w:t>Table 4 provides Difference-in-Differences (</w:t>
      </w:r>
      <w:proofErr w:type="spellStart"/>
      <w:r w:rsidRPr="00AE3281">
        <w:rPr>
          <w:rFonts w:cs="Times New Roman"/>
        </w:rPr>
        <w:t>DiD</w:t>
      </w:r>
      <w:proofErr w:type="spellEnd"/>
      <w:r w:rsidRPr="00AE3281">
        <w:rPr>
          <w:rFonts w:cs="Times New Roman"/>
        </w:rPr>
        <w:t>) coefficients for different sectors of industry. The sectors include Agriculture, Building services (Construction), Banking &amp; Finance, and two categories of manual jobs. Following the same identification strategy, the table displays the coefficients for two interaction terms: one for the Brexit vote in June 2016 (till the end of 2020), and one for the period after 2021 (following changes in regulations).</w:t>
      </w:r>
    </w:p>
    <w:p w14:paraId="31CA90BD" w14:textId="77777777" w:rsidR="00496DB9" w:rsidRPr="00AE3281" w:rsidRDefault="00496DB9" w:rsidP="005B3738">
      <w:pPr>
        <w:jc w:val="both"/>
        <w:rPr>
          <w:rFonts w:cs="Times New Roman"/>
          <w:szCs w:val="24"/>
        </w:rPr>
      </w:pPr>
    </w:p>
    <w:p w14:paraId="47414525" w14:textId="3AB67909" w:rsidR="00F45A1A" w:rsidRPr="00AE3281" w:rsidRDefault="4FCF3351" w:rsidP="005B3738">
      <w:pPr>
        <w:pStyle w:val="Caption"/>
        <w:keepNext/>
        <w:jc w:val="both"/>
        <w:rPr>
          <w:rFonts w:cs="Times New Roman"/>
          <w:sz w:val="22"/>
          <w:szCs w:val="22"/>
        </w:rPr>
      </w:pPr>
      <w:r w:rsidRPr="00AE3281">
        <w:rPr>
          <w:rFonts w:cs="Times New Roman"/>
          <w:sz w:val="22"/>
          <w:szCs w:val="22"/>
        </w:rPr>
        <w:lastRenderedPageBreak/>
        <w:t xml:space="preserve">Table </w:t>
      </w:r>
      <w:r w:rsidR="00F45A1A" w:rsidRPr="00AE3281">
        <w:rPr>
          <w:rFonts w:cs="Times New Roman"/>
          <w:noProof/>
          <w:sz w:val="22"/>
          <w:szCs w:val="22"/>
        </w:rPr>
        <w:fldChar w:fldCharType="begin"/>
      </w:r>
      <w:r w:rsidR="00F45A1A" w:rsidRPr="00AE3281">
        <w:rPr>
          <w:rFonts w:cs="Times New Roman"/>
          <w:noProof/>
          <w:sz w:val="22"/>
          <w:szCs w:val="22"/>
        </w:rPr>
        <w:instrText xml:space="preserve"> SEQ Table \* ARABIC </w:instrText>
      </w:r>
      <w:r w:rsidR="00F45A1A" w:rsidRPr="00AE3281">
        <w:rPr>
          <w:rFonts w:cs="Times New Roman"/>
          <w:noProof/>
          <w:sz w:val="22"/>
          <w:szCs w:val="22"/>
        </w:rPr>
        <w:fldChar w:fldCharType="separate"/>
      </w:r>
      <w:r w:rsidR="00C57AAA">
        <w:rPr>
          <w:rFonts w:cs="Times New Roman"/>
          <w:noProof/>
          <w:sz w:val="22"/>
          <w:szCs w:val="22"/>
        </w:rPr>
        <w:t>4</w:t>
      </w:r>
      <w:r w:rsidR="00F45A1A" w:rsidRPr="00AE3281">
        <w:rPr>
          <w:rFonts w:cs="Times New Roman"/>
          <w:noProof/>
          <w:sz w:val="22"/>
          <w:szCs w:val="22"/>
        </w:rPr>
        <w:fldChar w:fldCharType="end"/>
      </w:r>
      <w:r w:rsidR="00F45A1A" w:rsidRPr="00AE3281">
        <w:rPr>
          <w:rFonts w:cs="Times New Roman"/>
          <w:sz w:val="22"/>
          <w:szCs w:val="22"/>
        </w:rPr>
        <w:tab/>
      </w:r>
      <w:proofErr w:type="spellStart"/>
      <w:r w:rsidRPr="00AE3281">
        <w:rPr>
          <w:rFonts w:cs="Times New Roman"/>
          <w:sz w:val="22"/>
          <w:szCs w:val="22"/>
        </w:rPr>
        <w:t>DiD</w:t>
      </w:r>
      <w:proofErr w:type="spellEnd"/>
      <w:r w:rsidRPr="00AE3281">
        <w:rPr>
          <w:rFonts w:cs="Times New Roman"/>
          <w:sz w:val="22"/>
          <w:szCs w:val="22"/>
        </w:rPr>
        <w:t xml:space="preserve"> coefficients for industrial sector.</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1349"/>
        <w:gridCol w:w="1492"/>
        <w:gridCol w:w="1482"/>
        <w:gridCol w:w="1489"/>
        <w:gridCol w:w="1489"/>
      </w:tblGrid>
      <w:tr w:rsidR="00433FD4" w:rsidRPr="00AE3281" w14:paraId="03A17902" w14:textId="77777777" w:rsidTr="453EBFA6">
        <w:trPr>
          <w:trHeight w:hRule="exact" w:val="113"/>
        </w:trPr>
        <w:tc>
          <w:tcPr>
            <w:tcW w:w="2055" w:type="dxa"/>
            <w:tcBorders>
              <w:top w:val="single" w:sz="4" w:space="0" w:color="auto"/>
            </w:tcBorders>
          </w:tcPr>
          <w:p w14:paraId="2E0669FE" w14:textId="77777777" w:rsidR="00433FD4" w:rsidRPr="00AE3281" w:rsidRDefault="00433FD4" w:rsidP="005B3738">
            <w:pPr>
              <w:keepNext/>
              <w:jc w:val="both"/>
              <w:rPr>
                <w:rFonts w:cs="Times New Roman"/>
                <w:sz w:val="22"/>
              </w:rPr>
            </w:pPr>
          </w:p>
        </w:tc>
        <w:tc>
          <w:tcPr>
            <w:tcW w:w="1349" w:type="dxa"/>
            <w:tcBorders>
              <w:top w:val="single" w:sz="4" w:space="0" w:color="auto"/>
            </w:tcBorders>
          </w:tcPr>
          <w:p w14:paraId="471D0F0A" w14:textId="77777777" w:rsidR="00433FD4" w:rsidRPr="00AE3281" w:rsidRDefault="00433FD4" w:rsidP="005B3738">
            <w:pPr>
              <w:keepNext/>
              <w:jc w:val="both"/>
              <w:rPr>
                <w:rFonts w:cs="Times New Roman"/>
                <w:sz w:val="22"/>
              </w:rPr>
            </w:pPr>
          </w:p>
        </w:tc>
        <w:tc>
          <w:tcPr>
            <w:tcW w:w="1492" w:type="dxa"/>
            <w:tcBorders>
              <w:top w:val="single" w:sz="4" w:space="0" w:color="auto"/>
            </w:tcBorders>
          </w:tcPr>
          <w:p w14:paraId="40D6BD56" w14:textId="77777777" w:rsidR="00433FD4" w:rsidRPr="00AE3281" w:rsidRDefault="00433FD4" w:rsidP="005B3738">
            <w:pPr>
              <w:keepNext/>
              <w:jc w:val="both"/>
              <w:rPr>
                <w:rFonts w:cs="Times New Roman"/>
                <w:sz w:val="22"/>
              </w:rPr>
            </w:pPr>
          </w:p>
        </w:tc>
        <w:tc>
          <w:tcPr>
            <w:tcW w:w="1482" w:type="dxa"/>
            <w:tcBorders>
              <w:top w:val="single" w:sz="4" w:space="0" w:color="auto"/>
            </w:tcBorders>
          </w:tcPr>
          <w:p w14:paraId="54666B0E" w14:textId="77777777" w:rsidR="00433FD4" w:rsidRPr="00AE3281" w:rsidRDefault="00433FD4" w:rsidP="005B3738">
            <w:pPr>
              <w:keepNext/>
              <w:jc w:val="both"/>
              <w:rPr>
                <w:rFonts w:cs="Times New Roman"/>
                <w:sz w:val="22"/>
              </w:rPr>
            </w:pPr>
          </w:p>
        </w:tc>
        <w:tc>
          <w:tcPr>
            <w:tcW w:w="1489" w:type="dxa"/>
            <w:tcBorders>
              <w:top w:val="single" w:sz="4" w:space="0" w:color="auto"/>
            </w:tcBorders>
          </w:tcPr>
          <w:p w14:paraId="092A69C2" w14:textId="3AB1DC8A" w:rsidR="00433FD4" w:rsidRPr="00AE3281" w:rsidRDefault="00433FD4" w:rsidP="005B3738">
            <w:pPr>
              <w:keepNext/>
              <w:jc w:val="both"/>
              <w:rPr>
                <w:rFonts w:cs="Times New Roman"/>
                <w:sz w:val="22"/>
              </w:rPr>
            </w:pPr>
          </w:p>
        </w:tc>
        <w:tc>
          <w:tcPr>
            <w:tcW w:w="1489" w:type="dxa"/>
            <w:tcBorders>
              <w:top w:val="single" w:sz="4" w:space="0" w:color="auto"/>
            </w:tcBorders>
          </w:tcPr>
          <w:p w14:paraId="3B27DEF7" w14:textId="77777777" w:rsidR="00433FD4" w:rsidRPr="00AE3281" w:rsidRDefault="00433FD4" w:rsidP="005B3738">
            <w:pPr>
              <w:keepNext/>
              <w:jc w:val="both"/>
              <w:rPr>
                <w:rFonts w:cs="Times New Roman"/>
                <w:sz w:val="22"/>
              </w:rPr>
            </w:pPr>
          </w:p>
        </w:tc>
      </w:tr>
      <w:tr w:rsidR="00433FD4" w:rsidRPr="00AE3281" w14:paraId="29EBABBA" w14:textId="77777777" w:rsidTr="453EBFA6">
        <w:tc>
          <w:tcPr>
            <w:tcW w:w="2055" w:type="dxa"/>
          </w:tcPr>
          <w:p w14:paraId="64ABFBF2" w14:textId="77777777" w:rsidR="00433FD4" w:rsidRPr="00AE3281" w:rsidRDefault="00433FD4" w:rsidP="005B3738">
            <w:pPr>
              <w:keepNext/>
              <w:jc w:val="both"/>
              <w:rPr>
                <w:rFonts w:cs="Times New Roman"/>
                <w:b/>
                <w:bCs/>
                <w:sz w:val="22"/>
              </w:rPr>
            </w:pPr>
          </w:p>
        </w:tc>
        <w:tc>
          <w:tcPr>
            <w:tcW w:w="1349" w:type="dxa"/>
          </w:tcPr>
          <w:p w14:paraId="34ED51ED" w14:textId="03F4D8F1" w:rsidR="00433FD4" w:rsidRPr="00AE3281" w:rsidRDefault="00433FD4" w:rsidP="005B3738">
            <w:pPr>
              <w:keepNext/>
              <w:jc w:val="both"/>
              <w:rPr>
                <w:rFonts w:cs="Times New Roman"/>
                <w:sz w:val="22"/>
              </w:rPr>
            </w:pPr>
            <w:r w:rsidRPr="00AE3281">
              <w:rPr>
                <w:rFonts w:cs="Times New Roman"/>
                <w:sz w:val="22"/>
              </w:rPr>
              <w:t>Agriculture</w:t>
            </w:r>
          </w:p>
        </w:tc>
        <w:tc>
          <w:tcPr>
            <w:tcW w:w="1492" w:type="dxa"/>
          </w:tcPr>
          <w:p w14:paraId="0F6CB0DD" w14:textId="5705C8FA" w:rsidR="00433FD4" w:rsidRPr="00AE3281" w:rsidRDefault="005A3800" w:rsidP="005B3738">
            <w:pPr>
              <w:keepNext/>
              <w:jc w:val="both"/>
              <w:rPr>
                <w:rFonts w:cs="Times New Roman"/>
                <w:sz w:val="22"/>
              </w:rPr>
            </w:pPr>
            <w:r w:rsidRPr="00AE3281">
              <w:rPr>
                <w:rFonts w:cs="Times New Roman"/>
                <w:sz w:val="22"/>
              </w:rPr>
              <w:t>Construction</w:t>
            </w:r>
          </w:p>
        </w:tc>
        <w:tc>
          <w:tcPr>
            <w:tcW w:w="1482" w:type="dxa"/>
          </w:tcPr>
          <w:p w14:paraId="5EF03763" w14:textId="33BB3868" w:rsidR="00433FD4" w:rsidRPr="00AE3281" w:rsidRDefault="00433FD4" w:rsidP="00F54F52">
            <w:pPr>
              <w:keepNext/>
              <w:rPr>
                <w:rFonts w:cs="Times New Roman"/>
                <w:sz w:val="22"/>
              </w:rPr>
            </w:pPr>
            <w:r w:rsidRPr="00AE3281">
              <w:rPr>
                <w:rFonts w:cs="Times New Roman"/>
                <w:sz w:val="22"/>
              </w:rPr>
              <w:t>Banking &amp; Finance</w:t>
            </w:r>
          </w:p>
        </w:tc>
        <w:tc>
          <w:tcPr>
            <w:tcW w:w="1489" w:type="dxa"/>
          </w:tcPr>
          <w:p w14:paraId="57C9D7DD" w14:textId="7825D884" w:rsidR="00433FD4" w:rsidRPr="00AE3281" w:rsidRDefault="00433FD4" w:rsidP="005B3738">
            <w:pPr>
              <w:keepNext/>
              <w:jc w:val="both"/>
              <w:rPr>
                <w:rFonts w:cs="Times New Roman"/>
                <w:sz w:val="22"/>
              </w:rPr>
            </w:pPr>
            <w:r w:rsidRPr="00AE3281">
              <w:rPr>
                <w:rFonts w:cs="Times New Roman"/>
                <w:sz w:val="22"/>
              </w:rPr>
              <w:t>Manual jobs (‘routine’)</w:t>
            </w:r>
          </w:p>
        </w:tc>
        <w:tc>
          <w:tcPr>
            <w:tcW w:w="1489" w:type="dxa"/>
          </w:tcPr>
          <w:p w14:paraId="756B215C" w14:textId="7820904C" w:rsidR="00433FD4" w:rsidRPr="00AE3281" w:rsidRDefault="00433FD4" w:rsidP="005B3738">
            <w:pPr>
              <w:keepNext/>
              <w:jc w:val="both"/>
              <w:rPr>
                <w:rFonts w:cs="Times New Roman"/>
                <w:sz w:val="22"/>
              </w:rPr>
            </w:pPr>
            <w:r w:rsidRPr="00AE3281">
              <w:rPr>
                <w:rFonts w:cs="Times New Roman"/>
                <w:sz w:val="22"/>
              </w:rPr>
              <w:t>Manual jobs (‘routine’ + ‘semi- routine’)</w:t>
            </w:r>
          </w:p>
        </w:tc>
      </w:tr>
      <w:tr w:rsidR="00F54F52" w:rsidRPr="00AE3281" w14:paraId="5CDCE869" w14:textId="77777777" w:rsidTr="453EBFA6">
        <w:trPr>
          <w:trHeight w:hRule="exact" w:val="113"/>
        </w:trPr>
        <w:tc>
          <w:tcPr>
            <w:tcW w:w="2055" w:type="dxa"/>
            <w:tcBorders>
              <w:bottom w:val="single" w:sz="4" w:space="0" w:color="auto"/>
            </w:tcBorders>
          </w:tcPr>
          <w:p w14:paraId="2247DFAD" w14:textId="77777777" w:rsidR="00F54F52" w:rsidRPr="00AE3281" w:rsidRDefault="00F54F52" w:rsidP="005B3738">
            <w:pPr>
              <w:keepNext/>
              <w:jc w:val="both"/>
              <w:rPr>
                <w:rFonts w:cs="Times New Roman"/>
                <w:b/>
                <w:bCs/>
                <w:sz w:val="22"/>
              </w:rPr>
            </w:pPr>
          </w:p>
        </w:tc>
        <w:tc>
          <w:tcPr>
            <w:tcW w:w="1349" w:type="dxa"/>
            <w:tcBorders>
              <w:bottom w:val="single" w:sz="4" w:space="0" w:color="auto"/>
            </w:tcBorders>
          </w:tcPr>
          <w:p w14:paraId="3A5CA546" w14:textId="77777777" w:rsidR="00F54F52" w:rsidRPr="00AE3281" w:rsidRDefault="00F54F52" w:rsidP="005B3738">
            <w:pPr>
              <w:keepNext/>
              <w:jc w:val="both"/>
              <w:rPr>
                <w:rFonts w:cs="Times New Roman"/>
                <w:sz w:val="22"/>
              </w:rPr>
            </w:pPr>
          </w:p>
        </w:tc>
        <w:tc>
          <w:tcPr>
            <w:tcW w:w="1492" w:type="dxa"/>
            <w:tcBorders>
              <w:bottom w:val="single" w:sz="4" w:space="0" w:color="auto"/>
            </w:tcBorders>
          </w:tcPr>
          <w:p w14:paraId="0F3D3577" w14:textId="77777777" w:rsidR="00F54F52" w:rsidRPr="00AE3281" w:rsidRDefault="00F54F52" w:rsidP="005B3738">
            <w:pPr>
              <w:keepNext/>
              <w:jc w:val="both"/>
              <w:rPr>
                <w:rFonts w:cs="Times New Roman"/>
                <w:sz w:val="22"/>
              </w:rPr>
            </w:pPr>
          </w:p>
        </w:tc>
        <w:tc>
          <w:tcPr>
            <w:tcW w:w="1482" w:type="dxa"/>
            <w:tcBorders>
              <w:bottom w:val="single" w:sz="4" w:space="0" w:color="auto"/>
            </w:tcBorders>
          </w:tcPr>
          <w:p w14:paraId="3A38D133" w14:textId="77777777" w:rsidR="00F54F52" w:rsidRPr="00AE3281" w:rsidRDefault="00F54F52" w:rsidP="005B3738">
            <w:pPr>
              <w:keepNext/>
              <w:jc w:val="both"/>
              <w:rPr>
                <w:rFonts w:cs="Times New Roman"/>
                <w:sz w:val="22"/>
              </w:rPr>
            </w:pPr>
          </w:p>
        </w:tc>
        <w:tc>
          <w:tcPr>
            <w:tcW w:w="1489" w:type="dxa"/>
            <w:tcBorders>
              <w:bottom w:val="single" w:sz="4" w:space="0" w:color="auto"/>
            </w:tcBorders>
          </w:tcPr>
          <w:p w14:paraId="30BE697F" w14:textId="77777777" w:rsidR="00F54F52" w:rsidRPr="00AE3281" w:rsidRDefault="00F54F52" w:rsidP="005B3738">
            <w:pPr>
              <w:keepNext/>
              <w:jc w:val="both"/>
              <w:rPr>
                <w:rFonts w:cs="Times New Roman"/>
                <w:sz w:val="22"/>
              </w:rPr>
            </w:pPr>
          </w:p>
        </w:tc>
        <w:tc>
          <w:tcPr>
            <w:tcW w:w="1489" w:type="dxa"/>
            <w:tcBorders>
              <w:bottom w:val="single" w:sz="4" w:space="0" w:color="auto"/>
            </w:tcBorders>
          </w:tcPr>
          <w:p w14:paraId="13E1EA0E" w14:textId="77777777" w:rsidR="00F54F52" w:rsidRPr="00AE3281" w:rsidRDefault="00F54F52" w:rsidP="005B3738">
            <w:pPr>
              <w:keepNext/>
              <w:jc w:val="both"/>
              <w:rPr>
                <w:rFonts w:cs="Times New Roman"/>
                <w:sz w:val="22"/>
              </w:rPr>
            </w:pPr>
          </w:p>
        </w:tc>
      </w:tr>
      <w:tr w:rsidR="453EBFA6" w14:paraId="71E75EE8" w14:textId="77777777" w:rsidTr="453EBFA6">
        <w:trPr>
          <w:trHeight w:val="300"/>
        </w:trPr>
        <w:tc>
          <w:tcPr>
            <w:tcW w:w="2055" w:type="dxa"/>
            <w:tcBorders>
              <w:top w:val="single" w:sz="4" w:space="0" w:color="auto"/>
              <w:bottom w:val="none" w:sz="4" w:space="0" w:color="000000" w:themeColor="text1"/>
            </w:tcBorders>
          </w:tcPr>
          <w:p w14:paraId="6C840742" w14:textId="14D05614" w:rsidR="453EBFA6" w:rsidRDefault="453EBFA6" w:rsidP="453EBFA6">
            <w:pPr>
              <w:jc w:val="both"/>
              <w:rPr>
                <w:rFonts w:cs="Times New Roman"/>
                <w:b/>
                <w:bCs/>
                <w:sz w:val="22"/>
              </w:rPr>
            </w:pPr>
          </w:p>
        </w:tc>
        <w:tc>
          <w:tcPr>
            <w:tcW w:w="1349" w:type="dxa"/>
            <w:tcBorders>
              <w:top w:val="single" w:sz="4" w:space="0" w:color="auto"/>
              <w:bottom w:val="none" w:sz="4" w:space="0" w:color="000000" w:themeColor="text1"/>
            </w:tcBorders>
          </w:tcPr>
          <w:p w14:paraId="0D68CB70" w14:textId="0872F657" w:rsidR="453EBFA6" w:rsidRDefault="453EBFA6" w:rsidP="453EBFA6">
            <w:pPr>
              <w:jc w:val="both"/>
              <w:rPr>
                <w:rFonts w:cs="Times New Roman"/>
                <w:sz w:val="22"/>
              </w:rPr>
            </w:pPr>
          </w:p>
        </w:tc>
        <w:tc>
          <w:tcPr>
            <w:tcW w:w="1492" w:type="dxa"/>
            <w:tcBorders>
              <w:top w:val="single" w:sz="4" w:space="0" w:color="auto"/>
              <w:bottom w:val="none" w:sz="4" w:space="0" w:color="000000" w:themeColor="text1"/>
            </w:tcBorders>
          </w:tcPr>
          <w:p w14:paraId="6EA51DBB" w14:textId="7C25FB53" w:rsidR="453EBFA6" w:rsidRDefault="453EBFA6" w:rsidP="453EBFA6">
            <w:pPr>
              <w:jc w:val="both"/>
              <w:rPr>
                <w:rFonts w:cs="Times New Roman"/>
                <w:sz w:val="22"/>
              </w:rPr>
            </w:pPr>
          </w:p>
        </w:tc>
        <w:tc>
          <w:tcPr>
            <w:tcW w:w="1482" w:type="dxa"/>
            <w:tcBorders>
              <w:top w:val="single" w:sz="4" w:space="0" w:color="auto"/>
              <w:bottom w:val="none" w:sz="4" w:space="0" w:color="000000" w:themeColor="text1"/>
            </w:tcBorders>
          </w:tcPr>
          <w:p w14:paraId="02DF208B" w14:textId="488F3DE3" w:rsidR="453EBFA6" w:rsidRDefault="453EBFA6" w:rsidP="453EBFA6">
            <w:pPr>
              <w:jc w:val="both"/>
              <w:rPr>
                <w:rFonts w:cs="Times New Roman"/>
                <w:sz w:val="22"/>
              </w:rPr>
            </w:pPr>
          </w:p>
        </w:tc>
        <w:tc>
          <w:tcPr>
            <w:tcW w:w="1489" w:type="dxa"/>
            <w:tcBorders>
              <w:top w:val="single" w:sz="4" w:space="0" w:color="auto"/>
              <w:bottom w:val="none" w:sz="4" w:space="0" w:color="000000" w:themeColor="text1"/>
            </w:tcBorders>
          </w:tcPr>
          <w:p w14:paraId="37FFF49D" w14:textId="771C76E3" w:rsidR="453EBFA6" w:rsidRDefault="453EBFA6" w:rsidP="453EBFA6">
            <w:pPr>
              <w:jc w:val="both"/>
              <w:rPr>
                <w:rFonts w:cs="Times New Roman"/>
                <w:sz w:val="22"/>
              </w:rPr>
            </w:pPr>
          </w:p>
        </w:tc>
        <w:tc>
          <w:tcPr>
            <w:tcW w:w="1489" w:type="dxa"/>
            <w:tcBorders>
              <w:top w:val="single" w:sz="4" w:space="0" w:color="auto"/>
              <w:bottom w:val="none" w:sz="4" w:space="0" w:color="000000" w:themeColor="text1"/>
            </w:tcBorders>
          </w:tcPr>
          <w:p w14:paraId="3953BAA7" w14:textId="54282DE1" w:rsidR="453EBFA6" w:rsidRDefault="453EBFA6" w:rsidP="453EBFA6">
            <w:pPr>
              <w:jc w:val="both"/>
              <w:rPr>
                <w:rFonts w:cs="Times New Roman"/>
                <w:sz w:val="22"/>
              </w:rPr>
            </w:pPr>
          </w:p>
        </w:tc>
      </w:tr>
      <w:tr w:rsidR="00433FD4" w:rsidRPr="00AE3281" w14:paraId="5A8B402E" w14:textId="77777777" w:rsidTr="453EBFA6">
        <w:tc>
          <w:tcPr>
            <w:tcW w:w="205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5127C839" w14:textId="77777777" w:rsidR="00433FD4" w:rsidRPr="00AE3281" w:rsidRDefault="00433FD4" w:rsidP="005B3738">
            <w:pPr>
              <w:keepNext/>
              <w:jc w:val="both"/>
              <w:rPr>
                <w:rFonts w:cs="Times New Roman"/>
                <w:b/>
                <w:bCs/>
                <w:sz w:val="22"/>
              </w:rPr>
            </w:pPr>
            <w:r w:rsidRPr="00AE3281">
              <w:rPr>
                <w:rFonts w:cs="Times New Roman"/>
                <w:b/>
                <w:bCs/>
                <w:sz w:val="22"/>
              </w:rPr>
              <w:t>EU v UK</w:t>
            </w:r>
          </w:p>
        </w:tc>
        <w:tc>
          <w:tcPr>
            <w:tcW w:w="1349"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7E3921BF" w14:textId="77777777" w:rsidR="00433FD4" w:rsidRPr="00AE3281" w:rsidRDefault="00433FD4" w:rsidP="005B3738">
            <w:pPr>
              <w:keepNext/>
              <w:jc w:val="both"/>
              <w:rPr>
                <w:rFonts w:cs="Times New Roman"/>
                <w:sz w:val="22"/>
              </w:rPr>
            </w:pPr>
          </w:p>
        </w:tc>
        <w:tc>
          <w:tcPr>
            <w:tcW w:w="1492"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70D0A3EE" w14:textId="77777777" w:rsidR="00433FD4" w:rsidRPr="00AE3281" w:rsidRDefault="00433FD4" w:rsidP="005B3738">
            <w:pPr>
              <w:keepNext/>
              <w:jc w:val="both"/>
              <w:rPr>
                <w:rFonts w:cs="Times New Roman"/>
                <w:sz w:val="22"/>
              </w:rPr>
            </w:pPr>
          </w:p>
        </w:tc>
        <w:tc>
          <w:tcPr>
            <w:tcW w:w="1482"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7F83CECF" w14:textId="77777777" w:rsidR="00433FD4" w:rsidRPr="00AE3281" w:rsidRDefault="00433FD4" w:rsidP="005B3738">
            <w:pPr>
              <w:keepNext/>
              <w:jc w:val="both"/>
              <w:rPr>
                <w:rFonts w:cs="Times New Roman"/>
                <w:sz w:val="22"/>
              </w:rPr>
            </w:pPr>
          </w:p>
        </w:tc>
        <w:tc>
          <w:tcPr>
            <w:tcW w:w="1489"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0F2DD1EE" w14:textId="4089BF7C" w:rsidR="00433FD4" w:rsidRPr="00AE3281" w:rsidRDefault="00433FD4" w:rsidP="005B3738">
            <w:pPr>
              <w:keepNext/>
              <w:jc w:val="both"/>
              <w:rPr>
                <w:rFonts w:cs="Times New Roman"/>
                <w:sz w:val="22"/>
              </w:rPr>
            </w:pPr>
          </w:p>
        </w:tc>
        <w:tc>
          <w:tcPr>
            <w:tcW w:w="1489"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6BDB63A9" w14:textId="77777777" w:rsidR="00433FD4" w:rsidRPr="00AE3281" w:rsidRDefault="00433FD4" w:rsidP="005B3738">
            <w:pPr>
              <w:keepNext/>
              <w:jc w:val="both"/>
              <w:rPr>
                <w:rFonts w:cs="Times New Roman"/>
                <w:sz w:val="22"/>
              </w:rPr>
            </w:pPr>
          </w:p>
        </w:tc>
      </w:tr>
      <w:tr w:rsidR="00433FD4" w:rsidRPr="00AE3281" w14:paraId="09424BCC" w14:textId="77777777" w:rsidTr="453EBFA6">
        <w:tc>
          <w:tcPr>
            <w:tcW w:w="2055" w:type="dxa"/>
            <w:tcBorders>
              <w:top w:val="none" w:sz="4" w:space="0" w:color="000000" w:themeColor="text1"/>
            </w:tcBorders>
          </w:tcPr>
          <w:p w14:paraId="2B2A133B" w14:textId="1FC0CBAD" w:rsidR="00433FD4" w:rsidRPr="00AE3281" w:rsidRDefault="453EBFA6" w:rsidP="453EBFA6">
            <w:pPr>
              <w:keepNext/>
              <w:jc w:val="both"/>
              <w:rPr>
                <w:rFonts w:cs="Times New Roman"/>
                <w:sz w:val="22"/>
              </w:rPr>
            </w:pPr>
            <w:proofErr w:type="spellStart"/>
            <w:r w:rsidRPr="453EBFA6">
              <w:rPr>
                <w:rFonts w:cs="Times New Roman"/>
                <w:sz w:val="22"/>
              </w:rPr>
              <w:t>Inter_Vote</w:t>
            </w:r>
            <w:proofErr w:type="spellEnd"/>
          </w:p>
        </w:tc>
        <w:tc>
          <w:tcPr>
            <w:tcW w:w="1349" w:type="dxa"/>
            <w:tcBorders>
              <w:top w:val="none" w:sz="4" w:space="0" w:color="000000" w:themeColor="text1"/>
            </w:tcBorders>
          </w:tcPr>
          <w:p w14:paraId="08309534" w14:textId="49307FF8" w:rsidR="00433FD4" w:rsidRPr="00AE3281" w:rsidRDefault="0085041F" w:rsidP="00ED13BE">
            <w:pPr>
              <w:keepNext/>
              <w:jc w:val="center"/>
              <w:rPr>
                <w:rFonts w:cs="Times New Roman"/>
                <w:sz w:val="22"/>
              </w:rPr>
            </w:pPr>
            <w:r w:rsidRPr="00AE3281">
              <w:rPr>
                <w:rFonts w:cs="Times New Roman"/>
                <w:sz w:val="22"/>
              </w:rPr>
              <w:t>0</w:t>
            </w:r>
            <w:r w:rsidR="00433FD4" w:rsidRPr="00AE3281">
              <w:rPr>
                <w:rFonts w:cs="Times New Roman"/>
                <w:sz w:val="22"/>
              </w:rPr>
              <w:t>.206</w:t>
            </w:r>
            <w:r w:rsidRPr="00AE3281">
              <w:rPr>
                <w:rFonts w:cs="Times New Roman"/>
                <w:sz w:val="22"/>
              </w:rPr>
              <w:t>4</w:t>
            </w:r>
            <w:r w:rsidR="00433FD4" w:rsidRPr="00AE3281">
              <w:rPr>
                <w:rFonts w:cs="Times New Roman"/>
                <w:sz w:val="22"/>
              </w:rPr>
              <w:t>*</w:t>
            </w:r>
          </w:p>
        </w:tc>
        <w:tc>
          <w:tcPr>
            <w:tcW w:w="1492" w:type="dxa"/>
            <w:tcBorders>
              <w:top w:val="none" w:sz="4" w:space="0" w:color="000000" w:themeColor="text1"/>
            </w:tcBorders>
          </w:tcPr>
          <w:p w14:paraId="4AD8AC67" w14:textId="42AEDEB7" w:rsidR="00433FD4" w:rsidRPr="00AE3281" w:rsidRDefault="00073D01" w:rsidP="00ED13BE">
            <w:pPr>
              <w:keepNext/>
              <w:jc w:val="center"/>
              <w:rPr>
                <w:rFonts w:cs="Times New Roman"/>
                <w:sz w:val="22"/>
              </w:rPr>
            </w:pPr>
            <w:r w:rsidRPr="00AE3281">
              <w:rPr>
                <w:rFonts w:cs="Times New Roman"/>
                <w:sz w:val="22"/>
              </w:rPr>
              <w:t>-0.3861</w:t>
            </w:r>
          </w:p>
        </w:tc>
        <w:tc>
          <w:tcPr>
            <w:tcW w:w="1482" w:type="dxa"/>
            <w:tcBorders>
              <w:top w:val="none" w:sz="4" w:space="0" w:color="000000" w:themeColor="text1"/>
            </w:tcBorders>
          </w:tcPr>
          <w:p w14:paraId="245EF9AA" w14:textId="517788FD" w:rsidR="00433FD4" w:rsidRPr="00AE3281" w:rsidRDefault="00433FD4" w:rsidP="00ED13BE">
            <w:pPr>
              <w:keepNext/>
              <w:jc w:val="center"/>
              <w:rPr>
                <w:rFonts w:cs="Times New Roman"/>
                <w:sz w:val="22"/>
              </w:rPr>
            </w:pPr>
            <w:r w:rsidRPr="00AE3281">
              <w:rPr>
                <w:rFonts w:cs="Times New Roman"/>
                <w:sz w:val="22"/>
              </w:rPr>
              <w:t>-</w:t>
            </w:r>
            <w:r w:rsidR="0085041F" w:rsidRPr="00AE3281">
              <w:rPr>
                <w:rFonts w:cs="Times New Roman"/>
                <w:sz w:val="22"/>
              </w:rPr>
              <w:t>0</w:t>
            </w:r>
            <w:r w:rsidRPr="00AE3281">
              <w:rPr>
                <w:rFonts w:cs="Times New Roman"/>
                <w:sz w:val="22"/>
              </w:rPr>
              <w:t>.487</w:t>
            </w:r>
            <w:r w:rsidR="00882F5F" w:rsidRPr="00AE3281">
              <w:rPr>
                <w:rFonts w:cs="Times New Roman"/>
                <w:sz w:val="22"/>
              </w:rPr>
              <w:t>3</w:t>
            </w:r>
          </w:p>
        </w:tc>
        <w:tc>
          <w:tcPr>
            <w:tcW w:w="1489" w:type="dxa"/>
            <w:tcBorders>
              <w:top w:val="none" w:sz="4" w:space="0" w:color="000000" w:themeColor="text1"/>
            </w:tcBorders>
          </w:tcPr>
          <w:p w14:paraId="755AD451" w14:textId="4731BC2D" w:rsidR="00433FD4" w:rsidRPr="00AE3281" w:rsidRDefault="00433FD4" w:rsidP="00ED13BE">
            <w:pPr>
              <w:keepNext/>
              <w:jc w:val="center"/>
              <w:rPr>
                <w:rFonts w:cs="Times New Roman"/>
                <w:sz w:val="22"/>
              </w:rPr>
            </w:pPr>
            <w:r w:rsidRPr="00AE3281">
              <w:rPr>
                <w:rFonts w:cs="Times New Roman"/>
                <w:sz w:val="22"/>
              </w:rPr>
              <w:t>-2.2683***</w:t>
            </w:r>
          </w:p>
        </w:tc>
        <w:tc>
          <w:tcPr>
            <w:tcW w:w="1489" w:type="dxa"/>
            <w:tcBorders>
              <w:top w:val="none" w:sz="4" w:space="0" w:color="000000" w:themeColor="text1"/>
            </w:tcBorders>
          </w:tcPr>
          <w:p w14:paraId="38900CA8" w14:textId="11AF159F" w:rsidR="00433FD4" w:rsidRPr="00AE3281" w:rsidRDefault="00433FD4" w:rsidP="00ED13BE">
            <w:pPr>
              <w:keepNext/>
              <w:jc w:val="center"/>
              <w:rPr>
                <w:rFonts w:cs="Times New Roman"/>
                <w:sz w:val="22"/>
              </w:rPr>
            </w:pPr>
            <w:r w:rsidRPr="00AE3281">
              <w:rPr>
                <w:rFonts w:cs="Times New Roman"/>
                <w:sz w:val="22"/>
              </w:rPr>
              <w:t>-2.3302***</w:t>
            </w:r>
          </w:p>
        </w:tc>
      </w:tr>
      <w:tr w:rsidR="00433FD4" w:rsidRPr="00AE3281" w14:paraId="0087B074" w14:textId="77777777" w:rsidTr="453EBFA6">
        <w:tc>
          <w:tcPr>
            <w:tcW w:w="2055" w:type="dxa"/>
          </w:tcPr>
          <w:p w14:paraId="4F627E84" w14:textId="11216FBF" w:rsidR="00433FD4" w:rsidRPr="00AE3281" w:rsidRDefault="00F57316" w:rsidP="005B3738">
            <w:pPr>
              <w:keepNext/>
              <w:jc w:val="both"/>
              <w:rPr>
                <w:rFonts w:cs="Times New Roman"/>
                <w:sz w:val="22"/>
              </w:rPr>
            </w:pPr>
            <w:proofErr w:type="spellStart"/>
            <w:r w:rsidRPr="00AE3281">
              <w:rPr>
                <w:rFonts w:cs="Times New Roman"/>
                <w:sz w:val="22"/>
              </w:rPr>
              <w:t>Inter_New_System</w:t>
            </w:r>
            <w:proofErr w:type="spellEnd"/>
          </w:p>
        </w:tc>
        <w:tc>
          <w:tcPr>
            <w:tcW w:w="1349" w:type="dxa"/>
          </w:tcPr>
          <w:p w14:paraId="109C6AA5" w14:textId="64AA3445" w:rsidR="00433FD4" w:rsidRPr="00AE3281" w:rsidRDefault="0085041F" w:rsidP="00ED13BE">
            <w:pPr>
              <w:keepNext/>
              <w:jc w:val="center"/>
              <w:rPr>
                <w:rFonts w:cs="Times New Roman"/>
                <w:sz w:val="22"/>
              </w:rPr>
            </w:pPr>
            <w:r w:rsidRPr="00AE3281">
              <w:rPr>
                <w:rFonts w:cs="Times New Roman"/>
                <w:sz w:val="22"/>
              </w:rPr>
              <w:t>0</w:t>
            </w:r>
            <w:r w:rsidR="00433FD4" w:rsidRPr="00AE3281">
              <w:rPr>
                <w:rFonts w:cs="Times New Roman"/>
                <w:sz w:val="22"/>
              </w:rPr>
              <w:t>.525</w:t>
            </w:r>
            <w:r w:rsidRPr="00AE3281">
              <w:rPr>
                <w:rFonts w:cs="Times New Roman"/>
                <w:sz w:val="22"/>
              </w:rPr>
              <w:t>5</w:t>
            </w:r>
            <w:r w:rsidR="00433FD4" w:rsidRPr="00AE3281">
              <w:rPr>
                <w:rFonts w:cs="Times New Roman"/>
                <w:sz w:val="22"/>
              </w:rPr>
              <w:t>***</w:t>
            </w:r>
          </w:p>
        </w:tc>
        <w:tc>
          <w:tcPr>
            <w:tcW w:w="1492" w:type="dxa"/>
          </w:tcPr>
          <w:p w14:paraId="5BB3E381" w14:textId="1D3A46E8" w:rsidR="00433FD4" w:rsidRPr="00AE3281" w:rsidRDefault="00073D01" w:rsidP="00ED13BE">
            <w:pPr>
              <w:keepNext/>
              <w:jc w:val="center"/>
              <w:rPr>
                <w:rFonts w:cs="Times New Roman"/>
                <w:sz w:val="22"/>
              </w:rPr>
            </w:pPr>
            <w:r w:rsidRPr="00AE3281">
              <w:rPr>
                <w:rFonts w:cs="Times New Roman"/>
                <w:sz w:val="22"/>
              </w:rPr>
              <w:t>-0.3155</w:t>
            </w:r>
          </w:p>
        </w:tc>
        <w:tc>
          <w:tcPr>
            <w:tcW w:w="1482" w:type="dxa"/>
          </w:tcPr>
          <w:p w14:paraId="18CBC9A8" w14:textId="71CF315E" w:rsidR="00433FD4" w:rsidRPr="00AE3281" w:rsidRDefault="00433FD4" w:rsidP="00ED13BE">
            <w:pPr>
              <w:keepNext/>
              <w:jc w:val="center"/>
              <w:rPr>
                <w:rFonts w:cs="Times New Roman"/>
                <w:sz w:val="22"/>
              </w:rPr>
            </w:pPr>
            <w:r w:rsidRPr="00AE3281">
              <w:rPr>
                <w:rFonts w:cs="Times New Roman"/>
                <w:sz w:val="22"/>
              </w:rPr>
              <w:t>-</w:t>
            </w:r>
            <w:r w:rsidR="0085041F" w:rsidRPr="00AE3281">
              <w:rPr>
                <w:rFonts w:cs="Times New Roman"/>
                <w:sz w:val="22"/>
              </w:rPr>
              <w:t>0</w:t>
            </w:r>
            <w:r w:rsidRPr="00AE3281">
              <w:rPr>
                <w:rFonts w:cs="Times New Roman"/>
                <w:sz w:val="22"/>
              </w:rPr>
              <w:t>.8024</w:t>
            </w:r>
          </w:p>
        </w:tc>
        <w:tc>
          <w:tcPr>
            <w:tcW w:w="1489" w:type="dxa"/>
          </w:tcPr>
          <w:p w14:paraId="1F2BA21C" w14:textId="5A0CDD38" w:rsidR="00433FD4" w:rsidRPr="00AE3281" w:rsidRDefault="00433FD4" w:rsidP="00ED13BE">
            <w:pPr>
              <w:keepNext/>
              <w:jc w:val="center"/>
              <w:rPr>
                <w:rFonts w:cs="Times New Roman"/>
                <w:sz w:val="22"/>
              </w:rPr>
            </w:pPr>
            <w:r w:rsidRPr="00AE3281">
              <w:rPr>
                <w:rFonts w:cs="Times New Roman"/>
                <w:sz w:val="22"/>
              </w:rPr>
              <w:t>-12.9891***</w:t>
            </w:r>
          </w:p>
        </w:tc>
        <w:tc>
          <w:tcPr>
            <w:tcW w:w="1489" w:type="dxa"/>
          </w:tcPr>
          <w:p w14:paraId="67F6C245" w14:textId="65962943" w:rsidR="00433FD4" w:rsidRPr="00AE3281" w:rsidRDefault="00433FD4" w:rsidP="00ED13BE">
            <w:pPr>
              <w:keepNext/>
              <w:jc w:val="center"/>
              <w:rPr>
                <w:rFonts w:cs="Times New Roman"/>
                <w:sz w:val="22"/>
              </w:rPr>
            </w:pPr>
            <w:r w:rsidRPr="00AE3281">
              <w:rPr>
                <w:rFonts w:cs="Times New Roman"/>
                <w:sz w:val="22"/>
              </w:rPr>
              <w:t>-15.896</w:t>
            </w:r>
            <w:r w:rsidR="00882F5F" w:rsidRPr="00AE3281">
              <w:rPr>
                <w:rFonts w:cs="Times New Roman"/>
                <w:sz w:val="22"/>
              </w:rPr>
              <w:t>8</w:t>
            </w:r>
            <w:r w:rsidRPr="00AE3281">
              <w:rPr>
                <w:rFonts w:cs="Times New Roman"/>
                <w:sz w:val="22"/>
              </w:rPr>
              <w:t>***</w:t>
            </w:r>
          </w:p>
        </w:tc>
      </w:tr>
      <w:tr w:rsidR="00433FD4" w:rsidRPr="00AE3281" w14:paraId="14003313" w14:textId="77777777" w:rsidTr="453EBFA6">
        <w:trPr>
          <w:trHeight w:hRule="exact" w:val="113"/>
        </w:trPr>
        <w:tc>
          <w:tcPr>
            <w:tcW w:w="2055" w:type="dxa"/>
            <w:tcBorders>
              <w:bottom w:val="single" w:sz="4" w:space="0" w:color="auto"/>
            </w:tcBorders>
          </w:tcPr>
          <w:p w14:paraId="6E35148B" w14:textId="77777777" w:rsidR="00433FD4" w:rsidRPr="00AE3281" w:rsidRDefault="00433FD4" w:rsidP="005B3738">
            <w:pPr>
              <w:keepNext/>
              <w:jc w:val="both"/>
              <w:rPr>
                <w:rFonts w:cs="Times New Roman"/>
                <w:sz w:val="22"/>
              </w:rPr>
            </w:pPr>
          </w:p>
        </w:tc>
        <w:tc>
          <w:tcPr>
            <w:tcW w:w="1349" w:type="dxa"/>
            <w:tcBorders>
              <w:bottom w:val="single" w:sz="4" w:space="0" w:color="auto"/>
            </w:tcBorders>
          </w:tcPr>
          <w:p w14:paraId="05620CB7" w14:textId="77777777" w:rsidR="00433FD4" w:rsidRPr="00AE3281" w:rsidRDefault="00433FD4" w:rsidP="005B3738">
            <w:pPr>
              <w:keepNext/>
              <w:jc w:val="both"/>
              <w:rPr>
                <w:rFonts w:cs="Times New Roman"/>
                <w:sz w:val="22"/>
              </w:rPr>
            </w:pPr>
          </w:p>
        </w:tc>
        <w:tc>
          <w:tcPr>
            <w:tcW w:w="1492" w:type="dxa"/>
            <w:tcBorders>
              <w:bottom w:val="single" w:sz="4" w:space="0" w:color="auto"/>
            </w:tcBorders>
          </w:tcPr>
          <w:p w14:paraId="1D8E7178" w14:textId="77777777" w:rsidR="00433FD4" w:rsidRPr="00AE3281" w:rsidRDefault="00433FD4" w:rsidP="005B3738">
            <w:pPr>
              <w:keepNext/>
              <w:jc w:val="both"/>
              <w:rPr>
                <w:rFonts w:cs="Times New Roman"/>
                <w:sz w:val="22"/>
              </w:rPr>
            </w:pPr>
          </w:p>
        </w:tc>
        <w:tc>
          <w:tcPr>
            <w:tcW w:w="1482" w:type="dxa"/>
            <w:tcBorders>
              <w:bottom w:val="single" w:sz="4" w:space="0" w:color="auto"/>
            </w:tcBorders>
          </w:tcPr>
          <w:p w14:paraId="2BBB5E3A" w14:textId="77777777" w:rsidR="00433FD4" w:rsidRPr="00AE3281" w:rsidRDefault="00433FD4" w:rsidP="005B3738">
            <w:pPr>
              <w:keepNext/>
              <w:jc w:val="both"/>
              <w:rPr>
                <w:rFonts w:cs="Times New Roman"/>
                <w:sz w:val="22"/>
              </w:rPr>
            </w:pPr>
          </w:p>
        </w:tc>
        <w:tc>
          <w:tcPr>
            <w:tcW w:w="1489" w:type="dxa"/>
            <w:tcBorders>
              <w:bottom w:val="single" w:sz="4" w:space="0" w:color="auto"/>
            </w:tcBorders>
          </w:tcPr>
          <w:p w14:paraId="7CA3C9C7" w14:textId="703E93DC" w:rsidR="00433FD4" w:rsidRPr="00AE3281" w:rsidRDefault="00433FD4" w:rsidP="005B3738">
            <w:pPr>
              <w:keepNext/>
              <w:jc w:val="both"/>
              <w:rPr>
                <w:rFonts w:cs="Times New Roman"/>
                <w:sz w:val="22"/>
              </w:rPr>
            </w:pPr>
          </w:p>
        </w:tc>
        <w:tc>
          <w:tcPr>
            <w:tcW w:w="1489" w:type="dxa"/>
            <w:tcBorders>
              <w:bottom w:val="single" w:sz="4" w:space="0" w:color="auto"/>
            </w:tcBorders>
          </w:tcPr>
          <w:p w14:paraId="3280D88C" w14:textId="77777777" w:rsidR="00433FD4" w:rsidRPr="00AE3281" w:rsidRDefault="00433FD4" w:rsidP="005B3738">
            <w:pPr>
              <w:keepNext/>
              <w:jc w:val="both"/>
              <w:rPr>
                <w:rFonts w:cs="Times New Roman"/>
                <w:sz w:val="22"/>
              </w:rPr>
            </w:pPr>
          </w:p>
        </w:tc>
      </w:tr>
    </w:tbl>
    <w:p w14:paraId="3E92E09B" w14:textId="77777777" w:rsidR="0085041F" w:rsidRPr="00AE3281" w:rsidRDefault="0085041F" w:rsidP="0085041F">
      <w:pPr>
        <w:jc w:val="both"/>
        <w:rPr>
          <w:rFonts w:cs="Times New Roman"/>
          <w:sz w:val="20"/>
          <w:szCs w:val="20"/>
          <w:lang w:val="en-US"/>
        </w:rPr>
      </w:pPr>
      <w:r w:rsidRPr="00AE3281">
        <w:rPr>
          <w:rFonts w:cs="Times New Roman"/>
          <w:sz w:val="20"/>
          <w:szCs w:val="20"/>
        </w:rPr>
        <w:t>Source: our elaborations. * p&lt;0.05, ** p&lt;0.01, *** p&lt;0.001.</w:t>
      </w:r>
    </w:p>
    <w:p w14:paraId="38F46E5C" w14:textId="77777777" w:rsidR="00B85231" w:rsidRPr="00AE3281" w:rsidRDefault="00B85231" w:rsidP="005B3738">
      <w:pPr>
        <w:jc w:val="both"/>
        <w:rPr>
          <w:rFonts w:cs="Times New Roman"/>
          <w:szCs w:val="24"/>
          <w:lang w:val="en-US"/>
        </w:rPr>
      </w:pPr>
    </w:p>
    <w:p w14:paraId="53533EF6" w14:textId="18C7725F" w:rsidR="00702E23" w:rsidRPr="00AE3281" w:rsidRDefault="4FCF3351" w:rsidP="005B3738">
      <w:pPr>
        <w:spacing w:after="0"/>
        <w:jc w:val="both"/>
        <w:rPr>
          <w:rFonts w:cs="Times New Roman"/>
        </w:rPr>
      </w:pPr>
      <w:r w:rsidRPr="00AE3281">
        <w:rPr>
          <w:rFonts w:cs="Times New Roman"/>
        </w:rPr>
        <w:t>We observe significant negative effects for Manual Jobs (‘routine’) and ('routine' + 'semi-routine')</w:t>
      </w:r>
      <w:r w:rsidR="00B03103" w:rsidRPr="00AE3281">
        <w:rPr>
          <w:rFonts w:cs="Times New Roman"/>
        </w:rPr>
        <w:t>,</w:t>
      </w:r>
      <w:r w:rsidR="00D1347C" w:rsidRPr="00AE3281">
        <w:rPr>
          <w:rFonts w:cs="Times New Roman"/>
        </w:rPr>
        <w:t xml:space="preserve"> </w:t>
      </w:r>
      <w:r w:rsidR="00B03103" w:rsidRPr="00AE3281">
        <w:rPr>
          <w:rFonts w:cs="Times New Roman"/>
        </w:rPr>
        <w:t xml:space="preserve">where the form of employment regulation is the labour contract, employees give discrete amounts of labour in return for a wage calculated on the amount of work done or time worked in sales, service, production, technical or operative occupations. </w:t>
      </w:r>
      <w:r w:rsidRPr="00AE3281">
        <w:rPr>
          <w:rFonts w:cs="Times New Roman"/>
        </w:rPr>
        <w:t xml:space="preserve">These sectors experienced significant negative impacts both after the Brexit vote in 2016 and </w:t>
      </w:r>
      <w:r w:rsidR="00B03103" w:rsidRPr="00AE3281">
        <w:rPr>
          <w:rFonts w:cs="Times New Roman"/>
        </w:rPr>
        <w:t xml:space="preserve">even more in </w:t>
      </w:r>
      <w:r w:rsidRPr="00AE3281">
        <w:rPr>
          <w:rFonts w:cs="Times New Roman"/>
        </w:rPr>
        <w:t xml:space="preserve">the period after 2021. The effect was </w:t>
      </w:r>
      <w:r w:rsidR="00B03103" w:rsidRPr="00AE3281">
        <w:rPr>
          <w:rFonts w:cs="Times New Roman"/>
        </w:rPr>
        <w:t xml:space="preserve">much </w:t>
      </w:r>
      <w:r w:rsidRPr="00AE3281">
        <w:rPr>
          <w:rFonts w:cs="Times New Roman"/>
        </w:rPr>
        <w:t>larger in the period after 2021, with the coefficient of -12.9 for 'routine' jobs and -15.</w:t>
      </w:r>
      <w:r w:rsidR="00573342" w:rsidRPr="00AE3281">
        <w:rPr>
          <w:rFonts w:cs="Times New Roman"/>
        </w:rPr>
        <w:t>9</w:t>
      </w:r>
      <w:r w:rsidRPr="00AE3281">
        <w:rPr>
          <w:rFonts w:cs="Times New Roman"/>
        </w:rPr>
        <w:t xml:space="preserve"> for 'routine' + 'semi-routine' jobs. </w:t>
      </w:r>
    </w:p>
    <w:p w14:paraId="54B23ADB" w14:textId="77777777" w:rsidR="00416D4C" w:rsidRPr="00AE3281" w:rsidRDefault="00416D4C" w:rsidP="005B3738">
      <w:pPr>
        <w:spacing w:after="0"/>
        <w:jc w:val="both"/>
        <w:rPr>
          <w:rFonts w:cs="Times New Roman"/>
        </w:rPr>
      </w:pPr>
    </w:p>
    <w:p w14:paraId="3DC0F261" w14:textId="4BAED349" w:rsidR="00334259" w:rsidRPr="00AE3281" w:rsidRDefault="4FCF3351" w:rsidP="00B57BE5">
      <w:pPr>
        <w:spacing w:after="0"/>
        <w:jc w:val="both"/>
        <w:rPr>
          <w:rFonts w:cs="Times New Roman"/>
        </w:rPr>
      </w:pPr>
      <w:r w:rsidRPr="00AE3281">
        <w:rPr>
          <w:rFonts w:cs="Times New Roman"/>
        </w:rPr>
        <w:t xml:space="preserve">A smaller but </w:t>
      </w:r>
      <w:r w:rsidR="00D31D38" w:rsidRPr="00AE3281">
        <w:rPr>
          <w:rFonts w:cs="Times New Roman"/>
        </w:rPr>
        <w:t>positive</w:t>
      </w:r>
      <w:r w:rsidRPr="00AE3281">
        <w:rPr>
          <w:rFonts w:cs="Times New Roman"/>
        </w:rPr>
        <w:t xml:space="preserve"> effect is observed for the agricultural sector, with a larger effect in the after 2021 period.</w:t>
      </w:r>
      <w:r w:rsidR="00AF3C4D" w:rsidRPr="00AE3281">
        <w:rPr>
          <w:rFonts w:cs="Times New Roman"/>
        </w:rPr>
        <w:t xml:space="preserve"> This can be attributed to the pressure multiple agricultural sector organisations exerted onto the government (because of labour shortages in the food and farming sector) that decided then for the introduction of a ‘Seasonal Workers Pilot’ in 2019, which became later a confirmed visa route until 2024</w:t>
      </w:r>
      <w:r w:rsidR="00E15C77" w:rsidRPr="00AE3281">
        <w:rPr>
          <w:rStyle w:val="FootnoteReference"/>
          <w:rFonts w:cs="Times New Roman"/>
        </w:rPr>
        <w:footnoteReference w:id="9"/>
      </w:r>
      <w:r w:rsidR="00AF3C4D" w:rsidRPr="00AE3281">
        <w:rPr>
          <w:rFonts w:cs="Times New Roman"/>
        </w:rPr>
        <w:t xml:space="preserve">. </w:t>
      </w:r>
      <w:r w:rsidR="000D440A" w:rsidRPr="00AE3281">
        <w:rPr>
          <w:rFonts w:cs="Times New Roman"/>
        </w:rPr>
        <w:t>Moreover,</w:t>
      </w:r>
      <w:r w:rsidR="00AF3C4D" w:rsidRPr="00AE3281">
        <w:rPr>
          <w:rFonts w:cs="Times New Roman"/>
        </w:rPr>
        <w:t xml:space="preserve"> in 2020, the UK government also added certain agricultural roles to the list of eligible occupations for the Skilled Worker route, part of the revised points-based system.</w:t>
      </w:r>
      <w:r w:rsidR="00AD6862" w:rsidRPr="00AE3281">
        <w:rPr>
          <w:rFonts w:cs="Times New Roman"/>
        </w:rPr>
        <w:t xml:space="preserve"> </w:t>
      </w:r>
      <w:r w:rsidR="00334259" w:rsidRPr="00AE3281">
        <w:rPr>
          <w:rFonts w:cs="Times New Roman"/>
        </w:rPr>
        <w:t xml:space="preserve">Turning to a generally higher skilled sector – Banking and Finance – we found generally insignificant and small effects. It is increasingly clear that the effects of the Brexit vote and the actual exit </w:t>
      </w:r>
      <w:r w:rsidR="00DD6DB2" w:rsidRPr="00AE3281">
        <w:rPr>
          <w:rFonts w:cs="Times New Roman"/>
        </w:rPr>
        <w:t xml:space="preserve">are apparent </w:t>
      </w:r>
      <w:r w:rsidR="00334259" w:rsidRPr="00AE3281">
        <w:rPr>
          <w:rFonts w:cs="Times New Roman"/>
        </w:rPr>
        <w:t>for the lower-skilled sector, but largely absent from higher skilled sectors.</w:t>
      </w:r>
    </w:p>
    <w:p w14:paraId="449A4737" w14:textId="77777777" w:rsidR="00C36551" w:rsidRPr="00AE3281" w:rsidRDefault="00C36551" w:rsidP="005B3738">
      <w:pPr>
        <w:jc w:val="both"/>
        <w:rPr>
          <w:rFonts w:cs="Times New Roman"/>
          <w:b/>
          <w:bCs/>
        </w:rPr>
      </w:pPr>
    </w:p>
    <w:p w14:paraId="00385237" w14:textId="70392B7D" w:rsidR="00031507" w:rsidRPr="00AE3281" w:rsidRDefault="00C17135" w:rsidP="005B3738">
      <w:pPr>
        <w:jc w:val="both"/>
        <w:rPr>
          <w:rFonts w:cs="Times New Roman"/>
          <w:szCs w:val="24"/>
        </w:rPr>
      </w:pPr>
      <w:r w:rsidRPr="00AE3281">
        <w:rPr>
          <w:rFonts w:cs="Times New Roman"/>
          <w:b/>
          <w:bCs/>
          <w:szCs w:val="24"/>
        </w:rPr>
        <w:t>CONCLUSIONS</w:t>
      </w:r>
    </w:p>
    <w:p w14:paraId="7B46E081" w14:textId="3C6E8210" w:rsidR="00DC7889" w:rsidRPr="00AE3281" w:rsidRDefault="00DC7889" w:rsidP="005B3738">
      <w:pPr>
        <w:jc w:val="both"/>
        <w:rPr>
          <w:rFonts w:cs="Times New Roman"/>
          <w:szCs w:val="24"/>
        </w:rPr>
      </w:pPr>
      <w:r w:rsidRPr="00AE3281">
        <w:rPr>
          <w:rFonts w:cs="Times New Roman"/>
          <w:szCs w:val="24"/>
        </w:rPr>
        <w:t xml:space="preserve">This analysis has examined the impacts of Brexit on EU migrants in the UK labour market using a difference-in-differences approach. </w:t>
      </w:r>
      <w:r w:rsidR="00876332" w:rsidRPr="00AE3281">
        <w:rPr>
          <w:rFonts w:cs="Times New Roman"/>
          <w:szCs w:val="24"/>
        </w:rPr>
        <w:t>In this work</w:t>
      </w:r>
      <w:r w:rsidR="0047608F" w:rsidRPr="00AE3281">
        <w:rPr>
          <w:rFonts w:cs="Times New Roman"/>
          <w:szCs w:val="24"/>
        </w:rPr>
        <w:t>,</w:t>
      </w:r>
      <w:r w:rsidR="00876332" w:rsidRPr="00AE3281">
        <w:rPr>
          <w:rFonts w:cs="Times New Roman"/>
          <w:szCs w:val="24"/>
        </w:rPr>
        <w:t xml:space="preserve"> we have analysed the effects of changes in the legal framework on EU residents following Brexit and compared the</w:t>
      </w:r>
      <w:r w:rsidRPr="00AE3281">
        <w:rPr>
          <w:rFonts w:cs="Times New Roman"/>
          <w:szCs w:val="24"/>
        </w:rPr>
        <w:t xml:space="preserve">ir outcomes </w:t>
      </w:r>
      <w:r w:rsidR="00876332" w:rsidRPr="00AE3281">
        <w:rPr>
          <w:rFonts w:cs="Times New Roman"/>
          <w:szCs w:val="24"/>
        </w:rPr>
        <w:t xml:space="preserve">with UK citizens. </w:t>
      </w:r>
      <w:r w:rsidRPr="00AE3281">
        <w:rPr>
          <w:rFonts w:cs="Times New Roman"/>
          <w:szCs w:val="24"/>
        </w:rPr>
        <w:t xml:space="preserve">Brexit and the new immigration policies have </w:t>
      </w:r>
      <w:r w:rsidR="003652C6" w:rsidRPr="00AE3281">
        <w:rPr>
          <w:rFonts w:cs="Times New Roman"/>
          <w:szCs w:val="24"/>
        </w:rPr>
        <w:t xml:space="preserve">clearly </w:t>
      </w:r>
      <w:r w:rsidRPr="00AE3281">
        <w:rPr>
          <w:rFonts w:cs="Times New Roman"/>
          <w:szCs w:val="24"/>
        </w:rPr>
        <w:t xml:space="preserve">disadvantaged EU migrants. </w:t>
      </w:r>
      <w:r w:rsidR="00876332" w:rsidRPr="00AE3281">
        <w:rPr>
          <w:rFonts w:cs="Times New Roman"/>
          <w:szCs w:val="24"/>
        </w:rPr>
        <w:t xml:space="preserve">Both </w:t>
      </w:r>
      <w:r w:rsidR="0047608F" w:rsidRPr="00AE3281">
        <w:rPr>
          <w:rFonts w:cs="Times New Roman"/>
          <w:szCs w:val="24"/>
        </w:rPr>
        <w:t xml:space="preserve">Tables </w:t>
      </w:r>
      <w:r w:rsidR="00876332" w:rsidRPr="00AE3281">
        <w:rPr>
          <w:rFonts w:cs="Times New Roman"/>
          <w:szCs w:val="24"/>
        </w:rPr>
        <w:t>2 and 3 emphasize the negative effect</w:t>
      </w:r>
      <w:r w:rsidR="00DB14A3" w:rsidRPr="00AE3281">
        <w:rPr>
          <w:rFonts w:cs="Times New Roman"/>
          <w:szCs w:val="24"/>
        </w:rPr>
        <w:t>s</w:t>
      </w:r>
      <w:r w:rsidR="00876332" w:rsidRPr="00AE3281">
        <w:rPr>
          <w:rFonts w:cs="Times New Roman"/>
          <w:szCs w:val="24"/>
        </w:rPr>
        <w:t xml:space="preserve"> </w:t>
      </w:r>
      <w:r w:rsidR="003652C6" w:rsidRPr="00AE3281">
        <w:rPr>
          <w:rFonts w:cs="Times New Roman"/>
          <w:szCs w:val="24"/>
        </w:rPr>
        <w:t xml:space="preserve">of Brexit </w:t>
      </w:r>
      <w:r w:rsidR="00876332" w:rsidRPr="00AE3281">
        <w:rPr>
          <w:rFonts w:cs="Times New Roman"/>
          <w:szCs w:val="24"/>
        </w:rPr>
        <w:t xml:space="preserve">on EU workers. This is indeed a strong result if discussed in the framework of the Brexit vote. </w:t>
      </w:r>
    </w:p>
    <w:p w14:paraId="5B3CB4FC" w14:textId="6E969910" w:rsidR="00EA59D4" w:rsidRPr="00AE3281" w:rsidRDefault="00DC7889" w:rsidP="005B3738">
      <w:pPr>
        <w:jc w:val="both"/>
        <w:rPr>
          <w:rFonts w:cs="Times New Roman"/>
          <w:szCs w:val="24"/>
        </w:rPr>
      </w:pPr>
      <w:r w:rsidRPr="00AE3281">
        <w:rPr>
          <w:rFonts w:cs="Times New Roman"/>
          <w:szCs w:val="24"/>
        </w:rPr>
        <w:t xml:space="preserve">Our negative findings are </w:t>
      </w:r>
      <w:r w:rsidR="00EA59D4" w:rsidRPr="00AE3281">
        <w:rPr>
          <w:rFonts w:cs="Times New Roman"/>
          <w:szCs w:val="24"/>
        </w:rPr>
        <w:t xml:space="preserve">especially </w:t>
      </w:r>
      <w:r w:rsidRPr="00AE3281">
        <w:rPr>
          <w:rFonts w:cs="Times New Roman"/>
          <w:szCs w:val="24"/>
        </w:rPr>
        <w:t xml:space="preserve">strong </w:t>
      </w:r>
      <w:r w:rsidR="00EA59D4" w:rsidRPr="00AE3281">
        <w:rPr>
          <w:rFonts w:cs="Times New Roman"/>
          <w:szCs w:val="24"/>
        </w:rPr>
        <w:t xml:space="preserve">for low-skilled occupations, as confirmed </w:t>
      </w:r>
      <w:r w:rsidR="003652C6" w:rsidRPr="00AE3281">
        <w:rPr>
          <w:rFonts w:cs="Times New Roman"/>
          <w:szCs w:val="24"/>
        </w:rPr>
        <w:t xml:space="preserve">by </w:t>
      </w:r>
      <w:r w:rsidR="00EA59D4" w:rsidRPr="00AE3281">
        <w:rPr>
          <w:rFonts w:cs="Times New Roman"/>
          <w:szCs w:val="24"/>
        </w:rPr>
        <w:t xml:space="preserve">the results in </w:t>
      </w:r>
      <w:r w:rsidR="003652C6" w:rsidRPr="00AE3281">
        <w:rPr>
          <w:rFonts w:cs="Times New Roman"/>
          <w:szCs w:val="24"/>
        </w:rPr>
        <w:t xml:space="preserve">Table </w:t>
      </w:r>
      <w:r w:rsidR="00EA59D4" w:rsidRPr="00AE3281">
        <w:rPr>
          <w:rFonts w:cs="Times New Roman"/>
          <w:szCs w:val="24"/>
        </w:rPr>
        <w:t xml:space="preserve">4, where we observed </w:t>
      </w:r>
      <w:r w:rsidR="003652C6" w:rsidRPr="00AE3281">
        <w:rPr>
          <w:rFonts w:cs="Times New Roman"/>
          <w:szCs w:val="24"/>
        </w:rPr>
        <w:t xml:space="preserve">a </w:t>
      </w:r>
      <w:r w:rsidR="00EA59D4" w:rsidRPr="00AE3281">
        <w:rPr>
          <w:rFonts w:cs="Times New Roman"/>
          <w:szCs w:val="24"/>
        </w:rPr>
        <w:t xml:space="preserve">large adverse impact on routine and semi-routine jobs. On the other </w:t>
      </w:r>
      <w:r w:rsidR="003652C6" w:rsidRPr="00AE3281">
        <w:rPr>
          <w:rFonts w:cs="Times New Roman"/>
          <w:szCs w:val="24"/>
        </w:rPr>
        <w:t>hand</w:t>
      </w:r>
      <w:r w:rsidR="00EA59D4" w:rsidRPr="00AE3281">
        <w:rPr>
          <w:rFonts w:cs="Times New Roman"/>
          <w:szCs w:val="24"/>
        </w:rPr>
        <w:t xml:space="preserve">, for </w:t>
      </w:r>
      <w:proofErr w:type="gramStart"/>
      <w:r w:rsidR="00EA59D4" w:rsidRPr="00AE3281">
        <w:rPr>
          <w:rFonts w:cs="Times New Roman"/>
          <w:szCs w:val="24"/>
        </w:rPr>
        <w:t>skilled-jobs</w:t>
      </w:r>
      <w:proofErr w:type="gramEnd"/>
      <w:r w:rsidR="00EA59D4" w:rsidRPr="00AE3281">
        <w:rPr>
          <w:rFonts w:cs="Times New Roman"/>
          <w:szCs w:val="24"/>
        </w:rPr>
        <w:t>, such as those in the banking &amp; finance sector, there were no effects</w:t>
      </w:r>
      <w:r w:rsidRPr="00AE3281">
        <w:rPr>
          <w:rFonts w:cs="Times New Roman"/>
          <w:szCs w:val="24"/>
        </w:rPr>
        <w:t xml:space="preserve">. These results demonstrate that </w:t>
      </w:r>
      <w:r w:rsidR="00EA59D4" w:rsidRPr="00AE3281">
        <w:rPr>
          <w:rFonts w:cs="Times New Roman"/>
          <w:szCs w:val="24"/>
        </w:rPr>
        <w:t xml:space="preserve">in </w:t>
      </w:r>
      <w:r w:rsidR="00EA59D4" w:rsidRPr="00AE3281">
        <w:rPr>
          <w:rFonts w:eastAsia="Times New Roman" w:cs="Times New Roman"/>
          <w:szCs w:val="24"/>
        </w:rPr>
        <w:t xml:space="preserve">deciding the main features of its immigration </w:t>
      </w:r>
      <w:r w:rsidR="00EA59D4" w:rsidRPr="00AE3281">
        <w:rPr>
          <w:rFonts w:eastAsia="Times New Roman" w:cs="Times New Roman"/>
          <w:szCs w:val="24"/>
        </w:rPr>
        <w:lastRenderedPageBreak/>
        <w:t xml:space="preserve">policy, the UK is adopting a less restrictive regime for higher-skilled workers than for lower-skilled workers in a system where there is no preference for EEA over non-EEA workers. </w:t>
      </w:r>
    </w:p>
    <w:p w14:paraId="4287A1A3" w14:textId="3573A9D5" w:rsidR="00E317B5" w:rsidRPr="00AE3281" w:rsidRDefault="00E317B5" w:rsidP="005B3738">
      <w:pPr>
        <w:jc w:val="both"/>
        <w:rPr>
          <w:rFonts w:cs="Times New Roman"/>
        </w:rPr>
      </w:pPr>
      <w:r w:rsidRPr="00AE3281">
        <w:rPr>
          <w:rFonts w:cs="Times New Roman"/>
        </w:rPr>
        <w:t xml:space="preserve">We have already discussed the issues related to the reliability of the LFS data, and how, despite some limitations, the data </w:t>
      </w:r>
      <w:r w:rsidR="0047608F" w:rsidRPr="00AE3281">
        <w:rPr>
          <w:rFonts w:cs="Times New Roman"/>
        </w:rPr>
        <w:t>we included</w:t>
      </w:r>
      <w:r w:rsidRPr="00AE3281">
        <w:rPr>
          <w:rFonts w:cs="Times New Roman"/>
        </w:rPr>
        <w:t xml:space="preserve"> </w:t>
      </w:r>
      <w:r w:rsidR="0047608F" w:rsidRPr="00AE3281">
        <w:rPr>
          <w:rFonts w:cs="Times New Roman"/>
        </w:rPr>
        <w:t xml:space="preserve">in our empirical analysis </w:t>
      </w:r>
      <w:r w:rsidRPr="00AE3281">
        <w:rPr>
          <w:rFonts w:cs="Times New Roman"/>
        </w:rPr>
        <w:t xml:space="preserve">remain the most used </w:t>
      </w:r>
      <w:r w:rsidR="0047608F" w:rsidRPr="00AE3281">
        <w:rPr>
          <w:rFonts w:cs="Times New Roman"/>
        </w:rPr>
        <w:t>source</w:t>
      </w:r>
      <w:r w:rsidRPr="00AE3281">
        <w:rPr>
          <w:rFonts w:cs="Times New Roman"/>
        </w:rPr>
        <w:t xml:space="preserve"> in the literature (e.g. </w:t>
      </w:r>
      <w:proofErr w:type="spellStart"/>
      <w:r w:rsidRPr="00AE3281">
        <w:rPr>
          <w:rFonts w:cs="Times New Roman"/>
        </w:rPr>
        <w:t>Portes</w:t>
      </w:r>
      <w:proofErr w:type="spellEnd"/>
      <w:r w:rsidRPr="00AE3281">
        <w:rPr>
          <w:rFonts w:cs="Times New Roman"/>
        </w:rPr>
        <w:t xml:space="preserve"> &amp; </w:t>
      </w:r>
      <w:proofErr w:type="spellStart"/>
      <w:r w:rsidRPr="00AE3281">
        <w:rPr>
          <w:rFonts w:cs="Times New Roman"/>
        </w:rPr>
        <w:t>Springford</w:t>
      </w:r>
      <w:proofErr w:type="spellEnd"/>
      <w:r w:rsidRPr="00AE3281">
        <w:rPr>
          <w:rFonts w:cs="Times New Roman"/>
        </w:rPr>
        <w:t>, 2023). To add further robustness to our findings, we have also compared</w:t>
      </w:r>
      <w:r w:rsidR="0047608F" w:rsidRPr="00AE3281">
        <w:rPr>
          <w:rFonts w:cs="Times New Roman"/>
        </w:rPr>
        <w:t>,</w:t>
      </w:r>
      <w:r w:rsidRPr="00AE3281">
        <w:rPr>
          <w:rFonts w:cs="Times New Roman"/>
        </w:rPr>
        <w:t xml:space="preserve"> in the Annex</w:t>
      </w:r>
      <w:r w:rsidR="0047608F" w:rsidRPr="00AE3281">
        <w:rPr>
          <w:rFonts w:cs="Times New Roman"/>
        </w:rPr>
        <w:t>,</w:t>
      </w:r>
      <w:r w:rsidRPr="00AE3281">
        <w:rPr>
          <w:rFonts w:cs="Times New Roman"/>
        </w:rPr>
        <w:t xml:space="preserve"> our main results, with results using a shorter time window and using weights, </w:t>
      </w:r>
      <w:r w:rsidR="0047608F" w:rsidRPr="00AE3281">
        <w:rPr>
          <w:rFonts w:cs="Times New Roman"/>
        </w:rPr>
        <w:t>and we obtained</w:t>
      </w:r>
      <w:r w:rsidRPr="00AE3281">
        <w:rPr>
          <w:rFonts w:cs="Times New Roman"/>
        </w:rPr>
        <w:t xml:space="preserve"> </w:t>
      </w:r>
      <w:r w:rsidR="0047608F" w:rsidRPr="00AE3281">
        <w:rPr>
          <w:rFonts w:cs="Times New Roman"/>
        </w:rPr>
        <w:t>similar figures.</w:t>
      </w:r>
      <w:r w:rsidRPr="00AE3281">
        <w:rPr>
          <w:rFonts w:cs="Times New Roman"/>
        </w:rPr>
        <w:t xml:space="preserve"> </w:t>
      </w:r>
    </w:p>
    <w:p w14:paraId="62FD845A" w14:textId="38749C9A" w:rsidR="00550F97" w:rsidRPr="00AE3281" w:rsidRDefault="7236B53D" w:rsidP="005B3738">
      <w:pPr>
        <w:jc w:val="both"/>
        <w:rPr>
          <w:rFonts w:cs="Times New Roman"/>
        </w:rPr>
      </w:pPr>
      <w:r w:rsidRPr="7236B53D">
        <w:rPr>
          <w:rFonts w:cs="Times New Roman"/>
        </w:rPr>
        <w:t>Overall, the results show EU migrants experienced significant labour market disadvantages from Brexit and the post-2021 immigration regime changes. The new policies appear to have uniquely harmed opportunities for EU migrants versus other groups. Lower skilled occupations were especially hard hit. These conclusions point to clear evidence EU migrants have been disadvantaged by Brexit.</w:t>
      </w:r>
    </w:p>
    <w:p w14:paraId="1666D2CD" w14:textId="02E6F531" w:rsidR="7236B53D" w:rsidRDefault="7236B53D" w:rsidP="7236B53D">
      <w:pPr>
        <w:jc w:val="both"/>
        <w:rPr>
          <w:rFonts w:cs="Times New Roman"/>
        </w:rPr>
      </w:pPr>
      <w:r w:rsidRPr="7236B53D">
        <w:rPr>
          <w:rFonts w:cs="Times New Roman"/>
        </w:rPr>
        <w:t>We may extract some implications for policy and for key actors, such as employers and trades unions. Changes in the rules surrounding working in the UK saw people EU become disadvantaged compared to before, and the reverse for workers from the rest of the world. On average, the newer set of migrants came from countries with lower average living standards, replacing those from countries with higher living standards in most of Europe. The remaining EU workers seem to have maintained their earnings, but the newer set of migrants might arrive with lower expectations. The scene seems set for the possibility of downward pressure on wages, which unions might resist but which may be seen as a key benefit for some employers. The UK’s own laws on minimum wages (for employees) may offset the worst of any downward pressures.</w:t>
      </w:r>
    </w:p>
    <w:p w14:paraId="10494991" w14:textId="0A50772B" w:rsidR="453EBFA6" w:rsidRDefault="7236B53D" w:rsidP="7236B53D">
      <w:pPr>
        <w:jc w:val="both"/>
      </w:pPr>
      <w:r w:rsidRPr="7236B53D">
        <w:rPr>
          <w:rFonts w:cs="Times New Roman"/>
        </w:rPr>
        <w:t xml:space="preserve">Among the key benefits of Brexit, in the eyes of many leave voters, was the increased power over immigration that the UK acquired. Indeed, one of the key arguments of “leavers” was that British workers should have been employed instead of EU workers. However, our results, compared to some descriptive statistics on the overall post-Brexit migration towards UK, suggest that what happened seems closer to a substitution exercise: in other words, it seems that EU migrants were substituted with other international migrants, with apparently no benefits for UK workers. It seems unlikely that this is the outcome sought by leave voters. Moreover, wages of UK workers do not seem to have increased related to the remaining EU migrants, which again may be a disappointment to some Brexit supporters. </w:t>
      </w:r>
      <w:bookmarkStart w:id="7" w:name="_Hlk137043716"/>
      <w:r w:rsidR="453EBFA6">
        <w:br w:type="page"/>
      </w:r>
    </w:p>
    <w:p w14:paraId="0D5D54F5" w14:textId="4EE8270A" w:rsidR="005B214B" w:rsidRPr="00AE3281" w:rsidRDefault="00C17135" w:rsidP="005B214B">
      <w:pPr>
        <w:rPr>
          <w:rFonts w:cs="Times New Roman"/>
          <w:b/>
          <w:bCs/>
          <w:szCs w:val="24"/>
        </w:rPr>
      </w:pPr>
      <w:r w:rsidRPr="00AE3281">
        <w:rPr>
          <w:rFonts w:cs="Times New Roman"/>
          <w:b/>
          <w:bCs/>
          <w:szCs w:val="24"/>
        </w:rPr>
        <w:lastRenderedPageBreak/>
        <w:t>REFERENCES</w:t>
      </w:r>
    </w:p>
    <w:p w14:paraId="21C96750" w14:textId="77777777" w:rsidR="00C54C37" w:rsidRPr="00077D74" w:rsidRDefault="005B214B" w:rsidP="453EBFA6">
      <w:pPr>
        <w:pStyle w:val="Heading1"/>
        <w:shd w:val="clear" w:color="auto" w:fill="FFFFFF" w:themeFill="background1"/>
        <w:spacing w:after="120" w:afterAutospacing="0"/>
        <w:rPr>
          <w:b w:val="0"/>
          <w:bCs w:val="0"/>
          <w:kern w:val="0"/>
          <w:sz w:val="24"/>
          <w:szCs w:val="24"/>
          <w:lang w:eastAsia="en-US"/>
        </w:rPr>
      </w:pPr>
      <w:r w:rsidRPr="00077D74">
        <w:rPr>
          <w:b w:val="0"/>
          <w:bCs w:val="0"/>
          <w:kern w:val="0"/>
          <w:sz w:val="24"/>
          <w:szCs w:val="24"/>
          <w:lang w:eastAsia="en-US"/>
        </w:rPr>
        <w:t xml:space="preserve">Alberti, G. and Cutter, J. (2022) Labour migration policy post-Brexit: The contested meaning of regulation by old and new actors. </w:t>
      </w:r>
      <w:r w:rsidRPr="00077D74">
        <w:rPr>
          <w:b w:val="0"/>
          <w:bCs w:val="0"/>
          <w:i/>
          <w:iCs/>
          <w:kern w:val="0"/>
          <w:sz w:val="24"/>
          <w:szCs w:val="24"/>
          <w:lang w:eastAsia="en-US"/>
        </w:rPr>
        <w:t>Industrial Relations Journal</w:t>
      </w:r>
      <w:r w:rsidRPr="00077D74">
        <w:rPr>
          <w:b w:val="0"/>
          <w:bCs w:val="0"/>
          <w:kern w:val="0"/>
          <w:sz w:val="24"/>
          <w:szCs w:val="24"/>
          <w:lang w:eastAsia="en-US"/>
        </w:rPr>
        <w:t>, 53 (5): 430-445.</w:t>
      </w:r>
    </w:p>
    <w:p w14:paraId="208D4794" w14:textId="06504383" w:rsidR="00C54C37" w:rsidRPr="00077D74" w:rsidRDefault="00C54C37" w:rsidP="453EBFA6">
      <w:pPr>
        <w:pStyle w:val="Heading1"/>
        <w:shd w:val="clear" w:color="auto" w:fill="FFFFFF" w:themeFill="background1"/>
        <w:spacing w:after="120" w:afterAutospacing="0"/>
        <w:rPr>
          <w:b w:val="0"/>
          <w:bCs w:val="0"/>
          <w:kern w:val="0"/>
          <w:sz w:val="24"/>
          <w:szCs w:val="24"/>
          <w:lang w:eastAsia="en-US"/>
        </w:rPr>
      </w:pPr>
      <w:r w:rsidRPr="00077D74">
        <w:rPr>
          <w:b w:val="0"/>
          <w:bCs w:val="0"/>
          <w:kern w:val="0"/>
          <w:sz w:val="24"/>
          <w:szCs w:val="24"/>
          <w:lang w:eastAsia="en-US"/>
        </w:rPr>
        <w:t>Angelini</w:t>
      </w:r>
      <w:r w:rsidR="00D453EB" w:rsidRPr="00077D74">
        <w:rPr>
          <w:b w:val="0"/>
          <w:bCs w:val="0"/>
          <w:kern w:val="0"/>
          <w:sz w:val="24"/>
          <w:szCs w:val="24"/>
          <w:lang w:eastAsia="en-US"/>
        </w:rPr>
        <w:t>,</w:t>
      </w:r>
      <w:r w:rsidRPr="00077D74">
        <w:rPr>
          <w:b w:val="0"/>
          <w:bCs w:val="0"/>
          <w:kern w:val="0"/>
          <w:sz w:val="24"/>
          <w:szCs w:val="24"/>
          <w:lang w:eastAsia="en-US"/>
        </w:rPr>
        <w:t xml:space="preserve"> V., </w:t>
      </w:r>
      <w:proofErr w:type="spellStart"/>
      <w:r w:rsidRPr="00077D74">
        <w:rPr>
          <w:b w:val="0"/>
          <w:bCs w:val="0"/>
          <w:kern w:val="0"/>
          <w:sz w:val="24"/>
          <w:szCs w:val="24"/>
          <w:lang w:eastAsia="en-US"/>
        </w:rPr>
        <w:t>Casi</w:t>
      </w:r>
      <w:proofErr w:type="spellEnd"/>
      <w:r w:rsidR="00D453EB" w:rsidRPr="00077D74">
        <w:rPr>
          <w:b w:val="0"/>
          <w:bCs w:val="0"/>
          <w:kern w:val="0"/>
          <w:sz w:val="24"/>
          <w:szCs w:val="24"/>
          <w:lang w:eastAsia="en-US"/>
        </w:rPr>
        <w:t>,</w:t>
      </w:r>
      <w:r w:rsidRPr="00077D74">
        <w:rPr>
          <w:b w:val="0"/>
          <w:bCs w:val="0"/>
          <w:kern w:val="0"/>
          <w:sz w:val="24"/>
          <w:szCs w:val="24"/>
          <w:lang w:eastAsia="en-US"/>
        </w:rPr>
        <w:t xml:space="preserve"> L., </w:t>
      </w:r>
      <w:r w:rsidR="00D2790B" w:rsidRPr="00077D74">
        <w:rPr>
          <w:b w:val="0"/>
          <w:bCs w:val="0"/>
          <w:kern w:val="0"/>
          <w:sz w:val="24"/>
          <w:szCs w:val="24"/>
          <w:lang w:eastAsia="en-US"/>
        </w:rPr>
        <w:t xml:space="preserve">and </w:t>
      </w:r>
      <w:proofErr w:type="spellStart"/>
      <w:r w:rsidRPr="00077D74">
        <w:rPr>
          <w:b w:val="0"/>
          <w:bCs w:val="0"/>
          <w:kern w:val="0"/>
          <w:sz w:val="24"/>
          <w:szCs w:val="24"/>
          <w:lang w:eastAsia="en-US"/>
        </w:rPr>
        <w:t>Corazzini</w:t>
      </w:r>
      <w:proofErr w:type="spellEnd"/>
      <w:r w:rsidRPr="00077D74">
        <w:rPr>
          <w:b w:val="0"/>
          <w:bCs w:val="0"/>
          <w:kern w:val="0"/>
          <w:sz w:val="24"/>
          <w:szCs w:val="24"/>
          <w:lang w:eastAsia="en-US"/>
        </w:rPr>
        <w:t xml:space="preserve"> L. (2015) Life satisfaction of immigrants: does cultural assimilation matter? </w:t>
      </w:r>
      <w:r w:rsidRPr="00077D74">
        <w:rPr>
          <w:b w:val="0"/>
          <w:bCs w:val="0"/>
          <w:i/>
          <w:iCs/>
          <w:kern w:val="0"/>
          <w:sz w:val="24"/>
          <w:szCs w:val="24"/>
          <w:lang w:eastAsia="en-US"/>
        </w:rPr>
        <w:t xml:space="preserve">J </w:t>
      </w:r>
      <w:proofErr w:type="spellStart"/>
      <w:r w:rsidRPr="00077D74">
        <w:rPr>
          <w:b w:val="0"/>
          <w:bCs w:val="0"/>
          <w:i/>
          <w:iCs/>
          <w:kern w:val="0"/>
          <w:sz w:val="24"/>
          <w:szCs w:val="24"/>
          <w:lang w:eastAsia="en-US"/>
        </w:rPr>
        <w:t>Popul</w:t>
      </w:r>
      <w:proofErr w:type="spellEnd"/>
      <w:r w:rsidRPr="00077D74">
        <w:rPr>
          <w:b w:val="0"/>
          <w:bCs w:val="0"/>
          <w:i/>
          <w:iCs/>
          <w:kern w:val="0"/>
          <w:sz w:val="24"/>
          <w:szCs w:val="24"/>
          <w:lang w:eastAsia="en-US"/>
        </w:rPr>
        <w:t xml:space="preserve"> Econ</w:t>
      </w:r>
      <w:r w:rsidRPr="00077D74">
        <w:rPr>
          <w:b w:val="0"/>
          <w:bCs w:val="0"/>
          <w:kern w:val="0"/>
          <w:sz w:val="24"/>
          <w:szCs w:val="24"/>
          <w:lang w:eastAsia="en-US"/>
        </w:rPr>
        <w:t>, 28:817–844</w:t>
      </w:r>
      <w:r w:rsidR="00D2790B" w:rsidRPr="00077D74">
        <w:rPr>
          <w:b w:val="0"/>
          <w:bCs w:val="0"/>
          <w:kern w:val="0"/>
          <w:sz w:val="24"/>
          <w:szCs w:val="24"/>
          <w:lang w:eastAsia="en-US"/>
        </w:rPr>
        <w:t>.</w:t>
      </w:r>
    </w:p>
    <w:p w14:paraId="0792DBD8" w14:textId="114937AF" w:rsidR="005B214B" w:rsidRPr="00077D74" w:rsidRDefault="005B214B" w:rsidP="005B214B">
      <w:pPr>
        <w:rPr>
          <w:rFonts w:eastAsia="Times New Roman" w:cs="Times New Roman"/>
          <w:szCs w:val="24"/>
        </w:rPr>
      </w:pPr>
      <w:r w:rsidRPr="00077D74">
        <w:rPr>
          <w:rFonts w:eastAsia="Times New Roman" w:cs="Times New Roman"/>
          <w:szCs w:val="24"/>
        </w:rPr>
        <w:t>Benson</w:t>
      </w:r>
      <w:r w:rsidR="001D7B00" w:rsidRPr="00077D74">
        <w:rPr>
          <w:rFonts w:eastAsia="Times New Roman" w:cs="Times New Roman"/>
          <w:szCs w:val="24"/>
        </w:rPr>
        <w:t>,</w:t>
      </w:r>
      <w:r w:rsidRPr="00077D74">
        <w:rPr>
          <w:rFonts w:eastAsia="Times New Roman" w:cs="Times New Roman"/>
          <w:szCs w:val="24"/>
        </w:rPr>
        <w:t xml:space="preserve"> M., </w:t>
      </w:r>
      <w:proofErr w:type="spellStart"/>
      <w:r w:rsidRPr="00077D74">
        <w:rPr>
          <w:rFonts w:eastAsia="Times New Roman" w:cs="Times New Roman"/>
          <w:szCs w:val="24"/>
        </w:rPr>
        <w:t>Sigona</w:t>
      </w:r>
      <w:proofErr w:type="spellEnd"/>
      <w:r w:rsidRPr="00077D74">
        <w:rPr>
          <w:rFonts w:eastAsia="Times New Roman" w:cs="Times New Roman"/>
          <w:szCs w:val="24"/>
        </w:rPr>
        <w:t xml:space="preserve"> N., </w:t>
      </w:r>
      <w:proofErr w:type="spellStart"/>
      <w:r w:rsidRPr="00077D74">
        <w:rPr>
          <w:rFonts w:eastAsia="Times New Roman" w:cs="Times New Roman"/>
          <w:szCs w:val="24"/>
        </w:rPr>
        <w:t>Zambelli</w:t>
      </w:r>
      <w:proofErr w:type="spellEnd"/>
      <w:r w:rsidRPr="00077D74">
        <w:rPr>
          <w:rFonts w:eastAsia="Times New Roman" w:cs="Times New Roman"/>
          <w:szCs w:val="24"/>
        </w:rPr>
        <w:t xml:space="preserve"> E., </w:t>
      </w:r>
      <w:r w:rsidR="001D7B00" w:rsidRPr="00077D74">
        <w:rPr>
          <w:rFonts w:eastAsia="Times New Roman" w:cs="Times New Roman"/>
          <w:szCs w:val="24"/>
        </w:rPr>
        <w:t xml:space="preserve">and </w:t>
      </w:r>
      <w:r w:rsidRPr="00077D74">
        <w:rPr>
          <w:rFonts w:eastAsia="Times New Roman" w:cs="Times New Roman"/>
          <w:szCs w:val="24"/>
        </w:rPr>
        <w:t xml:space="preserve">Craven C., </w:t>
      </w:r>
      <w:r w:rsidR="002166F3" w:rsidRPr="00077D74">
        <w:rPr>
          <w:rFonts w:eastAsia="Times New Roman" w:cs="Times New Roman"/>
          <w:szCs w:val="24"/>
        </w:rPr>
        <w:t>(</w:t>
      </w:r>
      <w:r w:rsidRPr="00077D74">
        <w:rPr>
          <w:rFonts w:eastAsia="Times New Roman" w:cs="Times New Roman"/>
          <w:szCs w:val="24"/>
        </w:rPr>
        <w:t>2022</w:t>
      </w:r>
      <w:r w:rsidR="002166F3" w:rsidRPr="00077D74">
        <w:rPr>
          <w:rFonts w:eastAsia="Times New Roman" w:cs="Times New Roman"/>
          <w:szCs w:val="24"/>
        </w:rPr>
        <w:t>)</w:t>
      </w:r>
      <w:r w:rsidRPr="00077D74">
        <w:rPr>
          <w:rFonts w:eastAsia="Times New Roman" w:cs="Times New Roman"/>
          <w:szCs w:val="24"/>
        </w:rPr>
        <w:t xml:space="preserve"> From the state of the art to new directions in researching what Brexit means for migration and migrants. </w:t>
      </w:r>
      <w:r w:rsidRPr="00077D74">
        <w:rPr>
          <w:rFonts w:eastAsia="Times New Roman" w:cs="Times New Roman"/>
          <w:i/>
          <w:iCs/>
          <w:szCs w:val="24"/>
        </w:rPr>
        <w:t>Migration studies</w:t>
      </w:r>
      <w:r w:rsidRPr="00077D74">
        <w:rPr>
          <w:rFonts w:eastAsia="Times New Roman" w:cs="Times New Roman"/>
          <w:szCs w:val="24"/>
        </w:rPr>
        <w:t>, 10:</w:t>
      </w:r>
      <w:r w:rsidR="00780773" w:rsidRPr="00077D74">
        <w:rPr>
          <w:rFonts w:eastAsia="Times New Roman" w:cs="Times New Roman"/>
          <w:szCs w:val="24"/>
        </w:rPr>
        <w:t>(</w:t>
      </w:r>
      <w:r w:rsidRPr="00077D74">
        <w:rPr>
          <w:rFonts w:eastAsia="Times New Roman" w:cs="Times New Roman"/>
          <w:szCs w:val="24"/>
        </w:rPr>
        <w:t>2</w:t>
      </w:r>
      <w:r w:rsidR="00780773" w:rsidRPr="00077D74">
        <w:rPr>
          <w:rFonts w:eastAsia="Times New Roman" w:cs="Times New Roman"/>
          <w:szCs w:val="24"/>
        </w:rPr>
        <w:t>)</w:t>
      </w:r>
      <w:r w:rsidRPr="00077D74">
        <w:rPr>
          <w:rFonts w:eastAsia="Times New Roman" w:cs="Times New Roman"/>
          <w:szCs w:val="24"/>
        </w:rPr>
        <w:t>, 374-390</w:t>
      </w:r>
      <w:r w:rsidR="00780773" w:rsidRPr="00077D74">
        <w:rPr>
          <w:rFonts w:eastAsia="Times New Roman" w:cs="Times New Roman"/>
          <w:szCs w:val="24"/>
        </w:rPr>
        <w:t>.</w:t>
      </w:r>
    </w:p>
    <w:p w14:paraId="738E3274" w14:textId="10A44CD9" w:rsidR="005B214B" w:rsidRPr="00077D74" w:rsidRDefault="005B214B" w:rsidP="005B214B">
      <w:pPr>
        <w:rPr>
          <w:rFonts w:eastAsia="Times New Roman" w:cs="Times New Roman"/>
          <w:szCs w:val="24"/>
        </w:rPr>
      </w:pPr>
      <w:proofErr w:type="spellStart"/>
      <w:r w:rsidRPr="00077D74">
        <w:rPr>
          <w:rFonts w:eastAsia="Times New Roman" w:cs="Times New Roman"/>
          <w:szCs w:val="24"/>
        </w:rPr>
        <w:t>Braakmann</w:t>
      </w:r>
      <w:proofErr w:type="spellEnd"/>
      <w:r w:rsidRPr="00077D74">
        <w:rPr>
          <w:rFonts w:eastAsia="Times New Roman" w:cs="Times New Roman"/>
          <w:szCs w:val="24"/>
        </w:rPr>
        <w:t xml:space="preserve">, N. </w:t>
      </w:r>
      <w:r w:rsidR="002166F3" w:rsidRPr="00077D74">
        <w:rPr>
          <w:rFonts w:eastAsia="Times New Roman" w:cs="Times New Roman"/>
          <w:szCs w:val="24"/>
        </w:rPr>
        <w:t>(</w:t>
      </w:r>
      <w:r w:rsidRPr="00077D74">
        <w:rPr>
          <w:rFonts w:eastAsia="Times New Roman" w:cs="Times New Roman"/>
          <w:szCs w:val="24"/>
        </w:rPr>
        <w:t>2021</w:t>
      </w:r>
      <w:r w:rsidR="002166F3" w:rsidRPr="00077D74">
        <w:rPr>
          <w:rFonts w:eastAsia="Times New Roman" w:cs="Times New Roman"/>
          <w:szCs w:val="24"/>
        </w:rPr>
        <w:t>)</w:t>
      </w:r>
      <w:r w:rsidRPr="00077D74">
        <w:rPr>
          <w:rFonts w:eastAsia="Times New Roman" w:cs="Times New Roman"/>
          <w:szCs w:val="24"/>
        </w:rPr>
        <w:t xml:space="preserve"> Immigration Status Uncertainty and Mental Health—Evidence from Brexit. </w:t>
      </w:r>
      <w:r w:rsidRPr="00077D74">
        <w:rPr>
          <w:rFonts w:eastAsia="Times New Roman" w:cs="Times New Roman"/>
          <w:i/>
          <w:iCs/>
          <w:szCs w:val="24"/>
        </w:rPr>
        <w:t>Industrial Relations: A Journal of Economy and Society</w:t>
      </w:r>
      <w:r w:rsidRPr="00077D74">
        <w:rPr>
          <w:rFonts w:eastAsia="Times New Roman" w:cs="Times New Roman"/>
          <w:szCs w:val="24"/>
        </w:rPr>
        <w:t>, 60(4)</w:t>
      </w:r>
      <w:r w:rsidR="00780773" w:rsidRPr="00077D74">
        <w:rPr>
          <w:rFonts w:eastAsia="Times New Roman" w:cs="Times New Roman"/>
          <w:szCs w:val="24"/>
        </w:rPr>
        <w:t>:</w:t>
      </w:r>
      <w:r w:rsidRPr="00077D74">
        <w:rPr>
          <w:rFonts w:eastAsia="Times New Roman" w:cs="Times New Roman"/>
          <w:szCs w:val="24"/>
        </w:rPr>
        <w:t xml:space="preserve"> 521-548.</w:t>
      </w:r>
    </w:p>
    <w:p w14:paraId="498E5179" w14:textId="545C1156" w:rsidR="00124B56" w:rsidRPr="00077D74" w:rsidRDefault="00124B56" w:rsidP="00124B56">
      <w:pPr>
        <w:rPr>
          <w:rFonts w:cs="Times New Roman"/>
        </w:rPr>
      </w:pPr>
      <w:proofErr w:type="spellStart"/>
      <w:r w:rsidRPr="00077D74">
        <w:rPr>
          <w:rFonts w:cs="Times New Roman"/>
        </w:rPr>
        <w:t>Chassamboulli</w:t>
      </w:r>
      <w:proofErr w:type="spellEnd"/>
      <w:r w:rsidR="001D7B00" w:rsidRPr="00077D74">
        <w:rPr>
          <w:rFonts w:cs="Times New Roman"/>
        </w:rPr>
        <w:t>,</w:t>
      </w:r>
      <w:r w:rsidRPr="00077D74">
        <w:rPr>
          <w:rFonts w:cs="Times New Roman"/>
        </w:rPr>
        <w:t xml:space="preserve"> A</w:t>
      </w:r>
      <w:r w:rsidR="001D7B00" w:rsidRPr="00077D74">
        <w:rPr>
          <w:rFonts w:cs="Times New Roman"/>
        </w:rPr>
        <w:t>.</w:t>
      </w:r>
      <w:r w:rsidR="00DA2999" w:rsidRPr="00077D74">
        <w:rPr>
          <w:rFonts w:cs="Times New Roman"/>
        </w:rPr>
        <w:t xml:space="preserve"> and</w:t>
      </w:r>
      <w:r w:rsidRPr="00077D74">
        <w:rPr>
          <w:rFonts w:cs="Times New Roman"/>
        </w:rPr>
        <w:t xml:space="preserve"> </w:t>
      </w:r>
      <w:proofErr w:type="spellStart"/>
      <w:r w:rsidRPr="00077D74">
        <w:rPr>
          <w:rFonts w:cs="Times New Roman"/>
        </w:rPr>
        <w:t>Palivos</w:t>
      </w:r>
      <w:proofErr w:type="spellEnd"/>
      <w:r w:rsidRPr="00077D74">
        <w:rPr>
          <w:rFonts w:cs="Times New Roman"/>
        </w:rPr>
        <w:t xml:space="preserve"> T, (2013) The impact of immigration on the employment and wages of native workers. </w:t>
      </w:r>
      <w:r w:rsidRPr="00077D74">
        <w:rPr>
          <w:rFonts w:cs="Times New Roman"/>
          <w:i/>
        </w:rPr>
        <w:t>Journal of Macroeconomics:</w:t>
      </w:r>
      <w:r w:rsidRPr="00077D74">
        <w:rPr>
          <w:rFonts w:cs="Times New Roman"/>
        </w:rPr>
        <w:t xml:space="preserve"> 38, 19–34</w:t>
      </w:r>
      <w:r w:rsidR="001D7B00" w:rsidRPr="00077D74">
        <w:rPr>
          <w:rFonts w:cs="Times New Roman"/>
        </w:rPr>
        <w:t>.</w:t>
      </w:r>
    </w:p>
    <w:p w14:paraId="265E6470" w14:textId="12921A56" w:rsidR="005440E5" w:rsidRPr="00077D74" w:rsidRDefault="454E41B1" w:rsidP="005440E5">
      <w:pPr>
        <w:autoSpaceDE w:val="0"/>
        <w:autoSpaceDN w:val="0"/>
        <w:adjustRightInd w:val="0"/>
        <w:spacing w:after="0" w:line="240" w:lineRule="auto"/>
        <w:rPr>
          <w:rFonts w:cs="Times New Roman"/>
        </w:rPr>
      </w:pPr>
      <w:r w:rsidRPr="00077D74">
        <w:rPr>
          <w:rFonts w:cs="Times New Roman"/>
        </w:rPr>
        <w:t>Clifton-</w:t>
      </w:r>
      <w:proofErr w:type="spellStart"/>
      <w:r w:rsidRPr="00077D74">
        <w:rPr>
          <w:rFonts w:cs="Times New Roman"/>
        </w:rPr>
        <w:t>Sprigg</w:t>
      </w:r>
      <w:proofErr w:type="spellEnd"/>
      <w:r w:rsidRPr="00077D74">
        <w:rPr>
          <w:rFonts w:cs="Times New Roman"/>
        </w:rPr>
        <w:t xml:space="preserve">, J., Homburg, I., James, J., and </w:t>
      </w:r>
      <w:proofErr w:type="spellStart"/>
      <w:r w:rsidRPr="00077D74">
        <w:rPr>
          <w:rFonts w:cs="Times New Roman"/>
        </w:rPr>
        <w:t>Vujic</w:t>
      </w:r>
      <w:proofErr w:type="spellEnd"/>
      <w:r w:rsidRPr="00077D74">
        <w:rPr>
          <w:rFonts w:cs="Times New Roman"/>
        </w:rPr>
        <w:t xml:space="preserve">, S. (2023) </w:t>
      </w:r>
      <w:r w:rsidRPr="00077D74">
        <w:rPr>
          <w:rFonts w:cs="Times New Roman"/>
          <w:i/>
          <w:iCs/>
        </w:rPr>
        <w:t>A Bad Break-up? Assessing the Effects of the 2016 Brexit Referendum on Migration</w:t>
      </w:r>
      <w:r w:rsidRPr="00077D74">
        <w:rPr>
          <w:rFonts w:cs="Times New Roman"/>
        </w:rPr>
        <w:t>. Discussion Paper Series. IZA DP No. 16468.</w:t>
      </w:r>
    </w:p>
    <w:p w14:paraId="6D82B890" w14:textId="77777777" w:rsidR="005440E5" w:rsidRPr="00077D74" w:rsidRDefault="005440E5" w:rsidP="00AE3281">
      <w:pPr>
        <w:autoSpaceDE w:val="0"/>
        <w:autoSpaceDN w:val="0"/>
        <w:adjustRightInd w:val="0"/>
        <w:spacing w:after="0" w:line="240" w:lineRule="auto"/>
        <w:rPr>
          <w:rFonts w:cs="Times New Roman"/>
        </w:rPr>
      </w:pPr>
    </w:p>
    <w:p w14:paraId="7A33E8C1" w14:textId="05F252A4" w:rsidR="005440E5" w:rsidRPr="00077D74" w:rsidRDefault="454E41B1" w:rsidP="454E41B1">
      <w:pPr>
        <w:autoSpaceDE w:val="0"/>
        <w:autoSpaceDN w:val="0"/>
        <w:adjustRightInd w:val="0"/>
        <w:spacing w:after="0" w:line="240" w:lineRule="auto"/>
        <w:rPr>
          <w:rFonts w:cs="Times New Roman"/>
        </w:rPr>
      </w:pPr>
      <w:r w:rsidRPr="00077D74">
        <w:rPr>
          <w:rFonts w:cs="Times New Roman"/>
        </w:rPr>
        <w:t xml:space="preserve">Di </w:t>
      </w:r>
      <w:proofErr w:type="spellStart"/>
      <w:r w:rsidRPr="00077D74">
        <w:rPr>
          <w:rFonts w:cs="Times New Roman"/>
        </w:rPr>
        <w:t>Iasio</w:t>
      </w:r>
      <w:proofErr w:type="spellEnd"/>
      <w:r w:rsidRPr="00077D74">
        <w:rPr>
          <w:rFonts w:cs="Times New Roman"/>
        </w:rPr>
        <w:t xml:space="preserve">, V. and Wahba, J. (2023) </w:t>
      </w:r>
      <w:r w:rsidRPr="00077D74">
        <w:rPr>
          <w:rFonts w:cs="Times New Roman"/>
          <w:i/>
          <w:iCs/>
        </w:rPr>
        <w:t>Expecting Brexit and UK Migration: Should I Go?</w:t>
      </w:r>
      <w:r w:rsidRPr="00077D74">
        <w:rPr>
          <w:rFonts w:cs="Times New Roman"/>
        </w:rPr>
        <w:t xml:space="preserve"> Discussion Paper Series. IZA DP No. 16156.</w:t>
      </w:r>
    </w:p>
    <w:p w14:paraId="1B1960E6" w14:textId="77777777" w:rsidR="005440E5" w:rsidRPr="00077D74" w:rsidRDefault="005440E5" w:rsidP="00AE3281">
      <w:pPr>
        <w:autoSpaceDE w:val="0"/>
        <w:autoSpaceDN w:val="0"/>
        <w:adjustRightInd w:val="0"/>
        <w:spacing w:after="0" w:line="240" w:lineRule="auto"/>
        <w:rPr>
          <w:rFonts w:cs="Times New Roman"/>
          <w:szCs w:val="24"/>
        </w:rPr>
      </w:pPr>
    </w:p>
    <w:p w14:paraId="059ACA61" w14:textId="0522B11E" w:rsidR="005B214B" w:rsidRPr="00077D74" w:rsidRDefault="005B214B" w:rsidP="005B214B">
      <w:pPr>
        <w:rPr>
          <w:rFonts w:eastAsia="Times New Roman" w:cs="Times New Roman"/>
          <w:szCs w:val="24"/>
        </w:rPr>
      </w:pPr>
      <w:r w:rsidRPr="00077D74">
        <w:rPr>
          <w:rFonts w:eastAsia="Times New Roman" w:cs="Times New Roman"/>
          <w:szCs w:val="24"/>
        </w:rPr>
        <w:t>Dorn</w:t>
      </w:r>
      <w:r w:rsidR="00D453EB" w:rsidRPr="00077D74">
        <w:rPr>
          <w:rFonts w:eastAsia="Times New Roman" w:cs="Times New Roman"/>
          <w:szCs w:val="24"/>
        </w:rPr>
        <w:t>,</w:t>
      </w:r>
      <w:r w:rsidRPr="00077D74">
        <w:rPr>
          <w:rFonts w:eastAsia="Times New Roman" w:cs="Times New Roman"/>
          <w:szCs w:val="24"/>
        </w:rPr>
        <w:t xml:space="preserve"> D., </w:t>
      </w:r>
      <w:r w:rsidR="00C4051D" w:rsidRPr="00077D74">
        <w:rPr>
          <w:rFonts w:eastAsia="Times New Roman" w:cs="Times New Roman"/>
          <w:szCs w:val="24"/>
        </w:rPr>
        <w:t xml:space="preserve">and </w:t>
      </w:r>
      <w:proofErr w:type="spellStart"/>
      <w:r w:rsidRPr="00077D74">
        <w:rPr>
          <w:rFonts w:eastAsia="Times New Roman" w:cs="Times New Roman"/>
          <w:szCs w:val="24"/>
        </w:rPr>
        <w:t>Zweimüller</w:t>
      </w:r>
      <w:proofErr w:type="spellEnd"/>
      <w:r w:rsidR="00D453EB" w:rsidRPr="00077D74">
        <w:rPr>
          <w:rFonts w:eastAsia="Times New Roman" w:cs="Times New Roman"/>
          <w:szCs w:val="24"/>
        </w:rPr>
        <w:t>,</w:t>
      </w:r>
      <w:r w:rsidRPr="00077D74">
        <w:rPr>
          <w:rFonts w:eastAsia="Times New Roman" w:cs="Times New Roman"/>
          <w:szCs w:val="24"/>
        </w:rPr>
        <w:t xml:space="preserve"> J., </w:t>
      </w:r>
      <w:r w:rsidR="00780773" w:rsidRPr="00077D74">
        <w:rPr>
          <w:rFonts w:eastAsia="Times New Roman" w:cs="Times New Roman"/>
          <w:szCs w:val="24"/>
        </w:rPr>
        <w:t>(</w:t>
      </w:r>
      <w:r w:rsidRPr="00077D74">
        <w:rPr>
          <w:rFonts w:eastAsia="Times New Roman" w:cs="Times New Roman"/>
          <w:szCs w:val="24"/>
        </w:rPr>
        <w:t>2021</w:t>
      </w:r>
      <w:r w:rsidR="00780773" w:rsidRPr="00077D74">
        <w:rPr>
          <w:rFonts w:eastAsia="Times New Roman" w:cs="Times New Roman"/>
          <w:szCs w:val="24"/>
        </w:rPr>
        <w:t>)</w:t>
      </w:r>
      <w:r w:rsidRPr="00077D74">
        <w:rPr>
          <w:rFonts w:eastAsia="Times New Roman" w:cs="Times New Roman"/>
          <w:szCs w:val="24"/>
        </w:rPr>
        <w:t xml:space="preserve"> Migration and Labor Market Integration in Europe. </w:t>
      </w:r>
      <w:r w:rsidRPr="00077D74">
        <w:rPr>
          <w:rFonts w:eastAsia="Times New Roman" w:cs="Times New Roman"/>
          <w:i/>
          <w:iCs/>
          <w:szCs w:val="24"/>
        </w:rPr>
        <w:t>The Journal of Economic Perspectives</w:t>
      </w:r>
      <w:r w:rsidRPr="00077D74">
        <w:rPr>
          <w:rFonts w:eastAsia="Times New Roman" w:cs="Times New Roman"/>
          <w:szCs w:val="24"/>
        </w:rPr>
        <w:t>, 35</w:t>
      </w:r>
      <w:r w:rsidR="00780773" w:rsidRPr="00077D74">
        <w:rPr>
          <w:rFonts w:eastAsia="Times New Roman" w:cs="Times New Roman"/>
          <w:szCs w:val="24"/>
        </w:rPr>
        <w:t>(</w:t>
      </w:r>
      <w:r w:rsidRPr="00077D74">
        <w:rPr>
          <w:rFonts w:eastAsia="Times New Roman" w:cs="Times New Roman"/>
          <w:szCs w:val="24"/>
        </w:rPr>
        <w:t>2</w:t>
      </w:r>
      <w:r w:rsidR="00780773" w:rsidRPr="00077D74">
        <w:rPr>
          <w:rFonts w:eastAsia="Times New Roman" w:cs="Times New Roman"/>
          <w:szCs w:val="24"/>
        </w:rPr>
        <w:t xml:space="preserve">): </w:t>
      </w:r>
      <w:r w:rsidRPr="00077D74">
        <w:rPr>
          <w:rFonts w:eastAsia="Times New Roman" w:cs="Times New Roman"/>
          <w:szCs w:val="24"/>
        </w:rPr>
        <w:t xml:space="preserve">49-76. </w:t>
      </w:r>
    </w:p>
    <w:p w14:paraId="795AE219" w14:textId="2AF5AB68" w:rsidR="00C4051D" w:rsidRPr="00077D74" w:rsidRDefault="454E41B1" w:rsidP="454E41B1">
      <w:pPr>
        <w:rPr>
          <w:rFonts w:eastAsia="Times New Roman" w:cs="Times New Roman"/>
        </w:rPr>
      </w:pPr>
      <w:proofErr w:type="spellStart"/>
      <w:r w:rsidRPr="00077D74">
        <w:rPr>
          <w:rFonts w:eastAsia="Times New Roman" w:cs="Times New Roman"/>
        </w:rPr>
        <w:t>Dustmann</w:t>
      </w:r>
      <w:proofErr w:type="spellEnd"/>
      <w:r w:rsidRPr="00077D74">
        <w:rPr>
          <w:rFonts w:eastAsia="Times New Roman" w:cs="Times New Roman"/>
        </w:rPr>
        <w:t xml:space="preserve">, C., </w:t>
      </w:r>
      <w:proofErr w:type="spellStart"/>
      <w:r w:rsidRPr="00077D74">
        <w:rPr>
          <w:rFonts w:eastAsia="Times New Roman" w:cs="Times New Roman"/>
        </w:rPr>
        <w:t>Fabbri</w:t>
      </w:r>
      <w:proofErr w:type="spellEnd"/>
      <w:r w:rsidRPr="00077D74">
        <w:rPr>
          <w:rFonts w:eastAsia="Times New Roman" w:cs="Times New Roman"/>
        </w:rPr>
        <w:t xml:space="preserve">, F., and Preston, I. (2005) </w:t>
      </w:r>
      <w:r w:rsidRPr="00077D74">
        <w:t xml:space="preserve">The impact of immigration on the British labour market. </w:t>
      </w:r>
      <w:r w:rsidRPr="00077D74">
        <w:rPr>
          <w:i/>
          <w:iCs/>
        </w:rPr>
        <w:t>The Economic Journal</w:t>
      </w:r>
      <w:r w:rsidRPr="00077D74">
        <w:t>, 115, F324–F341</w:t>
      </w:r>
    </w:p>
    <w:p w14:paraId="41FB26FB" w14:textId="69832340" w:rsidR="00956A8F" w:rsidRPr="00077D74" w:rsidRDefault="454E41B1" w:rsidP="454E41B1">
      <w:pPr>
        <w:rPr>
          <w:rFonts w:eastAsia="Times New Roman" w:cs="Times New Roman"/>
        </w:rPr>
      </w:pPr>
      <w:proofErr w:type="spellStart"/>
      <w:r w:rsidRPr="00077D74">
        <w:rPr>
          <w:rFonts w:eastAsia="Times New Roman" w:cs="Times New Roman"/>
        </w:rPr>
        <w:t>Dustmann</w:t>
      </w:r>
      <w:proofErr w:type="spellEnd"/>
      <w:r w:rsidRPr="00077D74">
        <w:rPr>
          <w:rFonts w:eastAsia="Times New Roman" w:cs="Times New Roman"/>
        </w:rPr>
        <w:t xml:space="preserve">, C., Frattini, T., and Preston, I. (2013). </w:t>
      </w:r>
      <w:r w:rsidRPr="00077D74">
        <w:t xml:space="preserve">The Effect of Immigration along the Distribution of Wages. </w:t>
      </w:r>
      <w:r w:rsidRPr="00077D74">
        <w:rPr>
          <w:i/>
          <w:iCs/>
        </w:rPr>
        <w:t xml:space="preserve">Review of Economic Studies </w:t>
      </w:r>
      <w:r w:rsidRPr="00077D74">
        <w:t>(2013) 80, 145–173.</w:t>
      </w:r>
    </w:p>
    <w:p w14:paraId="1145E33B" w14:textId="466DA561" w:rsidR="00790012" w:rsidRPr="00077D74" w:rsidRDefault="0096463D" w:rsidP="005B214B">
      <w:pPr>
        <w:rPr>
          <w:rFonts w:eastAsia="Times New Roman" w:cs="Times New Roman"/>
          <w:szCs w:val="24"/>
        </w:rPr>
      </w:pPr>
      <w:proofErr w:type="spellStart"/>
      <w:r w:rsidRPr="00077D74">
        <w:rPr>
          <w:rFonts w:eastAsia="Times New Roman" w:cs="Times New Roman"/>
          <w:szCs w:val="24"/>
        </w:rPr>
        <w:t>Dustmann</w:t>
      </w:r>
      <w:proofErr w:type="spellEnd"/>
      <w:r w:rsidR="00D453EB" w:rsidRPr="00077D74">
        <w:rPr>
          <w:rFonts w:eastAsia="Times New Roman" w:cs="Times New Roman"/>
          <w:szCs w:val="24"/>
        </w:rPr>
        <w:t>,</w:t>
      </w:r>
      <w:r w:rsidRPr="00077D74">
        <w:rPr>
          <w:rFonts w:eastAsia="Times New Roman" w:cs="Times New Roman"/>
          <w:szCs w:val="24"/>
        </w:rPr>
        <w:t xml:space="preserve"> C., </w:t>
      </w:r>
      <w:proofErr w:type="spellStart"/>
      <w:r w:rsidRPr="00077D74">
        <w:rPr>
          <w:rFonts w:eastAsia="Times New Roman" w:cs="Times New Roman"/>
          <w:szCs w:val="24"/>
        </w:rPr>
        <w:t>Fasani</w:t>
      </w:r>
      <w:proofErr w:type="spellEnd"/>
      <w:r w:rsidRPr="00077D74">
        <w:rPr>
          <w:rFonts w:eastAsia="Times New Roman" w:cs="Times New Roman"/>
          <w:szCs w:val="24"/>
        </w:rPr>
        <w:t xml:space="preserve"> F., Speciale B. (2017). Illegal Migration and Consumption </w:t>
      </w:r>
      <w:proofErr w:type="spellStart"/>
      <w:r w:rsidRPr="00077D74">
        <w:rPr>
          <w:rFonts w:eastAsia="Times New Roman" w:cs="Times New Roman"/>
          <w:szCs w:val="24"/>
        </w:rPr>
        <w:t>Behavior</w:t>
      </w:r>
      <w:proofErr w:type="spellEnd"/>
      <w:r w:rsidRPr="00077D74">
        <w:rPr>
          <w:rFonts w:eastAsia="Times New Roman" w:cs="Times New Roman"/>
          <w:szCs w:val="24"/>
        </w:rPr>
        <w:t xml:space="preserve"> of Immigrant Households, </w:t>
      </w:r>
      <w:r w:rsidRPr="00077D74">
        <w:rPr>
          <w:rFonts w:eastAsia="Times New Roman" w:cs="Times New Roman"/>
          <w:i/>
          <w:iCs/>
          <w:szCs w:val="24"/>
        </w:rPr>
        <w:t>Journal of the European Economic Association</w:t>
      </w:r>
      <w:r w:rsidRPr="00077D74">
        <w:rPr>
          <w:rFonts w:eastAsia="Times New Roman" w:cs="Times New Roman"/>
          <w:szCs w:val="24"/>
        </w:rPr>
        <w:t>, 15(3): 654–691.</w:t>
      </w:r>
    </w:p>
    <w:p w14:paraId="61DE5B1D" w14:textId="475C6A08" w:rsidR="00C848DC" w:rsidRPr="00077D74" w:rsidRDefault="00C848DC" w:rsidP="005B214B">
      <w:pPr>
        <w:rPr>
          <w:rFonts w:cs="Times New Roman"/>
        </w:rPr>
      </w:pPr>
      <w:r w:rsidRPr="00077D74">
        <w:rPr>
          <w:rFonts w:eastAsia="Times New Roman" w:cs="Times New Roman"/>
          <w:szCs w:val="24"/>
        </w:rPr>
        <w:t>Edo</w:t>
      </w:r>
      <w:r w:rsidR="00D453EB" w:rsidRPr="00077D74">
        <w:rPr>
          <w:rFonts w:eastAsia="Times New Roman" w:cs="Times New Roman"/>
          <w:szCs w:val="24"/>
        </w:rPr>
        <w:t>,</w:t>
      </w:r>
      <w:r w:rsidRPr="00077D74">
        <w:rPr>
          <w:rFonts w:eastAsia="Times New Roman" w:cs="Times New Roman"/>
          <w:szCs w:val="24"/>
        </w:rPr>
        <w:t xml:space="preserve"> A. (20</w:t>
      </w:r>
      <w:r w:rsidR="00744782" w:rsidRPr="00077D74">
        <w:rPr>
          <w:rFonts w:eastAsia="Times New Roman" w:cs="Times New Roman"/>
          <w:szCs w:val="24"/>
        </w:rPr>
        <w:t>15</w:t>
      </w:r>
      <w:r w:rsidRPr="00077D74">
        <w:rPr>
          <w:rFonts w:eastAsia="Times New Roman" w:cs="Times New Roman"/>
          <w:szCs w:val="24"/>
        </w:rPr>
        <w:t xml:space="preserve">) </w:t>
      </w:r>
      <w:r w:rsidRPr="00077D74">
        <w:rPr>
          <w:rFonts w:cs="Times New Roman"/>
        </w:rPr>
        <w:t xml:space="preserve">The Impact of Immigration on Native Wages and Employment, </w:t>
      </w:r>
      <w:r w:rsidRPr="00077D74">
        <w:rPr>
          <w:rFonts w:cs="Times New Roman"/>
          <w:i/>
        </w:rPr>
        <w:t>BE J. Econ. Anal. Policy</w:t>
      </w:r>
      <w:r w:rsidRPr="00077D74">
        <w:rPr>
          <w:rFonts w:cs="Times New Roman"/>
        </w:rPr>
        <w:t>; 15(3): 1151–1196</w:t>
      </w:r>
      <w:r w:rsidR="00780773" w:rsidRPr="00077D74">
        <w:rPr>
          <w:rFonts w:cs="Times New Roman"/>
        </w:rPr>
        <w:t>.</w:t>
      </w:r>
    </w:p>
    <w:p w14:paraId="21F88A70" w14:textId="35858D4A" w:rsidR="00C57AAA" w:rsidRPr="00077D74" w:rsidRDefault="454E41B1" w:rsidP="005B214B">
      <w:pPr>
        <w:rPr>
          <w:rFonts w:cs="Times New Roman"/>
        </w:rPr>
      </w:pPr>
      <w:proofErr w:type="spellStart"/>
      <w:r w:rsidRPr="00077D74">
        <w:rPr>
          <w:rFonts w:cs="Times New Roman"/>
        </w:rPr>
        <w:t>Fasani</w:t>
      </w:r>
      <w:proofErr w:type="spellEnd"/>
      <w:r w:rsidRPr="00077D74">
        <w:rPr>
          <w:rFonts w:cs="Times New Roman"/>
        </w:rPr>
        <w:t xml:space="preserve">, F. (2014) </w:t>
      </w:r>
      <w:r w:rsidRPr="00077D74">
        <w:rPr>
          <w:rFonts w:cs="Times New Roman"/>
          <w:i/>
          <w:iCs/>
        </w:rPr>
        <w:t>Understanding the Role of Immigrants' Legal Status: Evidence from Policy Experiments.</w:t>
      </w:r>
      <w:r w:rsidRPr="00077D74">
        <w:rPr>
          <w:rFonts w:cs="Times New Roman"/>
        </w:rPr>
        <w:t xml:space="preserve"> IZA Discussion Papers, No. 8576.</w:t>
      </w:r>
    </w:p>
    <w:p w14:paraId="121BF4A0" w14:textId="386D7F07" w:rsidR="00120224" w:rsidRPr="00077D74" w:rsidRDefault="00120224" w:rsidP="005B214B">
      <w:pPr>
        <w:rPr>
          <w:rFonts w:cs="Times New Roman"/>
        </w:rPr>
      </w:pPr>
      <w:proofErr w:type="spellStart"/>
      <w:r w:rsidRPr="00077D74">
        <w:rPr>
          <w:rFonts w:cs="Times New Roman"/>
        </w:rPr>
        <w:t>Felbo</w:t>
      </w:r>
      <w:proofErr w:type="spellEnd"/>
      <w:r w:rsidRPr="00077D74">
        <w:rPr>
          <w:rFonts w:cs="Times New Roman"/>
        </w:rPr>
        <w:t xml:space="preserve">-Kolding, J., </w:t>
      </w:r>
      <w:proofErr w:type="spellStart"/>
      <w:r w:rsidRPr="00077D74">
        <w:rPr>
          <w:rFonts w:cs="Times New Roman"/>
        </w:rPr>
        <w:t>Leschke</w:t>
      </w:r>
      <w:proofErr w:type="spellEnd"/>
      <w:r w:rsidRPr="00077D74">
        <w:rPr>
          <w:rFonts w:cs="Times New Roman"/>
        </w:rPr>
        <w:t xml:space="preserve">, J., and </w:t>
      </w:r>
      <w:proofErr w:type="spellStart"/>
      <w:r w:rsidRPr="00077D74">
        <w:rPr>
          <w:rFonts w:cs="Times New Roman"/>
        </w:rPr>
        <w:t>Spreckelsen</w:t>
      </w:r>
      <w:proofErr w:type="spellEnd"/>
      <w:r w:rsidRPr="00077D74">
        <w:rPr>
          <w:rFonts w:cs="Times New Roman"/>
        </w:rPr>
        <w:t xml:space="preserve">, T. F. (2019). A Division of Labour? Labour Market Segmentation by Region of Origin: The Case of Intra-EU Migrants in the UK, </w:t>
      </w:r>
      <w:proofErr w:type="gramStart"/>
      <w:r w:rsidRPr="00077D74">
        <w:rPr>
          <w:rFonts w:cs="Times New Roman"/>
        </w:rPr>
        <w:t>Germany</w:t>
      </w:r>
      <w:proofErr w:type="gramEnd"/>
      <w:r w:rsidRPr="00077D74">
        <w:rPr>
          <w:rFonts w:cs="Times New Roman"/>
        </w:rPr>
        <w:t xml:space="preserve"> and Denmark. </w:t>
      </w:r>
      <w:r w:rsidRPr="00077D74">
        <w:rPr>
          <w:i/>
          <w:iCs/>
        </w:rPr>
        <w:t>Journal of Ethnic and Migration Studies</w:t>
      </w:r>
      <w:r w:rsidRPr="00077D74">
        <w:rPr>
          <w:rFonts w:cs="Times New Roman"/>
        </w:rPr>
        <w:t>, </w:t>
      </w:r>
      <w:r w:rsidRPr="00077D74">
        <w:rPr>
          <w:i/>
          <w:iCs/>
        </w:rPr>
        <w:t>45</w:t>
      </w:r>
      <w:r w:rsidRPr="00077D74">
        <w:rPr>
          <w:rFonts w:cs="Times New Roman"/>
        </w:rPr>
        <w:t xml:space="preserve">(15), 2820-2843.  </w:t>
      </w:r>
    </w:p>
    <w:p w14:paraId="66954CD4" w14:textId="6CA88CE5" w:rsidR="00A02C20" w:rsidRPr="00077D74" w:rsidRDefault="454E41B1" w:rsidP="005B214B">
      <w:pPr>
        <w:rPr>
          <w:rFonts w:cs="Times New Roman"/>
        </w:rPr>
      </w:pPr>
      <w:r w:rsidRPr="00CF4142">
        <w:rPr>
          <w:rFonts w:cs="Times New Roman"/>
        </w:rPr>
        <w:t>Fernandez-</w:t>
      </w:r>
      <w:proofErr w:type="spellStart"/>
      <w:r w:rsidRPr="00CF4142">
        <w:rPr>
          <w:rFonts w:cs="Times New Roman"/>
        </w:rPr>
        <w:t>Reino</w:t>
      </w:r>
      <w:proofErr w:type="spellEnd"/>
      <w:r w:rsidRPr="00CF4142">
        <w:rPr>
          <w:rFonts w:cs="Times New Roman"/>
        </w:rPr>
        <w:t xml:space="preserve">, M., &amp; </w:t>
      </w:r>
      <w:proofErr w:type="spellStart"/>
      <w:r w:rsidRPr="00CF4142">
        <w:rPr>
          <w:rFonts w:cs="Times New Roman"/>
        </w:rPr>
        <w:t>Rienzo</w:t>
      </w:r>
      <w:proofErr w:type="spellEnd"/>
      <w:r w:rsidRPr="00CF4142">
        <w:rPr>
          <w:rFonts w:cs="Times New Roman"/>
        </w:rPr>
        <w:t>, C. (2021).</w:t>
      </w:r>
      <w:r w:rsidRPr="00CF4142">
        <w:rPr>
          <w:rFonts w:cs="Times New Roman"/>
          <w:i/>
          <w:iCs/>
        </w:rPr>
        <w:t xml:space="preserve"> </w:t>
      </w:r>
      <w:r w:rsidRPr="00077D74">
        <w:rPr>
          <w:rFonts w:cs="Times New Roman"/>
          <w:i/>
          <w:iCs/>
        </w:rPr>
        <w:t>Migrants in the UK Labour market: An Overview</w:t>
      </w:r>
      <w:r w:rsidRPr="00077D74">
        <w:rPr>
          <w:rFonts w:cs="Times New Roman"/>
        </w:rPr>
        <w:t xml:space="preserve">. Migration Observatory Briefing, COMPAS, University of </w:t>
      </w:r>
      <w:proofErr w:type="spellStart"/>
      <w:r w:rsidRPr="00077D74">
        <w:rPr>
          <w:rFonts w:cs="Times New Roman"/>
        </w:rPr>
        <w:t>Oxford.</w:t>
      </w:r>
      <w:r w:rsidR="00A02C20" w:rsidRPr="00077D74">
        <w:rPr>
          <w:rFonts w:cs="Times New Roman"/>
          <w:szCs w:val="24"/>
        </w:rPr>
        <w:t>Fitzgerald</w:t>
      </w:r>
      <w:proofErr w:type="spellEnd"/>
      <w:r w:rsidR="00A02C20" w:rsidRPr="00077D74">
        <w:rPr>
          <w:rFonts w:cs="Times New Roman"/>
          <w:szCs w:val="24"/>
        </w:rPr>
        <w:t xml:space="preserve">, J. (2007) </w:t>
      </w:r>
      <w:r w:rsidR="00A02C20" w:rsidRPr="00077D74">
        <w:rPr>
          <w:rFonts w:cs="Times New Roman"/>
          <w:i/>
          <w:iCs/>
          <w:szCs w:val="24"/>
        </w:rPr>
        <w:t>Big White Lie: Chinese Australians in White Australia</w:t>
      </w:r>
      <w:r w:rsidR="00A34AF7" w:rsidRPr="00077D74">
        <w:rPr>
          <w:rFonts w:cs="Times New Roman"/>
          <w:i/>
          <w:iCs/>
          <w:szCs w:val="24"/>
        </w:rPr>
        <w:t>.</w:t>
      </w:r>
      <w:r w:rsidR="00A02C20" w:rsidRPr="00077D74">
        <w:rPr>
          <w:rFonts w:cs="Times New Roman"/>
          <w:i/>
          <w:iCs/>
          <w:szCs w:val="24"/>
        </w:rPr>
        <w:t xml:space="preserve"> </w:t>
      </w:r>
      <w:r w:rsidR="00A02C20" w:rsidRPr="00077D74">
        <w:rPr>
          <w:rFonts w:cs="Times New Roman"/>
        </w:rPr>
        <w:t>Sydney</w:t>
      </w:r>
      <w:r w:rsidR="00D03DA4" w:rsidRPr="00077D74">
        <w:rPr>
          <w:rFonts w:cs="Times New Roman"/>
        </w:rPr>
        <w:t>:</w:t>
      </w:r>
      <w:r w:rsidR="00A34AF7" w:rsidRPr="00077D74">
        <w:rPr>
          <w:rFonts w:cs="Times New Roman"/>
        </w:rPr>
        <w:t xml:space="preserve">  University of New South Wales Press</w:t>
      </w:r>
      <w:r w:rsidR="00D03DA4" w:rsidRPr="00077D74">
        <w:rPr>
          <w:rFonts w:cs="Times New Roman"/>
        </w:rPr>
        <w:t>.</w:t>
      </w:r>
    </w:p>
    <w:p w14:paraId="63AA7C54" w14:textId="0CAEA49A" w:rsidR="00012BAA" w:rsidRPr="00077D74" w:rsidRDefault="00012BAA" w:rsidP="005B214B">
      <w:pPr>
        <w:rPr>
          <w:rFonts w:eastAsia="Times New Roman" w:cs="Times New Roman"/>
          <w:szCs w:val="24"/>
        </w:rPr>
      </w:pPr>
      <w:r w:rsidRPr="00077D74">
        <w:rPr>
          <w:rFonts w:eastAsia="Times New Roman" w:cs="Times New Roman"/>
          <w:szCs w:val="24"/>
        </w:rPr>
        <w:lastRenderedPageBreak/>
        <w:t xml:space="preserve">Galli, F., </w:t>
      </w:r>
      <w:r w:rsidR="00C4051D" w:rsidRPr="00077D74">
        <w:rPr>
          <w:rFonts w:eastAsia="Times New Roman" w:cs="Times New Roman"/>
          <w:szCs w:val="24"/>
        </w:rPr>
        <w:t xml:space="preserve">and </w:t>
      </w:r>
      <w:r w:rsidRPr="00077D74">
        <w:rPr>
          <w:rFonts w:eastAsia="Times New Roman" w:cs="Times New Roman"/>
          <w:szCs w:val="24"/>
        </w:rPr>
        <w:t>Russo, G. (2019) Immigration restrictions and second-generation cultural assimilation: theory and quasi-experimental evidence. </w:t>
      </w:r>
      <w:r w:rsidRPr="00077D74">
        <w:rPr>
          <w:rFonts w:eastAsia="Times New Roman" w:cs="Times New Roman"/>
          <w:i/>
          <w:iCs/>
          <w:szCs w:val="24"/>
        </w:rPr>
        <w:t xml:space="preserve">J </w:t>
      </w:r>
      <w:proofErr w:type="spellStart"/>
      <w:r w:rsidRPr="00077D74">
        <w:rPr>
          <w:rFonts w:eastAsia="Times New Roman" w:cs="Times New Roman"/>
          <w:i/>
          <w:iCs/>
          <w:szCs w:val="24"/>
        </w:rPr>
        <w:t>Popul</w:t>
      </w:r>
      <w:proofErr w:type="spellEnd"/>
      <w:r w:rsidRPr="00077D74">
        <w:rPr>
          <w:rFonts w:eastAsia="Times New Roman" w:cs="Times New Roman"/>
          <w:i/>
          <w:iCs/>
          <w:szCs w:val="24"/>
        </w:rPr>
        <w:t xml:space="preserve"> Econ</w:t>
      </w:r>
      <w:r w:rsidRPr="00077D74">
        <w:rPr>
          <w:rFonts w:eastAsia="Times New Roman" w:cs="Times New Roman"/>
          <w:szCs w:val="24"/>
        </w:rPr>
        <w:t xml:space="preserve">, 32: 23–51. </w:t>
      </w:r>
    </w:p>
    <w:p w14:paraId="3F83E047" w14:textId="19321BF0" w:rsidR="009003D2" w:rsidRPr="00077D74" w:rsidRDefault="009003D2" w:rsidP="005B214B">
      <w:pPr>
        <w:rPr>
          <w:rFonts w:eastAsia="Times New Roman" w:cs="Times New Roman"/>
          <w:szCs w:val="24"/>
        </w:rPr>
      </w:pPr>
      <w:r w:rsidRPr="00077D74">
        <w:rPr>
          <w:rFonts w:eastAsia="Times New Roman" w:cs="Times New Roman"/>
          <w:szCs w:val="24"/>
        </w:rPr>
        <w:t xml:space="preserve">Goodwin, M., </w:t>
      </w:r>
      <w:r w:rsidR="00D2790B" w:rsidRPr="00077D74">
        <w:rPr>
          <w:rFonts w:eastAsia="Times New Roman" w:cs="Times New Roman"/>
          <w:szCs w:val="24"/>
        </w:rPr>
        <w:t>and</w:t>
      </w:r>
      <w:r w:rsidRPr="00077D74">
        <w:rPr>
          <w:rFonts w:eastAsia="Times New Roman" w:cs="Times New Roman"/>
          <w:szCs w:val="24"/>
        </w:rPr>
        <w:t xml:space="preserve"> Milazzo, C. (2017) Taking back control? Investigating the role of immigration in the 2016 vote for Brexit. </w:t>
      </w:r>
      <w:r w:rsidRPr="00077D74">
        <w:rPr>
          <w:rFonts w:eastAsia="Times New Roman" w:cs="Times New Roman"/>
          <w:i/>
          <w:iCs/>
          <w:szCs w:val="24"/>
        </w:rPr>
        <w:t>The British Journal of Politics and International Relations</w:t>
      </w:r>
      <w:r w:rsidRPr="00077D74">
        <w:rPr>
          <w:rFonts w:eastAsia="Times New Roman" w:cs="Times New Roman"/>
          <w:szCs w:val="24"/>
        </w:rPr>
        <w:t>, 19(3), 450-464.</w:t>
      </w:r>
    </w:p>
    <w:p w14:paraId="366B36E7" w14:textId="5FAEC1E3" w:rsidR="00F456DC" w:rsidRPr="00077D74" w:rsidRDefault="7236B53D" w:rsidP="7236B53D">
      <w:pPr>
        <w:pStyle w:val="pf0"/>
        <w:spacing w:after="120" w:afterAutospacing="0"/>
        <w:rPr>
          <w:sz w:val="20"/>
          <w:szCs w:val="20"/>
          <w:lang w:val="en-US"/>
        </w:rPr>
      </w:pPr>
      <w:proofErr w:type="spellStart"/>
      <w:r w:rsidRPr="00077D74">
        <w:rPr>
          <w:lang w:val="en-GB" w:eastAsia="en-US"/>
        </w:rPr>
        <w:t>Kahanec</w:t>
      </w:r>
      <w:proofErr w:type="spellEnd"/>
      <w:r w:rsidRPr="00077D74">
        <w:rPr>
          <w:lang w:val="en-GB" w:eastAsia="en-US"/>
        </w:rPr>
        <w:t xml:space="preserve"> M., </w:t>
      </w:r>
      <w:proofErr w:type="spellStart"/>
      <w:r w:rsidRPr="00077D74">
        <w:rPr>
          <w:lang w:val="en-GB" w:eastAsia="en-US"/>
        </w:rPr>
        <w:t>Zaiceva</w:t>
      </w:r>
      <w:proofErr w:type="spellEnd"/>
      <w:r w:rsidRPr="00077D74">
        <w:rPr>
          <w:lang w:val="en-GB" w:eastAsia="en-US"/>
        </w:rPr>
        <w:t xml:space="preserve"> A., and Zimmermann K. F. (2009) </w:t>
      </w:r>
      <w:r w:rsidRPr="00077D74">
        <w:rPr>
          <w:i/>
          <w:iCs/>
          <w:lang w:val="en-GB" w:eastAsia="en-US"/>
        </w:rPr>
        <w:t>Lessons from Migration after EU Enlargement</w:t>
      </w:r>
      <w:r w:rsidRPr="00077D74">
        <w:rPr>
          <w:lang w:val="en-GB" w:eastAsia="en-US"/>
        </w:rPr>
        <w:t>. IZA DP No. 4230. Bonn: Institute for the Study of Labor.</w:t>
      </w:r>
    </w:p>
    <w:p w14:paraId="1A6B6724" w14:textId="7D151211" w:rsidR="00FD71F2" w:rsidRPr="00077D74" w:rsidRDefault="7236B53D" w:rsidP="7236B53D">
      <w:pPr>
        <w:spacing w:after="120"/>
        <w:rPr>
          <w:rFonts w:eastAsia="Times New Roman" w:cs="Times New Roman"/>
        </w:rPr>
      </w:pPr>
      <w:r w:rsidRPr="00077D74">
        <w:rPr>
          <w:rFonts w:eastAsia="Times New Roman" w:cs="Times New Roman"/>
        </w:rPr>
        <w:t xml:space="preserve">Lofstrom, M., Hill, L., </w:t>
      </w:r>
      <w:r w:rsidR="001510EE" w:rsidRPr="00077D74">
        <w:rPr>
          <w:rFonts w:eastAsia="Times New Roman" w:cs="Times New Roman"/>
        </w:rPr>
        <w:t xml:space="preserve">and </w:t>
      </w:r>
      <w:r w:rsidRPr="00077D74">
        <w:rPr>
          <w:rFonts w:eastAsia="Times New Roman" w:cs="Times New Roman"/>
        </w:rPr>
        <w:t xml:space="preserve">Hayes, J. (2013). Wage and mobility effects of legalization: Evidence from the new immigrant survey. </w:t>
      </w:r>
      <w:r w:rsidRPr="00077D74">
        <w:rPr>
          <w:rFonts w:eastAsia="Times New Roman" w:cs="Times New Roman"/>
          <w:i/>
          <w:iCs/>
        </w:rPr>
        <w:t>Journal of Regional Science</w:t>
      </w:r>
      <w:r w:rsidRPr="00077D74">
        <w:rPr>
          <w:rFonts w:eastAsia="Times New Roman" w:cs="Times New Roman"/>
        </w:rPr>
        <w:t xml:space="preserve"> 53(1), 171–197.</w:t>
      </w:r>
    </w:p>
    <w:p w14:paraId="7841917D" w14:textId="6B173EE4" w:rsidR="005B214B" w:rsidRPr="00077D74" w:rsidRDefault="005B214B" w:rsidP="005B214B">
      <w:pPr>
        <w:rPr>
          <w:rFonts w:eastAsia="Times New Roman" w:cs="Times New Roman"/>
          <w:szCs w:val="24"/>
        </w:rPr>
      </w:pPr>
      <w:proofErr w:type="spellStart"/>
      <w:r w:rsidRPr="00077D74">
        <w:rPr>
          <w:rFonts w:eastAsia="Times New Roman" w:cs="Times New Roman"/>
          <w:szCs w:val="24"/>
        </w:rPr>
        <w:t>Lulle</w:t>
      </w:r>
      <w:proofErr w:type="spellEnd"/>
      <w:r w:rsidRPr="00077D74">
        <w:rPr>
          <w:rFonts w:eastAsia="Times New Roman" w:cs="Times New Roman"/>
          <w:szCs w:val="24"/>
        </w:rPr>
        <w:t xml:space="preserve"> A., </w:t>
      </w:r>
      <w:proofErr w:type="spellStart"/>
      <w:r w:rsidRPr="00077D74">
        <w:rPr>
          <w:rFonts w:eastAsia="Times New Roman" w:cs="Times New Roman"/>
          <w:szCs w:val="24"/>
        </w:rPr>
        <w:t>Moroşanu</w:t>
      </w:r>
      <w:proofErr w:type="spellEnd"/>
      <w:r w:rsidRPr="00077D74">
        <w:rPr>
          <w:rFonts w:eastAsia="Times New Roman" w:cs="Times New Roman"/>
          <w:szCs w:val="24"/>
        </w:rPr>
        <w:t xml:space="preserve"> L., </w:t>
      </w:r>
      <w:r w:rsidR="001510EE" w:rsidRPr="00077D74">
        <w:rPr>
          <w:rFonts w:eastAsia="Times New Roman" w:cs="Times New Roman"/>
          <w:szCs w:val="24"/>
        </w:rPr>
        <w:t xml:space="preserve">and </w:t>
      </w:r>
      <w:r w:rsidRPr="00077D74">
        <w:rPr>
          <w:rFonts w:eastAsia="Times New Roman" w:cs="Times New Roman"/>
          <w:szCs w:val="24"/>
        </w:rPr>
        <w:t xml:space="preserve">King R., </w:t>
      </w:r>
      <w:r w:rsidR="00780773" w:rsidRPr="00077D74">
        <w:rPr>
          <w:rFonts w:eastAsia="Times New Roman" w:cs="Times New Roman"/>
          <w:szCs w:val="24"/>
        </w:rPr>
        <w:t>(</w:t>
      </w:r>
      <w:r w:rsidRPr="00077D74">
        <w:rPr>
          <w:rFonts w:eastAsia="Times New Roman" w:cs="Times New Roman"/>
          <w:szCs w:val="24"/>
        </w:rPr>
        <w:t>2017</w:t>
      </w:r>
      <w:r w:rsidR="00780773" w:rsidRPr="00077D74">
        <w:rPr>
          <w:rFonts w:eastAsia="Times New Roman" w:cs="Times New Roman"/>
          <w:szCs w:val="24"/>
        </w:rPr>
        <w:t>)</w:t>
      </w:r>
      <w:r w:rsidRPr="00077D74">
        <w:rPr>
          <w:rFonts w:eastAsia="Times New Roman" w:cs="Times New Roman"/>
          <w:szCs w:val="24"/>
        </w:rPr>
        <w:t xml:space="preserve"> And then came Brexit: Experiences and </w:t>
      </w:r>
      <w:proofErr w:type="gramStart"/>
      <w:r w:rsidRPr="00077D74">
        <w:rPr>
          <w:rFonts w:eastAsia="Times New Roman" w:cs="Times New Roman"/>
          <w:szCs w:val="24"/>
        </w:rPr>
        <w:t>future plans</w:t>
      </w:r>
      <w:proofErr w:type="gramEnd"/>
      <w:r w:rsidRPr="00077D74">
        <w:rPr>
          <w:rFonts w:eastAsia="Times New Roman" w:cs="Times New Roman"/>
          <w:szCs w:val="24"/>
        </w:rPr>
        <w:t xml:space="preserve"> of young EU migrants in the London region. </w:t>
      </w:r>
      <w:r w:rsidRPr="00077D74">
        <w:rPr>
          <w:rFonts w:eastAsia="Times New Roman" w:cs="Times New Roman"/>
          <w:i/>
          <w:iCs/>
          <w:szCs w:val="24"/>
        </w:rPr>
        <w:t>Population Space and Place</w:t>
      </w:r>
      <w:r w:rsidRPr="00077D74">
        <w:rPr>
          <w:rFonts w:eastAsia="Times New Roman" w:cs="Times New Roman"/>
          <w:szCs w:val="24"/>
        </w:rPr>
        <w:t>, 24.</w:t>
      </w:r>
    </w:p>
    <w:p w14:paraId="43DB8EEF" w14:textId="23082165" w:rsidR="00292B02" w:rsidRPr="00077D74" w:rsidRDefault="00120224" w:rsidP="005B214B">
      <w:pPr>
        <w:rPr>
          <w:rFonts w:eastAsia="Times New Roman" w:cs="Times New Roman"/>
          <w:szCs w:val="24"/>
        </w:rPr>
      </w:pPr>
      <w:proofErr w:type="spellStart"/>
      <w:r w:rsidRPr="00077D74">
        <w:rPr>
          <w:rFonts w:eastAsia="Times New Roman" w:cs="Times New Roman"/>
          <w:szCs w:val="24"/>
        </w:rPr>
        <w:t>Manacorda</w:t>
      </w:r>
      <w:proofErr w:type="spellEnd"/>
      <w:r w:rsidRPr="00077D74">
        <w:rPr>
          <w:rFonts w:eastAsia="Times New Roman" w:cs="Times New Roman"/>
          <w:szCs w:val="24"/>
        </w:rPr>
        <w:t xml:space="preserve">, M., </w:t>
      </w:r>
      <w:hyperlink r:id="rId12" w:history="1">
        <w:r w:rsidRPr="00077D74">
          <w:rPr>
            <w:rStyle w:val="Hyperlink"/>
            <w:rFonts w:cs="Times New Roman"/>
            <w:color w:val="auto"/>
            <w:szCs w:val="24"/>
            <w:bdr w:val="none" w:sz="0" w:space="0" w:color="auto" w:frame="1"/>
            <w:shd w:val="clear" w:color="auto" w:fill="FFFFFF"/>
          </w:rPr>
          <w:t>Manning</w:t>
        </w:r>
      </w:hyperlink>
      <w:r w:rsidRPr="00077D74">
        <w:rPr>
          <w:rStyle w:val="accordion-tabbedtab-mobile"/>
          <w:rFonts w:cs="Times New Roman"/>
          <w:szCs w:val="24"/>
          <w:bdr w:val="none" w:sz="0" w:space="0" w:color="auto" w:frame="1"/>
          <w:shd w:val="clear" w:color="auto" w:fill="FFFFFF"/>
        </w:rPr>
        <w:t>, A. and </w:t>
      </w:r>
      <w:hyperlink r:id="rId13" w:history="1">
        <w:r w:rsidRPr="00077D74">
          <w:rPr>
            <w:rStyle w:val="Hyperlink"/>
            <w:rFonts w:cs="Times New Roman"/>
            <w:color w:val="auto"/>
            <w:szCs w:val="24"/>
            <w:bdr w:val="none" w:sz="0" w:space="0" w:color="auto" w:frame="1"/>
            <w:shd w:val="clear" w:color="auto" w:fill="FFFFFF"/>
          </w:rPr>
          <w:t>Wadsworth</w:t>
        </w:r>
      </w:hyperlink>
      <w:r w:rsidRPr="00077D74">
        <w:rPr>
          <w:rStyle w:val="accordion-tabbedtab-mobile"/>
          <w:rFonts w:cs="Times New Roman"/>
          <w:szCs w:val="24"/>
          <w:bdr w:val="none" w:sz="0" w:space="0" w:color="auto" w:frame="1"/>
          <w:shd w:val="clear" w:color="auto" w:fill="FFFFFF"/>
        </w:rPr>
        <w:t>, J</w:t>
      </w:r>
      <w:r w:rsidRPr="00077D74">
        <w:rPr>
          <w:rFonts w:eastAsia="Times New Roman" w:cs="Times New Roman"/>
          <w:szCs w:val="24"/>
        </w:rPr>
        <w:t xml:space="preserve"> (2012) T</w:t>
      </w:r>
      <w:r w:rsidRPr="00077D74">
        <w:rPr>
          <w:rStyle w:val="articletitle"/>
          <w:rFonts w:cs="Times New Roman"/>
          <w:szCs w:val="24"/>
          <w:shd w:val="clear" w:color="auto" w:fill="FFFFFF"/>
        </w:rPr>
        <w:t>he Impact of Immigration on the Structure of Wages: Theory and Evidence from Britain</w:t>
      </w:r>
      <w:r w:rsidRPr="00077D74">
        <w:rPr>
          <w:rFonts w:cs="Times New Roman"/>
          <w:szCs w:val="24"/>
          <w:shd w:val="clear" w:color="auto" w:fill="FFFFFF"/>
        </w:rPr>
        <w:t>.” </w:t>
      </w:r>
      <w:r w:rsidRPr="00077D74">
        <w:rPr>
          <w:rFonts w:cs="Times New Roman"/>
          <w:i/>
          <w:iCs/>
          <w:szCs w:val="24"/>
          <w:shd w:val="clear" w:color="auto" w:fill="FFFFFF"/>
        </w:rPr>
        <w:t>Journal of the European Economic Association,</w:t>
      </w:r>
      <w:r w:rsidRPr="00077D74">
        <w:rPr>
          <w:rFonts w:cs="Times New Roman"/>
          <w:szCs w:val="24"/>
          <w:shd w:val="clear" w:color="auto" w:fill="FFFFFF"/>
        </w:rPr>
        <w:t> </w:t>
      </w:r>
      <w:r w:rsidRPr="00077D74">
        <w:rPr>
          <w:rStyle w:val="vol"/>
          <w:rFonts w:cs="Times New Roman"/>
          <w:szCs w:val="24"/>
          <w:shd w:val="clear" w:color="auto" w:fill="FFFFFF"/>
        </w:rPr>
        <w:t>10</w:t>
      </w:r>
      <w:r w:rsidRPr="00077D74">
        <w:rPr>
          <w:rFonts w:cs="Times New Roman"/>
          <w:szCs w:val="24"/>
          <w:shd w:val="clear" w:color="auto" w:fill="FFFFFF"/>
        </w:rPr>
        <w:t>(</w:t>
      </w:r>
      <w:r w:rsidRPr="00077D74">
        <w:rPr>
          <w:rStyle w:val="citedissue"/>
          <w:rFonts w:cs="Times New Roman"/>
          <w:szCs w:val="24"/>
          <w:shd w:val="clear" w:color="auto" w:fill="FFFFFF"/>
        </w:rPr>
        <w:t>1</w:t>
      </w:r>
      <w:r w:rsidRPr="00077D74">
        <w:rPr>
          <w:rFonts w:cs="Times New Roman"/>
          <w:szCs w:val="24"/>
          <w:shd w:val="clear" w:color="auto" w:fill="FFFFFF"/>
        </w:rPr>
        <w:t>): </w:t>
      </w:r>
      <w:r w:rsidRPr="00077D74">
        <w:rPr>
          <w:rStyle w:val="pagefirst"/>
          <w:rFonts w:cs="Times New Roman"/>
          <w:szCs w:val="24"/>
          <w:shd w:val="clear" w:color="auto" w:fill="FFFFFF"/>
        </w:rPr>
        <w:t>120</w:t>
      </w:r>
      <w:r w:rsidRPr="00077D74">
        <w:rPr>
          <w:rFonts w:cs="Times New Roman"/>
          <w:szCs w:val="24"/>
          <w:shd w:val="clear" w:color="auto" w:fill="FFFFFF"/>
        </w:rPr>
        <w:t>–</w:t>
      </w:r>
      <w:r w:rsidRPr="00077D74">
        <w:rPr>
          <w:rStyle w:val="pagelast"/>
          <w:rFonts w:cs="Times New Roman"/>
          <w:szCs w:val="24"/>
          <w:shd w:val="clear" w:color="auto" w:fill="FFFFFF"/>
        </w:rPr>
        <w:t>151</w:t>
      </w:r>
      <w:r w:rsidRPr="00077D74">
        <w:rPr>
          <w:rFonts w:cs="Times New Roman"/>
          <w:szCs w:val="24"/>
          <w:shd w:val="clear" w:color="auto" w:fill="FFFFFF"/>
        </w:rPr>
        <w:t>.</w:t>
      </w:r>
      <w:r w:rsidR="00292B02" w:rsidRPr="00077D74">
        <w:rPr>
          <w:rFonts w:eastAsia="Times New Roman" w:cs="Times New Roman"/>
          <w:szCs w:val="24"/>
        </w:rPr>
        <w:t>Menz</w:t>
      </w:r>
      <w:r w:rsidR="00400F57" w:rsidRPr="00077D74">
        <w:rPr>
          <w:rFonts w:eastAsia="Times New Roman" w:cs="Times New Roman"/>
          <w:szCs w:val="24"/>
        </w:rPr>
        <w:t xml:space="preserve">, G. (2009) </w:t>
      </w:r>
      <w:r w:rsidR="00400F57" w:rsidRPr="00077D74">
        <w:rPr>
          <w:rFonts w:eastAsia="Times New Roman" w:cs="Times New Roman"/>
          <w:i/>
          <w:iCs/>
          <w:szCs w:val="24"/>
        </w:rPr>
        <w:t xml:space="preserve">The Political Economy of Managed Migration. </w:t>
      </w:r>
      <w:r w:rsidR="00400F57" w:rsidRPr="00077D74">
        <w:rPr>
          <w:rFonts w:eastAsia="Times New Roman" w:cs="Times New Roman"/>
          <w:szCs w:val="24"/>
        </w:rPr>
        <w:t>Oxford University Press Inc., New York.</w:t>
      </w:r>
    </w:p>
    <w:p w14:paraId="22E682DE" w14:textId="1CE9E663" w:rsidR="00F6636E" w:rsidRPr="00077D74" w:rsidRDefault="00F6636E" w:rsidP="454E41B1">
      <w:pPr>
        <w:pStyle w:val="Heading1"/>
        <w:shd w:val="clear" w:color="auto" w:fill="FFFFFF" w:themeFill="background1"/>
        <w:spacing w:before="0" w:beforeAutospacing="0" w:after="120" w:afterAutospacing="0"/>
        <w:rPr>
          <w:b w:val="0"/>
          <w:bCs w:val="0"/>
          <w:kern w:val="0"/>
          <w:sz w:val="24"/>
          <w:szCs w:val="24"/>
          <w:lang w:val="en-US" w:eastAsia="en-US"/>
        </w:rPr>
      </w:pPr>
      <w:r w:rsidRPr="00077D74">
        <w:rPr>
          <w:b w:val="0"/>
          <w:bCs w:val="0"/>
          <w:kern w:val="0"/>
          <w:sz w:val="24"/>
          <w:szCs w:val="24"/>
          <w:lang w:val="en-US" w:eastAsia="en-US"/>
        </w:rPr>
        <w:t>Migration Advisory Committee: annual report, 2022</w:t>
      </w:r>
      <w:r w:rsidR="008473E2" w:rsidRPr="00077D74">
        <w:rPr>
          <w:b w:val="0"/>
          <w:bCs w:val="0"/>
          <w:kern w:val="0"/>
          <w:sz w:val="24"/>
          <w:szCs w:val="24"/>
          <w:lang w:val="en-US" w:eastAsia="en-US"/>
        </w:rPr>
        <w:t>.</w:t>
      </w:r>
      <w:r w:rsidR="008473E2" w:rsidRPr="00077D74">
        <w:rPr>
          <w:b w:val="0"/>
          <w:bCs w:val="0"/>
          <w:i/>
          <w:iCs/>
          <w:kern w:val="0"/>
          <w:sz w:val="24"/>
          <w:szCs w:val="24"/>
          <w:lang w:val="en-US" w:eastAsia="en-US"/>
        </w:rPr>
        <w:t xml:space="preserve"> </w:t>
      </w:r>
      <w:hyperlink r:id="rId14" w:history="1">
        <w:r w:rsidR="008473E2" w:rsidRPr="00077D74">
          <w:rPr>
            <w:b w:val="0"/>
            <w:bCs w:val="0"/>
            <w:i/>
            <w:iCs/>
            <w:kern w:val="0"/>
            <w:sz w:val="24"/>
            <w:szCs w:val="24"/>
            <w:lang w:val="en-US" w:eastAsia="en-US"/>
          </w:rPr>
          <w:t>Migration Advisory Committee: annual report, 2022</w:t>
        </w:r>
        <w:r w:rsidR="008473E2" w:rsidRPr="00077D74">
          <w:rPr>
            <w:b w:val="0"/>
            <w:bCs w:val="0"/>
            <w:kern w:val="0"/>
            <w:sz w:val="24"/>
            <w:szCs w:val="24"/>
            <w:lang w:val="en-US" w:eastAsia="en-US"/>
          </w:rPr>
          <w:t xml:space="preserve"> - GOV.UK (www.gov.uk)</w:t>
        </w:r>
      </w:hyperlink>
    </w:p>
    <w:p w14:paraId="06776432" w14:textId="09F5DB1D" w:rsidR="005B214B" w:rsidRPr="00077D74" w:rsidRDefault="7236B53D" w:rsidP="7236B53D">
      <w:pPr>
        <w:spacing w:after="120"/>
        <w:rPr>
          <w:rFonts w:eastAsia="Times New Roman" w:cs="Times New Roman"/>
        </w:rPr>
      </w:pPr>
      <w:proofErr w:type="spellStart"/>
      <w:r w:rsidRPr="00077D74">
        <w:rPr>
          <w:rFonts w:eastAsia="Times New Roman" w:cs="Times New Roman"/>
          <w:lang w:val="en-US"/>
        </w:rPr>
        <w:t>Montesclaros</w:t>
      </w:r>
      <w:proofErr w:type="spellEnd"/>
      <w:r w:rsidRPr="00077D74">
        <w:rPr>
          <w:rFonts w:eastAsia="Times New Roman" w:cs="Times New Roman"/>
          <w:lang w:val="en-US"/>
        </w:rPr>
        <w:t xml:space="preserve">, J., </w:t>
      </w:r>
      <w:r w:rsidR="001510EE" w:rsidRPr="00077D74">
        <w:rPr>
          <w:rFonts w:eastAsia="Times New Roman" w:cs="Times New Roman"/>
          <w:lang w:val="en-US"/>
        </w:rPr>
        <w:t xml:space="preserve">and </w:t>
      </w:r>
      <w:r w:rsidRPr="00077D74">
        <w:rPr>
          <w:rFonts w:eastAsia="Times New Roman" w:cs="Times New Roman"/>
          <w:lang w:val="en-US"/>
        </w:rPr>
        <w:t xml:space="preserve">Caballero-Anthony M. (2018) </w:t>
      </w:r>
      <w:r w:rsidRPr="00077D74">
        <w:rPr>
          <w:rFonts w:eastAsia="Times New Roman" w:cs="Times New Roman"/>
          <w:i/>
          <w:iCs/>
        </w:rPr>
        <w:t>How labour migration affects jobs and wages</w:t>
      </w:r>
      <w:r w:rsidRPr="00077D74">
        <w:rPr>
          <w:rFonts w:eastAsia="Times New Roman" w:cs="Times New Roman"/>
        </w:rPr>
        <w:t>. Rajaratnam School of International Studies</w:t>
      </w:r>
      <w:r w:rsidR="00956A8F" w:rsidRPr="00077D74">
        <w:rPr>
          <w:rFonts w:eastAsia="Times New Roman" w:cs="Times New Roman"/>
        </w:rPr>
        <w:t>.</w:t>
      </w:r>
    </w:p>
    <w:p w14:paraId="3836EEF7" w14:textId="37E39C96" w:rsidR="00124B56" w:rsidRPr="00077D74" w:rsidRDefault="008C0A87" w:rsidP="005B214B">
      <w:pPr>
        <w:rPr>
          <w:rFonts w:eastAsia="Times New Roman" w:cs="Times New Roman"/>
          <w:szCs w:val="24"/>
        </w:rPr>
      </w:pPr>
      <w:bookmarkStart w:id="8" w:name="_Hlk171428319"/>
      <w:r w:rsidRPr="00077D74">
        <w:rPr>
          <w:rFonts w:eastAsia="Times New Roman" w:cs="Times New Roman"/>
        </w:rPr>
        <w:t xml:space="preserve">Nickell, S. and </w:t>
      </w:r>
      <w:proofErr w:type="spellStart"/>
      <w:r w:rsidRPr="00077D74">
        <w:rPr>
          <w:rFonts w:eastAsia="Times New Roman" w:cs="Times New Roman"/>
        </w:rPr>
        <w:t>Saleheen</w:t>
      </w:r>
      <w:proofErr w:type="spellEnd"/>
      <w:r w:rsidRPr="00077D74">
        <w:rPr>
          <w:rFonts w:eastAsia="Times New Roman" w:cs="Times New Roman"/>
        </w:rPr>
        <w:t xml:space="preserve">, J. (2015) </w:t>
      </w:r>
      <w:r w:rsidRPr="00077D74">
        <w:t xml:space="preserve">The impact of immigration on occupational wages: evidence from </w:t>
      </w:r>
      <w:proofErr w:type="spellStart"/>
      <w:r w:rsidRPr="00077D74">
        <w:t>Britain.Bank</w:t>
      </w:r>
      <w:proofErr w:type="spellEnd"/>
      <w:r w:rsidRPr="00077D74">
        <w:t xml:space="preserve"> of England, Staff Working Paper No. 574.</w:t>
      </w:r>
      <w:bookmarkEnd w:id="8"/>
      <w:r w:rsidR="00124B56" w:rsidRPr="00077D74">
        <w:rPr>
          <w:rFonts w:eastAsia="Times New Roman" w:cs="Times New Roman"/>
          <w:szCs w:val="24"/>
        </w:rPr>
        <w:t>Peri</w:t>
      </w:r>
      <w:r w:rsidR="001F4B82" w:rsidRPr="00077D74">
        <w:rPr>
          <w:rFonts w:eastAsia="Times New Roman" w:cs="Times New Roman"/>
          <w:szCs w:val="24"/>
        </w:rPr>
        <w:t>,</w:t>
      </w:r>
      <w:r w:rsidR="00124B56" w:rsidRPr="00077D74">
        <w:rPr>
          <w:rFonts w:eastAsia="Times New Roman" w:cs="Times New Roman"/>
          <w:szCs w:val="24"/>
        </w:rPr>
        <w:t xml:space="preserve"> G. (2014) </w:t>
      </w:r>
      <w:r w:rsidR="00124B56" w:rsidRPr="00077D74">
        <w:rPr>
          <w:rFonts w:cs="Times New Roman"/>
        </w:rPr>
        <w:t xml:space="preserve">Do immigrant workers depress the wages of native workers? </w:t>
      </w:r>
      <w:r w:rsidR="00124B56" w:rsidRPr="00077D74">
        <w:rPr>
          <w:rFonts w:cs="Times New Roman"/>
          <w:i/>
        </w:rPr>
        <w:t>IZA World of Labor</w:t>
      </w:r>
      <w:r w:rsidR="00F74F2A" w:rsidRPr="00077D74">
        <w:rPr>
          <w:rFonts w:cs="Times New Roman"/>
        </w:rPr>
        <w:t>.</w:t>
      </w:r>
    </w:p>
    <w:p w14:paraId="4F559B37" w14:textId="0995BBE7" w:rsidR="00875997" w:rsidRPr="00077D74" w:rsidRDefault="454E41B1" w:rsidP="454E41B1">
      <w:pPr>
        <w:rPr>
          <w:rFonts w:eastAsia="Times New Roman" w:cs="Times New Roman"/>
        </w:rPr>
      </w:pPr>
      <w:proofErr w:type="spellStart"/>
      <w:r w:rsidRPr="00077D74">
        <w:rPr>
          <w:rFonts w:eastAsia="Times New Roman" w:cs="Times New Roman"/>
        </w:rPr>
        <w:t>Portes</w:t>
      </w:r>
      <w:proofErr w:type="spellEnd"/>
      <w:r w:rsidRPr="00077D74">
        <w:rPr>
          <w:rFonts w:eastAsia="Times New Roman" w:cs="Times New Roman"/>
        </w:rPr>
        <w:t xml:space="preserve">, J. and </w:t>
      </w:r>
      <w:proofErr w:type="spellStart"/>
      <w:r w:rsidRPr="00077D74">
        <w:rPr>
          <w:rFonts w:eastAsia="Times New Roman" w:cs="Times New Roman"/>
        </w:rPr>
        <w:t>Springford</w:t>
      </w:r>
      <w:proofErr w:type="spellEnd"/>
      <w:r w:rsidRPr="00077D74">
        <w:rPr>
          <w:rFonts w:eastAsia="Times New Roman" w:cs="Times New Roman"/>
        </w:rPr>
        <w:t xml:space="preserve">, J. (2023) </w:t>
      </w:r>
      <w:r w:rsidRPr="00077D74">
        <w:rPr>
          <w:rFonts w:eastAsia="Times New Roman" w:cs="Times New Roman"/>
          <w:i/>
          <w:iCs/>
        </w:rPr>
        <w:t>The Impact of the Post-Brexit Migration System on the UK Labour Market</w:t>
      </w:r>
      <w:r w:rsidRPr="00077D74">
        <w:rPr>
          <w:rFonts w:eastAsia="Times New Roman" w:cs="Times New Roman"/>
        </w:rPr>
        <w:t>. UK in a Changing Europe Research Paper No. 01/2023, Available at SRN: </w:t>
      </w:r>
      <w:hyperlink r:id="rId15">
        <w:r w:rsidRPr="00077D74">
          <w:rPr>
            <w:rFonts w:eastAsia="Times New Roman"/>
          </w:rPr>
          <w:t>https://ssrn.com/abstract=4398831</w:t>
        </w:r>
      </w:hyperlink>
      <w:r w:rsidRPr="00077D74">
        <w:rPr>
          <w:rFonts w:eastAsia="Times New Roman" w:cs="Times New Roman"/>
        </w:rPr>
        <w:t> or </w:t>
      </w:r>
      <w:hyperlink r:id="rId16">
        <w:r w:rsidRPr="00077D74">
          <w:rPr>
            <w:rFonts w:eastAsia="Times New Roman"/>
          </w:rPr>
          <w:t>http://dx.doi.org/10.2139/ssrn.4398831</w:t>
        </w:r>
      </w:hyperlink>
    </w:p>
    <w:p w14:paraId="49EB8733" w14:textId="50563EE5" w:rsidR="00084531" w:rsidRPr="00077D74" w:rsidRDefault="53AEFE2A" w:rsidP="53AEFE2A">
      <w:pPr>
        <w:rPr>
          <w:rStyle w:val="contributors"/>
          <w:rFonts w:cs="Times New Roman"/>
          <w:bdr w:val="none" w:sz="0" w:space="0" w:color="auto" w:frame="1"/>
          <w:shd w:val="clear" w:color="auto" w:fill="FFFFFF"/>
        </w:rPr>
      </w:pPr>
      <w:proofErr w:type="spellStart"/>
      <w:r w:rsidRPr="00077D74">
        <w:rPr>
          <w:rFonts w:eastAsia="Times New Roman"/>
          <w:szCs w:val="24"/>
        </w:rPr>
        <w:t>Rampazzo</w:t>
      </w:r>
      <w:proofErr w:type="spellEnd"/>
      <w:r w:rsidRPr="00077D74">
        <w:rPr>
          <w:rFonts w:eastAsia="Times New Roman"/>
          <w:szCs w:val="24"/>
        </w:rPr>
        <w:t xml:space="preserve">, F., </w:t>
      </w:r>
      <w:r w:rsidR="001510EE" w:rsidRPr="00077D74">
        <w:rPr>
          <w:rFonts w:eastAsia="Times New Roman"/>
          <w:szCs w:val="24"/>
        </w:rPr>
        <w:t xml:space="preserve">and </w:t>
      </w:r>
      <w:proofErr w:type="spellStart"/>
      <w:r w:rsidRPr="00077D74">
        <w:rPr>
          <w:rFonts w:eastAsia="Times New Roman"/>
          <w:szCs w:val="24"/>
        </w:rPr>
        <w:t>Bijak</w:t>
      </w:r>
      <w:proofErr w:type="spellEnd"/>
      <w:r w:rsidRPr="00077D74">
        <w:rPr>
          <w:rFonts w:eastAsia="Times New Roman"/>
          <w:szCs w:val="24"/>
        </w:rPr>
        <w:t>, J. (2024). Assessing timely migration trends through digital traces: a case study of the UK before Brexit.</w:t>
      </w:r>
      <w:r w:rsidRPr="00077D74">
        <w:rPr>
          <w:rStyle w:val="contributors"/>
          <w:rFonts w:cs="Times New Roman"/>
        </w:rPr>
        <w:t xml:space="preserve"> </w:t>
      </w:r>
      <w:r w:rsidRPr="00077D74">
        <w:rPr>
          <w:rStyle w:val="contributors"/>
          <w:rFonts w:cs="Times New Roman"/>
          <w:i/>
          <w:iCs/>
        </w:rPr>
        <w:t>International Migration Review</w:t>
      </w:r>
      <w:r w:rsidRPr="00077D74">
        <w:rPr>
          <w:rStyle w:val="contributors"/>
          <w:rFonts w:cs="Times New Roman"/>
        </w:rPr>
        <w:t>.</w:t>
      </w:r>
      <w:r w:rsidR="00084531" w:rsidRPr="00077D74">
        <w:rPr>
          <w:rStyle w:val="contributors"/>
          <w:rFonts w:cs="Times New Roman"/>
          <w:bdr w:val="none" w:sz="0" w:space="0" w:color="auto" w:frame="1"/>
          <w:shd w:val="clear" w:color="auto" w:fill="FFFFFF"/>
        </w:rPr>
        <w:t xml:space="preserve"> </w:t>
      </w:r>
    </w:p>
    <w:p w14:paraId="3D83EA32" w14:textId="4510036F" w:rsidR="00084531" w:rsidRPr="00077D74" w:rsidRDefault="00084531" w:rsidP="53AEFE2A">
      <w:pPr>
        <w:rPr>
          <w:rFonts w:cs="Times New Roman"/>
          <w:shd w:val="clear" w:color="auto" w:fill="FFFFFF"/>
        </w:rPr>
      </w:pPr>
      <w:r w:rsidRPr="00077D74">
        <w:rPr>
          <w:rStyle w:val="contributors"/>
          <w:rFonts w:cs="Times New Roman"/>
          <w:bdr w:val="none" w:sz="0" w:space="0" w:color="auto" w:frame="1"/>
          <w:shd w:val="clear" w:color="auto" w:fill="FFFFFF"/>
        </w:rPr>
        <w:t>Roy, A. (2010) '</w:t>
      </w:r>
      <w:r w:rsidRPr="00077D74">
        <w:rPr>
          <w:rStyle w:val="maintitle"/>
          <w:rFonts w:cs="Times New Roman"/>
          <w:shd w:val="clear" w:color="auto" w:fill="FFFFFF"/>
        </w:rPr>
        <w:t>‘Blood and Belonging’: The Citizenship (Amendment) Act, 2003 and the Deception of De-territoriality'</w:t>
      </w:r>
      <w:r w:rsidRPr="00077D74">
        <w:rPr>
          <w:rFonts w:cs="Times New Roman"/>
          <w:bdr w:val="none" w:sz="0" w:space="0" w:color="auto" w:frame="1"/>
          <w:shd w:val="clear" w:color="auto" w:fill="FFFFFF"/>
        </w:rPr>
        <w:t>, </w:t>
      </w:r>
      <w:r w:rsidRPr="00077D74">
        <w:rPr>
          <w:rStyle w:val="Emphasis"/>
          <w:rFonts w:cs="Times New Roman"/>
          <w:shd w:val="clear" w:color="auto" w:fill="FFFFFF"/>
        </w:rPr>
        <w:t>Mapping Citizenship in India</w:t>
      </w:r>
      <w:r w:rsidR="53AEFE2A" w:rsidRPr="00077D74">
        <w:rPr>
          <w:rFonts w:cs="Times New Roman"/>
        </w:rPr>
        <w:t>.</w:t>
      </w:r>
    </w:p>
    <w:p w14:paraId="372EAFD0" w14:textId="7DF2675C" w:rsidR="00962B2C" w:rsidRPr="00077D74" w:rsidRDefault="00962B2C" w:rsidP="005B214B">
      <w:pPr>
        <w:rPr>
          <w:rFonts w:eastAsia="Times New Roman" w:cs="Times New Roman"/>
          <w:szCs w:val="24"/>
        </w:rPr>
      </w:pPr>
      <w:r w:rsidRPr="00077D74">
        <w:rPr>
          <w:rFonts w:eastAsia="Times New Roman" w:cs="Times New Roman"/>
          <w:szCs w:val="24"/>
        </w:rPr>
        <w:t xml:space="preserve">Roth, J., </w:t>
      </w:r>
      <w:proofErr w:type="spellStart"/>
      <w:r w:rsidRPr="00077D74">
        <w:rPr>
          <w:rFonts w:eastAsia="Times New Roman" w:cs="Times New Roman"/>
          <w:szCs w:val="24"/>
        </w:rPr>
        <w:t>Sant’Anna</w:t>
      </w:r>
      <w:proofErr w:type="spellEnd"/>
      <w:r w:rsidRPr="00077D74">
        <w:rPr>
          <w:rFonts w:eastAsia="Times New Roman" w:cs="Times New Roman"/>
          <w:szCs w:val="24"/>
        </w:rPr>
        <w:t xml:space="preserve">, P. H., </w:t>
      </w:r>
      <w:proofErr w:type="spellStart"/>
      <w:r w:rsidRPr="00077D74">
        <w:rPr>
          <w:rFonts w:eastAsia="Times New Roman" w:cs="Times New Roman"/>
          <w:szCs w:val="24"/>
        </w:rPr>
        <w:t>Bilinski</w:t>
      </w:r>
      <w:proofErr w:type="spellEnd"/>
      <w:r w:rsidRPr="00077D74">
        <w:rPr>
          <w:rFonts w:eastAsia="Times New Roman" w:cs="Times New Roman"/>
          <w:szCs w:val="24"/>
        </w:rPr>
        <w:t xml:space="preserve">, A., </w:t>
      </w:r>
      <w:r w:rsidR="001510EE" w:rsidRPr="00077D74">
        <w:rPr>
          <w:rFonts w:eastAsia="Times New Roman" w:cs="Times New Roman"/>
          <w:szCs w:val="24"/>
        </w:rPr>
        <w:t xml:space="preserve">and </w:t>
      </w:r>
      <w:r w:rsidRPr="00077D74">
        <w:rPr>
          <w:rFonts w:eastAsia="Times New Roman" w:cs="Times New Roman"/>
          <w:szCs w:val="24"/>
        </w:rPr>
        <w:t xml:space="preserve">Poe, J. (2023) What’s trending in difference-in-differences? A synthesis of the recent </w:t>
      </w:r>
      <w:proofErr w:type="gramStart"/>
      <w:r w:rsidRPr="00077D74">
        <w:rPr>
          <w:rFonts w:eastAsia="Times New Roman" w:cs="Times New Roman"/>
          <w:szCs w:val="24"/>
        </w:rPr>
        <w:t>econometrics</w:t>
      </w:r>
      <w:proofErr w:type="gramEnd"/>
      <w:r w:rsidRPr="00077D74">
        <w:rPr>
          <w:rFonts w:eastAsia="Times New Roman" w:cs="Times New Roman"/>
          <w:szCs w:val="24"/>
        </w:rPr>
        <w:t xml:space="preserve"> literature. </w:t>
      </w:r>
      <w:r w:rsidRPr="00077D74">
        <w:rPr>
          <w:rFonts w:eastAsia="Times New Roman" w:cs="Times New Roman"/>
          <w:i/>
          <w:iCs/>
          <w:szCs w:val="24"/>
        </w:rPr>
        <w:t>Journal of Econometrics</w:t>
      </w:r>
      <w:r w:rsidRPr="00077D74">
        <w:rPr>
          <w:rFonts w:eastAsia="Times New Roman" w:cs="Times New Roman"/>
          <w:szCs w:val="24"/>
        </w:rPr>
        <w:t>.</w:t>
      </w:r>
    </w:p>
    <w:p w14:paraId="52DFAEDF" w14:textId="773AA887" w:rsidR="005B214B" w:rsidRPr="00077D74" w:rsidRDefault="005B214B" w:rsidP="005B214B">
      <w:pPr>
        <w:rPr>
          <w:rFonts w:eastAsia="Times New Roman" w:cs="Times New Roman"/>
          <w:szCs w:val="24"/>
        </w:rPr>
      </w:pPr>
      <w:proofErr w:type="spellStart"/>
      <w:r w:rsidRPr="00077D74">
        <w:rPr>
          <w:rFonts w:eastAsia="Times New Roman" w:cs="Times New Roman"/>
          <w:szCs w:val="24"/>
        </w:rPr>
        <w:t>Ruhs</w:t>
      </w:r>
      <w:proofErr w:type="spellEnd"/>
      <w:r w:rsidRPr="00077D74">
        <w:rPr>
          <w:rFonts w:eastAsia="Times New Roman" w:cs="Times New Roman"/>
          <w:szCs w:val="24"/>
        </w:rPr>
        <w:t xml:space="preserve">, M. </w:t>
      </w:r>
      <w:r w:rsidR="001F4B82" w:rsidRPr="00077D74">
        <w:rPr>
          <w:rFonts w:eastAsia="Times New Roman" w:cs="Times New Roman"/>
          <w:szCs w:val="24"/>
        </w:rPr>
        <w:t>(</w:t>
      </w:r>
      <w:r w:rsidRPr="00077D74">
        <w:rPr>
          <w:rFonts w:eastAsia="Times New Roman" w:cs="Times New Roman"/>
          <w:szCs w:val="24"/>
        </w:rPr>
        <w:t>2017</w:t>
      </w:r>
      <w:r w:rsidR="001F4B82" w:rsidRPr="00077D74">
        <w:rPr>
          <w:rFonts w:eastAsia="Times New Roman" w:cs="Times New Roman"/>
          <w:szCs w:val="24"/>
        </w:rPr>
        <w:t>)</w:t>
      </w:r>
      <w:r w:rsidR="00D379CD" w:rsidRPr="00077D74">
        <w:rPr>
          <w:rFonts w:eastAsia="Times New Roman" w:cs="Times New Roman"/>
          <w:szCs w:val="24"/>
        </w:rPr>
        <w:t xml:space="preserve"> </w:t>
      </w:r>
      <w:r w:rsidRPr="00077D74">
        <w:rPr>
          <w:rFonts w:eastAsia="Times New Roman" w:cs="Times New Roman"/>
          <w:szCs w:val="24"/>
        </w:rPr>
        <w:t xml:space="preserve">The Impact of Acquiring EU Status on the Earnings of East European Migrants in the UK: Evidence from a Quasi-Natural Experiment. </w:t>
      </w:r>
      <w:r w:rsidRPr="00077D74">
        <w:rPr>
          <w:rFonts w:eastAsia="Times New Roman" w:cs="Times New Roman"/>
          <w:i/>
          <w:iCs/>
          <w:szCs w:val="24"/>
        </w:rPr>
        <w:t>British Journal of Industrial Relations 55:4, 716–750.</w:t>
      </w:r>
    </w:p>
    <w:p w14:paraId="6A448676" w14:textId="17449E20" w:rsidR="005B214B" w:rsidRPr="00077D74" w:rsidRDefault="005B214B" w:rsidP="005B214B">
      <w:pPr>
        <w:rPr>
          <w:rFonts w:eastAsia="Times New Roman" w:cs="Times New Roman"/>
          <w:szCs w:val="24"/>
        </w:rPr>
      </w:pPr>
      <w:proofErr w:type="spellStart"/>
      <w:r w:rsidRPr="00077D74">
        <w:rPr>
          <w:rFonts w:eastAsia="Times New Roman" w:cs="Times New Roman"/>
          <w:szCs w:val="24"/>
        </w:rPr>
        <w:t>Ruhs</w:t>
      </w:r>
      <w:proofErr w:type="spellEnd"/>
      <w:r w:rsidRPr="00077D74">
        <w:rPr>
          <w:rFonts w:eastAsia="Times New Roman" w:cs="Times New Roman"/>
          <w:szCs w:val="24"/>
        </w:rPr>
        <w:t xml:space="preserve"> M., </w:t>
      </w:r>
      <w:r w:rsidR="001F4B82" w:rsidRPr="00077D74">
        <w:rPr>
          <w:rFonts w:eastAsia="Times New Roman" w:cs="Times New Roman"/>
          <w:szCs w:val="24"/>
        </w:rPr>
        <w:t xml:space="preserve">and </w:t>
      </w:r>
      <w:r w:rsidRPr="00077D74">
        <w:rPr>
          <w:rFonts w:eastAsia="Times New Roman" w:cs="Times New Roman"/>
          <w:szCs w:val="24"/>
        </w:rPr>
        <w:t>Wadsworth J.</w:t>
      </w:r>
      <w:r w:rsidR="001F4B82" w:rsidRPr="00077D74">
        <w:rPr>
          <w:rFonts w:eastAsia="Times New Roman" w:cs="Times New Roman"/>
          <w:szCs w:val="24"/>
        </w:rPr>
        <w:t xml:space="preserve"> (</w:t>
      </w:r>
      <w:r w:rsidRPr="00077D74">
        <w:rPr>
          <w:rFonts w:eastAsia="Times New Roman" w:cs="Times New Roman"/>
          <w:szCs w:val="24"/>
        </w:rPr>
        <w:t>2018</w:t>
      </w:r>
      <w:r w:rsidR="001F4B82" w:rsidRPr="00077D74">
        <w:rPr>
          <w:rFonts w:eastAsia="Times New Roman" w:cs="Times New Roman"/>
          <w:szCs w:val="24"/>
        </w:rPr>
        <w:t>)</w:t>
      </w:r>
      <w:r w:rsidRPr="00077D74">
        <w:rPr>
          <w:rFonts w:eastAsia="Times New Roman" w:cs="Times New Roman"/>
          <w:szCs w:val="24"/>
        </w:rPr>
        <w:t xml:space="preserve"> The impact of acquiring unrestricted work authorization on Romanian and Bulgarian migrants in the United Kingdom. </w:t>
      </w:r>
      <w:r w:rsidRPr="00077D74">
        <w:rPr>
          <w:rFonts w:eastAsia="Times New Roman" w:cs="Times New Roman"/>
          <w:i/>
          <w:iCs/>
          <w:szCs w:val="24"/>
        </w:rPr>
        <w:t>ILR Review, 71(4), 823–852.</w:t>
      </w:r>
      <w:r w:rsidRPr="00077D74">
        <w:rPr>
          <w:rFonts w:eastAsia="Times New Roman" w:cs="Times New Roman"/>
          <w:szCs w:val="24"/>
        </w:rPr>
        <w:t xml:space="preserve"> </w:t>
      </w:r>
    </w:p>
    <w:p w14:paraId="5F8AE545" w14:textId="59EA7B74" w:rsidR="003769BE" w:rsidRPr="00077D74" w:rsidRDefault="003769BE" w:rsidP="003769BE">
      <w:pPr>
        <w:autoSpaceDE w:val="0"/>
        <w:autoSpaceDN w:val="0"/>
        <w:adjustRightInd w:val="0"/>
        <w:spacing w:after="0" w:line="240" w:lineRule="auto"/>
        <w:rPr>
          <w:rFonts w:cs="Times New Roman"/>
          <w:szCs w:val="24"/>
        </w:rPr>
      </w:pPr>
      <w:r w:rsidRPr="00077D74">
        <w:rPr>
          <w:rFonts w:cs="Times New Roman"/>
          <w:szCs w:val="24"/>
        </w:rPr>
        <w:t xml:space="preserve">Sumption, M. and Walsh, P. W. (2023) The Points System is Dead. Long Live the Points System! Why Immigration Policymakers in the UK Are Never Quite Happy with Their </w:t>
      </w:r>
      <w:r w:rsidRPr="00077D74">
        <w:rPr>
          <w:rFonts w:cs="Times New Roman"/>
          <w:szCs w:val="24"/>
        </w:rPr>
        <w:lastRenderedPageBreak/>
        <w:t xml:space="preserve">Points Systems. </w:t>
      </w:r>
      <w:r w:rsidRPr="00077D74">
        <w:rPr>
          <w:rFonts w:cs="Times New Roman"/>
          <w:i/>
          <w:iCs/>
          <w:szCs w:val="24"/>
        </w:rPr>
        <w:t>Journal of Immigrant &amp; Refugee Studies, 21(1), 89-103.</w:t>
      </w:r>
      <w:r w:rsidRPr="00077D74">
        <w:rPr>
          <w:rFonts w:cs="Times New Roman"/>
          <w:szCs w:val="24"/>
        </w:rPr>
        <w:t xml:space="preserve"> DOI: 10.1080/15562948.2022.2142719</w:t>
      </w:r>
      <w:r w:rsidR="00EB3631" w:rsidRPr="00077D74">
        <w:rPr>
          <w:rFonts w:cs="Times New Roman"/>
          <w:szCs w:val="24"/>
        </w:rPr>
        <w:t>.</w:t>
      </w:r>
    </w:p>
    <w:p w14:paraId="283732FE" w14:textId="77777777" w:rsidR="003769BE" w:rsidRPr="00077D74" w:rsidRDefault="003769BE" w:rsidP="00AE3281">
      <w:pPr>
        <w:autoSpaceDE w:val="0"/>
        <w:autoSpaceDN w:val="0"/>
        <w:adjustRightInd w:val="0"/>
        <w:spacing w:after="0" w:line="240" w:lineRule="auto"/>
        <w:rPr>
          <w:rFonts w:eastAsia="Times New Roman" w:cs="Times New Roman"/>
          <w:szCs w:val="24"/>
        </w:rPr>
      </w:pPr>
    </w:p>
    <w:p w14:paraId="03941118" w14:textId="57742184" w:rsidR="005B214B" w:rsidRPr="00077D74" w:rsidRDefault="005B214B" w:rsidP="005B214B">
      <w:pPr>
        <w:rPr>
          <w:rFonts w:eastAsia="Times New Roman" w:cs="Times New Roman"/>
          <w:i/>
          <w:iCs/>
          <w:szCs w:val="24"/>
        </w:rPr>
      </w:pPr>
      <w:proofErr w:type="spellStart"/>
      <w:r w:rsidRPr="00077D74">
        <w:rPr>
          <w:rFonts w:eastAsia="Times New Roman" w:cs="Times New Roman"/>
          <w:szCs w:val="24"/>
        </w:rPr>
        <w:t>Ulceluse</w:t>
      </w:r>
      <w:proofErr w:type="spellEnd"/>
      <w:r w:rsidRPr="00077D74">
        <w:rPr>
          <w:rFonts w:eastAsia="Times New Roman" w:cs="Times New Roman"/>
          <w:szCs w:val="24"/>
        </w:rPr>
        <w:t xml:space="preserve"> M., </w:t>
      </w:r>
      <w:r w:rsidR="001F4B82" w:rsidRPr="00077D74">
        <w:rPr>
          <w:rFonts w:eastAsia="Times New Roman" w:cs="Times New Roman"/>
          <w:szCs w:val="24"/>
        </w:rPr>
        <w:t xml:space="preserve">and </w:t>
      </w:r>
      <w:proofErr w:type="spellStart"/>
      <w:r w:rsidRPr="00077D74">
        <w:rPr>
          <w:rFonts w:eastAsia="Times New Roman" w:cs="Times New Roman"/>
          <w:szCs w:val="24"/>
        </w:rPr>
        <w:t>Kahanec</w:t>
      </w:r>
      <w:proofErr w:type="spellEnd"/>
      <w:r w:rsidRPr="00077D74">
        <w:rPr>
          <w:rFonts w:eastAsia="Times New Roman" w:cs="Times New Roman"/>
          <w:szCs w:val="24"/>
        </w:rPr>
        <w:t xml:space="preserve"> M.</w:t>
      </w:r>
      <w:r w:rsidR="001F4B82" w:rsidRPr="00077D74">
        <w:rPr>
          <w:rFonts w:eastAsia="Times New Roman" w:cs="Times New Roman"/>
          <w:szCs w:val="24"/>
        </w:rPr>
        <w:t xml:space="preserve"> (</w:t>
      </w:r>
      <w:r w:rsidRPr="00077D74">
        <w:rPr>
          <w:rFonts w:eastAsia="Times New Roman" w:cs="Times New Roman"/>
          <w:szCs w:val="24"/>
        </w:rPr>
        <w:t>202</w:t>
      </w:r>
      <w:r w:rsidR="00C57AAA" w:rsidRPr="00077D74">
        <w:rPr>
          <w:rFonts w:eastAsia="Times New Roman" w:cs="Times New Roman"/>
          <w:szCs w:val="24"/>
        </w:rPr>
        <w:t>3</w:t>
      </w:r>
      <w:r w:rsidR="001F4B82" w:rsidRPr="00077D74">
        <w:rPr>
          <w:rFonts w:eastAsia="Times New Roman" w:cs="Times New Roman"/>
          <w:szCs w:val="24"/>
        </w:rPr>
        <w:t>)</w:t>
      </w:r>
      <w:r w:rsidRPr="00077D74">
        <w:rPr>
          <w:rFonts w:eastAsia="Times New Roman" w:cs="Times New Roman"/>
          <w:szCs w:val="24"/>
        </w:rPr>
        <w:t xml:space="preserve"> Eastward enlargements of the European Union, transitional </w:t>
      </w:r>
      <w:proofErr w:type="gramStart"/>
      <w:r w:rsidRPr="00077D74">
        <w:rPr>
          <w:rFonts w:eastAsia="Times New Roman" w:cs="Times New Roman"/>
          <w:szCs w:val="24"/>
        </w:rPr>
        <w:t>arrangements</w:t>
      </w:r>
      <w:proofErr w:type="gramEnd"/>
      <w:r w:rsidRPr="00077D74">
        <w:rPr>
          <w:rFonts w:eastAsia="Times New Roman" w:cs="Times New Roman"/>
          <w:szCs w:val="24"/>
        </w:rPr>
        <w:t xml:space="preserve"> and self-employment.</w:t>
      </w:r>
      <w:r w:rsidRPr="00077D74">
        <w:rPr>
          <w:rFonts w:eastAsia="Calibri" w:cs="Times New Roman"/>
        </w:rPr>
        <w:t xml:space="preserve"> </w:t>
      </w:r>
      <w:r w:rsidRPr="00077D74">
        <w:rPr>
          <w:rFonts w:eastAsia="Times New Roman" w:cs="Times New Roman"/>
          <w:i/>
          <w:iCs/>
          <w:szCs w:val="24"/>
        </w:rPr>
        <w:t>Journal of Population Economics, 36:719–742.</w:t>
      </w:r>
    </w:p>
    <w:p w14:paraId="3BC44017" w14:textId="56288461" w:rsidR="00EB3631" w:rsidRPr="00077D74" w:rsidRDefault="454E41B1" w:rsidP="454E41B1">
      <w:pPr>
        <w:rPr>
          <w:rFonts w:eastAsia="Times New Roman" w:cs="Times New Roman"/>
          <w:i/>
          <w:iCs/>
        </w:rPr>
      </w:pPr>
      <w:bookmarkStart w:id="9" w:name="_Hlk171428337"/>
      <w:r w:rsidRPr="00077D74">
        <w:rPr>
          <w:rFonts w:eastAsia="Times New Roman" w:cs="Times New Roman"/>
        </w:rPr>
        <w:t>Vargas-Silva, C. and Sumption, M. (2023</w:t>
      </w:r>
      <w:r w:rsidRPr="00077D74">
        <w:rPr>
          <w:rFonts w:cs="Times New Roman"/>
        </w:rPr>
        <w:t xml:space="preserve">) </w:t>
      </w:r>
      <w:r w:rsidRPr="00077D74">
        <w:rPr>
          <w:rFonts w:cs="Times New Roman"/>
          <w:i/>
          <w:iCs/>
        </w:rPr>
        <w:t>The Labour Market Effects of Immigration</w:t>
      </w:r>
      <w:r w:rsidRPr="00077D74">
        <w:rPr>
          <w:rFonts w:cs="Times New Roman"/>
        </w:rPr>
        <w:t>. Migration Observatory briefing. COMPAS, University of Oxford.</w:t>
      </w:r>
    </w:p>
    <w:bookmarkEnd w:id="9"/>
    <w:p w14:paraId="55A6FF9D" w14:textId="6B6B5F04" w:rsidR="002206E3" w:rsidRPr="00077D74" w:rsidRDefault="454E41B1" w:rsidP="002206E3">
      <w:pPr>
        <w:rPr>
          <w:rFonts w:cs="Times New Roman"/>
        </w:rPr>
      </w:pPr>
      <w:r w:rsidRPr="00077D74">
        <w:rPr>
          <w:rFonts w:cs="Times New Roman"/>
        </w:rPr>
        <w:t xml:space="preserve">Walsh, P.W. (2021) The UK’s 2021 points-based immigration system. </w:t>
      </w:r>
      <w:r w:rsidRPr="00077D74">
        <w:rPr>
          <w:rFonts w:cs="Times New Roman"/>
          <w:i/>
          <w:iCs/>
        </w:rPr>
        <w:t>Migration Observatory policy primer.</w:t>
      </w:r>
      <w:r w:rsidRPr="00077D74">
        <w:rPr>
          <w:rFonts w:cs="Times New Roman"/>
        </w:rPr>
        <w:t xml:space="preserve"> COMPAS, University of Oxford.</w:t>
      </w:r>
    </w:p>
    <w:p w14:paraId="4CF1223B" w14:textId="77777777" w:rsidR="00F80FB1" w:rsidRPr="00077D74" w:rsidRDefault="00F80FB1" w:rsidP="005B214B">
      <w:pPr>
        <w:rPr>
          <w:rFonts w:eastAsia="Times New Roman" w:cs="Times New Roman"/>
          <w:szCs w:val="24"/>
        </w:rPr>
      </w:pPr>
      <w:r w:rsidRPr="00077D74">
        <w:rPr>
          <w:rFonts w:eastAsia="Times New Roman" w:cs="Times New Roman"/>
          <w:szCs w:val="24"/>
        </w:rPr>
        <w:t xml:space="preserve">Winship, C., &amp; </w:t>
      </w:r>
      <w:proofErr w:type="spellStart"/>
      <w:r w:rsidRPr="00077D74">
        <w:rPr>
          <w:rFonts w:eastAsia="Times New Roman" w:cs="Times New Roman"/>
          <w:szCs w:val="24"/>
        </w:rPr>
        <w:t>Radbill</w:t>
      </w:r>
      <w:proofErr w:type="spellEnd"/>
      <w:r w:rsidRPr="00077D74">
        <w:rPr>
          <w:rFonts w:eastAsia="Times New Roman" w:cs="Times New Roman"/>
          <w:szCs w:val="24"/>
        </w:rPr>
        <w:t>, L. (1994). Sampling weights and regression analysis</w:t>
      </w:r>
      <w:r w:rsidRPr="00077D74">
        <w:rPr>
          <w:rFonts w:eastAsia="Times New Roman" w:cs="Times New Roman"/>
          <w:i/>
          <w:iCs/>
          <w:szCs w:val="24"/>
        </w:rPr>
        <w:t>. Sociological Methods &amp; Research</w:t>
      </w:r>
      <w:r w:rsidRPr="00077D74">
        <w:rPr>
          <w:rFonts w:eastAsia="Times New Roman" w:cs="Times New Roman"/>
          <w:szCs w:val="24"/>
        </w:rPr>
        <w:t>, 23(2), 230-257.</w:t>
      </w:r>
    </w:p>
    <w:p w14:paraId="0F91AFC2" w14:textId="288F7E1D" w:rsidR="003B2CD9" w:rsidRPr="00077D74" w:rsidRDefault="003B2CD9" w:rsidP="005B214B">
      <w:pPr>
        <w:rPr>
          <w:rFonts w:cs="Times New Roman"/>
        </w:rPr>
      </w:pPr>
      <w:r w:rsidRPr="00077D74">
        <w:rPr>
          <w:rFonts w:eastAsia="Times New Roman" w:cs="Times New Roman"/>
          <w:szCs w:val="24"/>
        </w:rPr>
        <w:t xml:space="preserve">Zimmermann K. F. (2014) </w:t>
      </w:r>
      <w:r w:rsidRPr="00077D74">
        <w:rPr>
          <w:rFonts w:cs="Times New Roman"/>
        </w:rPr>
        <w:t xml:space="preserve">Circular migration Why restricting </w:t>
      </w:r>
      <w:proofErr w:type="spellStart"/>
      <w:r w:rsidRPr="00077D74">
        <w:rPr>
          <w:rFonts w:cs="Times New Roman"/>
        </w:rPr>
        <w:t>labor</w:t>
      </w:r>
      <w:proofErr w:type="spellEnd"/>
      <w:r w:rsidRPr="00077D74">
        <w:rPr>
          <w:rFonts w:cs="Times New Roman"/>
        </w:rPr>
        <w:t xml:space="preserve"> mobility can be counterproductive. </w:t>
      </w:r>
      <w:r w:rsidRPr="00077D74">
        <w:rPr>
          <w:rFonts w:cs="Times New Roman"/>
          <w:i/>
        </w:rPr>
        <w:t>IZA World of Labor</w:t>
      </w:r>
      <w:bookmarkEnd w:id="7"/>
      <w:r w:rsidR="00EB3631" w:rsidRPr="00077D74">
        <w:rPr>
          <w:rFonts w:cs="Times New Roman"/>
          <w:i/>
        </w:rPr>
        <w:t>.</w:t>
      </w:r>
    </w:p>
    <w:sectPr w:rsidR="003B2CD9" w:rsidRPr="00077D74" w:rsidSect="00DC5320">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BC96" w14:textId="77777777" w:rsidR="0089027C" w:rsidRDefault="0089027C" w:rsidP="00FE0884">
      <w:pPr>
        <w:spacing w:after="0" w:line="240" w:lineRule="auto"/>
      </w:pPr>
      <w:r>
        <w:separator/>
      </w:r>
    </w:p>
  </w:endnote>
  <w:endnote w:type="continuationSeparator" w:id="0">
    <w:p w14:paraId="0989B5DA" w14:textId="77777777" w:rsidR="0089027C" w:rsidRDefault="0089027C" w:rsidP="00FE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qirockvoohlnqszjocenjxix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334417"/>
      <w:docPartObj>
        <w:docPartGallery w:val="Page Numbers (Bottom of Page)"/>
        <w:docPartUnique/>
      </w:docPartObj>
    </w:sdtPr>
    <w:sdtEndPr>
      <w:rPr>
        <w:noProof/>
      </w:rPr>
    </w:sdtEndPr>
    <w:sdtContent>
      <w:p w14:paraId="7B42E391" w14:textId="374BBC15" w:rsidR="006B276A" w:rsidRDefault="006B276A">
        <w:pPr>
          <w:pStyle w:val="Footer"/>
          <w:jc w:val="center"/>
        </w:pPr>
        <w:r>
          <w:fldChar w:fldCharType="begin"/>
        </w:r>
        <w:r>
          <w:instrText xml:space="preserve"> PAGE   \* MERGEFORMAT </w:instrText>
        </w:r>
        <w:r>
          <w:fldChar w:fldCharType="separate"/>
        </w:r>
        <w:r w:rsidR="009D5AE9">
          <w:rPr>
            <w:noProof/>
          </w:rPr>
          <w:t>1</w:t>
        </w:r>
        <w:r>
          <w:rPr>
            <w:noProof/>
          </w:rPr>
          <w:fldChar w:fldCharType="end"/>
        </w:r>
      </w:p>
    </w:sdtContent>
  </w:sdt>
  <w:p w14:paraId="5CA1510A" w14:textId="77777777" w:rsidR="006B276A" w:rsidRDefault="006B2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5C7D" w14:textId="77777777" w:rsidR="0089027C" w:rsidRDefault="0089027C" w:rsidP="00FE0884">
      <w:pPr>
        <w:spacing w:after="0" w:line="240" w:lineRule="auto"/>
      </w:pPr>
      <w:r>
        <w:separator/>
      </w:r>
    </w:p>
  </w:footnote>
  <w:footnote w:type="continuationSeparator" w:id="0">
    <w:p w14:paraId="722586D3" w14:textId="77777777" w:rsidR="0089027C" w:rsidRDefault="0089027C" w:rsidP="00FE0884">
      <w:pPr>
        <w:spacing w:after="0" w:line="240" w:lineRule="auto"/>
      </w:pPr>
      <w:r>
        <w:continuationSeparator/>
      </w:r>
    </w:p>
  </w:footnote>
  <w:footnote w:id="1">
    <w:p w14:paraId="28745F4F" w14:textId="01D797C8" w:rsidR="006B276A" w:rsidRPr="00A02C20" w:rsidRDefault="006B276A" w:rsidP="00AB6737">
      <w:pPr>
        <w:spacing w:after="0"/>
        <w:jc w:val="both"/>
        <w:rPr>
          <w:sz w:val="18"/>
          <w:szCs w:val="18"/>
        </w:rPr>
      </w:pPr>
      <w:r w:rsidRPr="00A02C20">
        <w:rPr>
          <w:rStyle w:val="FootnoteReference"/>
          <w:sz w:val="18"/>
          <w:szCs w:val="18"/>
        </w:rPr>
        <w:footnoteRef/>
      </w:r>
      <w:r w:rsidRPr="00A02C20">
        <w:rPr>
          <w:sz w:val="18"/>
          <w:szCs w:val="18"/>
        </w:rPr>
        <w:t xml:space="preserve"> Under the Immigration Act (1901) or White Australia Policy, migrants who entered Australia from that year until 1958 could be asked to take a literacy test: to pass the dictation test, they needed to write 50 words in any European language, as dictated by an immigration officer. </w:t>
      </w:r>
      <w:r>
        <w:rPr>
          <w:sz w:val="18"/>
          <w:szCs w:val="18"/>
        </w:rPr>
        <w:t>A</w:t>
      </w:r>
      <w:r w:rsidRPr="00A02C20">
        <w:rPr>
          <w:sz w:val="18"/>
          <w:szCs w:val="18"/>
        </w:rPr>
        <w:t>pplicant</w:t>
      </w:r>
      <w:r>
        <w:rPr>
          <w:sz w:val="18"/>
          <w:szCs w:val="18"/>
        </w:rPr>
        <w:t>s</w:t>
      </w:r>
      <w:r w:rsidRPr="00A02C20">
        <w:rPr>
          <w:sz w:val="18"/>
          <w:szCs w:val="18"/>
        </w:rPr>
        <w:t xml:space="preserve"> fail</w:t>
      </w:r>
      <w:r>
        <w:rPr>
          <w:sz w:val="18"/>
          <w:szCs w:val="18"/>
        </w:rPr>
        <w:t xml:space="preserve">ing </w:t>
      </w:r>
      <w:r w:rsidRPr="00A02C20">
        <w:rPr>
          <w:sz w:val="18"/>
          <w:szCs w:val="18"/>
        </w:rPr>
        <w:t xml:space="preserve">the test could be deported. </w:t>
      </w:r>
    </w:p>
    <w:p w14:paraId="137930D8" w14:textId="77777777" w:rsidR="006B276A" w:rsidRDefault="006B276A" w:rsidP="00AB6737">
      <w:pPr>
        <w:pStyle w:val="FootnoteText"/>
      </w:pPr>
    </w:p>
  </w:footnote>
  <w:footnote w:id="2">
    <w:p w14:paraId="61B29CB3" w14:textId="6BB8DEF1" w:rsidR="006B276A" w:rsidRDefault="006B276A">
      <w:pPr>
        <w:pStyle w:val="FootnoteText"/>
      </w:pPr>
      <w:r>
        <w:rPr>
          <w:rStyle w:val="FootnoteReference"/>
        </w:rPr>
        <w:footnoteRef/>
      </w:r>
      <w:r>
        <w:t xml:space="preserve"> Thanks to recent and reliable data the authors used the 1973 immigration ban in Germany data to run a quasi-experiment, as the ban </w:t>
      </w:r>
      <w:r w:rsidRPr="00585DE0">
        <w:t>only concerned immigrants from countries outside the European Economic Community (their treatment group).</w:t>
      </w:r>
    </w:p>
  </w:footnote>
  <w:footnote w:id="3">
    <w:p w14:paraId="03ECE941" w14:textId="77777777" w:rsidR="006B276A" w:rsidRDefault="006B276A" w:rsidP="0034641F">
      <w:pPr>
        <w:pStyle w:val="FootnoteText"/>
      </w:pPr>
      <w:r>
        <w:rPr>
          <w:rStyle w:val="FootnoteReference"/>
        </w:rPr>
        <w:footnoteRef/>
      </w:r>
      <w:r>
        <w:t xml:space="preserve"> </w:t>
      </w:r>
      <w:r w:rsidRPr="00366F31">
        <w:t>The UK had imposed temporary restrictions on the employment and welfare entitlements of A2 citizens, which lasted until 1st January 2014.</w:t>
      </w:r>
    </w:p>
  </w:footnote>
  <w:footnote w:id="4">
    <w:p w14:paraId="77350283" w14:textId="7A4A3A4D" w:rsidR="006B276A" w:rsidRDefault="006B276A" w:rsidP="00E23729">
      <w:pPr>
        <w:pStyle w:val="FootnoteText"/>
      </w:pPr>
      <w:r>
        <w:rPr>
          <w:rStyle w:val="FootnoteReference"/>
        </w:rPr>
        <w:footnoteRef/>
      </w:r>
      <w:r>
        <w:t xml:space="preserve"> The so-called A2 or EU2 countries </w:t>
      </w:r>
      <w:r w:rsidRPr="00C70C91">
        <w:t>Bulgaria and Romania joined the European Union on January 1, 2007. However, unlike with the A8 countries, the UK (and some other EU countries) imposed temporary restrictions on the rights of Bulgarian and Romanian workers to access their labour markets. These restrictions were gradually lifted over time, and Bulgarian and Romanian workers gained unrestricted access to the UK labour market on January 1, 2014.</w:t>
      </w:r>
      <w:r>
        <w:t xml:space="preserve"> </w:t>
      </w:r>
      <w:r w:rsidRPr="00C70C91">
        <w:t>Croatia joined the European Union on July 1, 2013, and the UK initially applied similar temporary restrictions on Croatian workers as had been imposed on Bulgarian and Romanian workers. However, Croatian workers gained unrestricted access to the UK labour market on July 1, 2018.</w:t>
      </w:r>
    </w:p>
  </w:footnote>
  <w:footnote w:id="5">
    <w:p w14:paraId="546E8469" w14:textId="1192FA48" w:rsidR="006B276A" w:rsidRDefault="006B276A">
      <w:pPr>
        <w:pStyle w:val="FootnoteText"/>
      </w:pPr>
      <w:r>
        <w:rPr>
          <w:rStyle w:val="FootnoteReference"/>
        </w:rPr>
        <w:footnoteRef/>
      </w:r>
      <w:r>
        <w:t xml:space="preserve"> For additional information, see: </w:t>
      </w:r>
      <w:hyperlink r:id="rId1" w:history="1">
        <w:r w:rsidRPr="00A86FF9">
          <w:rPr>
            <w:rStyle w:val="Hyperlink"/>
          </w:rPr>
          <w:t>https://www.ons.gov.uk/employmentandlabourmarket/peopleinwork/employmentandemployeetypes/methodologies/labourforcesurveyplannedimprovementsanditsreintroduction</w:t>
        </w:r>
      </w:hyperlink>
      <w:r>
        <w:t>, 24-April-2024.</w:t>
      </w:r>
    </w:p>
  </w:footnote>
  <w:footnote w:id="6">
    <w:p w14:paraId="291F0B95" w14:textId="4E986344" w:rsidR="006B276A" w:rsidRDefault="006B276A">
      <w:pPr>
        <w:pStyle w:val="FootnoteText"/>
      </w:pPr>
      <w:r>
        <w:rPr>
          <w:rStyle w:val="FootnoteReference"/>
        </w:rPr>
        <w:footnoteRef/>
      </w:r>
      <w:r>
        <w:t xml:space="preserve"> More details are contained in: </w:t>
      </w:r>
      <w:hyperlink r:id="rId2" w:anchor=":~:text=Changes%20were%20made%20to%20LFS,move%20to%20telephone%2Donly%20interviewing" w:history="1">
        <w:r w:rsidRPr="00A86FF9">
          <w:rPr>
            <w:rStyle w:val="Hyperlink"/>
          </w:rPr>
          <w:t>https://www.ons.gov.uk/employmentandlabourmarket/peopleinwork/employmentandemployeetypes/articles/impactofreweightingonlabourforcesurveykeyindicators/2024#:~:text=Changes%20were%20made%20to%20LFS,move%20to%20telephone%2Donly%20interviewing</w:t>
        </w:r>
      </w:hyperlink>
      <w:r w:rsidRPr="00E147C5">
        <w:t>.</w:t>
      </w:r>
      <w:r>
        <w:t xml:space="preserve"> </w:t>
      </w:r>
    </w:p>
  </w:footnote>
  <w:footnote w:id="7">
    <w:p w14:paraId="002FB165" w14:textId="7C7CEB81" w:rsidR="006B276A" w:rsidRDefault="006B276A" w:rsidP="00D1347C">
      <w:r w:rsidRPr="00D1347C">
        <w:rPr>
          <w:rStyle w:val="FootnoteReference"/>
          <w:sz w:val="20"/>
          <w:szCs w:val="20"/>
        </w:rPr>
        <w:footnoteRef/>
      </w:r>
      <w:r w:rsidRPr="009E1319">
        <w:rPr>
          <w:sz w:val="20"/>
          <w:szCs w:val="20"/>
        </w:rPr>
        <w:t>SOC2010 volume 3: the National Statistics Socio-economic classification (NS-SEC rebased on SOC2010)</w:t>
      </w:r>
      <w:r>
        <w:rPr>
          <w:sz w:val="20"/>
          <w:szCs w:val="20"/>
        </w:rPr>
        <w:t>.</w:t>
      </w:r>
    </w:p>
  </w:footnote>
  <w:footnote w:id="8">
    <w:p w14:paraId="6F1A4C5A" w14:textId="5EA09F20" w:rsidR="006B276A" w:rsidRDefault="006B276A">
      <w:pPr>
        <w:pStyle w:val="FootnoteText"/>
      </w:pPr>
      <w:r>
        <w:rPr>
          <w:rStyle w:val="FootnoteReference"/>
        </w:rPr>
        <w:footnoteRef/>
      </w:r>
      <w:r>
        <w:t xml:space="preserve"> Full results are available upon request. </w:t>
      </w:r>
    </w:p>
  </w:footnote>
  <w:footnote w:id="9">
    <w:p w14:paraId="4519E6BA" w14:textId="6B4F30CB" w:rsidR="006B276A" w:rsidRDefault="006B276A">
      <w:pPr>
        <w:pStyle w:val="FootnoteText"/>
      </w:pPr>
      <w:r>
        <w:rPr>
          <w:rStyle w:val="FootnoteReference"/>
        </w:rPr>
        <w:footnoteRef/>
      </w:r>
      <w:r>
        <w:t xml:space="preserve"> In December 2021, Defra and the Home Office announced that the ‘Seasonal Worker visa route’ scheme would last until the end of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7508"/>
    <w:multiLevelType w:val="multilevel"/>
    <w:tmpl w:val="0D9C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F6E49"/>
    <w:multiLevelType w:val="hybridMultilevel"/>
    <w:tmpl w:val="617C5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0C4FCE"/>
    <w:multiLevelType w:val="hybridMultilevel"/>
    <w:tmpl w:val="ADDA2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223332"/>
    <w:multiLevelType w:val="hybridMultilevel"/>
    <w:tmpl w:val="2D649A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296D74"/>
    <w:multiLevelType w:val="multilevel"/>
    <w:tmpl w:val="89EA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031A58"/>
    <w:multiLevelType w:val="hybridMultilevel"/>
    <w:tmpl w:val="AE34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E90166"/>
    <w:multiLevelType w:val="multilevel"/>
    <w:tmpl w:val="CCB6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841926"/>
    <w:multiLevelType w:val="multilevel"/>
    <w:tmpl w:val="0CDC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5468F"/>
    <w:multiLevelType w:val="multilevel"/>
    <w:tmpl w:val="4200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9448282">
    <w:abstractNumId w:val="5"/>
  </w:num>
  <w:num w:numId="2" w16cid:durableId="342361060">
    <w:abstractNumId w:val="1"/>
  </w:num>
  <w:num w:numId="3" w16cid:durableId="379866688">
    <w:abstractNumId w:val="2"/>
  </w:num>
  <w:num w:numId="4" w16cid:durableId="35084913">
    <w:abstractNumId w:val="3"/>
  </w:num>
  <w:num w:numId="5" w16cid:durableId="224920228">
    <w:abstractNumId w:val="8"/>
  </w:num>
  <w:num w:numId="6" w16cid:durableId="230432204">
    <w:abstractNumId w:val="0"/>
  </w:num>
  <w:num w:numId="7" w16cid:durableId="1347904502">
    <w:abstractNumId w:val="6"/>
  </w:num>
  <w:num w:numId="8" w16cid:durableId="373502825">
    <w:abstractNumId w:val="4"/>
  </w:num>
  <w:num w:numId="9" w16cid:durableId="47533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F5"/>
    <w:rsid w:val="00001710"/>
    <w:rsid w:val="00004128"/>
    <w:rsid w:val="000068D6"/>
    <w:rsid w:val="000070B0"/>
    <w:rsid w:val="00007D4E"/>
    <w:rsid w:val="00012BAA"/>
    <w:rsid w:val="00016ABB"/>
    <w:rsid w:val="0001766D"/>
    <w:rsid w:val="0002000D"/>
    <w:rsid w:val="0002057C"/>
    <w:rsid w:val="00021F5D"/>
    <w:rsid w:val="00025527"/>
    <w:rsid w:val="00027575"/>
    <w:rsid w:val="00031507"/>
    <w:rsid w:val="0003562C"/>
    <w:rsid w:val="0003679E"/>
    <w:rsid w:val="00041DFE"/>
    <w:rsid w:val="000424BC"/>
    <w:rsid w:val="00042DA0"/>
    <w:rsid w:val="00043B62"/>
    <w:rsid w:val="00044078"/>
    <w:rsid w:val="00045717"/>
    <w:rsid w:val="000509F6"/>
    <w:rsid w:val="00054B30"/>
    <w:rsid w:val="0005787A"/>
    <w:rsid w:val="00064240"/>
    <w:rsid w:val="0006425E"/>
    <w:rsid w:val="00064E09"/>
    <w:rsid w:val="000676C5"/>
    <w:rsid w:val="00073D01"/>
    <w:rsid w:val="0007471C"/>
    <w:rsid w:val="00077D74"/>
    <w:rsid w:val="00084531"/>
    <w:rsid w:val="00091781"/>
    <w:rsid w:val="00095E72"/>
    <w:rsid w:val="00097FB9"/>
    <w:rsid w:val="000B1D84"/>
    <w:rsid w:val="000C1AE2"/>
    <w:rsid w:val="000C7160"/>
    <w:rsid w:val="000D33E8"/>
    <w:rsid w:val="000D3CEF"/>
    <w:rsid w:val="000D440A"/>
    <w:rsid w:val="000D5111"/>
    <w:rsid w:val="000D7083"/>
    <w:rsid w:val="000E21B5"/>
    <w:rsid w:val="000E3809"/>
    <w:rsid w:val="000E6199"/>
    <w:rsid w:val="000F15C8"/>
    <w:rsid w:val="000F3860"/>
    <w:rsid w:val="000F3CCD"/>
    <w:rsid w:val="000F5A5C"/>
    <w:rsid w:val="000F6DE6"/>
    <w:rsid w:val="0010010A"/>
    <w:rsid w:val="00106EF5"/>
    <w:rsid w:val="00114D4A"/>
    <w:rsid w:val="00114FB7"/>
    <w:rsid w:val="001151E0"/>
    <w:rsid w:val="00120224"/>
    <w:rsid w:val="00120925"/>
    <w:rsid w:val="001218EE"/>
    <w:rsid w:val="001240C3"/>
    <w:rsid w:val="00124B56"/>
    <w:rsid w:val="0013418B"/>
    <w:rsid w:val="0013451F"/>
    <w:rsid w:val="00137810"/>
    <w:rsid w:val="0014222D"/>
    <w:rsid w:val="00143805"/>
    <w:rsid w:val="001505F7"/>
    <w:rsid w:val="001510EE"/>
    <w:rsid w:val="001543BB"/>
    <w:rsid w:val="00154630"/>
    <w:rsid w:val="00155AE5"/>
    <w:rsid w:val="00166A35"/>
    <w:rsid w:val="00175C5E"/>
    <w:rsid w:val="00176ABB"/>
    <w:rsid w:val="001843D2"/>
    <w:rsid w:val="00194D0A"/>
    <w:rsid w:val="001978BE"/>
    <w:rsid w:val="001A0A96"/>
    <w:rsid w:val="001A5D1D"/>
    <w:rsid w:val="001A63F1"/>
    <w:rsid w:val="001B4696"/>
    <w:rsid w:val="001C686A"/>
    <w:rsid w:val="001C6927"/>
    <w:rsid w:val="001D4CB7"/>
    <w:rsid w:val="001D713D"/>
    <w:rsid w:val="001D7B00"/>
    <w:rsid w:val="001D7B66"/>
    <w:rsid w:val="001E043E"/>
    <w:rsid w:val="001E4FA4"/>
    <w:rsid w:val="001E6074"/>
    <w:rsid w:val="001E6214"/>
    <w:rsid w:val="001F4B82"/>
    <w:rsid w:val="001F621B"/>
    <w:rsid w:val="002045BA"/>
    <w:rsid w:val="00205598"/>
    <w:rsid w:val="00206555"/>
    <w:rsid w:val="0021336C"/>
    <w:rsid w:val="00213705"/>
    <w:rsid w:val="002166F3"/>
    <w:rsid w:val="002175F6"/>
    <w:rsid w:val="002206E3"/>
    <w:rsid w:val="002225C7"/>
    <w:rsid w:val="0022483D"/>
    <w:rsid w:val="002263F8"/>
    <w:rsid w:val="00230648"/>
    <w:rsid w:val="0024095B"/>
    <w:rsid w:val="00242F5A"/>
    <w:rsid w:val="00247ED4"/>
    <w:rsid w:val="00257CC7"/>
    <w:rsid w:val="002615F6"/>
    <w:rsid w:val="002616E8"/>
    <w:rsid w:val="00262151"/>
    <w:rsid w:val="00280E52"/>
    <w:rsid w:val="00285920"/>
    <w:rsid w:val="00285F19"/>
    <w:rsid w:val="00292B02"/>
    <w:rsid w:val="00296921"/>
    <w:rsid w:val="002974DC"/>
    <w:rsid w:val="002A1A55"/>
    <w:rsid w:val="002A5494"/>
    <w:rsid w:val="002A7BFF"/>
    <w:rsid w:val="002B1531"/>
    <w:rsid w:val="002B5D8F"/>
    <w:rsid w:val="002C1D86"/>
    <w:rsid w:val="002C74D1"/>
    <w:rsid w:val="002D2DEF"/>
    <w:rsid w:val="002F1A1C"/>
    <w:rsid w:val="002F361F"/>
    <w:rsid w:val="003010F1"/>
    <w:rsid w:val="003025E1"/>
    <w:rsid w:val="00303430"/>
    <w:rsid w:val="003062B9"/>
    <w:rsid w:val="00306BF1"/>
    <w:rsid w:val="00306C73"/>
    <w:rsid w:val="00306EBB"/>
    <w:rsid w:val="00327436"/>
    <w:rsid w:val="00332EFD"/>
    <w:rsid w:val="00334259"/>
    <w:rsid w:val="00334A86"/>
    <w:rsid w:val="003378DD"/>
    <w:rsid w:val="00343EA3"/>
    <w:rsid w:val="0034457E"/>
    <w:rsid w:val="003448AC"/>
    <w:rsid w:val="0034641F"/>
    <w:rsid w:val="00350343"/>
    <w:rsid w:val="003517B0"/>
    <w:rsid w:val="00352230"/>
    <w:rsid w:val="003652C6"/>
    <w:rsid w:val="00366E44"/>
    <w:rsid w:val="00366F31"/>
    <w:rsid w:val="00370CD6"/>
    <w:rsid w:val="003769BE"/>
    <w:rsid w:val="00376D46"/>
    <w:rsid w:val="00380410"/>
    <w:rsid w:val="00382B41"/>
    <w:rsid w:val="00385184"/>
    <w:rsid w:val="00385534"/>
    <w:rsid w:val="00386B6C"/>
    <w:rsid w:val="003A4514"/>
    <w:rsid w:val="003A54B9"/>
    <w:rsid w:val="003B2CD9"/>
    <w:rsid w:val="003B4072"/>
    <w:rsid w:val="003D033F"/>
    <w:rsid w:val="003D09F2"/>
    <w:rsid w:val="003D33F5"/>
    <w:rsid w:val="003E19AE"/>
    <w:rsid w:val="003E4705"/>
    <w:rsid w:val="003F002D"/>
    <w:rsid w:val="003F244C"/>
    <w:rsid w:val="003F61FC"/>
    <w:rsid w:val="003F700F"/>
    <w:rsid w:val="00400F57"/>
    <w:rsid w:val="00405537"/>
    <w:rsid w:val="00410CAA"/>
    <w:rsid w:val="00416D4C"/>
    <w:rsid w:val="00424386"/>
    <w:rsid w:val="00427DD3"/>
    <w:rsid w:val="00433585"/>
    <w:rsid w:val="00433FD4"/>
    <w:rsid w:val="004357B8"/>
    <w:rsid w:val="00437207"/>
    <w:rsid w:val="004439FC"/>
    <w:rsid w:val="0045479A"/>
    <w:rsid w:val="00473C9F"/>
    <w:rsid w:val="004745B7"/>
    <w:rsid w:val="004756EA"/>
    <w:rsid w:val="0047608F"/>
    <w:rsid w:val="00483977"/>
    <w:rsid w:val="0048499A"/>
    <w:rsid w:val="004871DD"/>
    <w:rsid w:val="0049237D"/>
    <w:rsid w:val="004942A8"/>
    <w:rsid w:val="00496DB9"/>
    <w:rsid w:val="00497712"/>
    <w:rsid w:val="004A4416"/>
    <w:rsid w:val="004A7226"/>
    <w:rsid w:val="004B357C"/>
    <w:rsid w:val="004B3AF5"/>
    <w:rsid w:val="004B449A"/>
    <w:rsid w:val="004B5231"/>
    <w:rsid w:val="004B5542"/>
    <w:rsid w:val="004B5B2D"/>
    <w:rsid w:val="004B69C7"/>
    <w:rsid w:val="004C00B1"/>
    <w:rsid w:val="004D5D83"/>
    <w:rsid w:val="004D783A"/>
    <w:rsid w:val="004E2BDA"/>
    <w:rsid w:val="004E3D60"/>
    <w:rsid w:val="004E6828"/>
    <w:rsid w:val="004F125D"/>
    <w:rsid w:val="004F2F49"/>
    <w:rsid w:val="00504FB7"/>
    <w:rsid w:val="005053D5"/>
    <w:rsid w:val="00517B68"/>
    <w:rsid w:val="005213B6"/>
    <w:rsid w:val="00530D6F"/>
    <w:rsid w:val="005332E8"/>
    <w:rsid w:val="0053571A"/>
    <w:rsid w:val="00535C97"/>
    <w:rsid w:val="00540905"/>
    <w:rsid w:val="005431FA"/>
    <w:rsid w:val="005440E5"/>
    <w:rsid w:val="00546CA9"/>
    <w:rsid w:val="00547380"/>
    <w:rsid w:val="00550F97"/>
    <w:rsid w:val="00553160"/>
    <w:rsid w:val="00554FE2"/>
    <w:rsid w:val="0055642A"/>
    <w:rsid w:val="00564A51"/>
    <w:rsid w:val="00564AC4"/>
    <w:rsid w:val="00567137"/>
    <w:rsid w:val="00573342"/>
    <w:rsid w:val="0057782E"/>
    <w:rsid w:val="00580F18"/>
    <w:rsid w:val="00584D29"/>
    <w:rsid w:val="00585DE0"/>
    <w:rsid w:val="005862ED"/>
    <w:rsid w:val="005903C9"/>
    <w:rsid w:val="005A3800"/>
    <w:rsid w:val="005A70D1"/>
    <w:rsid w:val="005B0570"/>
    <w:rsid w:val="005B15F0"/>
    <w:rsid w:val="005B20EA"/>
    <w:rsid w:val="005B214B"/>
    <w:rsid w:val="005B30BC"/>
    <w:rsid w:val="005B3738"/>
    <w:rsid w:val="005B6877"/>
    <w:rsid w:val="005C0130"/>
    <w:rsid w:val="005C1614"/>
    <w:rsid w:val="005C4FB0"/>
    <w:rsid w:val="005D20CA"/>
    <w:rsid w:val="005D7EEF"/>
    <w:rsid w:val="005E1FD8"/>
    <w:rsid w:val="005E49CA"/>
    <w:rsid w:val="005E55CE"/>
    <w:rsid w:val="005E6037"/>
    <w:rsid w:val="005E71A4"/>
    <w:rsid w:val="005F11A7"/>
    <w:rsid w:val="005F2520"/>
    <w:rsid w:val="005F3DC8"/>
    <w:rsid w:val="006102BA"/>
    <w:rsid w:val="0061106D"/>
    <w:rsid w:val="00625491"/>
    <w:rsid w:val="006338D4"/>
    <w:rsid w:val="00633FD4"/>
    <w:rsid w:val="006365BA"/>
    <w:rsid w:val="00636807"/>
    <w:rsid w:val="00640086"/>
    <w:rsid w:val="00640169"/>
    <w:rsid w:val="00640883"/>
    <w:rsid w:val="006416BB"/>
    <w:rsid w:val="00650A6A"/>
    <w:rsid w:val="00653D60"/>
    <w:rsid w:val="00653FAC"/>
    <w:rsid w:val="00663214"/>
    <w:rsid w:val="00663F42"/>
    <w:rsid w:val="00674314"/>
    <w:rsid w:val="00674989"/>
    <w:rsid w:val="00674DFE"/>
    <w:rsid w:val="00676636"/>
    <w:rsid w:val="00681925"/>
    <w:rsid w:val="00687259"/>
    <w:rsid w:val="00690506"/>
    <w:rsid w:val="00694FF5"/>
    <w:rsid w:val="00696510"/>
    <w:rsid w:val="00697249"/>
    <w:rsid w:val="006A10E8"/>
    <w:rsid w:val="006A2B18"/>
    <w:rsid w:val="006A3653"/>
    <w:rsid w:val="006A5C83"/>
    <w:rsid w:val="006A6B38"/>
    <w:rsid w:val="006A6E52"/>
    <w:rsid w:val="006B276A"/>
    <w:rsid w:val="006B6D85"/>
    <w:rsid w:val="006C355A"/>
    <w:rsid w:val="006C3E41"/>
    <w:rsid w:val="006C4A0B"/>
    <w:rsid w:val="006C5DE2"/>
    <w:rsid w:val="006C6271"/>
    <w:rsid w:val="006C6B6E"/>
    <w:rsid w:val="006D54CF"/>
    <w:rsid w:val="006D58C5"/>
    <w:rsid w:val="006D7E2D"/>
    <w:rsid w:val="006E3B8B"/>
    <w:rsid w:val="006E65F8"/>
    <w:rsid w:val="006F0FC6"/>
    <w:rsid w:val="006F17BD"/>
    <w:rsid w:val="006F1E0D"/>
    <w:rsid w:val="006F254E"/>
    <w:rsid w:val="006F5BD9"/>
    <w:rsid w:val="006F62A6"/>
    <w:rsid w:val="007001EC"/>
    <w:rsid w:val="00701430"/>
    <w:rsid w:val="007016E8"/>
    <w:rsid w:val="00702348"/>
    <w:rsid w:val="00702E23"/>
    <w:rsid w:val="00710BB4"/>
    <w:rsid w:val="00714D2E"/>
    <w:rsid w:val="00715C28"/>
    <w:rsid w:val="00724AFC"/>
    <w:rsid w:val="00725C62"/>
    <w:rsid w:val="007376F8"/>
    <w:rsid w:val="0074053D"/>
    <w:rsid w:val="0074075E"/>
    <w:rsid w:val="00741684"/>
    <w:rsid w:val="00741A89"/>
    <w:rsid w:val="00744782"/>
    <w:rsid w:val="0076140A"/>
    <w:rsid w:val="00761E21"/>
    <w:rsid w:val="00765354"/>
    <w:rsid w:val="00770886"/>
    <w:rsid w:val="00772D69"/>
    <w:rsid w:val="00775A76"/>
    <w:rsid w:val="00780773"/>
    <w:rsid w:val="0078323F"/>
    <w:rsid w:val="00784D50"/>
    <w:rsid w:val="00790012"/>
    <w:rsid w:val="00791928"/>
    <w:rsid w:val="007961E1"/>
    <w:rsid w:val="007979C5"/>
    <w:rsid w:val="007A09C5"/>
    <w:rsid w:val="007A17EA"/>
    <w:rsid w:val="007A6401"/>
    <w:rsid w:val="007B0095"/>
    <w:rsid w:val="007B39FE"/>
    <w:rsid w:val="007B5B23"/>
    <w:rsid w:val="007B5F59"/>
    <w:rsid w:val="007C72E2"/>
    <w:rsid w:val="007D01C6"/>
    <w:rsid w:val="007D0DF2"/>
    <w:rsid w:val="00803146"/>
    <w:rsid w:val="00804EF8"/>
    <w:rsid w:val="00806C4D"/>
    <w:rsid w:val="00810876"/>
    <w:rsid w:val="00810A2B"/>
    <w:rsid w:val="008137E8"/>
    <w:rsid w:val="00816BD5"/>
    <w:rsid w:val="008210D6"/>
    <w:rsid w:val="00823AA9"/>
    <w:rsid w:val="00832949"/>
    <w:rsid w:val="008336F9"/>
    <w:rsid w:val="00836CA2"/>
    <w:rsid w:val="00837D26"/>
    <w:rsid w:val="00840D45"/>
    <w:rsid w:val="008473E2"/>
    <w:rsid w:val="0085041F"/>
    <w:rsid w:val="00861838"/>
    <w:rsid w:val="00867DB5"/>
    <w:rsid w:val="008745E5"/>
    <w:rsid w:val="008747FC"/>
    <w:rsid w:val="00875488"/>
    <w:rsid w:val="00875536"/>
    <w:rsid w:val="0087594E"/>
    <w:rsid w:val="00875997"/>
    <w:rsid w:val="00876332"/>
    <w:rsid w:val="00877B04"/>
    <w:rsid w:val="00882F5F"/>
    <w:rsid w:val="0089027C"/>
    <w:rsid w:val="00893941"/>
    <w:rsid w:val="008952CD"/>
    <w:rsid w:val="008A3511"/>
    <w:rsid w:val="008A477E"/>
    <w:rsid w:val="008B0A12"/>
    <w:rsid w:val="008B6D0B"/>
    <w:rsid w:val="008C0A87"/>
    <w:rsid w:val="008C18FA"/>
    <w:rsid w:val="008C2E6D"/>
    <w:rsid w:val="008C3B49"/>
    <w:rsid w:val="008C565D"/>
    <w:rsid w:val="008C7514"/>
    <w:rsid w:val="008D2C3B"/>
    <w:rsid w:val="008D69E3"/>
    <w:rsid w:val="008E3116"/>
    <w:rsid w:val="008E6770"/>
    <w:rsid w:val="008F1CE3"/>
    <w:rsid w:val="008F3981"/>
    <w:rsid w:val="008F3FDD"/>
    <w:rsid w:val="008F41F3"/>
    <w:rsid w:val="009003D2"/>
    <w:rsid w:val="00900B28"/>
    <w:rsid w:val="00904795"/>
    <w:rsid w:val="00915790"/>
    <w:rsid w:val="0092206A"/>
    <w:rsid w:val="009241C7"/>
    <w:rsid w:val="00931808"/>
    <w:rsid w:val="009325C4"/>
    <w:rsid w:val="00933068"/>
    <w:rsid w:val="00933B88"/>
    <w:rsid w:val="00942664"/>
    <w:rsid w:val="00943B52"/>
    <w:rsid w:val="0095108F"/>
    <w:rsid w:val="00951BF8"/>
    <w:rsid w:val="00953504"/>
    <w:rsid w:val="00956A8F"/>
    <w:rsid w:val="00956C1A"/>
    <w:rsid w:val="00962B2C"/>
    <w:rsid w:val="0096463D"/>
    <w:rsid w:val="00965E54"/>
    <w:rsid w:val="00966DCB"/>
    <w:rsid w:val="009772A2"/>
    <w:rsid w:val="00982181"/>
    <w:rsid w:val="00985E17"/>
    <w:rsid w:val="00990C31"/>
    <w:rsid w:val="00991EC8"/>
    <w:rsid w:val="00992735"/>
    <w:rsid w:val="009949B3"/>
    <w:rsid w:val="00995370"/>
    <w:rsid w:val="009A045B"/>
    <w:rsid w:val="009A0FB3"/>
    <w:rsid w:val="009A56B4"/>
    <w:rsid w:val="009B4ED9"/>
    <w:rsid w:val="009B5AAA"/>
    <w:rsid w:val="009C5BEA"/>
    <w:rsid w:val="009D502C"/>
    <w:rsid w:val="009D5AE9"/>
    <w:rsid w:val="009D6733"/>
    <w:rsid w:val="009E1319"/>
    <w:rsid w:val="009E14DC"/>
    <w:rsid w:val="009E47E1"/>
    <w:rsid w:val="009E5D7C"/>
    <w:rsid w:val="009E7771"/>
    <w:rsid w:val="009E7F25"/>
    <w:rsid w:val="009F4C80"/>
    <w:rsid w:val="00A00A39"/>
    <w:rsid w:val="00A01497"/>
    <w:rsid w:val="00A019E1"/>
    <w:rsid w:val="00A02C20"/>
    <w:rsid w:val="00A0462C"/>
    <w:rsid w:val="00A0679F"/>
    <w:rsid w:val="00A11F3B"/>
    <w:rsid w:val="00A131C0"/>
    <w:rsid w:val="00A22BE5"/>
    <w:rsid w:val="00A2620A"/>
    <w:rsid w:val="00A27E0C"/>
    <w:rsid w:val="00A300AA"/>
    <w:rsid w:val="00A34AF7"/>
    <w:rsid w:val="00A378D6"/>
    <w:rsid w:val="00A41C48"/>
    <w:rsid w:val="00A41FDC"/>
    <w:rsid w:val="00A44790"/>
    <w:rsid w:val="00A4568D"/>
    <w:rsid w:val="00A47A20"/>
    <w:rsid w:val="00A577FD"/>
    <w:rsid w:val="00A708B7"/>
    <w:rsid w:val="00A73526"/>
    <w:rsid w:val="00A91342"/>
    <w:rsid w:val="00A928E0"/>
    <w:rsid w:val="00A9512D"/>
    <w:rsid w:val="00A978B1"/>
    <w:rsid w:val="00A97F75"/>
    <w:rsid w:val="00AA2395"/>
    <w:rsid w:val="00AA3A31"/>
    <w:rsid w:val="00AA4179"/>
    <w:rsid w:val="00AA7D66"/>
    <w:rsid w:val="00AB1A56"/>
    <w:rsid w:val="00AB6737"/>
    <w:rsid w:val="00AC0876"/>
    <w:rsid w:val="00AC0F4E"/>
    <w:rsid w:val="00AC62D3"/>
    <w:rsid w:val="00AD4E59"/>
    <w:rsid w:val="00AD5F6F"/>
    <w:rsid w:val="00AD61B2"/>
    <w:rsid w:val="00AD6862"/>
    <w:rsid w:val="00AD7515"/>
    <w:rsid w:val="00AD78B9"/>
    <w:rsid w:val="00AE18C1"/>
    <w:rsid w:val="00AE3281"/>
    <w:rsid w:val="00AE3E65"/>
    <w:rsid w:val="00AF0060"/>
    <w:rsid w:val="00AF01AB"/>
    <w:rsid w:val="00AF14C7"/>
    <w:rsid w:val="00AF1A98"/>
    <w:rsid w:val="00AF3C4D"/>
    <w:rsid w:val="00AF54AA"/>
    <w:rsid w:val="00AF6244"/>
    <w:rsid w:val="00B019E5"/>
    <w:rsid w:val="00B03103"/>
    <w:rsid w:val="00B03DAC"/>
    <w:rsid w:val="00B0784A"/>
    <w:rsid w:val="00B121E0"/>
    <w:rsid w:val="00B14834"/>
    <w:rsid w:val="00B16F61"/>
    <w:rsid w:val="00B170B6"/>
    <w:rsid w:val="00B20E4B"/>
    <w:rsid w:val="00B2286A"/>
    <w:rsid w:val="00B232FE"/>
    <w:rsid w:val="00B33043"/>
    <w:rsid w:val="00B35CB9"/>
    <w:rsid w:val="00B417F5"/>
    <w:rsid w:val="00B43762"/>
    <w:rsid w:val="00B517D6"/>
    <w:rsid w:val="00B5295A"/>
    <w:rsid w:val="00B57BE5"/>
    <w:rsid w:val="00B57F43"/>
    <w:rsid w:val="00B627A2"/>
    <w:rsid w:val="00B63464"/>
    <w:rsid w:val="00B63D0B"/>
    <w:rsid w:val="00B72822"/>
    <w:rsid w:val="00B742D2"/>
    <w:rsid w:val="00B807E4"/>
    <w:rsid w:val="00B81A52"/>
    <w:rsid w:val="00B85231"/>
    <w:rsid w:val="00B929B3"/>
    <w:rsid w:val="00B93EC0"/>
    <w:rsid w:val="00B95D05"/>
    <w:rsid w:val="00B977A9"/>
    <w:rsid w:val="00BA0B2A"/>
    <w:rsid w:val="00BA23AF"/>
    <w:rsid w:val="00BA4C4A"/>
    <w:rsid w:val="00BA7749"/>
    <w:rsid w:val="00BB0EAE"/>
    <w:rsid w:val="00BB2654"/>
    <w:rsid w:val="00BD525A"/>
    <w:rsid w:val="00BD699C"/>
    <w:rsid w:val="00BE0B09"/>
    <w:rsid w:val="00BE73BD"/>
    <w:rsid w:val="00BF2A56"/>
    <w:rsid w:val="00BF6C43"/>
    <w:rsid w:val="00BF782F"/>
    <w:rsid w:val="00C009EF"/>
    <w:rsid w:val="00C01069"/>
    <w:rsid w:val="00C02930"/>
    <w:rsid w:val="00C02AA7"/>
    <w:rsid w:val="00C05FDB"/>
    <w:rsid w:val="00C12B9D"/>
    <w:rsid w:val="00C12F22"/>
    <w:rsid w:val="00C13C41"/>
    <w:rsid w:val="00C1469C"/>
    <w:rsid w:val="00C15320"/>
    <w:rsid w:val="00C17135"/>
    <w:rsid w:val="00C21E24"/>
    <w:rsid w:val="00C2316D"/>
    <w:rsid w:val="00C2321F"/>
    <w:rsid w:val="00C319DD"/>
    <w:rsid w:val="00C36551"/>
    <w:rsid w:val="00C4051D"/>
    <w:rsid w:val="00C40665"/>
    <w:rsid w:val="00C43CBD"/>
    <w:rsid w:val="00C47452"/>
    <w:rsid w:val="00C5166F"/>
    <w:rsid w:val="00C54C37"/>
    <w:rsid w:val="00C57AAA"/>
    <w:rsid w:val="00C57E7D"/>
    <w:rsid w:val="00C60C31"/>
    <w:rsid w:val="00C65A98"/>
    <w:rsid w:val="00C70B41"/>
    <w:rsid w:val="00C70C91"/>
    <w:rsid w:val="00C72751"/>
    <w:rsid w:val="00C76635"/>
    <w:rsid w:val="00C77B62"/>
    <w:rsid w:val="00C81D21"/>
    <w:rsid w:val="00C848DC"/>
    <w:rsid w:val="00C86454"/>
    <w:rsid w:val="00C910F1"/>
    <w:rsid w:val="00C91C4A"/>
    <w:rsid w:val="00CA1AEE"/>
    <w:rsid w:val="00CA2D5A"/>
    <w:rsid w:val="00CA2EA1"/>
    <w:rsid w:val="00CB1BBA"/>
    <w:rsid w:val="00CB324B"/>
    <w:rsid w:val="00CC423F"/>
    <w:rsid w:val="00CC54EC"/>
    <w:rsid w:val="00CD0687"/>
    <w:rsid w:val="00CD3BA1"/>
    <w:rsid w:val="00CD5E6D"/>
    <w:rsid w:val="00CD7E70"/>
    <w:rsid w:val="00CE2F68"/>
    <w:rsid w:val="00CE3CEA"/>
    <w:rsid w:val="00CE61F6"/>
    <w:rsid w:val="00CF4142"/>
    <w:rsid w:val="00CF56CC"/>
    <w:rsid w:val="00D03499"/>
    <w:rsid w:val="00D03DA4"/>
    <w:rsid w:val="00D05531"/>
    <w:rsid w:val="00D128FD"/>
    <w:rsid w:val="00D1347C"/>
    <w:rsid w:val="00D144A2"/>
    <w:rsid w:val="00D239F6"/>
    <w:rsid w:val="00D24CD5"/>
    <w:rsid w:val="00D250DD"/>
    <w:rsid w:val="00D25F10"/>
    <w:rsid w:val="00D2790B"/>
    <w:rsid w:val="00D3051A"/>
    <w:rsid w:val="00D31D38"/>
    <w:rsid w:val="00D340B5"/>
    <w:rsid w:val="00D35059"/>
    <w:rsid w:val="00D36961"/>
    <w:rsid w:val="00D379CD"/>
    <w:rsid w:val="00D453EB"/>
    <w:rsid w:val="00D4781C"/>
    <w:rsid w:val="00D53541"/>
    <w:rsid w:val="00D5383F"/>
    <w:rsid w:val="00D55891"/>
    <w:rsid w:val="00D620FB"/>
    <w:rsid w:val="00D638F0"/>
    <w:rsid w:val="00D673AA"/>
    <w:rsid w:val="00D67BD6"/>
    <w:rsid w:val="00D70173"/>
    <w:rsid w:val="00D70A4F"/>
    <w:rsid w:val="00D7367E"/>
    <w:rsid w:val="00D7462F"/>
    <w:rsid w:val="00D77932"/>
    <w:rsid w:val="00D8091B"/>
    <w:rsid w:val="00D81E89"/>
    <w:rsid w:val="00D82130"/>
    <w:rsid w:val="00D840D3"/>
    <w:rsid w:val="00D86BD3"/>
    <w:rsid w:val="00D94B05"/>
    <w:rsid w:val="00DA2999"/>
    <w:rsid w:val="00DA7B85"/>
    <w:rsid w:val="00DB14A3"/>
    <w:rsid w:val="00DB5043"/>
    <w:rsid w:val="00DC1624"/>
    <w:rsid w:val="00DC2C1E"/>
    <w:rsid w:val="00DC5320"/>
    <w:rsid w:val="00DC5533"/>
    <w:rsid w:val="00DC7889"/>
    <w:rsid w:val="00DD2A5B"/>
    <w:rsid w:val="00DD4F10"/>
    <w:rsid w:val="00DD6DB2"/>
    <w:rsid w:val="00DE35DC"/>
    <w:rsid w:val="00DE4533"/>
    <w:rsid w:val="00DE62C5"/>
    <w:rsid w:val="00DE6A80"/>
    <w:rsid w:val="00DF49BC"/>
    <w:rsid w:val="00DF5953"/>
    <w:rsid w:val="00DF7114"/>
    <w:rsid w:val="00E015BA"/>
    <w:rsid w:val="00E03BF1"/>
    <w:rsid w:val="00E10EC1"/>
    <w:rsid w:val="00E11F29"/>
    <w:rsid w:val="00E147C5"/>
    <w:rsid w:val="00E15C77"/>
    <w:rsid w:val="00E22378"/>
    <w:rsid w:val="00E23194"/>
    <w:rsid w:val="00E23729"/>
    <w:rsid w:val="00E2617C"/>
    <w:rsid w:val="00E26E16"/>
    <w:rsid w:val="00E317B5"/>
    <w:rsid w:val="00E35A6A"/>
    <w:rsid w:val="00E52685"/>
    <w:rsid w:val="00E546EE"/>
    <w:rsid w:val="00E57C44"/>
    <w:rsid w:val="00E61B4A"/>
    <w:rsid w:val="00E62D6F"/>
    <w:rsid w:val="00E67D0B"/>
    <w:rsid w:val="00E71CAB"/>
    <w:rsid w:val="00E72357"/>
    <w:rsid w:val="00E737AE"/>
    <w:rsid w:val="00E83ADD"/>
    <w:rsid w:val="00E84624"/>
    <w:rsid w:val="00E857AA"/>
    <w:rsid w:val="00E85C44"/>
    <w:rsid w:val="00E92DF6"/>
    <w:rsid w:val="00EA2577"/>
    <w:rsid w:val="00EA3F88"/>
    <w:rsid w:val="00EA59D4"/>
    <w:rsid w:val="00EB2D74"/>
    <w:rsid w:val="00EB3631"/>
    <w:rsid w:val="00EB7239"/>
    <w:rsid w:val="00EC50D9"/>
    <w:rsid w:val="00ED023E"/>
    <w:rsid w:val="00ED1058"/>
    <w:rsid w:val="00ED13BE"/>
    <w:rsid w:val="00ED47F7"/>
    <w:rsid w:val="00ED4DF3"/>
    <w:rsid w:val="00ED6219"/>
    <w:rsid w:val="00ED6821"/>
    <w:rsid w:val="00ED7D78"/>
    <w:rsid w:val="00EE3801"/>
    <w:rsid w:val="00EE3E35"/>
    <w:rsid w:val="00EE4F0F"/>
    <w:rsid w:val="00EE768C"/>
    <w:rsid w:val="00EF1268"/>
    <w:rsid w:val="00EF12F1"/>
    <w:rsid w:val="00F02E77"/>
    <w:rsid w:val="00F0381D"/>
    <w:rsid w:val="00F05974"/>
    <w:rsid w:val="00F06C8C"/>
    <w:rsid w:val="00F06DEB"/>
    <w:rsid w:val="00F148F3"/>
    <w:rsid w:val="00F15B40"/>
    <w:rsid w:val="00F15E06"/>
    <w:rsid w:val="00F2129E"/>
    <w:rsid w:val="00F22BA4"/>
    <w:rsid w:val="00F233A0"/>
    <w:rsid w:val="00F267EB"/>
    <w:rsid w:val="00F30DB5"/>
    <w:rsid w:val="00F359B5"/>
    <w:rsid w:val="00F373DD"/>
    <w:rsid w:val="00F37936"/>
    <w:rsid w:val="00F44303"/>
    <w:rsid w:val="00F456DC"/>
    <w:rsid w:val="00F45A1A"/>
    <w:rsid w:val="00F51CF4"/>
    <w:rsid w:val="00F54F52"/>
    <w:rsid w:val="00F57316"/>
    <w:rsid w:val="00F6360D"/>
    <w:rsid w:val="00F6636E"/>
    <w:rsid w:val="00F7175E"/>
    <w:rsid w:val="00F72727"/>
    <w:rsid w:val="00F74F2A"/>
    <w:rsid w:val="00F767A8"/>
    <w:rsid w:val="00F7796B"/>
    <w:rsid w:val="00F80FB1"/>
    <w:rsid w:val="00F84C61"/>
    <w:rsid w:val="00F85778"/>
    <w:rsid w:val="00F95E61"/>
    <w:rsid w:val="00F961CA"/>
    <w:rsid w:val="00F96878"/>
    <w:rsid w:val="00F96C1A"/>
    <w:rsid w:val="00FA02B3"/>
    <w:rsid w:val="00FA1A4E"/>
    <w:rsid w:val="00FA4F11"/>
    <w:rsid w:val="00FA6726"/>
    <w:rsid w:val="00FA7143"/>
    <w:rsid w:val="00FA721A"/>
    <w:rsid w:val="00FA7421"/>
    <w:rsid w:val="00FB0F4F"/>
    <w:rsid w:val="00FB4202"/>
    <w:rsid w:val="00FB4BD7"/>
    <w:rsid w:val="00FB4FCC"/>
    <w:rsid w:val="00FB57AF"/>
    <w:rsid w:val="00FB607A"/>
    <w:rsid w:val="00FB6301"/>
    <w:rsid w:val="00FB6D5C"/>
    <w:rsid w:val="00FC5FC7"/>
    <w:rsid w:val="00FC5FCB"/>
    <w:rsid w:val="00FD71F2"/>
    <w:rsid w:val="00FD7225"/>
    <w:rsid w:val="00FE0252"/>
    <w:rsid w:val="00FE0884"/>
    <w:rsid w:val="00FE216A"/>
    <w:rsid w:val="00FE4A97"/>
    <w:rsid w:val="00FE67F3"/>
    <w:rsid w:val="00FF6CE4"/>
    <w:rsid w:val="0AC97C8F"/>
    <w:rsid w:val="118FAB95"/>
    <w:rsid w:val="153E052F"/>
    <w:rsid w:val="17B76713"/>
    <w:rsid w:val="1D478A11"/>
    <w:rsid w:val="1E53A877"/>
    <w:rsid w:val="273482AD"/>
    <w:rsid w:val="2F4F7630"/>
    <w:rsid w:val="308C6BB6"/>
    <w:rsid w:val="33A6237A"/>
    <w:rsid w:val="3584DFF8"/>
    <w:rsid w:val="3B057B99"/>
    <w:rsid w:val="41F128EC"/>
    <w:rsid w:val="448BD5A0"/>
    <w:rsid w:val="44C792FA"/>
    <w:rsid w:val="453EBFA6"/>
    <w:rsid w:val="454E41B1"/>
    <w:rsid w:val="4C24EA03"/>
    <w:rsid w:val="4D1521A4"/>
    <w:rsid w:val="4FCF3351"/>
    <w:rsid w:val="4FD9AFD8"/>
    <w:rsid w:val="53AEFE2A"/>
    <w:rsid w:val="5BD6F306"/>
    <w:rsid w:val="5DC96131"/>
    <w:rsid w:val="62A68F9C"/>
    <w:rsid w:val="64EB9F66"/>
    <w:rsid w:val="6C401F3D"/>
    <w:rsid w:val="6C4E8092"/>
    <w:rsid w:val="7070D3ED"/>
    <w:rsid w:val="7236B53D"/>
    <w:rsid w:val="78DBF037"/>
    <w:rsid w:val="7DB73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2BABF"/>
  <w15:chartTrackingRefBased/>
  <w15:docId w15:val="{BD3FD0AE-1D78-4363-8018-69042154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25E"/>
    <w:rPr>
      <w:rFonts w:ascii="Times New Roman" w:hAnsi="Times New Roman"/>
      <w:sz w:val="24"/>
    </w:rPr>
  </w:style>
  <w:style w:type="paragraph" w:styleId="Heading1">
    <w:name w:val="heading 1"/>
    <w:basedOn w:val="Normal"/>
    <w:link w:val="Heading1Char"/>
    <w:uiPriority w:val="9"/>
    <w:qFormat/>
    <w:rsid w:val="005B214B"/>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9B4E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E131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884"/>
  </w:style>
  <w:style w:type="paragraph" w:styleId="Footer">
    <w:name w:val="footer"/>
    <w:basedOn w:val="Normal"/>
    <w:link w:val="FooterChar"/>
    <w:uiPriority w:val="99"/>
    <w:unhideWhenUsed/>
    <w:rsid w:val="00FE0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884"/>
  </w:style>
  <w:style w:type="character" w:customStyle="1" w:styleId="ui-provider">
    <w:name w:val="ui-provider"/>
    <w:basedOn w:val="DefaultParagraphFont"/>
    <w:rsid w:val="006D54CF"/>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B5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D8F"/>
    <w:rPr>
      <w:rFonts w:ascii="Segoe UI" w:hAnsi="Segoe UI" w:cs="Segoe UI"/>
      <w:sz w:val="18"/>
      <w:szCs w:val="18"/>
    </w:rPr>
  </w:style>
  <w:style w:type="paragraph" w:styleId="FootnoteText">
    <w:name w:val="footnote text"/>
    <w:basedOn w:val="Normal"/>
    <w:link w:val="FootnoteTextChar"/>
    <w:uiPriority w:val="99"/>
    <w:semiHidden/>
    <w:unhideWhenUsed/>
    <w:rsid w:val="00C70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C91"/>
    <w:rPr>
      <w:sz w:val="20"/>
      <w:szCs w:val="20"/>
    </w:rPr>
  </w:style>
  <w:style w:type="character" w:styleId="FootnoteReference">
    <w:name w:val="footnote reference"/>
    <w:basedOn w:val="DefaultParagraphFont"/>
    <w:uiPriority w:val="99"/>
    <w:semiHidden/>
    <w:unhideWhenUsed/>
    <w:rsid w:val="00C70C91"/>
    <w:rPr>
      <w:vertAlign w:val="superscript"/>
    </w:rPr>
  </w:style>
  <w:style w:type="paragraph" w:styleId="Caption">
    <w:name w:val="caption"/>
    <w:basedOn w:val="Normal"/>
    <w:next w:val="Normal"/>
    <w:uiPriority w:val="35"/>
    <w:unhideWhenUsed/>
    <w:qFormat/>
    <w:rsid w:val="00EF1268"/>
    <w:pPr>
      <w:spacing w:after="200" w:line="240" w:lineRule="auto"/>
    </w:pPr>
    <w:rPr>
      <w:i/>
      <w:iCs/>
      <w:color w:val="44546A" w:themeColor="text2"/>
      <w:szCs w:val="18"/>
    </w:rPr>
  </w:style>
  <w:style w:type="paragraph" w:styleId="ListParagraph">
    <w:name w:val="List Paragraph"/>
    <w:basedOn w:val="Normal"/>
    <w:uiPriority w:val="34"/>
    <w:qFormat/>
    <w:rsid w:val="00B929B3"/>
    <w:pPr>
      <w:ind w:left="720"/>
      <w:contextualSpacing/>
    </w:pPr>
  </w:style>
  <w:style w:type="table" w:styleId="TableGrid">
    <w:name w:val="Table Grid"/>
    <w:basedOn w:val="TableNormal"/>
    <w:uiPriority w:val="39"/>
    <w:rsid w:val="00A9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85231"/>
    <w:rPr>
      <w:b/>
      <w:bCs/>
    </w:rPr>
  </w:style>
  <w:style w:type="character" w:customStyle="1" w:styleId="CommentSubjectChar">
    <w:name w:val="Comment Subject Char"/>
    <w:basedOn w:val="CommentTextChar"/>
    <w:link w:val="CommentSubject"/>
    <w:uiPriority w:val="99"/>
    <w:semiHidden/>
    <w:rsid w:val="00B85231"/>
    <w:rPr>
      <w:b/>
      <w:bCs/>
      <w:sz w:val="20"/>
      <w:szCs w:val="20"/>
    </w:rPr>
  </w:style>
  <w:style w:type="character" w:styleId="Hyperlink">
    <w:name w:val="Hyperlink"/>
    <w:basedOn w:val="DefaultParagraphFont"/>
    <w:uiPriority w:val="99"/>
    <w:unhideWhenUsed/>
    <w:rsid w:val="00027575"/>
    <w:rPr>
      <w:color w:val="0563C1" w:themeColor="hyperlink"/>
      <w:u w:val="single"/>
    </w:rPr>
  </w:style>
  <w:style w:type="paragraph" w:styleId="Revision">
    <w:name w:val="Revision"/>
    <w:hidden/>
    <w:uiPriority w:val="99"/>
    <w:semiHidden/>
    <w:rsid w:val="00AC62D3"/>
    <w:pPr>
      <w:spacing w:after="0" w:line="240" w:lineRule="auto"/>
    </w:pPr>
  </w:style>
  <w:style w:type="character" w:customStyle="1" w:styleId="Heading1Char">
    <w:name w:val="Heading 1 Char"/>
    <w:basedOn w:val="DefaultParagraphFont"/>
    <w:link w:val="Heading1"/>
    <w:uiPriority w:val="9"/>
    <w:rsid w:val="005B214B"/>
    <w:rPr>
      <w:rFonts w:ascii="Times New Roman" w:eastAsia="Times New Roman" w:hAnsi="Times New Roman" w:cs="Times New Roman"/>
      <w:b/>
      <w:bCs/>
      <w:kern w:val="36"/>
      <w:sz w:val="48"/>
      <w:szCs w:val="48"/>
      <w:lang w:eastAsia="en-GB"/>
    </w:rPr>
  </w:style>
  <w:style w:type="paragraph" w:customStyle="1" w:styleId="svelte-5o33a9">
    <w:name w:val="svelte-5o33a9"/>
    <w:basedOn w:val="Normal"/>
    <w:rsid w:val="005B214B"/>
    <w:pPr>
      <w:spacing w:before="100" w:beforeAutospacing="1" w:after="100" w:afterAutospacing="1" w:line="240" w:lineRule="auto"/>
    </w:pPr>
    <w:rPr>
      <w:rFonts w:eastAsia="Times New Roman" w:cs="Times New Roman"/>
      <w:szCs w:val="24"/>
      <w:lang w:eastAsia="en-GB"/>
    </w:rPr>
  </w:style>
  <w:style w:type="character" w:customStyle="1" w:styleId="Heading3Char">
    <w:name w:val="Heading 3 Char"/>
    <w:basedOn w:val="DefaultParagraphFont"/>
    <w:link w:val="Heading3"/>
    <w:uiPriority w:val="9"/>
    <w:semiHidden/>
    <w:rsid w:val="009E131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D1347C"/>
    <w:rPr>
      <w:color w:val="954F72" w:themeColor="followedHyperlink"/>
      <w:u w:val="single"/>
    </w:rPr>
  </w:style>
  <w:style w:type="paragraph" w:styleId="NormalWeb">
    <w:name w:val="Normal (Web)"/>
    <w:basedOn w:val="Normal"/>
    <w:uiPriority w:val="99"/>
    <w:unhideWhenUsed/>
    <w:rsid w:val="006338D4"/>
    <w:pPr>
      <w:spacing w:before="100" w:beforeAutospacing="1" w:after="100" w:afterAutospacing="1" w:line="240" w:lineRule="auto"/>
    </w:pPr>
    <w:rPr>
      <w:rFonts w:eastAsia="Times New Roman" w:cs="Times New Roman"/>
      <w:szCs w:val="24"/>
      <w:lang w:eastAsia="en-GB"/>
    </w:rPr>
  </w:style>
  <w:style w:type="character" w:styleId="Emphasis">
    <w:name w:val="Emphasis"/>
    <w:basedOn w:val="DefaultParagraphFont"/>
    <w:uiPriority w:val="20"/>
    <w:qFormat/>
    <w:rsid w:val="006338D4"/>
    <w:rPr>
      <w:i/>
      <w:iCs/>
    </w:rPr>
  </w:style>
  <w:style w:type="character" w:customStyle="1" w:styleId="UnresolvedMention1">
    <w:name w:val="Unresolved Mention1"/>
    <w:basedOn w:val="DefaultParagraphFont"/>
    <w:uiPriority w:val="99"/>
    <w:semiHidden/>
    <w:unhideWhenUsed/>
    <w:rsid w:val="00702E23"/>
    <w:rPr>
      <w:color w:val="605E5C"/>
      <w:shd w:val="clear" w:color="auto" w:fill="E1DFDD"/>
    </w:rPr>
  </w:style>
  <w:style w:type="character" w:styleId="Strong">
    <w:name w:val="Strong"/>
    <w:basedOn w:val="DefaultParagraphFont"/>
    <w:uiPriority w:val="22"/>
    <w:qFormat/>
    <w:rsid w:val="005E71A4"/>
    <w:rPr>
      <w:b/>
      <w:bCs/>
    </w:rPr>
  </w:style>
  <w:style w:type="paragraph" w:customStyle="1" w:styleId="pf0">
    <w:name w:val="pf0"/>
    <w:basedOn w:val="Normal"/>
    <w:rsid w:val="00F456DC"/>
    <w:pPr>
      <w:spacing w:before="100" w:beforeAutospacing="1" w:after="100" w:afterAutospacing="1" w:line="240" w:lineRule="auto"/>
    </w:pPr>
    <w:rPr>
      <w:rFonts w:eastAsia="Times New Roman" w:cs="Times New Roman"/>
      <w:szCs w:val="24"/>
      <w:lang w:val="it-IT" w:eastAsia="it-IT"/>
    </w:rPr>
  </w:style>
  <w:style w:type="character" w:customStyle="1" w:styleId="cf01">
    <w:name w:val="cf01"/>
    <w:basedOn w:val="DefaultParagraphFont"/>
    <w:rsid w:val="00F456DC"/>
    <w:rPr>
      <w:rFonts w:ascii="Segoe UI" w:hAnsi="Segoe UI" w:cs="Segoe UI" w:hint="default"/>
      <w:sz w:val="18"/>
      <w:szCs w:val="18"/>
    </w:rPr>
  </w:style>
  <w:style w:type="character" w:customStyle="1" w:styleId="cf11">
    <w:name w:val="cf11"/>
    <w:basedOn w:val="DefaultParagraphFont"/>
    <w:rsid w:val="00F456DC"/>
    <w:rPr>
      <w:rFonts w:ascii="Segoe UI" w:hAnsi="Segoe UI" w:cs="Segoe UI" w:hint="default"/>
      <w:i/>
      <w:iCs/>
      <w:sz w:val="18"/>
      <w:szCs w:val="18"/>
    </w:rPr>
  </w:style>
  <w:style w:type="paragraph" w:customStyle="1" w:styleId="Default">
    <w:name w:val="Default"/>
    <w:rsid w:val="000509F6"/>
    <w:pPr>
      <w:autoSpaceDE w:val="0"/>
      <w:autoSpaceDN w:val="0"/>
      <w:adjustRightInd w:val="0"/>
      <w:spacing w:after="0" w:line="240" w:lineRule="auto"/>
    </w:pPr>
    <w:rPr>
      <w:rFonts w:ascii="Gqirockvoohlnqszjocenjxixin" w:hAnsi="Gqirockvoohlnqszjocenjxixin" w:cs="Gqirockvoohlnqszjocenjxixin"/>
      <w:color w:val="000000"/>
      <w:sz w:val="24"/>
      <w:szCs w:val="24"/>
    </w:rPr>
  </w:style>
  <w:style w:type="character" w:customStyle="1" w:styleId="contributors">
    <w:name w:val="contributors"/>
    <w:basedOn w:val="DefaultParagraphFont"/>
    <w:rsid w:val="00084531"/>
  </w:style>
  <w:style w:type="character" w:customStyle="1" w:styleId="maintitle">
    <w:name w:val="maintitle"/>
    <w:basedOn w:val="DefaultParagraphFont"/>
    <w:rsid w:val="00084531"/>
  </w:style>
  <w:style w:type="character" w:customStyle="1" w:styleId="publisher-location">
    <w:name w:val="publisher-location"/>
    <w:basedOn w:val="DefaultParagraphFont"/>
    <w:rsid w:val="00084531"/>
  </w:style>
  <w:style w:type="character" w:customStyle="1" w:styleId="print-publication-date">
    <w:name w:val="print-publication-date"/>
    <w:basedOn w:val="DefaultParagraphFont"/>
    <w:rsid w:val="00084531"/>
  </w:style>
  <w:style w:type="character" w:customStyle="1" w:styleId="online-edition">
    <w:name w:val="online-edition"/>
    <w:basedOn w:val="DefaultParagraphFont"/>
    <w:rsid w:val="00084531"/>
  </w:style>
  <w:style w:type="character" w:customStyle="1" w:styleId="containing-site">
    <w:name w:val="containing-site"/>
    <w:basedOn w:val="DefaultParagraphFont"/>
    <w:rsid w:val="00084531"/>
  </w:style>
  <w:style w:type="character" w:customStyle="1" w:styleId="online-publication-date">
    <w:name w:val="online-publication-date"/>
    <w:basedOn w:val="DefaultParagraphFont"/>
    <w:rsid w:val="00084531"/>
  </w:style>
  <w:style w:type="character" w:customStyle="1" w:styleId="accessed-date">
    <w:name w:val="accessed-date"/>
    <w:basedOn w:val="DefaultParagraphFont"/>
    <w:rsid w:val="00084531"/>
  </w:style>
  <w:style w:type="character" w:customStyle="1" w:styleId="UnresolvedMention2">
    <w:name w:val="Unresolved Mention2"/>
    <w:basedOn w:val="DefaultParagraphFont"/>
    <w:uiPriority w:val="99"/>
    <w:semiHidden/>
    <w:unhideWhenUsed/>
    <w:rsid w:val="00084531"/>
    <w:rPr>
      <w:color w:val="605E5C"/>
      <w:shd w:val="clear" w:color="auto" w:fill="E1DFDD"/>
    </w:rPr>
  </w:style>
  <w:style w:type="character" w:customStyle="1" w:styleId="Heading2Char">
    <w:name w:val="Heading 2 Char"/>
    <w:basedOn w:val="DefaultParagraphFont"/>
    <w:link w:val="Heading2"/>
    <w:uiPriority w:val="9"/>
    <w:rsid w:val="009B4ED9"/>
    <w:rPr>
      <w:rFonts w:asciiTheme="majorHAnsi" w:eastAsiaTheme="majorEastAsia" w:hAnsiTheme="majorHAnsi" w:cstheme="majorBidi"/>
      <w:color w:val="2F5496" w:themeColor="accent1" w:themeShade="BF"/>
      <w:sz w:val="26"/>
      <w:szCs w:val="26"/>
    </w:rPr>
  </w:style>
  <w:style w:type="character" w:customStyle="1" w:styleId="UnresolvedMention3">
    <w:name w:val="Unresolved Mention3"/>
    <w:basedOn w:val="DefaultParagraphFont"/>
    <w:uiPriority w:val="99"/>
    <w:semiHidden/>
    <w:unhideWhenUsed/>
    <w:rsid w:val="009E7771"/>
    <w:rPr>
      <w:color w:val="605E5C"/>
      <w:shd w:val="clear" w:color="auto" w:fill="E1DFDD"/>
    </w:rPr>
  </w:style>
  <w:style w:type="character" w:styleId="PlaceholderText">
    <w:name w:val="Placeholder Text"/>
    <w:basedOn w:val="DefaultParagraphFont"/>
    <w:uiPriority w:val="99"/>
    <w:semiHidden/>
    <w:rsid w:val="0006425E"/>
    <w:rPr>
      <w:color w:val="808080"/>
    </w:rPr>
  </w:style>
  <w:style w:type="character" w:customStyle="1" w:styleId="accordion-tabbedtab-mobile">
    <w:name w:val="accordion-tabbed__tab-mobile"/>
    <w:basedOn w:val="DefaultParagraphFont"/>
    <w:rsid w:val="00120224"/>
  </w:style>
  <w:style w:type="character" w:customStyle="1" w:styleId="articletitle">
    <w:name w:val="articletitle"/>
    <w:basedOn w:val="DefaultParagraphFont"/>
    <w:rsid w:val="00120224"/>
  </w:style>
  <w:style w:type="character" w:customStyle="1" w:styleId="vol">
    <w:name w:val="vol"/>
    <w:basedOn w:val="DefaultParagraphFont"/>
    <w:rsid w:val="00120224"/>
  </w:style>
  <w:style w:type="character" w:customStyle="1" w:styleId="citedissue">
    <w:name w:val="citedissue"/>
    <w:basedOn w:val="DefaultParagraphFont"/>
    <w:rsid w:val="00120224"/>
  </w:style>
  <w:style w:type="character" w:customStyle="1" w:styleId="pagefirst">
    <w:name w:val="pagefirst"/>
    <w:basedOn w:val="DefaultParagraphFont"/>
    <w:rsid w:val="00120224"/>
  </w:style>
  <w:style w:type="character" w:customStyle="1" w:styleId="pagelast">
    <w:name w:val="pagelast"/>
    <w:basedOn w:val="DefaultParagraphFont"/>
    <w:rsid w:val="00120224"/>
  </w:style>
  <w:style w:type="character" w:customStyle="1" w:styleId="UnresolvedMention4">
    <w:name w:val="Unresolved Mention4"/>
    <w:basedOn w:val="DefaultParagraphFont"/>
    <w:uiPriority w:val="99"/>
    <w:semiHidden/>
    <w:unhideWhenUsed/>
    <w:rsid w:val="00120224"/>
    <w:rPr>
      <w:color w:val="605E5C"/>
      <w:shd w:val="clear" w:color="auto" w:fill="E1DFDD"/>
    </w:rPr>
  </w:style>
  <w:style w:type="character" w:customStyle="1" w:styleId="normaltextrun">
    <w:name w:val="normaltextrun"/>
    <w:basedOn w:val="DefaultParagraphFont"/>
    <w:rsid w:val="00CE61F6"/>
  </w:style>
  <w:style w:type="character" w:customStyle="1" w:styleId="eop">
    <w:name w:val="eop"/>
    <w:basedOn w:val="DefaultParagraphFont"/>
    <w:rsid w:val="00CE6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938">
      <w:bodyDiv w:val="1"/>
      <w:marLeft w:val="0"/>
      <w:marRight w:val="0"/>
      <w:marTop w:val="0"/>
      <w:marBottom w:val="0"/>
      <w:divBdr>
        <w:top w:val="none" w:sz="0" w:space="0" w:color="auto"/>
        <w:left w:val="none" w:sz="0" w:space="0" w:color="auto"/>
        <w:bottom w:val="none" w:sz="0" w:space="0" w:color="auto"/>
        <w:right w:val="none" w:sz="0" w:space="0" w:color="auto"/>
      </w:divBdr>
    </w:div>
    <w:div w:id="71659800">
      <w:bodyDiv w:val="1"/>
      <w:marLeft w:val="0"/>
      <w:marRight w:val="0"/>
      <w:marTop w:val="0"/>
      <w:marBottom w:val="0"/>
      <w:divBdr>
        <w:top w:val="none" w:sz="0" w:space="0" w:color="auto"/>
        <w:left w:val="none" w:sz="0" w:space="0" w:color="auto"/>
        <w:bottom w:val="none" w:sz="0" w:space="0" w:color="auto"/>
        <w:right w:val="none" w:sz="0" w:space="0" w:color="auto"/>
      </w:divBdr>
    </w:div>
    <w:div w:id="275794648">
      <w:bodyDiv w:val="1"/>
      <w:marLeft w:val="0"/>
      <w:marRight w:val="0"/>
      <w:marTop w:val="0"/>
      <w:marBottom w:val="0"/>
      <w:divBdr>
        <w:top w:val="none" w:sz="0" w:space="0" w:color="auto"/>
        <w:left w:val="none" w:sz="0" w:space="0" w:color="auto"/>
        <w:bottom w:val="none" w:sz="0" w:space="0" w:color="auto"/>
        <w:right w:val="none" w:sz="0" w:space="0" w:color="auto"/>
      </w:divBdr>
    </w:div>
    <w:div w:id="310722218">
      <w:bodyDiv w:val="1"/>
      <w:marLeft w:val="0"/>
      <w:marRight w:val="0"/>
      <w:marTop w:val="0"/>
      <w:marBottom w:val="0"/>
      <w:divBdr>
        <w:top w:val="none" w:sz="0" w:space="0" w:color="auto"/>
        <w:left w:val="none" w:sz="0" w:space="0" w:color="auto"/>
        <w:bottom w:val="none" w:sz="0" w:space="0" w:color="auto"/>
        <w:right w:val="none" w:sz="0" w:space="0" w:color="auto"/>
      </w:divBdr>
    </w:div>
    <w:div w:id="377777314">
      <w:bodyDiv w:val="1"/>
      <w:marLeft w:val="0"/>
      <w:marRight w:val="0"/>
      <w:marTop w:val="0"/>
      <w:marBottom w:val="0"/>
      <w:divBdr>
        <w:top w:val="none" w:sz="0" w:space="0" w:color="auto"/>
        <w:left w:val="none" w:sz="0" w:space="0" w:color="auto"/>
        <w:bottom w:val="none" w:sz="0" w:space="0" w:color="auto"/>
        <w:right w:val="none" w:sz="0" w:space="0" w:color="auto"/>
      </w:divBdr>
    </w:div>
    <w:div w:id="443767868">
      <w:bodyDiv w:val="1"/>
      <w:marLeft w:val="0"/>
      <w:marRight w:val="0"/>
      <w:marTop w:val="0"/>
      <w:marBottom w:val="0"/>
      <w:divBdr>
        <w:top w:val="none" w:sz="0" w:space="0" w:color="auto"/>
        <w:left w:val="none" w:sz="0" w:space="0" w:color="auto"/>
        <w:bottom w:val="none" w:sz="0" w:space="0" w:color="auto"/>
        <w:right w:val="none" w:sz="0" w:space="0" w:color="auto"/>
      </w:divBdr>
    </w:div>
    <w:div w:id="472481503">
      <w:bodyDiv w:val="1"/>
      <w:marLeft w:val="0"/>
      <w:marRight w:val="0"/>
      <w:marTop w:val="0"/>
      <w:marBottom w:val="0"/>
      <w:divBdr>
        <w:top w:val="none" w:sz="0" w:space="0" w:color="auto"/>
        <w:left w:val="none" w:sz="0" w:space="0" w:color="auto"/>
        <w:bottom w:val="none" w:sz="0" w:space="0" w:color="auto"/>
        <w:right w:val="none" w:sz="0" w:space="0" w:color="auto"/>
      </w:divBdr>
    </w:div>
    <w:div w:id="480658771">
      <w:bodyDiv w:val="1"/>
      <w:marLeft w:val="0"/>
      <w:marRight w:val="0"/>
      <w:marTop w:val="0"/>
      <w:marBottom w:val="0"/>
      <w:divBdr>
        <w:top w:val="none" w:sz="0" w:space="0" w:color="auto"/>
        <w:left w:val="none" w:sz="0" w:space="0" w:color="auto"/>
        <w:bottom w:val="none" w:sz="0" w:space="0" w:color="auto"/>
        <w:right w:val="none" w:sz="0" w:space="0" w:color="auto"/>
      </w:divBdr>
    </w:div>
    <w:div w:id="610089622">
      <w:bodyDiv w:val="1"/>
      <w:marLeft w:val="0"/>
      <w:marRight w:val="0"/>
      <w:marTop w:val="0"/>
      <w:marBottom w:val="0"/>
      <w:divBdr>
        <w:top w:val="none" w:sz="0" w:space="0" w:color="auto"/>
        <w:left w:val="none" w:sz="0" w:space="0" w:color="auto"/>
        <w:bottom w:val="none" w:sz="0" w:space="0" w:color="auto"/>
        <w:right w:val="none" w:sz="0" w:space="0" w:color="auto"/>
      </w:divBdr>
    </w:div>
    <w:div w:id="644772539">
      <w:bodyDiv w:val="1"/>
      <w:marLeft w:val="0"/>
      <w:marRight w:val="0"/>
      <w:marTop w:val="0"/>
      <w:marBottom w:val="0"/>
      <w:divBdr>
        <w:top w:val="none" w:sz="0" w:space="0" w:color="auto"/>
        <w:left w:val="none" w:sz="0" w:space="0" w:color="auto"/>
        <w:bottom w:val="none" w:sz="0" w:space="0" w:color="auto"/>
        <w:right w:val="none" w:sz="0" w:space="0" w:color="auto"/>
      </w:divBdr>
    </w:div>
    <w:div w:id="848370805">
      <w:bodyDiv w:val="1"/>
      <w:marLeft w:val="0"/>
      <w:marRight w:val="0"/>
      <w:marTop w:val="0"/>
      <w:marBottom w:val="0"/>
      <w:divBdr>
        <w:top w:val="none" w:sz="0" w:space="0" w:color="auto"/>
        <w:left w:val="none" w:sz="0" w:space="0" w:color="auto"/>
        <w:bottom w:val="none" w:sz="0" w:space="0" w:color="auto"/>
        <w:right w:val="none" w:sz="0" w:space="0" w:color="auto"/>
      </w:divBdr>
    </w:div>
    <w:div w:id="914556968">
      <w:bodyDiv w:val="1"/>
      <w:marLeft w:val="0"/>
      <w:marRight w:val="0"/>
      <w:marTop w:val="0"/>
      <w:marBottom w:val="0"/>
      <w:divBdr>
        <w:top w:val="none" w:sz="0" w:space="0" w:color="auto"/>
        <w:left w:val="none" w:sz="0" w:space="0" w:color="auto"/>
        <w:bottom w:val="none" w:sz="0" w:space="0" w:color="auto"/>
        <w:right w:val="none" w:sz="0" w:space="0" w:color="auto"/>
      </w:divBdr>
    </w:div>
    <w:div w:id="949320447">
      <w:bodyDiv w:val="1"/>
      <w:marLeft w:val="0"/>
      <w:marRight w:val="0"/>
      <w:marTop w:val="0"/>
      <w:marBottom w:val="0"/>
      <w:divBdr>
        <w:top w:val="none" w:sz="0" w:space="0" w:color="auto"/>
        <w:left w:val="none" w:sz="0" w:space="0" w:color="auto"/>
        <w:bottom w:val="none" w:sz="0" w:space="0" w:color="auto"/>
        <w:right w:val="none" w:sz="0" w:space="0" w:color="auto"/>
      </w:divBdr>
    </w:div>
    <w:div w:id="1163281441">
      <w:bodyDiv w:val="1"/>
      <w:marLeft w:val="0"/>
      <w:marRight w:val="0"/>
      <w:marTop w:val="0"/>
      <w:marBottom w:val="0"/>
      <w:divBdr>
        <w:top w:val="none" w:sz="0" w:space="0" w:color="auto"/>
        <w:left w:val="none" w:sz="0" w:space="0" w:color="auto"/>
        <w:bottom w:val="none" w:sz="0" w:space="0" w:color="auto"/>
        <w:right w:val="none" w:sz="0" w:space="0" w:color="auto"/>
      </w:divBdr>
    </w:div>
    <w:div w:id="1260797687">
      <w:bodyDiv w:val="1"/>
      <w:marLeft w:val="0"/>
      <w:marRight w:val="0"/>
      <w:marTop w:val="0"/>
      <w:marBottom w:val="0"/>
      <w:divBdr>
        <w:top w:val="none" w:sz="0" w:space="0" w:color="auto"/>
        <w:left w:val="none" w:sz="0" w:space="0" w:color="auto"/>
        <w:bottom w:val="none" w:sz="0" w:space="0" w:color="auto"/>
        <w:right w:val="none" w:sz="0" w:space="0" w:color="auto"/>
      </w:divBdr>
    </w:div>
    <w:div w:id="1272974407">
      <w:bodyDiv w:val="1"/>
      <w:marLeft w:val="0"/>
      <w:marRight w:val="0"/>
      <w:marTop w:val="0"/>
      <w:marBottom w:val="0"/>
      <w:divBdr>
        <w:top w:val="none" w:sz="0" w:space="0" w:color="auto"/>
        <w:left w:val="none" w:sz="0" w:space="0" w:color="auto"/>
        <w:bottom w:val="none" w:sz="0" w:space="0" w:color="auto"/>
        <w:right w:val="none" w:sz="0" w:space="0" w:color="auto"/>
      </w:divBdr>
    </w:div>
    <w:div w:id="1426266500">
      <w:bodyDiv w:val="1"/>
      <w:marLeft w:val="0"/>
      <w:marRight w:val="0"/>
      <w:marTop w:val="0"/>
      <w:marBottom w:val="0"/>
      <w:divBdr>
        <w:top w:val="none" w:sz="0" w:space="0" w:color="auto"/>
        <w:left w:val="none" w:sz="0" w:space="0" w:color="auto"/>
        <w:bottom w:val="none" w:sz="0" w:space="0" w:color="auto"/>
        <w:right w:val="none" w:sz="0" w:space="0" w:color="auto"/>
      </w:divBdr>
    </w:div>
    <w:div w:id="1452748944">
      <w:bodyDiv w:val="1"/>
      <w:marLeft w:val="0"/>
      <w:marRight w:val="0"/>
      <w:marTop w:val="0"/>
      <w:marBottom w:val="0"/>
      <w:divBdr>
        <w:top w:val="none" w:sz="0" w:space="0" w:color="auto"/>
        <w:left w:val="none" w:sz="0" w:space="0" w:color="auto"/>
        <w:bottom w:val="none" w:sz="0" w:space="0" w:color="auto"/>
        <w:right w:val="none" w:sz="0" w:space="0" w:color="auto"/>
      </w:divBdr>
    </w:div>
    <w:div w:id="1486438320">
      <w:bodyDiv w:val="1"/>
      <w:marLeft w:val="0"/>
      <w:marRight w:val="0"/>
      <w:marTop w:val="0"/>
      <w:marBottom w:val="0"/>
      <w:divBdr>
        <w:top w:val="none" w:sz="0" w:space="0" w:color="auto"/>
        <w:left w:val="none" w:sz="0" w:space="0" w:color="auto"/>
        <w:bottom w:val="none" w:sz="0" w:space="0" w:color="auto"/>
        <w:right w:val="none" w:sz="0" w:space="0" w:color="auto"/>
      </w:divBdr>
    </w:div>
    <w:div w:id="1558317013">
      <w:bodyDiv w:val="1"/>
      <w:marLeft w:val="0"/>
      <w:marRight w:val="0"/>
      <w:marTop w:val="0"/>
      <w:marBottom w:val="0"/>
      <w:divBdr>
        <w:top w:val="none" w:sz="0" w:space="0" w:color="auto"/>
        <w:left w:val="none" w:sz="0" w:space="0" w:color="auto"/>
        <w:bottom w:val="none" w:sz="0" w:space="0" w:color="auto"/>
        <w:right w:val="none" w:sz="0" w:space="0" w:color="auto"/>
      </w:divBdr>
    </w:div>
    <w:div w:id="1568879176">
      <w:bodyDiv w:val="1"/>
      <w:marLeft w:val="0"/>
      <w:marRight w:val="0"/>
      <w:marTop w:val="0"/>
      <w:marBottom w:val="0"/>
      <w:divBdr>
        <w:top w:val="none" w:sz="0" w:space="0" w:color="auto"/>
        <w:left w:val="none" w:sz="0" w:space="0" w:color="auto"/>
        <w:bottom w:val="none" w:sz="0" w:space="0" w:color="auto"/>
        <w:right w:val="none" w:sz="0" w:space="0" w:color="auto"/>
      </w:divBdr>
      <w:divsChild>
        <w:div w:id="632254045">
          <w:marLeft w:val="0"/>
          <w:marRight w:val="0"/>
          <w:marTop w:val="0"/>
          <w:marBottom w:val="0"/>
          <w:divBdr>
            <w:top w:val="none" w:sz="0" w:space="0" w:color="auto"/>
            <w:left w:val="none" w:sz="0" w:space="0" w:color="auto"/>
            <w:bottom w:val="none" w:sz="0" w:space="0" w:color="auto"/>
            <w:right w:val="none" w:sz="0" w:space="0" w:color="auto"/>
          </w:divBdr>
        </w:div>
        <w:div w:id="2139716399">
          <w:marLeft w:val="0"/>
          <w:marRight w:val="0"/>
          <w:marTop w:val="0"/>
          <w:marBottom w:val="0"/>
          <w:divBdr>
            <w:top w:val="none" w:sz="0" w:space="0" w:color="auto"/>
            <w:left w:val="none" w:sz="0" w:space="0" w:color="auto"/>
            <w:bottom w:val="none" w:sz="0" w:space="0" w:color="auto"/>
            <w:right w:val="none" w:sz="0" w:space="0" w:color="auto"/>
          </w:divBdr>
        </w:div>
      </w:divsChild>
    </w:div>
    <w:div w:id="1641837376">
      <w:bodyDiv w:val="1"/>
      <w:marLeft w:val="0"/>
      <w:marRight w:val="0"/>
      <w:marTop w:val="0"/>
      <w:marBottom w:val="0"/>
      <w:divBdr>
        <w:top w:val="none" w:sz="0" w:space="0" w:color="auto"/>
        <w:left w:val="none" w:sz="0" w:space="0" w:color="auto"/>
        <w:bottom w:val="none" w:sz="0" w:space="0" w:color="auto"/>
        <w:right w:val="none" w:sz="0" w:space="0" w:color="auto"/>
      </w:divBdr>
    </w:div>
    <w:div w:id="1847093143">
      <w:bodyDiv w:val="1"/>
      <w:marLeft w:val="0"/>
      <w:marRight w:val="0"/>
      <w:marTop w:val="0"/>
      <w:marBottom w:val="0"/>
      <w:divBdr>
        <w:top w:val="none" w:sz="0" w:space="0" w:color="auto"/>
        <w:left w:val="none" w:sz="0" w:space="0" w:color="auto"/>
        <w:bottom w:val="none" w:sz="0" w:space="0" w:color="auto"/>
        <w:right w:val="none" w:sz="0" w:space="0" w:color="auto"/>
      </w:divBdr>
    </w:div>
    <w:div w:id="1936396182">
      <w:bodyDiv w:val="1"/>
      <w:marLeft w:val="0"/>
      <w:marRight w:val="0"/>
      <w:marTop w:val="0"/>
      <w:marBottom w:val="0"/>
      <w:divBdr>
        <w:top w:val="none" w:sz="0" w:space="0" w:color="auto"/>
        <w:left w:val="none" w:sz="0" w:space="0" w:color="auto"/>
        <w:bottom w:val="none" w:sz="0" w:space="0" w:color="auto"/>
        <w:right w:val="none" w:sz="0" w:space="0" w:color="auto"/>
      </w:divBdr>
    </w:div>
    <w:div w:id="2033917211">
      <w:bodyDiv w:val="1"/>
      <w:marLeft w:val="0"/>
      <w:marRight w:val="0"/>
      <w:marTop w:val="0"/>
      <w:marBottom w:val="0"/>
      <w:divBdr>
        <w:top w:val="none" w:sz="0" w:space="0" w:color="auto"/>
        <w:left w:val="none" w:sz="0" w:space="0" w:color="auto"/>
        <w:bottom w:val="none" w:sz="0" w:space="0" w:color="auto"/>
        <w:right w:val="none" w:sz="0" w:space="0" w:color="auto"/>
      </w:divBdr>
    </w:div>
    <w:div w:id="2044018926">
      <w:bodyDiv w:val="1"/>
      <w:marLeft w:val="0"/>
      <w:marRight w:val="0"/>
      <w:marTop w:val="0"/>
      <w:marBottom w:val="0"/>
      <w:divBdr>
        <w:top w:val="none" w:sz="0" w:space="0" w:color="auto"/>
        <w:left w:val="none" w:sz="0" w:space="0" w:color="auto"/>
        <w:bottom w:val="none" w:sz="0" w:space="0" w:color="auto"/>
        <w:right w:val="none" w:sz="0" w:space="0" w:color="auto"/>
      </w:divBdr>
    </w:div>
    <w:div w:id="2128424577">
      <w:bodyDiv w:val="1"/>
      <w:marLeft w:val="0"/>
      <w:marRight w:val="0"/>
      <w:marTop w:val="0"/>
      <w:marBottom w:val="0"/>
      <w:divBdr>
        <w:top w:val="none" w:sz="0" w:space="0" w:color="auto"/>
        <w:left w:val="none" w:sz="0" w:space="0" w:color="auto"/>
        <w:bottom w:val="none" w:sz="0" w:space="0" w:color="auto"/>
        <w:right w:val="none" w:sz="0" w:space="0" w:color="auto"/>
      </w:divBdr>
    </w:div>
    <w:div w:id="212947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library.wiley.com/authored-by/Wadsworth/Jonath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library.wiley.com/authored-by/Manning/Ala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x.doi.org/10.2139/ssrn.43988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srn.com/abstract=4398831"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gov.uk/government/publications/migration-advisory-committee-annual-report-202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ns.gov.uk/employmentandlabourmarket/peopleinwork/employmentandemployeetypes/articles/impactofreweightingonlabourforcesurveykeyindicators/2024" TargetMode="External"/><Relationship Id="rId1" Type="http://schemas.openxmlformats.org/officeDocument/2006/relationships/hyperlink" Target="https://www.ons.gov.uk/employmentandlabourmarket/peopleinwork/employmentandemployeetypes/methodologies/labourforcesurveyplannedimprovementsanditsre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D664-A85A-4C7A-97D2-1023ED9E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7964</Words>
  <Characters>45399</Characters>
  <Application>Microsoft Office Word</Application>
  <DocSecurity>0</DocSecurity>
  <Lines>378</Lines>
  <Paragraphs>106</Paragraphs>
  <ScaleCrop>false</ScaleCrop>
  <Company/>
  <LinksUpToDate>false</LinksUpToDate>
  <CharactersWithSpaces>53257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McKay</dc:creator>
  <cp:keywords/>
  <dc:description/>
  <cp:lastModifiedBy>Chiara Paola Donegani</cp:lastModifiedBy>
  <cp:revision>2</cp:revision>
  <cp:lastPrinted>2024-07-09T11:24:00Z</cp:lastPrinted>
  <dcterms:created xsi:type="dcterms:W3CDTF">2024-08-19T11:38:00Z</dcterms:created>
  <dcterms:modified xsi:type="dcterms:W3CDTF">2024-08-19T11:38:00Z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75b817bc0415dd573b2d400387c7b2b9c127bd7010c9072d89b98a7fb9cea7a5</vt:lpwstr>
  </property>
</Properties>
</file>