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137B" w14:textId="77777777" w:rsidR="004D68A7" w:rsidRDefault="00093251" w:rsidP="00093251">
      <w:pPr>
        <w:jc w:val="center"/>
        <w:rPr>
          <w:rFonts w:ascii="Times New Roman" w:hAnsi="Times New Roman" w:cs="Times New Roman"/>
          <w:b/>
          <w:sz w:val="28"/>
          <w:szCs w:val="28"/>
        </w:rPr>
      </w:pPr>
      <w:r w:rsidRPr="00FF3320">
        <w:rPr>
          <w:rFonts w:ascii="Times New Roman" w:hAnsi="Times New Roman" w:cs="Times New Roman"/>
          <w:b/>
          <w:sz w:val="28"/>
          <w:szCs w:val="28"/>
        </w:rPr>
        <w:t>Transfers of Land to M</w:t>
      </w:r>
      <w:r w:rsidR="00FF3320" w:rsidRPr="00FF3320">
        <w:rPr>
          <w:rFonts w:ascii="Times New Roman" w:hAnsi="Times New Roman" w:cs="Times New Roman"/>
          <w:b/>
          <w:sz w:val="28"/>
          <w:szCs w:val="28"/>
        </w:rPr>
        <w:t>i</w:t>
      </w:r>
      <w:r w:rsidRPr="00FF3320">
        <w:rPr>
          <w:rFonts w:ascii="Times New Roman" w:hAnsi="Times New Roman" w:cs="Times New Roman"/>
          <w:b/>
          <w:sz w:val="28"/>
          <w:szCs w:val="28"/>
        </w:rPr>
        <w:t>nors under Eng</w:t>
      </w:r>
      <w:r w:rsidR="009B1E86">
        <w:rPr>
          <w:rFonts w:ascii="Times New Roman" w:hAnsi="Times New Roman" w:cs="Times New Roman"/>
          <w:b/>
          <w:sz w:val="28"/>
          <w:szCs w:val="28"/>
        </w:rPr>
        <w:t xml:space="preserve">lish Law: The </w:t>
      </w:r>
      <w:r w:rsidR="005B2736">
        <w:rPr>
          <w:rFonts w:ascii="Times New Roman" w:hAnsi="Times New Roman" w:cs="Times New Roman"/>
          <w:b/>
          <w:sz w:val="28"/>
          <w:szCs w:val="28"/>
        </w:rPr>
        <w:t xml:space="preserve">Function </w:t>
      </w:r>
      <w:r w:rsidRPr="00FF3320">
        <w:rPr>
          <w:rFonts w:ascii="Times New Roman" w:hAnsi="Times New Roman" w:cs="Times New Roman"/>
          <w:b/>
          <w:sz w:val="28"/>
          <w:szCs w:val="28"/>
        </w:rPr>
        <w:t>and Role of the Trust</w:t>
      </w:r>
    </w:p>
    <w:p w14:paraId="562343FA" w14:textId="77777777" w:rsidR="004D68A7" w:rsidRDefault="004D68A7" w:rsidP="004D68A7">
      <w:pPr>
        <w:rPr>
          <w:rFonts w:ascii="Times New Roman" w:hAnsi="Times New Roman" w:cs="Times New Roman"/>
          <w:b/>
          <w:sz w:val="28"/>
          <w:szCs w:val="28"/>
        </w:rPr>
      </w:pPr>
    </w:p>
    <w:p w14:paraId="21F3B60C" w14:textId="77777777" w:rsidR="004D68A7" w:rsidRDefault="004D68A7" w:rsidP="004D68A7">
      <w:pPr>
        <w:rPr>
          <w:rFonts w:ascii="Times New Roman" w:hAnsi="Times New Roman" w:cs="Times New Roman"/>
          <w:i/>
          <w:sz w:val="28"/>
          <w:szCs w:val="28"/>
        </w:rPr>
      </w:pPr>
      <w:r w:rsidRPr="004D68A7">
        <w:rPr>
          <w:rFonts w:ascii="Times New Roman" w:hAnsi="Times New Roman" w:cs="Times New Roman"/>
          <w:i/>
          <w:sz w:val="28"/>
          <w:szCs w:val="28"/>
        </w:rPr>
        <w:t>Dr James Brown and Prof Mark Pawlowski*</w:t>
      </w:r>
    </w:p>
    <w:p w14:paraId="1D9BB73D" w14:textId="77777777" w:rsidR="004D68A7" w:rsidRDefault="004D68A7" w:rsidP="004D68A7">
      <w:pPr>
        <w:rPr>
          <w:rFonts w:ascii="Times New Roman" w:hAnsi="Times New Roman" w:cs="Times New Roman"/>
          <w:i/>
          <w:sz w:val="28"/>
          <w:szCs w:val="28"/>
        </w:rPr>
      </w:pPr>
    </w:p>
    <w:p w14:paraId="79D16092" w14:textId="77777777" w:rsidR="004D68A7" w:rsidRPr="004D68A7" w:rsidRDefault="004D68A7" w:rsidP="004D68A7">
      <w:pPr>
        <w:jc w:val="both"/>
        <w:rPr>
          <w:rFonts w:ascii="Times New Roman" w:hAnsi="Times New Roman" w:cs="Times New Roman"/>
          <w:i/>
          <w:sz w:val="24"/>
          <w:szCs w:val="24"/>
        </w:rPr>
      </w:pPr>
      <w:r w:rsidRPr="004D68A7">
        <w:rPr>
          <w:rFonts w:ascii="Times New Roman" w:hAnsi="Times New Roman" w:cs="Times New Roman"/>
          <w:i/>
          <w:sz w:val="24"/>
          <w:szCs w:val="24"/>
        </w:rPr>
        <w:t>*Dr James Brown is a barrister and Reader in Law, School of Law, Aston University. Professor Mark Pawlows</w:t>
      </w:r>
      <w:r w:rsidR="00FD2422">
        <w:rPr>
          <w:rFonts w:ascii="Times New Roman" w:hAnsi="Times New Roman" w:cs="Times New Roman"/>
          <w:i/>
          <w:sz w:val="24"/>
          <w:szCs w:val="24"/>
        </w:rPr>
        <w:t>k</w:t>
      </w:r>
      <w:r w:rsidRPr="004D68A7">
        <w:rPr>
          <w:rFonts w:ascii="Times New Roman" w:hAnsi="Times New Roman" w:cs="Times New Roman"/>
          <w:i/>
          <w:sz w:val="24"/>
          <w:szCs w:val="24"/>
        </w:rPr>
        <w:t>i is a barrister and Professor Emeritus of Property Law, S</w:t>
      </w:r>
      <w:r w:rsidR="007422C3">
        <w:rPr>
          <w:rFonts w:ascii="Times New Roman" w:hAnsi="Times New Roman" w:cs="Times New Roman"/>
          <w:i/>
          <w:sz w:val="24"/>
          <w:szCs w:val="24"/>
        </w:rPr>
        <w:t>c</w:t>
      </w:r>
      <w:r w:rsidRPr="004D68A7">
        <w:rPr>
          <w:rFonts w:ascii="Times New Roman" w:hAnsi="Times New Roman" w:cs="Times New Roman"/>
          <w:i/>
          <w:sz w:val="24"/>
          <w:szCs w:val="24"/>
        </w:rPr>
        <w:t>hool of Law, University of Greenwich.</w:t>
      </w:r>
      <w:r w:rsidR="00EC3385">
        <w:rPr>
          <w:rFonts w:ascii="Times New Roman" w:hAnsi="Times New Roman" w:cs="Times New Roman"/>
          <w:i/>
          <w:sz w:val="24"/>
          <w:szCs w:val="24"/>
        </w:rPr>
        <w:t xml:space="preserve"> This article is an updated and much expanded version of an article </w:t>
      </w:r>
      <w:r w:rsidR="00D85991">
        <w:rPr>
          <w:rFonts w:ascii="Times New Roman" w:hAnsi="Times New Roman" w:cs="Times New Roman"/>
          <w:i/>
          <w:sz w:val="24"/>
          <w:szCs w:val="24"/>
        </w:rPr>
        <w:t>publish</w:t>
      </w:r>
      <w:r w:rsidR="0021566A">
        <w:rPr>
          <w:rFonts w:ascii="Times New Roman" w:hAnsi="Times New Roman" w:cs="Times New Roman"/>
          <w:i/>
          <w:sz w:val="24"/>
          <w:szCs w:val="24"/>
        </w:rPr>
        <w:t xml:space="preserve">ed in </w:t>
      </w:r>
      <w:r w:rsidR="00205112">
        <w:rPr>
          <w:rFonts w:ascii="Times New Roman" w:hAnsi="Times New Roman" w:cs="Times New Roman"/>
          <w:i/>
          <w:sz w:val="24"/>
          <w:szCs w:val="24"/>
        </w:rPr>
        <w:t>(2017</w:t>
      </w:r>
      <w:r w:rsidR="00D85991">
        <w:rPr>
          <w:rFonts w:ascii="Times New Roman" w:hAnsi="Times New Roman" w:cs="Times New Roman"/>
          <w:i/>
          <w:sz w:val="24"/>
          <w:szCs w:val="24"/>
        </w:rPr>
        <w:t>)</w:t>
      </w:r>
      <w:r w:rsidR="00205112">
        <w:rPr>
          <w:rFonts w:ascii="Times New Roman" w:hAnsi="Times New Roman" w:cs="Times New Roman"/>
          <w:i/>
          <w:sz w:val="24"/>
          <w:szCs w:val="24"/>
        </w:rPr>
        <w:t xml:space="preserve"> Fam</w:t>
      </w:r>
      <w:r w:rsidR="0021566A">
        <w:rPr>
          <w:rFonts w:ascii="Times New Roman" w:hAnsi="Times New Roman" w:cs="Times New Roman"/>
          <w:i/>
          <w:sz w:val="24"/>
          <w:szCs w:val="24"/>
        </w:rPr>
        <w:t xml:space="preserve"> Law, No 47, 1100 and (2019) 23 L &amp; T Rev 86.</w:t>
      </w:r>
    </w:p>
    <w:p w14:paraId="7072B0D4" w14:textId="77777777" w:rsidR="00BC4282" w:rsidRPr="00BC4282" w:rsidRDefault="00BC4282" w:rsidP="004D68A7">
      <w:pPr>
        <w:pStyle w:val="ListParagraph"/>
        <w:ind w:left="0"/>
        <w:jc w:val="both"/>
        <w:rPr>
          <w:rFonts w:ascii="Times New Roman" w:hAnsi="Times New Roman" w:cs="Times New Roman"/>
          <w:b/>
          <w:sz w:val="24"/>
          <w:szCs w:val="24"/>
        </w:rPr>
      </w:pPr>
    </w:p>
    <w:p w14:paraId="7AF6B584" w14:textId="77777777" w:rsidR="00BC4282" w:rsidRDefault="00BC4282" w:rsidP="00F45E6C">
      <w:pPr>
        <w:pStyle w:val="ListParagraph"/>
        <w:ind w:left="360"/>
        <w:jc w:val="both"/>
        <w:rPr>
          <w:rFonts w:ascii="Times New Roman" w:hAnsi="Times New Roman" w:cs="Times New Roman"/>
          <w:sz w:val="24"/>
          <w:szCs w:val="24"/>
        </w:rPr>
      </w:pPr>
    </w:p>
    <w:p w14:paraId="659E7692" w14:textId="77777777" w:rsidR="001F1983" w:rsidRDefault="002D5F8D" w:rsidP="00BC4282">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Interestingly, b</w:t>
      </w:r>
      <w:r w:rsidR="00EB183A" w:rsidRPr="00093251">
        <w:rPr>
          <w:rFonts w:ascii="Times New Roman" w:hAnsi="Times New Roman" w:cs="Times New Roman"/>
          <w:sz w:val="24"/>
          <w:szCs w:val="24"/>
        </w:rPr>
        <w:t xml:space="preserve">efore 1926, a minor was capable of holding both legal and equitable interests in land. After 1925, </w:t>
      </w:r>
      <w:r w:rsidR="00F45E6C">
        <w:rPr>
          <w:rFonts w:ascii="Times New Roman" w:hAnsi="Times New Roman" w:cs="Times New Roman"/>
          <w:sz w:val="24"/>
          <w:szCs w:val="24"/>
        </w:rPr>
        <w:t xml:space="preserve">however, </w:t>
      </w:r>
      <w:r>
        <w:rPr>
          <w:rFonts w:ascii="Times New Roman" w:hAnsi="Times New Roman" w:cs="Times New Roman"/>
          <w:sz w:val="24"/>
          <w:szCs w:val="24"/>
        </w:rPr>
        <w:t>t</w:t>
      </w:r>
      <w:r w:rsidR="00F45E6C">
        <w:rPr>
          <w:rFonts w:ascii="Times New Roman" w:hAnsi="Times New Roman" w:cs="Times New Roman"/>
          <w:sz w:val="24"/>
          <w:szCs w:val="24"/>
        </w:rPr>
        <w:t>he</w:t>
      </w:r>
      <w:r>
        <w:rPr>
          <w:rFonts w:ascii="Times New Roman" w:hAnsi="Times New Roman" w:cs="Times New Roman"/>
          <w:sz w:val="24"/>
          <w:szCs w:val="24"/>
        </w:rPr>
        <w:t>y</w:t>
      </w:r>
      <w:r w:rsidR="00EB183A" w:rsidRPr="00093251">
        <w:rPr>
          <w:rFonts w:ascii="Times New Roman" w:hAnsi="Times New Roman" w:cs="Times New Roman"/>
          <w:sz w:val="24"/>
          <w:szCs w:val="24"/>
        </w:rPr>
        <w:t xml:space="preserve"> cannot hold a le</w:t>
      </w:r>
      <w:r>
        <w:rPr>
          <w:rFonts w:ascii="Times New Roman" w:hAnsi="Times New Roman" w:cs="Times New Roman"/>
          <w:sz w:val="24"/>
          <w:szCs w:val="24"/>
        </w:rPr>
        <w:t xml:space="preserve">gal estate in land, but </w:t>
      </w:r>
      <w:r w:rsidR="00EB183A" w:rsidRPr="00093251">
        <w:rPr>
          <w:rFonts w:ascii="Times New Roman" w:hAnsi="Times New Roman" w:cs="Times New Roman"/>
          <w:sz w:val="24"/>
          <w:szCs w:val="24"/>
        </w:rPr>
        <w:t>may still hol</w:t>
      </w:r>
      <w:r w:rsidR="000C4750">
        <w:rPr>
          <w:rFonts w:ascii="Times New Roman" w:hAnsi="Times New Roman" w:cs="Times New Roman"/>
          <w:sz w:val="24"/>
          <w:szCs w:val="24"/>
        </w:rPr>
        <w:t>d an equitable interest.</w:t>
      </w:r>
      <w:r w:rsidR="000C4750">
        <w:rPr>
          <w:rStyle w:val="FootnoteReference"/>
          <w:rFonts w:ascii="Times New Roman" w:hAnsi="Times New Roman" w:cs="Times New Roman"/>
          <w:sz w:val="24"/>
          <w:szCs w:val="24"/>
        </w:rPr>
        <w:footnoteReference w:id="1"/>
      </w:r>
      <w:r w:rsidR="00CB7D7B">
        <w:rPr>
          <w:rFonts w:ascii="Times New Roman" w:hAnsi="Times New Roman" w:cs="Times New Roman"/>
          <w:sz w:val="24"/>
          <w:szCs w:val="24"/>
        </w:rPr>
        <w:t xml:space="preserve"> </w:t>
      </w:r>
      <w:r w:rsidR="00523E3C">
        <w:rPr>
          <w:rFonts w:ascii="Times New Roman" w:hAnsi="Times New Roman" w:cs="Times New Roman"/>
          <w:sz w:val="24"/>
          <w:szCs w:val="24"/>
        </w:rPr>
        <w:t xml:space="preserve">Moreover, a minor cannot </w:t>
      </w:r>
      <w:r w:rsidR="00CB7D7B">
        <w:rPr>
          <w:rFonts w:ascii="Times New Roman" w:hAnsi="Times New Roman" w:cs="Times New Roman"/>
          <w:sz w:val="24"/>
          <w:szCs w:val="24"/>
        </w:rPr>
        <w:t>be appointed a trustee</w:t>
      </w:r>
      <w:r w:rsidR="000C4750">
        <w:rPr>
          <w:rFonts w:ascii="Times New Roman" w:hAnsi="Times New Roman" w:cs="Times New Roman"/>
          <w:sz w:val="24"/>
          <w:szCs w:val="24"/>
        </w:rPr>
        <w:t>.</w:t>
      </w:r>
      <w:r w:rsidR="000C4750">
        <w:rPr>
          <w:rStyle w:val="FootnoteReference"/>
          <w:rFonts w:ascii="Times New Roman" w:hAnsi="Times New Roman" w:cs="Times New Roman"/>
          <w:sz w:val="24"/>
          <w:szCs w:val="24"/>
        </w:rPr>
        <w:footnoteReference w:id="2"/>
      </w:r>
    </w:p>
    <w:p w14:paraId="0B37B55B" w14:textId="77777777" w:rsidR="00BC4282" w:rsidRDefault="00BC4282" w:rsidP="00161148">
      <w:pPr>
        <w:pStyle w:val="ListParagraph"/>
        <w:ind w:left="360"/>
        <w:jc w:val="both"/>
        <w:rPr>
          <w:rFonts w:ascii="Times New Roman" w:hAnsi="Times New Roman" w:cs="Times New Roman"/>
          <w:sz w:val="24"/>
          <w:szCs w:val="24"/>
        </w:rPr>
      </w:pPr>
    </w:p>
    <w:p w14:paraId="73351043" w14:textId="77777777" w:rsidR="00161148" w:rsidRPr="00161148" w:rsidRDefault="00CB7D7B" w:rsidP="00BC4282">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Prior to the enactment of the Trusts of Land and Appointment of Trustees Act 1996, a</w:t>
      </w:r>
      <w:r w:rsidR="002C7163" w:rsidRPr="00093251">
        <w:rPr>
          <w:rFonts w:ascii="Times New Roman" w:hAnsi="Times New Roman" w:cs="Times New Roman"/>
          <w:sz w:val="24"/>
          <w:szCs w:val="24"/>
        </w:rPr>
        <w:t xml:space="preserve"> transfer</w:t>
      </w:r>
      <w:r w:rsidR="003A5441" w:rsidRPr="00093251">
        <w:rPr>
          <w:rFonts w:ascii="Times New Roman" w:hAnsi="Times New Roman" w:cs="Times New Roman"/>
          <w:sz w:val="24"/>
          <w:szCs w:val="24"/>
        </w:rPr>
        <w:t xml:space="preserve"> of a lega</w:t>
      </w:r>
      <w:r>
        <w:rPr>
          <w:rFonts w:ascii="Times New Roman" w:hAnsi="Times New Roman" w:cs="Times New Roman"/>
          <w:sz w:val="24"/>
          <w:szCs w:val="24"/>
        </w:rPr>
        <w:t xml:space="preserve">l estate to a minor </w:t>
      </w:r>
      <w:r w:rsidR="003A5441" w:rsidRPr="00093251">
        <w:rPr>
          <w:rFonts w:ascii="Times New Roman" w:hAnsi="Times New Roman" w:cs="Times New Roman"/>
          <w:sz w:val="24"/>
          <w:szCs w:val="24"/>
        </w:rPr>
        <w:t>operated under s.27(1) of the Settled Land Act 1925 as an agreement for valuable consideration</w:t>
      </w:r>
      <w:r w:rsidR="00B81EC5" w:rsidRPr="00093251">
        <w:rPr>
          <w:rFonts w:ascii="Times New Roman" w:hAnsi="Times New Roman" w:cs="Times New Roman"/>
          <w:sz w:val="24"/>
          <w:szCs w:val="24"/>
        </w:rPr>
        <w:t xml:space="preserve"> to ex</w:t>
      </w:r>
      <w:r w:rsidR="003A5441" w:rsidRPr="00093251">
        <w:rPr>
          <w:rFonts w:ascii="Times New Roman" w:hAnsi="Times New Roman" w:cs="Times New Roman"/>
          <w:sz w:val="24"/>
          <w:szCs w:val="24"/>
        </w:rPr>
        <w:t xml:space="preserve">ecute a settlement in favour of the minor. </w:t>
      </w:r>
      <w:r w:rsidR="00D45F42" w:rsidRPr="00093251">
        <w:rPr>
          <w:rFonts w:ascii="Times New Roman" w:hAnsi="Times New Roman" w:cs="Times New Roman"/>
          <w:sz w:val="24"/>
          <w:szCs w:val="24"/>
        </w:rPr>
        <w:t>The intending l</w:t>
      </w:r>
      <w:r w:rsidR="00F45E6C">
        <w:rPr>
          <w:rFonts w:ascii="Times New Roman" w:hAnsi="Times New Roman" w:cs="Times New Roman"/>
          <w:sz w:val="24"/>
          <w:szCs w:val="24"/>
        </w:rPr>
        <w:t>andlord</w:t>
      </w:r>
      <w:r w:rsidR="00D45F42" w:rsidRPr="00093251">
        <w:rPr>
          <w:rFonts w:ascii="Times New Roman" w:hAnsi="Times New Roman" w:cs="Times New Roman"/>
          <w:sz w:val="24"/>
          <w:szCs w:val="24"/>
        </w:rPr>
        <w:t xml:space="preserve"> meanwhile held the legal estate o</w:t>
      </w:r>
      <w:r>
        <w:rPr>
          <w:rFonts w:ascii="Times New Roman" w:hAnsi="Times New Roman" w:cs="Times New Roman"/>
          <w:sz w:val="24"/>
          <w:szCs w:val="24"/>
        </w:rPr>
        <w:t>n trust for the minor</w:t>
      </w:r>
      <w:r w:rsidR="000C4750">
        <w:rPr>
          <w:rFonts w:ascii="Times New Roman" w:hAnsi="Times New Roman" w:cs="Times New Roman"/>
          <w:sz w:val="24"/>
          <w:szCs w:val="24"/>
        </w:rPr>
        <w:t>.</w:t>
      </w:r>
      <w:r w:rsidR="000C4750">
        <w:rPr>
          <w:rStyle w:val="FootnoteReference"/>
          <w:rFonts w:ascii="Times New Roman" w:hAnsi="Times New Roman" w:cs="Times New Roman"/>
          <w:sz w:val="24"/>
          <w:szCs w:val="24"/>
        </w:rPr>
        <w:footnoteReference w:id="3"/>
      </w:r>
      <w:r w:rsidR="000C4750">
        <w:rPr>
          <w:rFonts w:ascii="Times New Roman" w:hAnsi="Times New Roman" w:cs="Times New Roman"/>
          <w:sz w:val="24"/>
          <w:szCs w:val="24"/>
        </w:rPr>
        <w:t xml:space="preserve"> </w:t>
      </w:r>
      <w:r w:rsidR="00161148" w:rsidRPr="00093251">
        <w:rPr>
          <w:rFonts w:ascii="Times New Roman" w:hAnsi="Times New Roman" w:cs="Times New Roman"/>
          <w:sz w:val="24"/>
          <w:szCs w:val="24"/>
        </w:rPr>
        <w:t>The Law Commission in its Report</w:t>
      </w:r>
      <w:r w:rsidR="00161148" w:rsidRPr="00093251">
        <w:rPr>
          <w:rFonts w:ascii="Times New Roman" w:hAnsi="Times New Roman" w:cs="Times New Roman"/>
          <w:i/>
          <w:sz w:val="24"/>
          <w:szCs w:val="24"/>
        </w:rPr>
        <w:t>, Law of Contract: Minors' Contrac</w:t>
      </w:r>
      <w:r w:rsidR="00161148" w:rsidRPr="00093251">
        <w:rPr>
          <w:rFonts w:ascii="Times New Roman" w:hAnsi="Times New Roman" w:cs="Times New Roman"/>
          <w:sz w:val="24"/>
          <w:szCs w:val="24"/>
        </w:rPr>
        <w:t>ts,</w:t>
      </w:r>
      <w:r w:rsidR="000C4750">
        <w:rPr>
          <w:rStyle w:val="FootnoteReference"/>
          <w:rFonts w:ascii="Times New Roman" w:hAnsi="Times New Roman" w:cs="Times New Roman"/>
          <w:sz w:val="24"/>
          <w:szCs w:val="24"/>
        </w:rPr>
        <w:footnoteReference w:id="4"/>
      </w:r>
      <w:r w:rsidR="000C4750">
        <w:rPr>
          <w:rFonts w:ascii="Times New Roman" w:hAnsi="Times New Roman" w:cs="Times New Roman"/>
          <w:sz w:val="24"/>
          <w:szCs w:val="24"/>
        </w:rPr>
        <w:t xml:space="preserve"> </w:t>
      </w:r>
      <w:r>
        <w:rPr>
          <w:rFonts w:ascii="Times New Roman" w:hAnsi="Times New Roman" w:cs="Times New Roman"/>
          <w:sz w:val="24"/>
          <w:szCs w:val="24"/>
        </w:rPr>
        <w:t>put the matter this way</w:t>
      </w:r>
      <w:r w:rsidR="00161148" w:rsidRPr="00093251">
        <w:rPr>
          <w:rFonts w:ascii="Times New Roman" w:hAnsi="Times New Roman" w:cs="Times New Roman"/>
          <w:sz w:val="24"/>
          <w:szCs w:val="24"/>
        </w:rPr>
        <w:t>:</w:t>
      </w:r>
    </w:p>
    <w:p w14:paraId="55BDE0FC" w14:textId="77777777" w:rsidR="00161148" w:rsidRPr="00093251" w:rsidRDefault="00161148" w:rsidP="00161148">
      <w:pPr>
        <w:pStyle w:val="ListParagraph"/>
        <w:jc w:val="both"/>
        <w:rPr>
          <w:rFonts w:ascii="Times New Roman" w:hAnsi="Times New Roman" w:cs="Times New Roman"/>
          <w:sz w:val="24"/>
          <w:szCs w:val="24"/>
        </w:rPr>
      </w:pPr>
    </w:p>
    <w:p w14:paraId="706D0D1E" w14:textId="77777777" w:rsidR="00161148" w:rsidRPr="00093251" w:rsidRDefault="00161148" w:rsidP="00161148">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Pr="00093251">
        <w:rPr>
          <w:rFonts w:ascii="Times New Roman" w:hAnsi="Times New Roman" w:cs="Times New Roman"/>
          <w:sz w:val="24"/>
          <w:szCs w:val="24"/>
        </w:rPr>
        <w:t xml:space="preserve">The relevant provisions are section 19(1) of the Law of Property Act 1925 and section 27(1) of the Settled Land Act 1925, the combined effect of which is to make a conveyance of a legal estate in land to a minor operate as an agreement to execute a settlement in his favour, with the vendor/lessor in the meantime holding the land in trust for the minor. As a trustee, he holds the land for the minor on the terms and conditions of the original purported grant; this is not inconsistent with the minor’s obligation to pay the rent and observe the conditions of the </w:t>
      </w:r>
      <w:r w:rsidR="002460EA">
        <w:rPr>
          <w:rFonts w:ascii="Times New Roman" w:hAnsi="Times New Roman" w:cs="Times New Roman"/>
          <w:sz w:val="24"/>
          <w:szCs w:val="24"/>
        </w:rPr>
        <w:t>'</w:t>
      </w:r>
      <w:r w:rsidRPr="00093251">
        <w:rPr>
          <w:rFonts w:ascii="Times New Roman" w:hAnsi="Times New Roman" w:cs="Times New Roman"/>
          <w:sz w:val="24"/>
          <w:szCs w:val="24"/>
        </w:rPr>
        <w:t>lease</w:t>
      </w:r>
      <w:r w:rsidR="002460EA">
        <w:rPr>
          <w:rFonts w:ascii="Times New Roman" w:hAnsi="Times New Roman" w:cs="Times New Roman"/>
          <w:sz w:val="24"/>
          <w:szCs w:val="24"/>
        </w:rPr>
        <w:t>'</w:t>
      </w:r>
      <w:r w:rsidRPr="00093251">
        <w:rPr>
          <w:rFonts w:ascii="Times New Roman" w:hAnsi="Times New Roman" w:cs="Times New Roman"/>
          <w:sz w:val="24"/>
          <w:szCs w:val="24"/>
        </w:rPr>
        <w:t>”.</w:t>
      </w:r>
    </w:p>
    <w:p w14:paraId="229D357B" w14:textId="77777777" w:rsidR="00161148" w:rsidRDefault="00161148" w:rsidP="00F45E6C">
      <w:pPr>
        <w:pStyle w:val="ListParagraph"/>
        <w:ind w:left="360"/>
        <w:jc w:val="both"/>
        <w:rPr>
          <w:rFonts w:ascii="Times New Roman" w:hAnsi="Times New Roman" w:cs="Times New Roman"/>
          <w:sz w:val="24"/>
          <w:szCs w:val="24"/>
        </w:rPr>
      </w:pPr>
    </w:p>
    <w:p w14:paraId="041973A6" w14:textId="77777777" w:rsidR="00F45E6C" w:rsidRDefault="003A5441" w:rsidP="00BC4282">
      <w:pPr>
        <w:pStyle w:val="ListParagraph"/>
        <w:ind w:left="0"/>
        <w:jc w:val="both"/>
        <w:rPr>
          <w:rFonts w:ascii="Times New Roman" w:hAnsi="Times New Roman" w:cs="Times New Roman"/>
          <w:sz w:val="24"/>
          <w:szCs w:val="24"/>
        </w:rPr>
      </w:pPr>
      <w:r w:rsidRPr="00093251">
        <w:rPr>
          <w:rFonts w:ascii="Times New Roman" w:hAnsi="Times New Roman" w:cs="Times New Roman"/>
          <w:sz w:val="24"/>
          <w:szCs w:val="24"/>
        </w:rPr>
        <w:t xml:space="preserve">Any such agreement </w:t>
      </w:r>
      <w:r w:rsidR="002B274A" w:rsidRPr="00093251">
        <w:rPr>
          <w:rFonts w:ascii="Times New Roman" w:hAnsi="Times New Roman" w:cs="Times New Roman"/>
          <w:sz w:val="24"/>
          <w:szCs w:val="24"/>
        </w:rPr>
        <w:t xml:space="preserve">to execute a settlement </w:t>
      </w:r>
      <w:r w:rsidRPr="00093251">
        <w:rPr>
          <w:rFonts w:ascii="Times New Roman" w:hAnsi="Times New Roman" w:cs="Times New Roman"/>
          <w:sz w:val="24"/>
          <w:szCs w:val="24"/>
        </w:rPr>
        <w:t>subsisting on 1 January 1997</w:t>
      </w:r>
      <w:r w:rsidR="00D670D8" w:rsidRPr="00093251">
        <w:rPr>
          <w:rFonts w:ascii="Times New Roman" w:hAnsi="Times New Roman" w:cs="Times New Roman"/>
          <w:sz w:val="24"/>
          <w:szCs w:val="24"/>
        </w:rPr>
        <w:t xml:space="preserve"> </w:t>
      </w:r>
      <w:r w:rsidRPr="00093251">
        <w:rPr>
          <w:rFonts w:ascii="Times New Roman" w:hAnsi="Times New Roman" w:cs="Times New Roman"/>
          <w:sz w:val="24"/>
          <w:szCs w:val="24"/>
        </w:rPr>
        <w:t xml:space="preserve">is </w:t>
      </w:r>
      <w:r w:rsidR="00F45E6C">
        <w:rPr>
          <w:rFonts w:ascii="Times New Roman" w:hAnsi="Times New Roman" w:cs="Times New Roman"/>
          <w:sz w:val="24"/>
          <w:szCs w:val="24"/>
        </w:rPr>
        <w:t xml:space="preserve">now </w:t>
      </w:r>
      <w:r w:rsidRPr="00093251">
        <w:rPr>
          <w:rFonts w:ascii="Times New Roman" w:hAnsi="Times New Roman" w:cs="Times New Roman"/>
          <w:sz w:val="24"/>
          <w:szCs w:val="24"/>
        </w:rPr>
        <w:t>converted into a declaration that the land is held on trust for the minor</w:t>
      </w:r>
      <w:r w:rsidR="000C4750">
        <w:rPr>
          <w:rFonts w:ascii="Times New Roman" w:hAnsi="Times New Roman" w:cs="Times New Roman"/>
          <w:sz w:val="24"/>
          <w:szCs w:val="24"/>
        </w:rPr>
        <w:t>.</w:t>
      </w:r>
      <w:r w:rsidR="000C4750">
        <w:rPr>
          <w:rStyle w:val="FootnoteReference"/>
          <w:rFonts w:ascii="Times New Roman" w:hAnsi="Times New Roman" w:cs="Times New Roman"/>
          <w:sz w:val="24"/>
          <w:szCs w:val="24"/>
        </w:rPr>
        <w:footnoteReference w:id="5"/>
      </w:r>
      <w:r w:rsidR="000C4750">
        <w:rPr>
          <w:rFonts w:ascii="Times New Roman" w:hAnsi="Times New Roman" w:cs="Times New Roman"/>
          <w:sz w:val="24"/>
          <w:szCs w:val="24"/>
        </w:rPr>
        <w:t xml:space="preserve">  </w:t>
      </w:r>
      <w:r w:rsidR="00D670D8" w:rsidRPr="00093251">
        <w:rPr>
          <w:rFonts w:ascii="Times New Roman" w:hAnsi="Times New Roman" w:cs="Times New Roman"/>
          <w:sz w:val="24"/>
          <w:szCs w:val="24"/>
        </w:rPr>
        <w:t xml:space="preserve"> </w:t>
      </w:r>
    </w:p>
    <w:p w14:paraId="5F76511D" w14:textId="77777777" w:rsidR="0064537D" w:rsidRDefault="0064537D" w:rsidP="00BC4282">
      <w:pPr>
        <w:pStyle w:val="ListParagraph"/>
        <w:ind w:left="0"/>
        <w:jc w:val="both"/>
        <w:rPr>
          <w:rFonts w:ascii="Times New Roman" w:hAnsi="Times New Roman" w:cs="Times New Roman"/>
          <w:sz w:val="24"/>
          <w:szCs w:val="24"/>
        </w:rPr>
      </w:pPr>
    </w:p>
    <w:p w14:paraId="5912AD03" w14:textId="77777777" w:rsidR="00E93F7B" w:rsidRDefault="00E93F7B" w:rsidP="00BC4282">
      <w:pPr>
        <w:pStyle w:val="ListParagraph"/>
        <w:ind w:left="0"/>
        <w:jc w:val="both"/>
        <w:rPr>
          <w:rFonts w:ascii="Times New Roman" w:hAnsi="Times New Roman" w:cs="Times New Roman"/>
          <w:sz w:val="24"/>
          <w:szCs w:val="24"/>
        </w:rPr>
      </w:pPr>
    </w:p>
    <w:p w14:paraId="3C842003" w14:textId="77777777" w:rsidR="00F45E6C" w:rsidRDefault="00F45E6C" w:rsidP="00BC4282">
      <w:pPr>
        <w:pStyle w:val="ListParagraph"/>
        <w:ind w:left="0"/>
        <w:jc w:val="both"/>
        <w:rPr>
          <w:rFonts w:ascii="Times New Roman" w:hAnsi="Times New Roman" w:cs="Times New Roman"/>
          <w:b/>
          <w:sz w:val="24"/>
          <w:szCs w:val="24"/>
        </w:rPr>
      </w:pPr>
      <w:r w:rsidRPr="00F45E6C">
        <w:rPr>
          <w:rFonts w:ascii="Times New Roman" w:hAnsi="Times New Roman" w:cs="Times New Roman"/>
          <w:b/>
          <w:sz w:val="24"/>
          <w:szCs w:val="24"/>
        </w:rPr>
        <w:lastRenderedPageBreak/>
        <w:t>Current law</w:t>
      </w:r>
    </w:p>
    <w:p w14:paraId="33CCD75A" w14:textId="77777777" w:rsidR="0064537D" w:rsidRDefault="0064537D" w:rsidP="00BC4282">
      <w:pPr>
        <w:pStyle w:val="ListParagraph"/>
        <w:ind w:left="0"/>
        <w:jc w:val="both"/>
        <w:rPr>
          <w:rFonts w:ascii="Times New Roman" w:hAnsi="Times New Roman" w:cs="Times New Roman"/>
          <w:b/>
          <w:sz w:val="24"/>
          <w:szCs w:val="24"/>
        </w:rPr>
      </w:pPr>
    </w:p>
    <w:p w14:paraId="546E5D61" w14:textId="77777777" w:rsidR="00F7688B" w:rsidRDefault="002B274A" w:rsidP="00BC4282">
      <w:pPr>
        <w:pStyle w:val="ListParagraph"/>
        <w:ind w:left="0"/>
        <w:jc w:val="both"/>
        <w:rPr>
          <w:rFonts w:ascii="Times New Roman" w:hAnsi="Times New Roman" w:cs="Times New Roman"/>
          <w:sz w:val="24"/>
          <w:szCs w:val="24"/>
        </w:rPr>
      </w:pPr>
      <w:r w:rsidRPr="00093251">
        <w:rPr>
          <w:rFonts w:ascii="Times New Roman" w:hAnsi="Times New Roman" w:cs="Times New Roman"/>
          <w:sz w:val="24"/>
          <w:szCs w:val="24"/>
        </w:rPr>
        <w:t xml:space="preserve">Any attempted transfer of a legal estate to a minor </w:t>
      </w:r>
      <w:r w:rsidR="00C87B92">
        <w:rPr>
          <w:rFonts w:ascii="Times New Roman" w:hAnsi="Times New Roman" w:cs="Times New Roman"/>
          <w:sz w:val="24"/>
          <w:szCs w:val="24"/>
        </w:rPr>
        <w:t xml:space="preserve">(under the age of 18) </w:t>
      </w:r>
      <w:r w:rsidRPr="00093251">
        <w:rPr>
          <w:rFonts w:ascii="Times New Roman" w:hAnsi="Times New Roman" w:cs="Times New Roman"/>
          <w:sz w:val="24"/>
          <w:szCs w:val="24"/>
        </w:rPr>
        <w:t xml:space="preserve">operates </w:t>
      </w:r>
      <w:r w:rsidR="00C87B92">
        <w:rPr>
          <w:rFonts w:ascii="Times New Roman" w:hAnsi="Times New Roman" w:cs="Times New Roman"/>
          <w:sz w:val="24"/>
          <w:szCs w:val="24"/>
        </w:rPr>
        <w:t xml:space="preserve">after 1996 </w:t>
      </w:r>
      <w:r w:rsidRPr="00093251">
        <w:rPr>
          <w:rFonts w:ascii="Times New Roman" w:hAnsi="Times New Roman" w:cs="Times New Roman"/>
          <w:sz w:val="24"/>
          <w:szCs w:val="24"/>
        </w:rPr>
        <w:t>instead as a declaration of trust that the land is held on trust for the minor</w:t>
      </w:r>
      <w:r w:rsidR="00A302D6">
        <w:rPr>
          <w:rFonts w:ascii="Times New Roman" w:hAnsi="Times New Roman" w:cs="Times New Roman"/>
          <w:sz w:val="24"/>
          <w:szCs w:val="24"/>
        </w:rPr>
        <w:t>.</w:t>
      </w:r>
      <w:r w:rsidR="00A302D6">
        <w:rPr>
          <w:rStyle w:val="FootnoteReference"/>
          <w:rFonts w:ascii="Times New Roman" w:hAnsi="Times New Roman" w:cs="Times New Roman"/>
          <w:sz w:val="24"/>
          <w:szCs w:val="24"/>
        </w:rPr>
        <w:footnoteReference w:id="6"/>
      </w:r>
      <w:r w:rsidR="00A302D6">
        <w:rPr>
          <w:rFonts w:ascii="Times New Roman" w:hAnsi="Times New Roman" w:cs="Times New Roman"/>
          <w:sz w:val="24"/>
          <w:szCs w:val="24"/>
        </w:rPr>
        <w:t xml:space="preserve"> </w:t>
      </w:r>
      <w:r w:rsidRPr="00093251">
        <w:rPr>
          <w:rFonts w:ascii="Times New Roman" w:hAnsi="Times New Roman" w:cs="Times New Roman"/>
          <w:sz w:val="24"/>
          <w:szCs w:val="24"/>
        </w:rPr>
        <w:t>The underlying policy here is that the trust gives the trustee</w:t>
      </w:r>
      <w:r w:rsidR="00B81EC5" w:rsidRPr="00093251">
        <w:rPr>
          <w:rFonts w:ascii="Times New Roman" w:hAnsi="Times New Roman" w:cs="Times New Roman"/>
          <w:sz w:val="24"/>
          <w:szCs w:val="24"/>
        </w:rPr>
        <w:t>(</w:t>
      </w:r>
      <w:r w:rsidRPr="00093251">
        <w:rPr>
          <w:rFonts w:ascii="Times New Roman" w:hAnsi="Times New Roman" w:cs="Times New Roman"/>
          <w:sz w:val="24"/>
          <w:szCs w:val="24"/>
        </w:rPr>
        <w:t>s</w:t>
      </w:r>
      <w:r w:rsidR="00B81EC5" w:rsidRPr="00093251">
        <w:rPr>
          <w:rFonts w:ascii="Times New Roman" w:hAnsi="Times New Roman" w:cs="Times New Roman"/>
          <w:sz w:val="24"/>
          <w:szCs w:val="24"/>
        </w:rPr>
        <w:t>)</w:t>
      </w:r>
      <w:r w:rsidRPr="00093251">
        <w:rPr>
          <w:rFonts w:ascii="Times New Roman" w:hAnsi="Times New Roman" w:cs="Times New Roman"/>
          <w:sz w:val="24"/>
          <w:szCs w:val="24"/>
        </w:rPr>
        <w:t xml:space="preserve"> capacity to sell</w:t>
      </w:r>
      <w:r w:rsidR="00B81EC5" w:rsidRPr="00093251">
        <w:rPr>
          <w:rFonts w:ascii="Times New Roman" w:hAnsi="Times New Roman" w:cs="Times New Roman"/>
          <w:sz w:val="24"/>
          <w:szCs w:val="24"/>
        </w:rPr>
        <w:t>, thereby</w:t>
      </w:r>
      <w:r w:rsidRPr="00093251">
        <w:rPr>
          <w:rFonts w:ascii="Times New Roman" w:hAnsi="Times New Roman" w:cs="Times New Roman"/>
          <w:sz w:val="24"/>
          <w:szCs w:val="24"/>
        </w:rPr>
        <w:t xml:space="preserve"> overcoming the contractual </w:t>
      </w:r>
      <w:r w:rsidR="002460EA">
        <w:rPr>
          <w:rFonts w:ascii="Times New Roman" w:hAnsi="Times New Roman" w:cs="Times New Roman"/>
          <w:sz w:val="24"/>
          <w:szCs w:val="24"/>
        </w:rPr>
        <w:t xml:space="preserve">deficiency of the minor given </w:t>
      </w:r>
      <w:r w:rsidRPr="00093251">
        <w:rPr>
          <w:rFonts w:ascii="Times New Roman" w:hAnsi="Times New Roman" w:cs="Times New Roman"/>
          <w:sz w:val="24"/>
          <w:szCs w:val="24"/>
        </w:rPr>
        <w:t>contracts are voidable at the instance of the minor. In other words, a trust is imposed in order to secure saleability of the land</w:t>
      </w:r>
      <w:r w:rsidR="00B16349" w:rsidRPr="00093251">
        <w:rPr>
          <w:rFonts w:ascii="Times New Roman" w:hAnsi="Times New Roman" w:cs="Times New Roman"/>
          <w:sz w:val="24"/>
          <w:szCs w:val="24"/>
        </w:rPr>
        <w:t xml:space="preserve"> and allow for relevant rights </w:t>
      </w:r>
      <w:r w:rsidR="000B49E9">
        <w:rPr>
          <w:rFonts w:ascii="Times New Roman" w:hAnsi="Times New Roman" w:cs="Times New Roman"/>
          <w:sz w:val="24"/>
          <w:szCs w:val="24"/>
        </w:rPr>
        <w:t xml:space="preserve">(including equitable interests arising under the trust) </w:t>
      </w:r>
      <w:r w:rsidR="00B16349" w:rsidRPr="00093251">
        <w:rPr>
          <w:rFonts w:ascii="Times New Roman" w:hAnsi="Times New Roman" w:cs="Times New Roman"/>
          <w:sz w:val="24"/>
          <w:szCs w:val="24"/>
        </w:rPr>
        <w:t>to be overreached</w:t>
      </w:r>
      <w:r w:rsidRPr="00093251">
        <w:rPr>
          <w:rFonts w:ascii="Times New Roman" w:hAnsi="Times New Roman" w:cs="Times New Roman"/>
          <w:sz w:val="24"/>
          <w:szCs w:val="24"/>
        </w:rPr>
        <w:t xml:space="preserve">. </w:t>
      </w:r>
      <w:r w:rsidR="002B7B40">
        <w:rPr>
          <w:rFonts w:ascii="Times New Roman" w:hAnsi="Times New Roman" w:cs="Times New Roman"/>
          <w:sz w:val="24"/>
          <w:szCs w:val="24"/>
        </w:rPr>
        <w:t>The 1996 Act</w:t>
      </w:r>
      <w:r w:rsidR="00CB7D7B">
        <w:rPr>
          <w:rFonts w:ascii="Times New Roman" w:hAnsi="Times New Roman" w:cs="Times New Roman"/>
          <w:sz w:val="24"/>
          <w:szCs w:val="24"/>
        </w:rPr>
        <w:t xml:space="preserve"> also </w:t>
      </w:r>
      <w:r w:rsidR="002B7B40">
        <w:rPr>
          <w:rFonts w:ascii="Times New Roman" w:hAnsi="Times New Roman" w:cs="Times New Roman"/>
          <w:sz w:val="24"/>
          <w:szCs w:val="24"/>
        </w:rPr>
        <w:t>simplified</w:t>
      </w:r>
      <w:r w:rsidR="00B43FBB" w:rsidRPr="00093251">
        <w:rPr>
          <w:rFonts w:ascii="Times New Roman" w:hAnsi="Times New Roman" w:cs="Times New Roman"/>
          <w:sz w:val="24"/>
          <w:szCs w:val="24"/>
        </w:rPr>
        <w:t xml:space="preserve"> the law by avoiding the complexities of using an agreement to execute a settlement in favour of the minor which</w:t>
      </w:r>
      <w:r w:rsidR="002B7B40">
        <w:rPr>
          <w:rFonts w:ascii="Times New Roman" w:hAnsi="Times New Roman" w:cs="Times New Roman"/>
          <w:sz w:val="24"/>
          <w:szCs w:val="24"/>
        </w:rPr>
        <w:t>, as we have seen,</w:t>
      </w:r>
      <w:r w:rsidR="00B43FBB" w:rsidRPr="00093251">
        <w:rPr>
          <w:rFonts w:ascii="Times New Roman" w:hAnsi="Times New Roman" w:cs="Times New Roman"/>
          <w:sz w:val="24"/>
          <w:szCs w:val="24"/>
        </w:rPr>
        <w:t xml:space="preserve"> was the position prior to 1997</w:t>
      </w:r>
      <w:r w:rsidR="002B7B40">
        <w:rPr>
          <w:rFonts w:ascii="Times New Roman" w:hAnsi="Times New Roman" w:cs="Times New Roman"/>
          <w:sz w:val="24"/>
          <w:szCs w:val="24"/>
        </w:rPr>
        <w:t>.</w:t>
      </w:r>
      <w:r w:rsidR="00F7688B">
        <w:rPr>
          <w:rStyle w:val="FootnoteReference"/>
          <w:rFonts w:ascii="Times New Roman" w:hAnsi="Times New Roman" w:cs="Times New Roman"/>
          <w:sz w:val="24"/>
          <w:szCs w:val="24"/>
        </w:rPr>
        <w:footnoteReference w:id="7"/>
      </w:r>
      <w:r w:rsidR="00BE05C8">
        <w:rPr>
          <w:rFonts w:ascii="Times New Roman" w:hAnsi="Times New Roman" w:cs="Times New Roman"/>
          <w:sz w:val="24"/>
          <w:szCs w:val="24"/>
        </w:rPr>
        <w:t xml:space="preserve"> </w:t>
      </w:r>
      <w:r w:rsidR="00F73EDB">
        <w:rPr>
          <w:rFonts w:ascii="Times New Roman" w:hAnsi="Times New Roman" w:cs="Times New Roman"/>
          <w:sz w:val="24"/>
          <w:szCs w:val="24"/>
        </w:rPr>
        <w:t xml:space="preserve">The Law Commission, in its Report, </w:t>
      </w:r>
      <w:r w:rsidR="00F73EDB" w:rsidRPr="00C87B92">
        <w:rPr>
          <w:rFonts w:ascii="Times New Roman" w:hAnsi="Times New Roman" w:cs="Times New Roman"/>
          <w:i/>
          <w:sz w:val="24"/>
          <w:szCs w:val="24"/>
        </w:rPr>
        <w:t>Transfer of Land, Trusts of Land</w:t>
      </w:r>
      <w:r w:rsidR="00F73EDB">
        <w:rPr>
          <w:rFonts w:ascii="Times New Roman" w:hAnsi="Times New Roman" w:cs="Times New Roman"/>
          <w:sz w:val="24"/>
          <w:szCs w:val="24"/>
        </w:rPr>
        <w:t>,</w:t>
      </w:r>
      <w:r w:rsidR="00F73EDB">
        <w:rPr>
          <w:rStyle w:val="FootnoteReference"/>
          <w:rFonts w:ascii="Times New Roman" w:hAnsi="Times New Roman" w:cs="Times New Roman"/>
          <w:sz w:val="24"/>
          <w:szCs w:val="24"/>
        </w:rPr>
        <w:footnoteReference w:id="8"/>
      </w:r>
      <w:r w:rsidR="00F73EDB">
        <w:rPr>
          <w:rFonts w:ascii="Times New Roman" w:hAnsi="Times New Roman" w:cs="Times New Roman"/>
          <w:sz w:val="24"/>
          <w:szCs w:val="24"/>
        </w:rPr>
        <w:t xml:space="preserve"> stated the position in the following way:</w:t>
      </w:r>
    </w:p>
    <w:p w14:paraId="2901293B" w14:textId="77777777" w:rsidR="00F73EDB" w:rsidRDefault="00F73EDB" w:rsidP="00BC4282">
      <w:pPr>
        <w:pStyle w:val="ListParagraph"/>
        <w:ind w:left="0"/>
        <w:jc w:val="both"/>
        <w:rPr>
          <w:rFonts w:ascii="Times New Roman" w:hAnsi="Times New Roman" w:cs="Times New Roman"/>
          <w:sz w:val="24"/>
          <w:szCs w:val="24"/>
        </w:rPr>
      </w:pPr>
    </w:p>
    <w:p w14:paraId="2C9791DA" w14:textId="77777777" w:rsidR="00F7688B" w:rsidRDefault="00F73EDB" w:rsidP="00BC4282">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w:t>
      </w:r>
      <w:r w:rsidRPr="00F73EDB">
        <w:rPr>
          <w:rFonts w:ascii="Times New Roman" w:hAnsi="Times New Roman" w:cs="Times New Roman"/>
          <w:sz w:val="24"/>
          <w:szCs w:val="24"/>
        </w:rPr>
        <w:t xml:space="preserve">The substitution of the new system in these cases will again simplify </w:t>
      </w:r>
      <w:r>
        <w:rPr>
          <w:rFonts w:ascii="Times New Roman" w:hAnsi="Times New Roman" w:cs="Times New Roman"/>
          <w:sz w:val="24"/>
          <w:szCs w:val="24"/>
        </w:rPr>
        <w:t xml:space="preserve">matters . . . </w:t>
      </w:r>
      <w:r>
        <w:rPr>
          <w:rFonts w:ascii="Times New Roman" w:hAnsi="Times New Roman" w:cs="Times New Roman"/>
          <w:sz w:val="24"/>
          <w:szCs w:val="24"/>
        </w:rPr>
        <w:tab/>
      </w:r>
      <w:r w:rsidRPr="00F73EDB">
        <w:rPr>
          <w:rFonts w:ascii="Times New Roman" w:hAnsi="Times New Roman" w:cs="Times New Roman"/>
          <w:sz w:val="24"/>
          <w:szCs w:val="24"/>
        </w:rPr>
        <w:t xml:space="preserve">Minority will remain a disability and an attempted conveyance to a minor will take </w:t>
      </w:r>
      <w:r>
        <w:rPr>
          <w:rFonts w:ascii="Times New Roman" w:hAnsi="Times New Roman" w:cs="Times New Roman"/>
          <w:sz w:val="24"/>
          <w:szCs w:val="24"/>
        </w:rPr>
        <w:tab/>
      </w:r>
      <w:r w:rsidRPr="00F73EDB">
        <w:rPr>
          <w:rFonts w:ascii="Times New Roman" w:hAnsi="Times New Roman" w:cs="Times New Roman"/>
          <w:sz w:val="24"/>
          <w:szCs w:val="24"/>
        </w:rPr>
        <w:t xml:space="preserve">effect as a declaration of trust, the land being held by the relevant trustee or trustees </w:t>
      </w:r>
      <w:r>
        <w:rPr>
          <w:rFonts w:ascii="Times New Roman" w:hAnsi="Times New Roman" w:cs="Times New Roman"/>
          <w:sz w:val="24"/>
          <w:szCs w:val="24"/>
        </w:rPr>
        <w:tab/>
      </w:r>
      <w:r w:rsidRPr="00F73EDB">
        <w:rPr>
          <w:rFonts w:ascii="Times New Roman" w:hAnsi="Times New Roman" w:cs="Times New Roman"/>
          <w:sz w:val="24"/>
          <w:szCs w:val="24"/>
        </w:rPr>
        <w:t xml:space="preserve">under the new system. Where the conveyance is made inter vivos, the grantor will </w:t>
      </w:r>
      <w:r>
        <w:rPr>
          <w:rFonts w:ascii="Times New Roman" w:hAnsi="Times New Roman" w:cs="Times New Roman"/>
          <w:sz w:val="24"/>
          <w:szCs w:val="24"/>
        </w:rPr>
        <w:tab/>
      </w:r>
      <w:r w:rsidRPr="00F73EDB">
        <w:rPr>
          <w:rFonts w:ascii="Times New Roman" w:hAnsi="Times New Roman" w:cs="Times New Roman"/>
          <w:sz w:val="24"/>
          <w:szCs w:val="24"/>
        </w:rPr>
        <w:t>hold the land as trustee for the minor. Wh</w:t>
      </w:r>
      <w:r w:rsidR="00BE07F4">
        <w:rPr>
          <w:rFonts w:ascii="Times New Roman" w:hAnsi="Times New Roman" w:cs="Times New Roman"/>
          <w:sz w:val="24"/>
          <w:szCs w:val="24"/>
        </w:rPr>
        <w:t>ere the disposition is testamen</w:t>
      </w:r>
      <w:r w:rsidRPr="00F73EDB">
        <w:rPr>
          <w:rFonts w:ascii="Times New Roman" w:hAnsi="Times New Roman" w:cs="Times New Roman"/>
          <w:sz w:val="24"/>
          <w:szCs w:val="24"/>
        </w:rPr>
        <w:t xml:space="preserve">tary, the </w:t>
      </w:r>
      <w:r>
        <w:rPr>
          <w:rFonts w:ascii="Times New Roman" w:hAnsi="Times New Roman" w:cs="Times New Roman"/>
          <w:sz w:val="24"/>
          <w:szCs w:val="24"/>
        </w:rPr>
        <w:tab/>
      </w:r>
      <w:r w:rsidRPr="00F73EDB">
        <w:rPr>
          <w:rFonts w:ascii="Times New Roman" w:hAnsi="Times New Roman" w:cs="Times New Roman"/>
          <w:sz w:val="24"/>
          <w:szCs w:val="24"/>
        </w:rPr>
        <w:t>personal representatives of the settlor will act as trustees.</w:t>
      </w:r>
      <w:r w:rsidR="00BE07F4">
        <w:rPr>
          <w:rFonts w:ascii="Times New Roman" w:hAnsi="Times New Roman" w:cs="Times New Roman"/>
          <w:sz w:val="24"/>
          <w:szCs w:val="24"/>
        </w:rPr>
        <w:t>"</w:t>
      </w:r>
    </w:p>
    <w:p w14:paraId="4DC334BB" w14:textId="77777777" w:rsidR="00BE07F4" w:rsidRPr="00F73EDB" w:rsidRDefault="00BE07F4" w:rsidP="00BC4282">
      <w:pPr>
        <w:pStyle w:val="ListParagraph"/>
        <w:ind w:left="0"/>
        <w:jc w:val="both"/>
        <w:rPr>
          <w:rFonts w:ascii="Times New Roman" w:hAnsi="Times New Roman" w:cs="Times New Roman"/>
          <w:sz w:val="24"/>
          <w:szCs w:val="24"/>
        </w:rPr>
      </w:pPr>
    </w:p>
    <w:p w14:paraId="54CAD049" w14:textId="77777777" w:rsidR="00BE05C8" w:rsidRDefault="00BE07F4" w:rsidP="00BC4282">
      <w:pPr>
        <w:pStyle w:val="ListParagraph"/>
        <w:ind w:left="0"/>
        <w:jc w:val="both"/>
        <w:rPr>
          <w:rFonts w:ascii="Times New Roman" w:hAnsi="Times New Roman" w:cs="Times New Roman"/>
          <w:sz w:val="24"/>
          <w:szCs w:val="24"/>
        </w:rPr>
      </w:pPr>
      <w:r>
        <w:rPr>
          <w:rFonts w:ascii="Times New Roman" w:hAnsi="Times New Roman" w:cs="Times New Roman"/>
          <w:sz w:val="24"/>
          <w:szCs w:val="24"/>
        </w:rPr>
        <w:t>Thus, a</w:t>
      </w:r>
      <w:r w:rsidR="00BE05C8" w:rsidRPr="00093251">
        <w:rPr>
          <w:rFonts w:ascii="Times New Roman" w:hAnsi="Times New Roman" w:cs="Times New Roman"/>
          <w:sz w:val="24"/>
          <w:szCs w:val="24"/>
        </w:rPr>
        <w:t xml:space="preserve"> trust of land also arises where a minor becomes entitled on intestacy or in any other circumstances</w:t>
      </w:r>
      <w:r w:rsidR="00A302D6">
        <w:rPr>
          <w:rFonts w:ascii="Times New Roman" w:hAnsi="Times New Roman" w:cs="Times New Roman"/>
          <w:sz w:val="24"/>
          <w:szCs w:val="24"/>
        </w:rPr>
        <w:t>.</w:t>
      </w:r>
      <w:r w:rsidR="00A302D6">
        <w:rPr>
          <w:rStyle w:val="FootnoteReference"/>
          <w:rFonts w:ascii="Times New Roman" w:hAnsi="Times New Roman" w:cs="Times New Roman"/>
          <w:sz w:val="24"/>
          <w:szCs w:val="24"/>
        </w:rPr>
        <w:footnoteReference w:id="9"/>
      </w:r>
      <w:r w:rsidR="00A302D6">
        <w:rPr>
          <w:rFonts w:ascii="Times New Roman" w:hAnsi="Times New Roman" w:cs="Times New Roman"/>
          <w:sz w:val="24"/>
          <w:szCs w:val="24"/>
        </w:rPr>
        <w:t xml:space="preserve"> </w:t>
      </w:r>
      <w:r w:rsidR="00BE05C8" w:rsidRPr="00093251">
        <w:rPr>
          <w:rFonts w:ascii="Times New Roman" w:hAnsi="Times New Roman" w:cs="Times New Roman"/>
          <w:sz w:val="24"/>
          <w:szCs w:val="24"/>
        </w:rPr>
        <w:t>If land is passed jointly to two people - one adult and the other a minor - a trust of land is imposed by which the adult holds the land o</w:t>
      </w:r>
      <w:r w:rsidR="00C87B92">
        <w:rPr>
          <w:rFonts w:ascii="Times New Roman" w:hAnsi="Times New Roman" w:cs="Times New Roman"/>
          <w:sz w:val="24"/>
          <w:szCs w:val="24"/>
        </w:rPr>
        <w:t>n trust for both of them either as joint tenants or as tenants in common</w:t>
      </w:r>
      <w:r>
        <w:rPr>
          <w:rFonts w:ascii="Times New Roman" w:hAnsi="Times New Roman" w:cs="Times New Roman"/>
          <w:sz w:val="24"/>
          <w:szCs w:val="24"/>
        </w:rPr>
        <w:t xml:space="preserve"> according to the terms of the transfer</w:t>
      </w:r>
      <w:r w:rsidR="00A302D6">
        <w:rPr>
          <w:rFonts w:ascii="Times New Roman" w:hAnsi="Times New Roman" w:cs="Times New Roman"/>
          <w:sz w:val="24"/>
          <w:szCs w:val="24"/>
        </w:rPr>
        <w:t>.</w:t>
      </w:r>
      <w:r w:rsidR="00A302D6">
        <w:rPr>
          <w:rStyle w:val="FootnoteReference"/>
          <w:rFonts w:ascii="Times New Roman" w:hAnsi="Times New Roman" w:cs="Times New Roman"/>
          <w:sz w:val="24"/>
          <w:szCs w:val="24"/>
        </w:rPr>
        <w:footnoteReference w:id="10"/>
      </w:r>
    </w:p>
    <w:p w14:paraId="03A55F02" w14:textId="77777777" w:rsidR="0064537D" w:rsidRPr="00093251" w:rsidRDefault="0064537D" w:rsidP="00BC4282">
      <w:pPr>
        <w:pStyle w:val="ListParagraph"/>
        <w:ind w:left="0"/>
        <w:jc w:val="both"/>
        <w:rPr>
          <w:rFonts w:ascii="Times New Roman" w:hAnsi="Times New Roman" w:cs="Times New Roman"/>
          <w:sz w:val="24"/>
          <w:szCs w:val="24"/>
        </w:rPr>
      </w:pPr>
    </w:p>
    <w:p w14:paraId="7A3A8513" w14:textId="77777777" w:rsidR="00F45E6C" w:rsidRDefault="00F45E6C" w:rsidP="00F45E6C">
      <w:pPr>
        <w:pStyle w:val="ListParagraph"/>
        <w:ind w:left="360"/>
        <w:jc w:val="both"/>
        <w:rPr>
          <w:rFonts w:ascii="Times New Roman" w:hAnsi="Times New Roman" w:cs="Times New Roman"/>
          <w:sz w:val="24"/>
          <w:szCs w:val="24"/>
        </w:rPr>
      </w:pPr>
    </w:p>
    <w:p w14:paraId="32101055" w14:textId="77777777" w:rsidR="00BE05C8" w:rsidRPr="00BE05C8" w:rsidRDefault="00641653" w:rsidP="00BC4282">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Position</w:t>
      </w:r>
      <w:r w:rsidR="00BE05C8" w:rsidRPr="00BE05C8">
        <w:rPr>
          <w:rFonts w:ascii="Times New Roman" w:hAnsi="Times New Roman" w:cs="Times New Roman"/>
          <w:b/>
          <w:sz w:val="24"/>
          <w:szCs w:val="24"/>
        </w:rPr>
        <w:t xml:space="preserve"> of the trustee</w:t>
      </w:r>
      <w:r w:rsidR="00BE05C8">
        <w:rPr>
          <w:rFonts w:ascii="Times New Roman" w:hAnsi="Times New Roman" w:cs="Times New Roman"/>
          <w:b/>
          <w:sz w:val="24"/>
          <w:szCs w:val="24"/>
        </w:rPr>
        <w:t>s</w:t>
      </w:r>
    </w:p>
    <w:p w14:paraId="2D4F4C0C" w14:textId="77777777" w:rsidR="00F45E6C" w:rsidRDefault="00F45E6C" w:rsidP="00F45E6C">
      <w:pPr>
        <w:pStyle w:val="ListParagraph"/>
        <w:ind w:left="360"/>
        <w:jc w:val="both"/>
        <w:rPr>
          <w:rFonts w:ascii="Times New Roman" w:hAnsi="Times New Roman" w:cs="Times New Roman"/>
          <w:sz w:val="24"/>
          <w:szCs w:val="24"/>
        </w:rPr>
      </w:pPr>
    </w:p>
    <w:p w14:paraId="5625208E" w14:textId="77777777" w:rsidR="004A44B6" w:rsidRDefault="00F45E6C" w:rsidP="00BC4282">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002B274A" w:rsidRPr="00093251">
        <w:rPr>
          <w:rFonts w:ascii="Times New Roman" w:hAnsi="Times New Roman" w:cs="Times New Roman"/>
          <w:sz w:val="24"/>
          <w:szCs w:val="24"/>
        </w:rPr>
        <w:t xml:space="preserve">he trustees may allow the minor (as beneficiary) to occupy the property </w:t>
      </w:r>
      <w:r w:rsidR="00523E3C">
        <w:rPr>
          <w:rFonts w:ascii="Times New Roman" w:hAnsi="Times New Roman" w:cs="Times New Roman"/>
          <w:sz w:val="24"/>
          <w:szCs w:val="24"/>
        </w:rPr>
        <w:t>as a home</w:t>
      </w:r>
      <w:r w:rsidR="00A302D6">
        <w:rPr>
          <w:rFonts w:ascii="Times New Roman" w:hAnsi="Times New Roman" w:cs="Times New Roman"/>
          <w:sz w:val="24"/>
          <w:szCs w:val="24"/>
        </w:rPr>
        <w:t>.</w:t>
      </w:r>
      <w:r w:rsidR="00A302D6">
        <w:rPr>
          <w:rStyle w:val="FootnoteReference"/>
          <w:rFonts w:ascii="Times New Roman" w:hAnsi="Times New Roman" w:cs="Times New Roman"/>
          <w:sz w:val="24"/>
          <w:szCs w:val="24"/>
        </w:rPr>
        <w:footnoteReference w:id="11"/>
      </w:r>
      <w:r w:rsidR="004A44B6">
        <w:rPr>
          <w:rFonts w:ascii="Times New Roman" w:hAnsi="Times New Roman" w:cs="Times New Roman"/>
          <w:sz w:val="24"/>
          <w:szCs w:val="24"/>
        </w:rPr>
        <w:t xml:space="preserve"> </w:t>
      </w:r>
      <w:r w:rsidR="006A7D10" w:rsidRPr="00093251">
        <w:rPr>
          <w:rFonts w:ascii="Times New Roman" w:hAnsi="Times New Roman" w:cs="Times New Roman"/>
          <w:sz w:val="24"/>
          <w:szCs w:val="24"/>
        </w:rPr>
        <w:t>More g</w:t>
      </w:r>
      <w:r w:rsidR="00254D88">
        <w:rPr>
          <w:rFonts w:ascii="Times New Roman" w:hAnsi="Times New Roman" w:cs="Times New Roman"/>
          <w:sz w:val="24"/>
          <w:szCs w:val="24"/>
        </w:rPr>
        <w:t xml:space="preserve">enerally, the powers </w:t>
      </w:r>
      <w:r w:rsidR="006A7D10" w:rsidRPr="00093251">
        <w:rPr>
          <w:rFonts w:ascii="Times New Roman" w:hAnsi="Times New Roman" w:cs="Times New Roman"/>
          <w:sz w:val="24"/>
          <w:szCs w:val="24"/>
        </w:rPr>
        <w:t>of the trustee(s) will be equivalent to that of</w:t>
      </w:r>
      <w:r w:rsidR="00523E3C">
        <w:rPr>
          <w:rFonts w:ascii="Times New Roman" w:hAnsi="Times New Roman" w:cs="Times New Roman"/>
          <w:sz w:val="24"/>
          <w:szCs w:val="24"/>
        </w:rPr>
        <w:t xml:space="preserve"> an absolute owner</w:t>
      </w:r>
      <w:r w:rsidR="004A44B6">
        <w:rPr>
          <w:rFonts w:ascii="Times New Roman" w:hAnsi="Times New Roman" w:cs="Times New Roman"/>
          <w:sz w:val="24"/>
          <w:szCs w:val="24"/>
        </w:rPr>
        <w:t>.</w:t>
      </w:r>
      <w:r w:rsidR="004A44B6">
        <w:rPr>
          <w:rStyle w:val="FootnoteReference"/>
          <w:rFonts w:ascii="Times New Roman" w:hAnsi="Times New Roman" w:cs="Times New Roman"/>
          <w:sz w:val="24"/>
          <w:szCs w:val="24"/>
        </w:rPr>
        <w:footnoteReference w:id="12"/>
      </w:r>
      <w:r w:rsidR="004A44B6">
        <w:rPr>
          <w:rFonts w:ascii="Times New Roman" w:hAnsi="Times New Roman" w:cs="Times New Roman"/>
          <w:sz w:val="24"/>
          <w:szCs w:val="24"/>
        </w:rPr>
        <w:t xml:space="preserve"> </w:t>
      </w:r>
      <w:r w:rsidR="006A7D10" w:rsidRPr="00093251">
        <w:rPr>
          <w:rFonts w:ascii="Times New Roman" w:hAnsi="Times New Roman" w:cs="Times New Roman"/>
          <w:sz w:val="24"/>
          <w:szCs w:val="24"/>
        </w:rPr>
        <w:t>Thus, the trustee(s) can sell the land, grant a mortgage over it, grant a lea</w:t>
      </w:r>
      <w:r w:rsidR="00254D88">
        <w:rPr>
          <w:rFonts w:ascii="Times New Roman" w:hAnsi="Times New Roman" w:cs="Times New Roman"/>
          <w:sz w:val="24"/>
          <w:szCs w:val="24"/>
        </w:rPr>
        <w:t xml:space="preserve">se of all or part, etc. The exercise of such powers </w:t>
      </w:r>
      <w:r w:rsidR="002460EA">
        <w:rPr>
          <w:rFonts w:ascii="Times New Roman" w:hAnsi="Times New Roman" w:cs="Times New Roman"/>
          <w:sz w:val="24"/>
          <w:szCs w:val="24"/>
        </w:rPr>
        <w:t>are</w:t>
      </w:r>
      <w:r w:rsidR="006A7D10" w:rsidRPr="00093251">
        <w:rPr>
          <w:rFonts w:ascii="Times New Roman" w:hAnsi="Times New Roman" w:cs="Times New Roman"/>
          <w:sz w:val="24"/>
          <w:szCs w:val="24"/>
        </w:rPr>
        <w:t xml:space="preserve">, of course, subject to the </w:t>
      </w:r>
      <w:r w:rsidR="002460EA">
        <w:rPr>
          <w:rFonts w:ascii="Times New Roman" w:hAnsi="Times New Roman" w:cs="Times New Roman"/>
          <w:sz w:val="24"/>
          <w:szCs w:val="24"/>
        </w:rPr>
        <w:t xml:space="preserve">overriding </w:t>
      </w:r>
      <w:r w:rsidR="006A7D10" w:rsidRPr="00093251">
        <w:rPr>
          <w:rFonts w:ascii="Times New Roman" w:hAnsi="Times New Roman" w:cs="Times New Roman"/>
          <w:sz w:val="24"/>
          <w:szCs w:val="24"/>
        </w:rPr>
        <w:t xml:space="preserve">duty owed by a trustee to </w:t>
      </w:r>
      <w:r w:rsidR="00254D88">
        <w:rPr>
          <w:rFonts w:ascii="Times New Roman" w:hAnsi="Times New Roman" w:cs="Times New Roman"/>
          <w:sz w:val="24"/>
          <w:szCs w:val="24"/>
        </w:rPr>
        <w:lastRenderedPageBreak/>
        <w:t xml:space="preserve">have regard to the rights of </w:t>
      </w:r>
      <w:r w:rsidR="006A7D10" w:rsidRPr="00093251">
        <w:rPr>
          <w:rFonts w:ascii="Times New Roman" w:hAnsi="Times New Roman" w:cs="Times New Roman"/>
          <w:sz w:val="24"/>
          <w:szCs w:val="24"/>
        </w:rPr>
        <w:t>th</w:t>
      </w:r>
      <w:r w:rsidR="004A44B6">
        <w:rPr>
          <w:rFonts w:ascii="Times New Roman" w:hAnsi="Times New Roman" w:cs="Times New Roman"/>
          <w:sz w:val="24"/>
          <w:szCs w:val="24"/>
        </w:rPr>
        <w:t>e beneficiaries.</w:t>
      </w:r>
      <w:r w:rsidR="004A44B6">
        <w:rPr>
          <w:rStyle w:val="FootnoteReference"/>
          <w:rFonts w:ascii="Times New Roman" w:hAnsi="Times New Roman" w:cs="Times New Roman"/>
          <w:sz w:val="24"/>
          <w:szCs w:val="24"/>
        </w:rPr>
        <w:footnoteReference w:id="13"/>
      </w:r>
      <w:r w:rsidR="00523E3C">
        <w:rPr>
          <w:rFonts w:ascii="Times New Roman" w:hAnsi="Times New Roman" w:cs="Times New Roman"/>
          <w:sz w:val="24"/>
          <w:szCs w:val="24"/>
        </w:rPr>
        <w:t xml:space="preserve"> </w:t>
      </w:r>
      <w:r w:rsidR="006A7D10" w:rsidRPr="00093251">
        <w:rPr>
          <w:rFonts w:ascii="Times New Roman" w:hAnsi="Times New Roman" w:cs="Times New Roman"/>
          <w:sz w:val="24"/>
          <w:szCs w:val="24"/>
        </w:rPr>
        <w:t>A trustee is also subject to the usual fiduciary du</w:t>
      </w:r>
      <w:r w:rsidR="004A44B6">
        <w:rPr>
          <w:rFonts w:ascii="Times New Roman" w:hAnsi="Times New Roman" w:cs="Times New Roman"/>
          <w:sz w:val="24"/>
          <w:szCs w:val="24"/>
        </w:rPr>
        <w:t>ties of trustees.</w:t>
      </w:r>
      <w:r w:rsidR="004A44B6">
        <w:rPr>
          <w:rStyle w:val="FootnoteReference"/>
          <w:rFonts w:ascii="Times New Roman" w:hAnsi="Times New Roman" w:cs="Times New Roman"/>
          <w:sz w:val="24"/>
          <w:szCs w:val="24"/>
        </w:rPr>
        <w:footnoteReference w:id="14"/>
      </w:r>
      <w:r w:rsidR="00716C00">
        <w:rPr>
          <w:rFonts w:ascii="Times New Roman" w:hAnsi="Times New Roman" w:cs="Times New Roman"/>
          <w:sz w:val="24"/>
          <w:szCs w:val="24"/>
        </w:rPr>
        <w:t xml:space="preserve"> These include a duty to preserve the assets of the trust and, where appropriate, manage the trust property.</w:t>
      </w:r>
      <w:r w:rsidR="00716C00">
        <w:rPr>
          <w:rStyle w:val="FootnoteReference"/>
          <w:rFonts w:ascii="Times New Roman" w:hAnsi="Times New Roman" w:cs="Times New Roman"/>
          <w:sz w:val="24"/>
          <w:szCs w:val="24"/>
        </w:rPr>
        <w:footnoteReference w:id="15"/>
      </w:r>
      <w:r w:rsidR="00716C00">
        <w:rPr>
          <w:rFonts w:ascii="Times New Roman" w:hAnsi="Times New Roman" w:cs="Times New Roman"/>
          <w:sz w:val="24"/>
          <w:szCs w:val="24"/>
        </w:rPr>
        <w:t xml:space="preserve"> </w:t>
      </w:r>
    </w:p>
    <w:p w14:paraId="695ECA44" w14:textId="77777777" w:rsidR="00C11292" w:rsidRDefault="00C11292" w:rsidP="00BC4282">
      <w:pPr>
        <w:pStyle w:val="ListParagraph"/>
        <w:ind w:left="0"/>
        <w:jc w:val="both"/>
        <w:rPr>
          <w:rFonts w:ascii="Times New Roman" w:hAnsi="Times New Roman" w:cs="Times New Roman"/>
          <w:sz w:val="24"/>
          <w:szCs w:val="24"/>
        </w:rPr>
      </w:pPr>
    </w:p>
    <w:p w14:paraId="74827502" w14:textId="77777777" w:rsidR="00C11292" w:rsidRDefault="00C11292" w:rsidP="00BC4282">
      <w:pPr>
        <w:pStyle w:val="ListParagraph"/>
        <w:ind w:left="0"/>
        <w:jc w:val="both"/>
        <w:rPr>
          <w:rFonts w:ascii="Times New Roman" w:hAnsi="Times New Roman" w:cs="Times New Roman"/>
          <w:sz w:val="24"/>
          <w:szCs w:val="24"/>
        </w:rPr>
      </w:pPr>
    </w:p>
    <w:p w14:paraId="4BCFB38E" w14:textId="77777777" w:rsidR="00C11292" w:rsidRPr="00C11292" w:rsidRDefault="00C11292" w:rsidP="00BC4282">
      <w:pPr>
        <w:pStyle w:val="ListParagraph"/>
        <w:ind w:left="0"/>
        <w:jc w:val="both"/>
        <w:rPr>
          <w:rFonts w:ascii="Times New Roman" w:hAnsi="Times New Roman" w:cs="Times New Roman"/>
          <w:b/>
          <w:sz w:val="24"/>
          <w:szCs w:val="24"/>
        </w:rPr>
      </w:pPr>
      <w:r w:rsidRPr="00C11292">
        <w:rPr>
          <w:rFonts w:ascii="Times New Roman" w:hAnsi="Times New Roman" w:cs="Times New Roman"/>
          <w:b/>
          <w:sz w:val="24"/>
          <w:szCs w:val="24"/>
        </w:rPr>
        <w:t>Trustee</w:t>
      </w:r>
      <w:r w:rsidR="00E42A1B">
        <w:rPr>
          <w:rFonts w:ascii="Times New Roman" w:hAnsi="Times New Roman" w:cs="Times New Roman"/>
          <w:b/>
          <w:sz w:val="24"/>
          <w:szCs w:val="24"/>
        </w:rPr>
        <w:t>s</w:t>
      </w:r>
      <w:r w:rsidRPr="00C11292">
        <w:rPr>
          <w:rFonts w:ascii="Times New Roman" w:hAnsi="Times New Roman" w:cs="Times New Roman"/>
          <w:b/>
          <w:sz w:val="24"/>
          <w:szCs w:val="24"/>
        </w:rPr>
        <w:t xml:space="preserve"> as bare trustee</w:t>
      </w:r>
      <w:r w:rsidR="00E42A1B">
        <w:rPr>
          <w:rFonts w:ascii="Times New Roman" w:hAnsi="Times New Roman" w:cs="Times New Roman"/>
          <w:b/>
          <w:sz w:val="24"/>
          <w:szCs w:val="24"/>
        </w:rPr>
        <w:t>s</w:t>
      </w:r>
    </w:p>
    <w:p w14:paraId="7A2822BA" w14:textId="77777777" w:rsidR="00C11292" w:rsidRDefault="00C11292" w:rsidP="00C11292">
      <w:pPr>
        <w:jc w:val="both"/>
        <w:rPr>
          <w:rFonts w:ascii="Times New Roman" w:hAnsi="Times New Roman" w:cs="Times New Roman"/>
          <w:sz w:val="24"/>
          <w:szCs w:val="24"/>
        </w:rPr>
      </w:pPr>
      <w:r>
        <w:rPr>
          <w:rFonts w:ascii="Times New Roman" w:hAnsi="Times New Roman" w:cs="Times New Roman"/>
          <w:sz w:val="24"/>
          <w:szCs w:val="24"/>
        </w:rPr>
        <w:t xml:space="preserve">One significant difference between bare trusts and other types of trust is that the </w:t>
      </w:r>
      <w:r w:rsidRPr="00467F1D">
        <w:rPr>
          <w:rFonts w:ascii="Times New Roman" w:hAnsi="Times New Roman" w:cs="Times New Roman"/>
          <w:sz w:val="24"/>
          <w:szCs w:val="24"/>
        </w:rPr>
        <w:t>trustee</w:t>
      </w:r>
      <w:r w:rsidR="00057046">
        <w:rPr>
          <w:rFonts w:ascii="Times New Roman" w:hAnsi="Times New Roman" w:cs="Times New Roman"/>
          <w:sz w:val="24"/>
          <w:szCs w:val="24"/>
        </w:rPr>
        <w:t>s have</w:t>
      </w:r>
      <w:r w:rsidRPr="00467F1D">
        <w:rPr>
          <w:rFonts w:ascii="Times New Roman" w:hAnsi="Times New Roman" w:cs="Times New Roman"/>
          <w:sz w:val="24"/>
          <w:szCs w:val="24"/>
        </w:rPr>
        <w:t xml:space="preserve"> no active duties relating to the trust property</w:t>
      </w:r>
      <w:r>
        <w:rPr>
          <w:rFonts w:ascii="Times New Roman" w:hAnsi="Times New Roman" w:cs="Times New Roman"/>
          <w:sz w:val="24"/>
          <w:szCs w:val="24"/>
        </w:rPr>
        <w:t>. Accordingly, the trustee</w:t>
      </w:r>
      <w:r w:rsidR="00057046">
        <w:rPr>
          <w:rFonts w:ascii="Times New Roman" w:hAnsi="Times New Roman" w:cs="Times New Roman"/>
          <w:sz w:val="24"/>
          <w:szCs w:val="24"/>
        </w:rPr>
        <w:t>s of a bare trust are</w:t>
      </w:r>
      <w:r>
        <w:rPr>
          <w:rFonts w:ascii="Times New Roman" w:hAnsi="Times New Roman" w:cs="Times New Roman"/>
          <w:sz w:val="24"/>
          <w:szCs w:val="24"/>
        </w:rPr>
        <w:t xml:space="preserve"> under no obligation to invest the trust property or otherwise manage it, but merely to hold it until called for by the beneficiary. In particular, t</w:t>
      </w:r>
      <w:r w:rsidRPr="007626EE">
        <w:rPr>
          <w:rFonts w:ascii="Times New Roman" w:hAnsi="Times New Roman" w:cs="Times New Roman"/>
          <w:sz w:val="24"/>
          <w:szCs w:val="24"/>
        </w:rPr>
        <w:t>he trustee</w:t>
      </w:r>
      <w:r w:rsidR="00057046">
        <w:rPr>
          <w:rFonts w:ascii="Times New Roman" w:hAnsi="Times New Roman" w:cs="Times New Roman"/>
          <w:sz w:val="24"/>
          <w:szCs w:val="24"/>
        </w:rPr>
        <w:t>s have</w:t>
      </w:r>
      <w:r w:rsidRPr="007626EE">
        <w:rPr>
          <w:rFonts w:ascii="Times New Roman" w:hAnsi="Times New Roman" w:cs="Times New Roman"/>
          <w:sz w:val="24"/>
          <w:szCs w:val="24"/>
        </w:rPr>
        <w:t xml:space="preserve"> no discretion as to the disposal of the trust property</w:t>
      </w:r>
      <w:r>
        <w:rPr>
          <w:rFonts w:ascii="Times New Roman" w:hAnsi="Times New Roman" w:cs="Times New Roman"/>
          <w:sz w:val="24"/>
          <w:szCs w:val="24"/>
        </w:rPr>
        <w:t>. Essentially, the trustee</w:t>
      </w:r>
      <w:r w:rsidR="00057046">
        <w:rPr>
          <w:rFonts w:ascii="Times New Roman" w:hAnsi="Times New Roman" w:cs="Times New Roman"/>
          <w:sz w:val="24"/>
          <w:szCs w:val="24"/>
        </w:rPr>
        <w:t>s stand</w:t>
      </w:r>
      <w:r>
        <w:rPr>
          <w:rFonts w:ascii="Times New Roman" w:hAnsi="Times New Roman" w:cs="Times New Roman"/>
          <w:sz w:val="24"/>
          <w:szCs w:val="24"/>
        </w:rPr>
        <w:t xml:space="preserve"> merely as nominee</w:t>
      </w:r>
      <w:r w:rsidR="00057046">
        <w:rPr>
          <w:rFonts w:ascii="Times New Roman" w:hAnsi="Times New Roman" w:cs="Times New Roman"/>
          <w:sz w:val="24"/>
          <w:szCs w:val="24"/>
        </w:rPr>
        <w:t>s (in the sense of those who hold</w:t>
      </w:r>
      <w:r>
        <w:rPr>
          <w:rFonts w:ascii="Times New Roman" w:hAnsi="Times New Roman" w:cs="Times New Roman"/>
          <w:sz w:val="24"/>
          <w:szCs w:val="24"/>
        </w:rPr>
        <w:t xml:space="preserve"> property in the name of another) for the beneficiary.</w:t>
      </w:r>
    </w:p>
    <w:p w14:paraId="70C93918" w14:textId="77777777" w:rsidR="00AE63FD" w:rsidRDefault="00E93F7B" w:rsidP="00C11292">
      <w:pPr>
        <w:jc w:val="both"/>
        <w:rPr>
          <w:rFonts w:ascii="Times New Roman" w:hAnsi="Times New Roman" w:cs="Times New Roman"/>
          <w:color w:val="000000"/>
          <w:sz w:val="24"/>
          <w:szCs w:val="24"/>
        </w:rPr>
      </w:pPr>
      <w:r>
        <w:rPr>
          <w:rFonts w:ascii="Times New Roman" w:hAnsi="Times New Roman" w:cs="Times New Roman"/>
          <w:sz w:val="24"/>
          <w:szCs w:val="24"/>
        </w:rPr>
        <w:t xml:space="preserve">It is </w:t>
      </w:r>
      <w:r w:rsidR="00AE63FD">
        <w:rPr>
          <w:rFonts w:ascii="Times New Roman" w:hAnsi="Times New Roman" w:cs="Times New Roman"/>
          <w:sz w:val="24"/>
          <w:szCs w:val="24"/>
        </w:rPr>
        <w:t>not un</w:t>
      </w:r>
      <w:r w:rsidR="00AE63FD" w:rsidRPr="0097109E">
        <w:rPr>
          <w:rStyle w:val="e24kjd"/>
          <w:rFonts w:ascii="Times New Roman" w:hAnsi="Times New Roman" w:cs="Times New Roman"/>
          <w:color w:val="222222"/>
          <w:sz w:val="24"/>
          <w:szCs w:val="24"/>
        </w:rPr>
        <w:t xml:space="preserve">common </w:t>
      </w:r>
      <w:r w:rsidR="00AE63FD">
        <w:rPr>
          <w:rStyle w:val="e24kjd"/>
          <w:rFonts w:ascii="Times New Roman" w:hAnsi="Times New Roman" w:cs="Times New Roman"/>
          <w:color w:val="222222"/>
          <w:sz w:val="24"/>
          <w:szCs w:val="24"/>
        </w:rPr>
        <w:t xml:space="preserve">to use </w:t>
      </w:r>
      <w:r w:rsidR="00154B9A">
        <w:rPr>
          <w:rStyle w:val="e24kjd"/>
          <w:rFonts w:ascii="Times New Roman" w:hAnsi="Times New Roman" w:cs="Times New Roman"/>
          <w:color w:val="222222"/>
          <w:sz w:val="24"/>
          <w:szCs w:val="24"/>
        </w:rPr>
        <w:t>an express</w:t>
      </w:r>
      <w:r w:rsidR="00AE63FD">
        <w:rPr>
          <w:rStyle w:val="e24kjd"/>
          <w:rFonts w:ascii="Times New Roman" w:hAnsi="Times New Roman" w:cs="Times New Roman"/>
          <w:color w:val="222222"/>
          <w:sz w:val="24"/>
          <w:szCs w:val="24"/>
        </w:rPr>
        <w:t xml:space="preserve"> bare trust in order </w:t>
      </w:r>
      <w:r w:rsidR="00641653">
        <w:rPr>
          <w:rStyle w:val="e24kjd"/>
          <w:rFonts w:ascii="Times New Roman" w:hAnsi="Times New Roman" w:cs="Times New Roman"/>
          <w:color w:val="222222"/>
          <w:sz w:val="24"/>
          <w:szCs w:val="24"/>
        </w:rPr>
        <w:t xml:space="preserve">to hold assets </w:t>
      </w:r>
      <w:r w:rsidR="00AE63FD" w:rsidRPr="0097109E">
        <w:rPr>
          <w:rStyle w:val="e24kjd"/>
          <w:rFonts w:ascii="Times New Roman" w:hAnsi="Times New Roman" w:cs="Times New Roman"/>
          <w:color w:val="222222"/>
          <w:sz w:val="24"/>
          <w:szCs w:val="24"/>
        </w:rPr>
        <w:t xml:space="preserve">on behalf of </w:t>
      </w:r>
      <w:r>
        <w:rPr>
          <w:rStyle w:val="e24kjd"/>
          <w:rFonts w:ascii="Times New Roman" w:hAnsi="Times New Roman" w:cs="Times New Roman"/>
          <w:color w:val="222222"/>
          <w:sz w:val="24"/>
          <w:szCs w:val="24"/>
        </w:rPr>
        <w:t>a minor</w:t>
      </w:r>
      <w:r w:rsidR="00AE63FD" w:rsidRPr="0097109E">
        <w:rPr>
          <w:rStyle w:val="e24kjd"/>
          <w:rFonts w:ascii="Times New Roman" w:hAnsi="Times New Roman" w:cs="Times New Roman"/>
          <w:color w:val="222222"/>
          <w:sz w:val="24"/>
          <w:szCs w:val="24"/>
        </w:rPr>
        <w:t xml:space="preserve">. </w:t>
      </w:r>
      <w:r w:rsidR="00AE63FD" w:rsidRPr="0033525D">
        <w:rPr>
          <w:rFonts w:ascii="Times New Roman" w:hAnsi="Times New Roman" w:cs="Times New Roman"/>
          <w:sz w:val="24"/>
          <w:szCs w:val="24"/>
        </w:rPr>
        <w:t xml:space="preserve">Bare trusts offer tax advantages to individuals who </w:t>
      </w:r>
      <w:r w:rsidR="00AE63FD">
        <w:rPr>
          <w:rFonts w:ascii="Times New Roman" w:hAnsi="Times New Roman" w:cs="Times New Roman"/>
          <w:sz w:val="24"/>
          <w:szCs w:val="24"/>
        </w:rPr>
        <w:t xml:space="preserve">wish to </w:t>
      </w:r>
      <w:r w:rsidR="00AE63FD" w:rsidRPr="0033525D">
        <w:rPr>
          <w:rFonts w:ascii="Times New Roman" w:hAnsi="Times New Roman" w:cs="Times New Roman"/>
          <w:sz w:val="24"/>
          <w:szCs w:val="24"/>
        </w:rPr>
        <w:t>set up</w:t>
      </w:r>
      <w:r w:rsidR="00AE63FD">
        <w:rPr>
          <w:rFonts w:ascii="Times New Roman" w:hAnsi="Times New Roman" w:cs="Times New Roman"/>
          <w:sz w:val="24"/>
          <w:szCs w:val="24"/>
        </w:rPr>
        <w:t xml:space="preserve"> a </w:t>
      </w:r>
      <w:r w:rsidR="00AE63FD" w:rsidRPr="0033525D">
        <w:rPr>
          <w:rFonts w:ascii="Times New Roman" w:hAnsi="Times New Roman" w:cs="Times New Roman"/>
          <w:sz w:val="24"/>
          <w:szCs w:val="24"/>
        </w:rPr>
        <w:t xml:space="preserve">trust </w:t>
      </w:r>
      <w:r w:rsidR="00AE63FD">
        <w:rPr>
          <w:rFonts w:ascii="Times New Roman" w:hAnsi="Times New Roman" w:cs="Times New Roman"/>
          <w:sz w:val="24"/>
          <w:szCs w:val="24"/>
        </w:rPr>
        <w:t>in favour of their children or grandchildren</w:t>
      </w:r>
      <w:r w:rsidR="00AE63FD" w:rsidRPr="0033525D">
        <w:rPr>
          <w:rFonts w:ascii="Times New Roman" w:hAnsi="Times New Roman" w:cs="Times New Roman"/>
          <w:sz w:val="24"/>
          <w:szCs w:val="24"/>
        </w:rPr>
        <w:t>.</w:t>
      </w:r>
      <w:r w:rsidR="00AE63FD">
        <w:rPr>
          <w:rFonts w:ascii="Times New Roman" w:hAnsi="Times New Roman" w:cs="Times New Roman"/>
          <w:sz w:val="24"/>
          <w:szCs w:val="24"/>
        </w:rPr>
        <w:t xml:space="preserve"> Thus, </w:t>
      </w:r>
      <w:r w:rsidR="00AE63FD">
        <w:rPr>
          <w:rFonts w:ascii="Times New Roman" w:hAnsi="Times New Roman" w:cs="Times New Roman"/>
          <w:color w:val="000000"/>
          <w:sz w:val="24"/>
          <w:szCs w:val="24"/>
        </w:rPr>
        <w:t>a</w:t>
      </w:r>
      <w:r>
        <w:rPr>
          <w:rFonts w:ascii="Times New Roman" w:hAnsi="Times New Roman" w:cs="Times New Roman"/>
          <w:color w:val="000000"/>
          <w:sz w:val="24"/>
          <w:szCs w:val="24"/>
        </w:rPr>
        <w:t>s soon</w:t>
      </w:r>
      <w:r w:rsidR="00641653">
        <w:rPr>
          <w:rFonts w:ascii="Times New Roman" w:hAnsi="Times New Roman" w:cs="Times New Roman"/>
          <w:color w:val="000000"/>
          <w:sz w:val="24"/>
          <w:szCs w:val="24"/>
        </w:rPr>
        <w:t xml:space="preserve"> as </w:t>
      </w:r>
      <w:r>
        <w:rPr>
          <w:rFonts w:ascii="Times New Roman" w:hAnsi="Times New Roman" w:cs="Times New Roman"/>
          <w:color w:val="000000"/>
          <w:sz w:val="24"/>
          <w:szCs w:val="24"/>
        </w:rPr>
        <w:t xml:space="preserve">the deceased's assets </w:t>
      </w:r>
      <w:r w:rsidR="00AE63FD" w:rsidRPr="00D55DCD">
        <w:rPr>
          <w:rFonts w:ascii="Times New Roman" w:hAnsi="Times New Roman" w:cs="Times New Roman"/>
          <w:color w:val="000000"/>
          <w:sz w:val="24"/>
          <w:szCs w:val="24"/>
        </w:rPr>
        <w:t>are put into a bare trust</w:t>
      </w:r>
      <w:r w:rsidR="00AE63FD">
        <w:rPr>
          <w:rFonts w:ascii="Times New Roman" w:hAnsi="Times New Roman" w:cs="Times New Roman"/>
          <w:color w:val="000000"/>
          <w:sz w:val="24"/>
          <w:szCs w:val="24"/>
        </w:rPr>
        <w:t>,</w:t>
      </w:r>
      <w:r w:rsidR="00AE63FD" w:rsidRPr="00D55DCD">
        <w:rPr>
          <w:rFonts w:ascii="Times New Roman" w:hAnsi="Times New Roman" w:cs="Times New Roman"/>
          <w:color w:val="000000"/>
          <w:sz w:val="24"/>
          <w:szCs w:val="24"/>
        </w:rPr>
        <w:t xml:space="preserve"> they are taxed as if they belong to the child, which usually means there is little or no tax to pay on any income or gains</w:t>
      </w:r>
      <w:r w:rsidR="00AE63FD">
        <w:rPr>
          <w:rFonts w:ascii="Times New Roman" w:hAnsi="Times New Roman" w:cs="Times New Roman"/>
          <w:color w:val="000000"/>
          <w:sz w:val="24"/>
          <w:szCs w:val="24"/>
        </w:rPr>
        <w:t xml:space="preserve">. </w:t>
      </w:r>
    </w:p>
    <w:p w14:paraId="72A053EA" w14:textId="77777777" w:rsidR="00092686" w:rsidRDefault="00092686" w:rsidP="00092686">
      <w:pPr>
        <w:jc w:val="both"/>
        <w:rPr>
          <w:rFonts w:ascii="Times New Roman" w:hAnsi="Times New Roman" w:cs="Times New Roman"/>
          <w:sz w:val="24"/>
          <w:szCs w:val="24"/>
        </w:rPr>
      </w:pPr>
      <w:r>
        <w:rPr>
          <w:rFonts w:ascii="Times New Roman" w:hAnsi="Times New Roman" w:cs="Times New Roman"/>
          <w:sz w:val="24"/>
          <w:szCs w:val="24"/>
        </w:rPr>
        <w:t xml:space="preserve">Once the minor reaches majority, he may request </w:t>
      </w:r>
      <w:r w:rsidRPr="00E47A6E">
        <w:rPr>
          <w:rFonts w:ascii="Times New Roman" w:hAnsi="Times New Roman" w:cs="Times New Roman"/>
          <w:sz w:val="24"/>
          <w:szCs w:val="24"/>
        </w:rPr>
        <w:t xml:space="preserve">that the legal title </w:t>
      </w:r>
      <w:r>
        <w:rPr>
          <w:rFonts w:ascii="Times New Roman" w:hAnsi="Times New Roman" w:cs="Times New Roman"/>
          <w:sz w:val="24"/>
          <w:szCs w:val="24"/>
        </w:rPr>
        <w:t xml:space="preserve">to the trust property </w:t>
      </w:r>
      <w:r w:rsidR="007D1240">
        <w:rPr>
          <w:rFonts w:ascii="Times New Roman" w:hAnsi="Times New Roman" w:cs="Times New Roman"/>
          <w:sz w:val="24"/>
          <w:szCs w:val="24"/>
        </w:rPr>
        <w:t>be</w:t>
      </w:r>
      <w:r w:rsidRPr="00E47A6E">
        <w:rPr>
          <w:rFonts w:ascii="Times New Roman" w:hAnsi="Times New Roman" w:cs="Times New Roman"/>
          <w:sz w:val="24"/>
          <w:szCs w:val="24"/>
        </w:rPr>
        <w:t xml:space="preserve"> transferred to him </w:t>
      </w:r>
      <w:r>
        <w:rPr>
          <w:rFonts w:ascii="Times New Roman" w:hAnsi="Times New Roman" w:cs="Times New Roman"/>
          <w:sz w:val="24"/>
          <w:szCs w:val="24"/>
        </w:rPr>
        <w:t>–</w:t>
      </w:r>
      <w:r w:rsidRPr="00E47A6E">
        <w:rPr>
          <w:rFonts w:ascii="Times New Roman" w:hAnsi="Times New Roman" w:cs="Times New Roman"/>
          <w:sz w:val="24"/>
          <w:szCs w:val="24"/>
        </w:rPr>
        <w:t xml:space="preserve"> </w:t>
      </w:r>
      <w:r>
        <w:rPr>
          <w:rFonts w:ascii="Times New Roman" w:hAnsi="Times New Roman" w:cs="Times New Roman"/>
          <w:sz w:val="24"/>
          <w:szCs w:val="24"/>
        </w:rPr>
        <w:t>being a bare trust, t</w:t>
      </w:r>
      <w:r w:rsidRPr="00E47A6E">
        <w:rPr>
          <w:rFonts w:ascii="Times New Roman" w:hAnsi="Times New Roman" w:cs="Times New Roman"/>
          <w:sz w:val="24"/>
          <w:szCs w:val="24"/>
        </w:rPr>
        <w:t>he trustee</w:t>
      </w:r>
      <w:r w:rsidR="00562F08">
        <w:rPr>
          <w:rFonts w:ascii="Times New Roman" w:hAnsi="Times New Roman" w:cs="Times New Roman"/>
          <w:sz w:val="24"/>
          <w:szCs w:val="24"/>
        </w:rPr>
        <w:t>s</w:t>
      </w:r>
      <w:r w:rsidRPr="00E47A6E">
        <w:rPr>
          <w:rFonts w:ascii="Times New Roman" w:hAnsi="Times New Roman" w:cs="Times New Roman"/>
          <w:sz w:val="24"/>
          <w:szCs w:val="24"/>
        </w:rPr>
        <w:t xml:space="preserve"> must comply</w:t>
      </w:r>
      <w:r>
        <w:rPr>
          <w:rFonts w:ascii="Times New Roman" w:hAnsi="Times New Roman" w:cs="Times New Roman"/>
          <w:sz w:val="24"/>
          <w:szCs w:val="24"/>
        </w:rPr>
        <w:t xml:space="preserve"> with the beneficiary’s request. In </w:t>
      </w:r>
      <w:r w:rsidRPr="00E47A6E">
        <w:rPr>
          <w:rFonts w:ascii="Times New Roman" w:hAnsi="Times New Roman" w:cs="Times New Roman"/>
          <w:i/>
          <w:sz w:val="24"/>
          <w:szCs w:val="24"/>
        </w:rPr>
        <w:t>Saunders v Vautier</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16"/>
      </w:r>
      <w:r>
        <w:rPr>
          <w:rFonts w:ascii="Times New Roman" w:hAnsi="Times New Roman" w:cs="Times New Roman"/>
          <w:sz w:val="24"/>
          <w:szCs w:val="24"/>
        </w:rPr>
        <w:t xml:space="preserve"> trustees held £2,000 of East India stock on trust for Vautier. They were required to accumulate the dividends until Vautier reached the age of 25 and then transfer the capital (and accumulated dividends) to him. When he reached majority (which, at that time, was the age of 21), he demanded that the whole fund be paid to him. The court held that he was entitled to the whole fund as he had an absolute interest in the money. </w:t>
      </w:r>
    </w:p>
    <w:p w14:paraId="0BC01E23" w14:textId="77777777" w:rsidR="00161148" w:rsidRDefault="00161148" w:rsidP="00161148">
      <w:pPr>
        <w:pStyle w:val="ListParagraph"/>
        <w:ind w:left="360"/>
        <w:jc w:val="both"/>
        <w:rPr>
          <w:rFonts w:ascii="Times New Roman" w:hAnsi="Times New Roman" w:cs="Times New Roman"/>
          <w:b/>
          <w:sz w:val="24"/>
          <w:szCs w:val="24"/>
        </w:rPr>
      </w:pPr>
    </w:p>
    <w:p w14:paraId="6450EE5E" w14:textId="77777777" w:rsidR="00161148" w:rsidRDefault="00161148" w:rsidP="00BC4282">
      <w:pPr>
        <w:pStyle w:val="ListParagraph"/>
        <w:ind w:left="0"/>
        <w:jc w:val="both"/>
        <w:rPr>
          <w:rFonts w:ascii="Times New Roman" w:hAnsi="Times New Roman" w:cs="Times New Roman"/>
          <w:b/>
          <w:sz w:val="24"/>
          <w:szCs w:val="24"/>
        </w:rPr>
      </w:pPr>
      <w:r w:rsidRPr="00161148">
        <w:rPr>
          <w:rFonts w:ascii="Times New Roman" w:hAnsi="Times New Roman" w:cs="Times New Roman"/>
          <w:b/>
          <w:sz w:val="24"/>
          <w:szCs w:val="24"/>
        </w:rPr>
        <w:t>Contracts</w:t>
      </w:r>
    </w:p>
    <w:p w14:paraId="0FD57B32" w14:textId="77777777" w:rsidR="00161148" w:rsidRDefault="00161148" w:rsidP="00161148">
      <w:pPr>
        <w:pStyle w:val="ListParagraph"/>
        <w:ind w:left="360"/>
        <w:jc w:val="both"/>
        <w:rPr>
          <w:rFonts w:ascii="Times New Roman" w:hAnsi="Times New Roman" w:cs="Times New Roman"/>
          <w:b/>
          <w:sz w:val="24"/>
          <w:szCs w:val="24"/>
        </w:rPr>
      </w:pPr>
    </w:p>
    <w:p w14:paraId="0BE3E7FC" w14:textId="77777777" w:rsidR="00161148" w:rsidRPr="004A44B6" w:rsidRDefault="00EB183A" w:rsidP="00BC4282">
      <w:pPr>
        <w:pStyle w:val="ListParagraph"/>
        <w:ind w:left="0"/>
        <w:jc w:val="both"/>
        <w:rPr>
          <w:rFonts w:ascii="Times New Roman" w:hAnsi="Times New Roman" w:cs="Times New Roman"/>
          <w:sz w:val="24"/>
          <w:szCs w:val="24"/>
        </w:rPr>
      </w:pPr>
      <w:r w:rsidRPr="00093251">
        <w:rPr>
          <w:rFonts w:ascii="Times New Roman" w:hAnsi="Times New Roman" w:cs="Times New Roman"/>
          <w:sz w:val="24"/>
          <w:szCs w:val="24"/>
        </w:rPr>
        <w:t xml:space="preserve">A minor who enters into a </w:t>
      </w:r>
      <w:r w:rsidRPr="00093251">
        <w:rPr>
          <w:rFonts w:ascii="Times New Roman" w:hAnsi="Times New Roman" w:cs="Times New Roman"/>
          <w:i/>
          <w:sz w:val="24"/>
          <w:szCs w:val="24"/>
        </w:rPr>
        <w:t>contract</w:t>
      </w:r>
      <w:r w:rsidRPr="00093251">
        <w:rPr>
          <w:rFonts w:ascii="Times New Roman" w:hAnsi="Times New Roman" w:cs="Times New Roman"/>
          <w:sz w:val="24"/>
          <w:szCs w:val="24"/>
        </w:rPr>
        <w:t xml:space="preserve"> for the acquisition of an interest in land (for example, a lease)</w:t>
      </w:r>
      <w:r w:rsidR="00E87238" w:rsidRPr="00093251">
        <w:rPr>
          <w:rFonts w:ascii="Times New Roman" w:hAnsi="Times New Roman" w:cs="Times New Roman"/>
          <w:sz w:val="24"/>
          <w:szCs w:val="24"/>
        </w:rPr>
        <w:t xml:space="preserve"> will be bound to carry </w:t>
      </w:r>
      <w:r w:rsidRPr="00093251">
        <w:rPr>
          <w:rFonts w:ascii="Times New Roman" w:hAnsi="Times New Roman" w:cs="Times New Roman"/>
          <w:sz w:val="24"/>
          <w:szCs w:val="24"/>
        </w:rPr>
        <w:t>out the obligat</w:t>
      </w:r>
      <w:r w:rsidR="002460EA">
        <w:rPr>
          <w:rFonts w:ascii="Times New Roman" w:hAnsi="Times New Roman" w:cs="Times New Roman"/>
          <w:sz w:val="24"/>
          <w:szCs w:val="24"/>
        </w:rPr>
        <w:t xml:space="preserve">ions under it until he </w:t>
      </w:r>
      <w:r w:rsidR="00E87238" w:rsidRPr="00093251">
        <w:rPr>
          <w:rFonts w:ascii="Times New Roman" w:hAnsi="Times New Roman" w:cs="Times New Roman"/>
          <w:sz w:val="24"/>
          <w:szCs w:val="24"/>
        </w:rPr>
        <w:t xml:space="preserve">renounces </w:t>
      </w:r>
      <w:r w:rsidR="002B274A" w:rsidRPr="00093251">
        <w:rPr>
          <w:rFonts w:ascii="Times New Roman" w:hAnsi="Times New Roman" w:cs="Times New Roman"/>
          <w:sz w:val="24"/>
          <w:szCs w:val="24"/>
        </w:rPr>
        <w:t>the c</w:t>
      </w:r>
      <w:r w:rsidR="001C459F" w:rsidRPr="00093251">
        <w:rPr>
          <w:rFonts w:ascii="Times New Roman" w:hAnsi="Times New Roman" w:cs="Times New Roman"/>
          <w:sz w:val="24"/>
          <w:szCs w:val="24"/>
        </w:rPr>
        <w:t>ontract</w:t>
      </w:r>
      <w:r w:rsidRPr="00093251">
        <w:rPr>
          <w:rFonts w:ascii="Times New Roman" w:hAnsi="Times New Roman" w:cs="Times New Roman"/>
          <w:sz w:val="24"/>
          <w:szCs w:val="24"/>
        </w:rPr>
        <w:t>.</w:t>
      </w:r>
      <w:r w:rsidR="00ED6737">
        <w:rPr>
          <w:rStyle w:val="FootnoteReference"/>
          <w:rFonts w:ascii="Times New Roman" w:hAnsi="Times New Roman" w:cs="Times New Roman"/>
          <w:sz w:val="24"/>
          <w:szCs w:val="24"/>
        </w:rPr>
        <w:footnoteReference w:id="17"/>
      </w:r>
      <w:r w:rsidRPr="00093251">
        <w:rPr>
          <w:rFonts w:ascii="Times New Roman" w:hAnsi="Times New Roman" w:cs="Times New Roman"/>
          <w:sz w:val="24"/>
          <w:szCs w:val="24"/>
        </w:rPr>
        <w:t xml:space="preserve"> Thus, a minor is liable for </w:t>
      </w:r>
      <w:r w:rsidR="002460EA">
        <w:rPr>
          <w:rFonts w:ascii="Times New Roman" w:hAnsi="Times New Roman" w:cs="Times New Roman"/>
          <w:sz w:val="24"/>
          <w:szCs w:val="24"/>
        </w:rPr>
        <w:t>rent until the lease is renoun</w:t>
      </w:r>
      <w:r w:rsidR="005B2736">
        <w:rPr>
          <w:rFonts w:ascii="Times New Roman" w:hAnsi="Times New Roman" w:cs="Times New Roman"/>
          <w:sz w:val="24"/>
          <w:szCs w:val="24"/>
        </w:rPr>
        <w:t>c</w:t>
      </w:r>
      <w:r w:rsidR="004A44B6">
        <w:rPr>
          <w:rFonts w:ascii="Times New Roman" w:hAnsi="Times New Roman" w:cs="Times New Roman"/>
          <w:sz w:val="24"/>
          <w:szCs w:val="24"/>
        </w:rPr>
        <w:t>ed.</w:t>
      </w:r>
      <w:r w:rsidR="004A44B6">
        <w:rPr>
          <w:rStyle w:val="FootnoteReference"/>
          <w:rFonts w:ascii="Times New Roman" w:hAnsi="Times New Roman" w:cs="Times New Roman"/>
          <w:sz w:val="24"/>
          <w:szCs w:val="24"/>
        </w:rPr>
        <w:footnoteReference w:id="18"/>
      </w:r>
      <w:r w:rsidRPr="00093251">
        <w:rPr>
          <w:rFonts w:ascii="Times New Roman" w:hAnsi="Times New Roman" w:cs="Times New Roman"/>
          <w:sz w:val="24"/>
          <w:szCs w:val="24"/>
        </w:rPr>
        <w:t xml:space="preserve"> Since </w:t>
      </w:r>
      <w:r w:rsidR="00E87238" w:rsidRPr="00093251">
        <w:rPr>
          <w:rFonts w:ascii="Times New Roman" w:hAnsi="Times New Roman" w:cs="Times New Roman"/>
          <w:sz w:val="24"/>
          <w:szCs w:val="24"/>
        </w:rPr>
        <w:t xml:space="preserve">a minor </w:t>
      </w:r>
      <w:r w:rsidRPr="00093251">
        <w:rPr>
          <w:rFonts w:ascii="Times New Roman" w:hAnsi="Times New Roman" w:cs="Times New Roman"/>
          <w:sz w:val="24"/>
          <w:szCs w:val="24"/>
        </w:rPr>
        <w:t xml:space="preserve">can have an equitable </w:t>
      </w:r>
      <w:r w:rsidR="00D45F42" w:rsidRPr="00093251">
        <w:rPr>
          <w:rFonts w:ascii="Times New Roman" w:hAnsi="Times New Roman" w:cs="Times New Roman"/>
          <w:sz w:val="24"/>
          <w:szCs w:val="24"/>
        </w:rPr>
        <w:t>leasehold interest</w:t>
      </w:r>
      <w:r w:rsidRPr="00093251">
        <w:rPr>
          <w:rFonts w:ascii="Times New Roman" w:hAnsi="Times New Roman" w:cs="Times New Roman"/>
          <w:sz w:val="24"/>
          <w:szCs w:val="24"/>
        </w:rPr>
        <w:t xml:space="preserve"> in the land</w:t>
      </w:r>
      <w:r w:rsidR="00E87238" w:rsidRPr="00093251">
        <w:rPr>
          <w:rFonts w:ascii="Times New Roman" w:hAnsi="Times New Roman" w:cs="Times New Roman"/>
          <w:sz w:val="24"/>
          <w:szCs w:val="24"/>
        </w:rPr>
        <w:t xml:space="preserve"> </w:t>
      </w:r>
      <w:r w:rsidR="00D45F42" w:rsidRPr="00093251">
        <w:rPr>
          <w:rFonts w:ascii="Times New Roman" w:hAnsi="Times New Roman" w:cs="Times New Roman"/>
          <w:sz w:val="24"/>
          <w:szCs w:val="24"/>
        </w:rPr>
        <w:t xml:space="preserve">(i.e., </w:t>
      </w:r>
      <w:r w:rsidR="002B274A" w:rsidRPr="00093251">
        <w:rPr>
          <w:rFonts w:ascii="Times New Roman" w:hAnsi="Times New Roman" w:cs="Times New Roman"/>
          <w:sz w:val="24"/>
          <w:szCs w:val="24"/>
        </w:rPr>
        <w:t xml:space="preserve">equivalent to </w:t>
      </w:r>
      <w:r w:rsidR="00D45F42" w:rsidRPr="00093251">
        <w:rPr>
          <w:rFonts w:ascii="Times New Roman" w:hAnsi="Times New Roman" w:cs="Times New Roman"/>
          <w:sz w:val="24"/>
          <w:szCs w:val="24"/>
        </w:rPr>
        <w:t xml:space="preserve">a contract for a lease) </w:t>
      </w:r>
      <w:r w:rsidR="00E87238" w:rsidRPr="00093251">
        <w:rPr>
          <w:rFonts w:ascii="Times New Roman" w:hAnsi="Times New Roman" w:cs="Times New Roman"/>
          <w:sz w:val="24"/>
          <w:szCs w:val="24"/>
        </w:rPr>
        <w:t>after 1996</w:t>
      </w:r>
      <w:r w:rsidRPr="00093251">
        <w:rPr>
          <w:rFonts w:ascii="Times New Roman" w:hAnsi="Times New Roman" w:cs="Times New Roman"/>
          <w:sz w:val="24"/>
          <w:szCs w:val="24"/>
        </w:rPr>
        <w:t xml:space="preserve">, he </w:t>
      </w:r>
      <w:r w:rsidRPr="00093251">
        <w:rPr>
          <w:rFonts w:ascii="Times New Roman" w:hAnsi="Times New Roman" w:cs="Times New Roman"/>
          <w:sz w:val="24"/>
          <w:szCs w:val="24"/>
        </w:rPr>
        <w:lastRenderedPageBreak/>
        <w:t xml:space="preserve">will be bound </w:t>
      </w:r>
      <w:r w:rsidR="00E87238" w:rsidRPr="00093251">
        <w:rPr>
          <w:rFonts w:ascii="Times New Roman" w:hAnsi="Times New Roman" w:cs="Times New Roman"/>
          <w:sz w:val="24"/>
          <w:szCs w:val="24"/>
        </w:rPr>
        <w:t xml:space="preserve">to pay rent </w:t>
      </w:r>
      <w:r w:rsidR="004A44B6">
        <w:rPr>
          <w:rFonts w:ascii="Times New Roman" w:hAnsi="Times New Roman" w:cs="Times New Roman"/>
          <w:sz w:val="24"/>
          <w:szCs w:val="24"/>
        </w:rPr>
        <w:t>in the same way.</w:t>
      </w:r>
      <w:r w:rsidR="004A44B6">
        <w:rPr>
          <w:rStyle w:val="FootnoteReference"/>
          <w:rFonts w:ascii="Times New Roman" w:hAnsi="Times New Roman" w:cs="Times New Roman"/>
          <w:sz w:val="24"/>
          <w:szCs w:val="24"/>
        </w:rPr>
        <w:footnoteReference w:id="19"/>
      </w:r>
      <w:r w:rsidR="004A44B6">
        <w:rPr>
          <w:rFonts w:ascii="Times New Roman" w:hAnsi="Times New Roman" w:cs="Times New Roman"/>
          <w:sz w:val="24"/>
          <w:szCs w:val="24"/>
        </w:rPr>
        <w:t xml:space="preserve"> </w:t>
      </w:r>
      <w:r w:rsidR="00D45F42" w:rsidRPr="00093251">
        <w:rPr>
          <w:rFonts w:ascii="Times New Roman" w:hAnsi="Times New Roman" w:cs="Times New Roman"/>
          <w:sz w:val="24"/>
          <w:szCs w:val="24"/>
        </w:rPr>
        <w:t>Since such a contract relates to the supply of a "necessary"</w:t>
      </w:r>
      <w:r w:rsidR="004A44B6">
        <w:rPr>
          <w:rFonts w:ascii="Times New Roman" w:hAnsi="Times New Roman" w:cs="Times New Roman"/>
          <w:sz w:val="24"/>
          <w:szCs w:val="24"/>
        </w:rPr>
        <w:t>,</w:t>
      </w:r>
      <w:r w:rsidR="004A44B6">
        <w:rPr>
          <w:rStyle w:val="FootnoteReference"/>
          <w:rFonts w:ascii="Times New Roman" w:hAnsi="Times New Roman" w:cs="Times New Roman"/>
          <w:sz w:val="24"/>
          <w:szCs w:val="24"/>
        </w:rPr>
        <w:footnoteReference w:id="20"/>
      </w:r>
      <w:r w:rsidR="004A44B6">
        <w:rPr>
          <w:rFonts w:ascii="Times New Roman" w:hAnsi="Times New Roman" w:cs="Times New Roman"/>
          <w:sz w:val="24"/>
          <w:szCs w:val="24"/>
        </w:rPr>
        <w:t xml:space="preserve"> </w:t>
      </w:r>
      <w:r w:rsidR="00D45F42" w:rsidRPr="00093251">
        <w:rPr>
          <w:rFonts w:ascii="Times New Roman" w:hAnsi="Times New Roman" w:cs="Times New Roman"/>
          <w:sz w:val="24"/>
          <w:szCs w:val="24"/>
        </w:rPr>
        <w:t xml:space="preserve">it will fall within the categories of contracts with minors which </w:t>
      </w:r>
      <w:r w:rsidR="00B81EC5" w:rsidRPr="00093251">
        <w:rPr>
          <w:rFonts w:ascii="Times New Roman" w:hAnsi="Times New Roman" w:cs="Times New Roman"/>
          <w:sz w:val="24"/>
          <w:szCs w:val="24"/>
        </w:rPr>
        <w:t xml:space="preserve">remain </w:t>
      </w:r>
      <w:r w:rsidR="00D45F42" w:rsidRPr="00093251">
        <w:rPr>
          <w:rFonts w:ascii="Times New Roman" w:hAnsi="Times New Roman" w:cs="Times New Roman"/>
          <w:sz w:val="24"/>
          <w:szCs w:val="24"/>
        </w:rPr>
        <w:t>enforceable in law</w:t>
      </w:r>
      <w:r w:rsidR="004A44B6">
        <w:rPr>
          <w:rFonts w:ascii="Times New Roman" w:hAnsi="Times New Roman" w:cs="Times New Roman"/>
          <w:sz w:val="24"/>
          <w:szCs w:val="24"/>
        </w:rPr>
        <w:t>.</w:t>
      </w:r>
      <w:r w:rsidR="004A44B6">
        <w:rPr>
          <w:rStyle w:val="FootnoteReference"/>
          <w:rFonts w:ascii="Times New Roman" w:hAnsi="Times New Roman" w:cs="Times New Roman"/>
          <w:sz w:val="24"/>
          <w:szCs w:val="24"/>
        </w:rPr>
        <w:footnoteReference w:id="21"/>
      </w:r>
    </w:p>
    <w:p w14:paraId="41477894" w14:textId="77777777" w:rsidR="00161148" w:rsidRDefault="00161148" w:rsidP="00161148">
      <w:pPr>
        <w:pStyle w:val="ListParagraph"/>
        <w:ind w:left="360"/>
        <w:jc w:val="both"/>
        <w:rPr>
          <w:rFonts w:ascii="Times New Roman" w:hAnsi="Times New Roman" w:cs="Times New Roman"/>
          <w:b/>
          <w:sz w:val="24"/>
          <w:szCs w:val="24"/>
        </w:rPr>
      </w:pPr>
    </w:p>
    <w:p w14:paraId="6DE98AEC" w14:textId="77777777" w:rsidR="00161148" w:rsidRPr="00161148" w:rsidRDefault="00C129B3" w:rsidP="00BC4282">
      <w:pPr>
        <w:pStyle w:val="ListParagraph"/>
        <w:ind w:left="0"/>
        <w:jc w:val="both"/>
        <w:rPr>
          <w:rFonts w:ascii="Times New Roman" w:hAnsi="Times New Roman" w:cs="Times New Roman"/>
          <w:b/>
          <w:sz w:val="24"/>
          <w:szCs w:val="24"/>
        </w:rPr>
      </w:pPr>
      <w:r w:rsidRPr="00093251">
        <w:rPr>
          <w:rFonts w:ascii="Times New Roman" w:hAnsi="Times New Roman" w:cs="Times New Roman"/>
          <w:color w:val="333333"/>
          <w:sz w:val="24"/>
          <w:szCs w:val="24"/>
        </w:rPr>
        <w:t>Accommodation is generally assumed to be a "necessary", so that a contract relating to the provision of accommodation to a minor, but with sufficient capacity, is binding on him (i.e., valid and fully enforceable against him). If rent arrears accrue, the landlord can recover the unpaid rent from the minor through the courts.</w:t>
      </w:r>
      <w:r w:rsidR="00161148">
        <w:rPr>
          <w:rFonts w:ascii="Times New Roman" w:hAnsi="Times New Roman" w:cs="Times New Roman"/>
          <w:color w:val="333333"/>
          <w:sz w:val="24"/>
          <w:szCs w:val="24"/>
        </w:rPr>
        <w:t xml:space="preserve"> </w:t>
      </w:r>
      <w:r w:rsidR="00161148" w:rsidRPr="00093251">
        <w:rPr>
          <w:rFonts w:ascii="Times New Roman" w:hAnsi="Times New Roman" w:cs="Times New Roman"/>
          <w:sz w:val="24"/>
          <w:szCs w:val="24"/>
        </w:rPr>
        <w:t>The Law Commission in its Report</w:t>
      </w:r>
      <w:r w:rsidR="00161148" w:rsidRPr="00093251">
        <w:rPr>
          <w:rFonts w:ascii="Times New Roman" w:hAnsi="Times New Roman" w:cs="Times New Roman"/>
          <w:i/>
          <w:sz w:val="24"/>
          <w:szCs w:val="24"/>
        </w:rPr>
        <w:t>, Law of Contract: Minors' Contrac</w:t>
      </w:r>
      <w:r w:rsidR="00161148" w:rsidRPr="00093251">
        <w:rPr>
          <w:rFonts w:ascii="Times New Roman" w:hAnsi="Times New Roman" w:cs="Times New Roman"/>
          <w:sz w:val="24"/>
          <w:szCs w:val="24"/>
        </w:rPr>
        <w:t>ts,</w:t>
      </w:r>
      <w:r w:rsidR="00694B45">
        <w:rPr>
          <w:rStyle w:val="FootnoteReference"/>
          <w:rFonts w:ascii="Times New Roman" w:hAnsi="Times New Roman" w:cs="Times New Roman"/>
          <w:sz w:val="24"/>
          <w:szCs w:val="24"/>
        </w:rPr>
        <w:footnoteReference w:id="22"/>
      </w:r>
      <w:r w:rsidR="00694B45">
        <w:rPr>
          <w:rFonts w:ascii="Times New Roman" w:hAnsi="Times New Roman" w:cs="Times New Roman"/>
          <w:sz w:val="24"/>
          <w:szCs w:val="24"/>
        </w:rPr>
        <w:t xml:space="preserve"> </w:t>
      </w:r>
      <w:r w:rsidR="00523E3C">
        <w:rPr>
          <w:rFonts w:ascii="Times New Roman" w:hAnsi="Times New Roman" w:cs="Times New Roman"/>
          <w:sz w:val="24"/>
          <w:szCs w:val="24"/>
        </w:rPr>
        <w:t>set out the position in the following terms</w:t>
      </w:r>
      <w:r w:rsidR="00161148" w:rsidRPr="00093251">
        <w:rPr>
          <w:rFonts w:ascii="Times New Roman" w:hAnsi="Times New Roman" w:cs="Times New Roman"/>
          <w:sz w:val="24"/>
          <w:szCs w:val="24"/>
        </w:rPr>
        <w:t>:</w:t>
      </w:r>
    </w:p>
    <w:p w14:paraId="338372AD" w14:textId="77777777" w:rsidR="00161148" w:rsidRPr="00093251" w:rsidRDefault="00161148" w:rsidP="00161148">
      <w:pPr>
        <w:pStyle w:val="ListParagraph"/>
        <w:jc w:val="both"/>
        <w:rPr>
          <w:rFonts w:ascii="Times New Roman" w:hAnsi="Times New Roman" w:cs="Times New Roman"/>
          <w:sz w:val="24"/>
          <w:szCs w:val="24"/>
        </w:rPr>
      </w:pPr>
    </w:p>
    <w:p w14:paraId="54D322E6" w14:textId="77777777" w:rsidR="00C129B3" w:rsidRDefault="00161148" w:rsidP="00161148">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r>
      <w:r w:rsidR="00DA33D2">
        <w:rPr>
          <w:rFonts w:ascii="Times New Roman" w:hAnsi="Times New Roman" w:cs="Times New Roman"/>
          <w:sz w:val="24"/>
          <w:szCs w:val="24"/>
        </w:rPr>
        <w:t>"</w:t>
      </w:r>
      <w:r w:rsidRPr="00093251">
        <w:rPr>
          <w:rFonts w:ascii="Times New Roman" w:hAnsi="Times New Roman" w:cs="Times New Roman"/>
          <w:sz w:val="24"/>
          <w:szCs w:val="24"/>
        </w:rPr>
        <w:t xml:space="preserve">The first point we wish to emphasise is that a lease is one of the four classes of </w:t>
      </w:r>
      <w:r>
        <w:rPr>
          <w:rFonts w:ascii="Times New Roman" w:hAnsi="Times New Roman" w:cs="Times New Roman"/>
          <w:sz w:val="24"/>
          <w:szCs w:val="24"/>
        </w:rPr>
        <w:tab/>
      </w:r>
      <w:r w:rsidRPr="00093251">
        <w:rPr>
          <w:rFonts w:ascii="Times New Roman" w:hAnsi="Times New Roman" w:cs="Times New Roman"/>
          <w:sz w:val="24"/>
          <w:szCs w:val="24"/>
        </w:rPr>
        <w:t xml:space="preserve">contract, referred to in our Working Paper,73 which are binding on a minor unless and </w:t>
      </w:r>
      <w:r>
        <w:rPr>
          <w:rFonts w:ascii="Times New Roman" w:hAnsi="Times New Roman" w:cs="Times New Roman"/>
          <w:sz w:val="24"/>
          <w:szCs w:val="24"/>
        </w:rPr>
        <w:tab/>
      </w:r>
      <w:r w:rsidRPr="00093251">
        <w:rPr>
          <w:rFonts w:ascii="Times New Roman" w:hAnsi="Times New Roman" w:cs="Times New Roman"/>
          <w:sz w:val="24"/>
          <w:szCs w:val="24"/>
        </w:rPr>
        <w:t xml:space="preserve">until repudiated by him. It is not a contract unenforceable against him and the </w:t>
      </w:r>
      <w:r>
        <w:rPr>
          <w:rFonts w:ascii="Times New Roman" w:hAnsi="Times New Roman" w:cs="Times New Roman"/>
          <w:sz w:val="24"/>
          <w:szCs w:val="24"/>
        </w:rPr>
        <w:tab/>
      </w:r>
      <w:r w:rsidRPr="00093251">
        <w:rPr>
          <w:rFonts w:ascii="Times New Roman" w:hAnsi="Times New Roman" w:cs="Times New Roman"/>
          <w:sz w:val="24"/>
          <w:szCs w:val="24"/>
        </w:rPr>
        <w:t xml:space="preserve">authorities show that a minor who rents land is liable to pay the rent accruing during </w:t>
      </w:r>
      <w:r>
        <w:rPr>
          <w:rFonts w:ascii="Times New Roman" w:hAnsi="Times New Roman" w:cs="Times New Roman"/>
          <w:sz w:val="24"/>
          <w:szCs w:val="24"/>
        </w:rPr>
        <w:tab/>
      </w:r>
      <w:r w:rsidRPr="00093251">
        <w:rPr>
          <w:rFonts w:ascii="Times New Roman" w:hAnsi="Times New Roman" w:cs="Times New Roman"/>
          <w:sz w:val="24"/>
          <w:szCs w:val="24"/>
        </w:rPr>
        <w:t>the currency of the tenancy, up to the time he repudiates it</w:t>
      </w:r>
      <w:r w:rsidR="005B2736">
        <w:rPr>
          <w:rFonts w:ascii="Times New Roman" w:hAnsi="Times New Roman" w:cs="Times New Roman"/>
          <w:sz w:val="24"/>
          <w:szCs w:val="24"/>
        </w:rPr>
        <w:t xml:space="preserve"> </w:t>
      </w:r>
      <w:r w:rsidRPr="00093251">
        <w:rPr>
          <w:rFonts w:ascii="Times New Roman" w:hAnsi="Times New Roman" w:cs="Times New Roman"/>
          <w:sz w:val="24"/>
          <w:szCs w:val="24"/>
        </w:rPr>
        <w:t>-</w:t>
      </w:r>
      <w:r w:rsidR="005B2736">
        <w:rPr>
          <w:rFonts w:ascii="Times New Roman" w:hAnsi="Times New Roman" w:cs="Times New Roman"/>
          <w:sz w:val="24"/>
          <w:szCs w:val="24"/>
        </w:rPr>
        <w:t xml:space="preserve"> </w:t>
      </w:r>
      <w:r w:rsidRPr="00093251">
        <w:rPr>
          <w:rFonts w:ascii="Times New Roman" w:hAnsi="Times New Roman" w:cs="Times New Roman"/>
          <w:sz w:val="24"/>
          <w:szCs w:val="24"/>
        </w:rPr>
        <w:t>if he does.</w:t>
      </w:r>
      <w:r w:rsidR="00DA33D2">
        <w:rPr>
          <w:rFonts w:ascii="Times New Roman" w:hAnsi="Times New Roman" w:cs="Times New Roman"/>
          <w:sz w:val="24"/>
          <w:szCs w:val="24"/>
        </w:rPr>
        <w:t>"</w:t>
      </w:r>
    </w:p>
    <w:p w14:paraId="42EEB968" w14:textId="77777777" w:rsidR="00B528DA" w:rsidRDefault="00B528DA" w:rsidP="00BC4282">
      <w:pPr>
        <w:jc w:val="both"/>
        <w:rPr>
          <w:rFonts w:ascii="Times New Roman" w:hAnsi="Times New Roman" w:cs="Times New Roman"/>
          <w:sz w:val="24"/>
          <w:szCs w:val="24"/>
        </w:rPr>
      </w:pPr>
      <w:r>
        <w:rPr>
          <w:rFonts w:ascii="Times New Roman" w:hAnsi="Times New Roman" w:cs="Times New Roman"/>
          <w:sz w:val="24"/>
          <w:szCs w:val="24"/>
        </w:rPr>
        <w:t>Interestingly, it seems possible also for a child to succeed to a Rent Act statutory tenancy since such a tenancy does not create an interest in land and a minor</w:t>
      </w:r>
      <w:r w:rsidR="005B2736">
        <w:rPr>
          <w:rFonts w:ascii="Times New Roman" w:hAnsi="Times New Roman" w:cs="Times New Roman"/>
          <w:sz w:val="24"/>
          <w:szCs w:val="24"/>
        </w:rPr>
        <w:t>, as we have seen,</w:t>
      </w:r>
      <w:r>
        <w:rPr>
          <w:rFonts w:ascii="Times New Roman" w:hAnsi="Times New Roman" w:cs="Times New Roman"/>
          <w:sz w:val="24"/>
          <w:szCs w:val="24"/>
        </w:rPr>
        <w:t xml:space="preserve"> does have sufficient capacity to contract for necessaries such as housing, which will bind </w:t>
      </w:r>
      <w:r w:rsidR="00694B45">
        <w:rPr>
          <w:rFonts w:ascii="Times New Roman" w:hAnsi="Times New Roman" w:cs="Times New Roman"/>
          <w:sz w:val="24"/>
          <w:szCs w:val="24"/>
        </w:rPr>
        <w:t>the child during their minority.</w:t>
      </w:r>
      <w:r w:rsidR="00694B45">
        <w:rPr>
          <w:rStyle w:val="FootnoteReference"/>
          <w:rFonts w:ascii="Times New Roman" w:hAnsi="Times New Roman" w:cs="Times New Roman"/>
          <w:sz w:val="24"/>
          <w:szCs w:val="24"/>
        </w:rPr>
        <w:footnoteReference w:id="23"/>
      </w:r>
    </w:p>
    <w:p w14:paraId="5B4B9B2E" w14:textId="77777777" w:rsidR="0064537D" w:rsidRDefault="0064537D" w:rsidP="00161148">
      <w:pPr>
        <w:pStyle w:val="ListParagraph"/>
        <w:ind w:left="360"/>
        <w:jc w:val="both"/>
        <w:rPr>
          <w:rFonts w:ascii="Times New Roman" w:hAnsi="Times New Roman" w:cs="Times New Roman"/>
          <w:color w:val="333333"/>
          <w:sz w:val="24"/>
          <w:szCs w:val="24"/>
        </w:rPr>
      </w:pPr>
    </w:p>
    <w:p w14:paraId="7E8D09BA" w14:textId="77777777" w:rsidR="00161148" w:rsidRDefault="00161148" w:rsidP="00B060FD">
      <w:pPr>
        <w:pStyle w:val="ListParagraph"/>
        <w:ind w:left="0"/>
        <w:jc w:val="both"/>
        <w:rPr>
          <w:rFonts w:ascii="Times New Roman" w:hAnsi="Times New Roman" w:cs="Times New Roman"/>
          <w:b/>
          <w:sz w:val="24"/>
          <w:szCs w:val="24"/>
        </w:rPr>
      </w:pPr>
      <w:r w:rsidRPr="00161148">
        <w:rPr>
          <w:rFonts w:ascii="Times New Roman" w:hAnsi="Times New Roman" w:cs="Times New Roman"/>
          <w:b/>
          <w:color w:val="333333"/>
          <w:sz w:val="24"/>
          <w:szCs w:val="24"/>
        </w:rPr>
        <w:t>Landlord a</w:t>
      </w:r>
      <w:r w:rsidR="00166B36">
        <w:rPr>
          <w:rFonts w:ascii="Times New Roman" w:hAnsi="Times New Roman" w:cs="Times New Roman"/>
          <w:b/>
          <w:color w:val="333333"/>
          <w:sz w:val="24"/>
          <w:szCs w:val="24"/>
        </w:rPr>
        <w:t>s</w:t>
      </w:r>
      <w:r w:rsidRPr="00161148">
        <w:rPr>
          <w:rFonts w:ascii="Times New Roman" w:hAnsi="Times New Roman" w:cs="Times New Roman"/>
          <w:b/>
          <w:color w:val="333333"/>
          <w:sz w:val="24"/>
          <w:szCs w:val="24"/>
        </w:rPr>
        <w:t xml:space="preserve"> trustee</w:t>
      </w:r>
    </w:p>
    <w:p w14:paraId="03BB127E" w14:textId="77777777" w:rsidR="00B060FD" w:rsidRDefault="00B060FD" w:rsidP="00B060FD">
      <w:pPr>
        <w:pStyle w:val="ListParagraph"/>
        <w:ind w:left="0"/>
        <w:jc w:val="both"/>
        <w:rPr>
          <w:rFonts w:ascii="Times New Roman" w:hAnsi="Times New Roman" w:cs="Times New Roman"/>
          <w:b/>
          <w:sz w:val="24"/>
          <w:szCs w:val="24"/>
        </w:rPr>
      </w:pPr>
    </w:p>
    <w:p w14:paraId="3AC1313C" w14:textId="77777777" w:rsidR="00B060FD" w:rsidRPr="00083BFE" w:rsidRDefault="00B060FD" w:rsidP="00B060FD">
      <w:pPr>
        <w:pStyle w:val="ListParagraph"/>
        <w:ind w:left="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In </w:t>
      </w:r>
      <w:r w:rsidRPr="00166CBD">
        <w:rPr>
          <w:rFonts w:ascii="Times New Roman" w:hAnsi="Times New Roman" w:cs="Times New Roman"/>
          <w:i/>
          <w:color w:val="333333"/>
          <w:sz w:val="24"/>
          <w:szCs w:val="24"/>
        </w:rPr>
        <w:t>Hamme</w:t>
      </w:r>
      <w:r>
        <w:rPr>
          <w:rFonts w:ascii="Times New Roman" w:hAnsi="Times New Roman" w:cs="Times New Roman"/>
          <w:i/>
          <w:color w:val="333333"/>
          <w:sz w:val="24"/>
          <w:szCs w:val="24"/>
        </w:rPr>
        <w:t>r</w:t>
      </w:r>
      <w:r w:rsidRPr="00166CBD">
        <w:rPr>
          <w:rFonts w:ascii="Times New Roman" w:hAnsi="Times New Roman" w:cs="Times New Roman"/>
          <w:i/>
          <w:color w:val="333333"/>
          <w:sz w:val="24"/>
          <w:szCs w:val="24"/>
        </w:rPr>
        <w:t>smith</w:t>
      </w:r>
      <w:r>
        <w:rPr>
          <w:rFonts w:ascii="Times New Roman" w:hAnsi="Times New Roman" w:cs="Times New Roman"/>
          <w:i/>
          <w:color w:val="333333"/>
          <w:sz w:val="24"/>
          <w:szCs w:val="24"/>
        </w:rPr>
        <w:t xml:space="preserve"> &amp; Fulham LBC v Alexander-David</w:t>
      </w:r>
      <w:r w:rsidR="00694B45">
        <w:rPr>
          <w:rFonts w:ascii="Times New Roman" w:hAnsi="Times New Roman" w:cs="Times New Roman"/>
          <w:color w:val="333333"/>
          <w:sz w:val="24"/>
          <w:szCs w:val="24"/>
        </w:rPr>
        <w:t>,</w:t>
      </w:r>
      <w:r w:rsidR="00694B45">
        <w:rPr>
          <w:rStyle w:val="FootnoteReference"/>
          <w:rFonts w:ascii="Times New Roman" w:hAnsi="Times New Roman" w:cs="Times New Roman"/>
          <w:i/>
          <w:color w:val="333333"/>
          <w:sz w:val="24"/>
          <w:szCs w:val="24"/>
        </w:rPr>
        <w:footnoteReference w:id="24"/>
      </w:r>
      <w:r>
        <w:rPr>
          <w:rFonts w:ascii="Times New Roman" w:hAnsi="Times New Roman" w:cs="Times New Roman"/>
          <w:i/>
          <w:color w:val="333333"/>
          <w:sz w:val="24"/>
          <w:szCs w:val="24"/>
        </w:rPr>
        <w:t xml:space="preserve"> </w:t>
      </w:r>
      <w:r>
        <w:rPr>
          <w:rFonts w:ascii="Times New Roman" w:hAnsi="Times New Roman" w:cs="Times New Roman"/>
          <w:color w:val="333333"/>
          <w:sz w:val="24"/>
          <w:szCs w:val="24"/>
        </w:rPr>
        <w:t>the minor was 1</w:t>
      </w:r>
      <w:r w:rsidRPr="00166CBD">
        <w:rPr>
          <w:rFonts w:ascii="Times New Roman" w:hAnsi="Times New Roman" w:cs="Times New Roman"/>
          <w:color w:val="3D3D3D"/>
          <w:sz w:val="24"/>
          <w:szCs w:val="24"/>
        </w:rPr>
        <w:t>6 years old and homeless</w:t>
      </w:r>
      <w:r>
        <w:rPr>
          <w:rFonts w:ascii="Times New Roman" w:hAnsi="Times New Roman" w:cs="Times New Roman"/>
          <w:color w:val="3D3D3D"/>
          <w:sz w:val="24"/>
          <w:szCs w:val="24"/>
        </w:rPr>
        <w:t>. T</w:t>
      </w:r>
      <w:r w:rsidRPr="00166CBD">
        <w:rPr>
          <w:rFonts w:ascii="Times New Roman" w:hAnsi="Times New Roman" w:cs="Times New Roman"/>
          <w:color w:val="3D3D3D"/>
          <w:sz w:val="24"/>
          <w:szCs w:val="24"/>
        </w:rPr>
        <w:t>he local authority, in accordance with its duty under the</w:t>
      </w:r>
      <w:r>
        <w:rPr>
          <w:rFonts w:ascii="Times New Roman" w:hAnsi="Times New Roman" w:cs="Times New Roman"/>
          <w:color w:val="3D3D3D"/>
          <w:sz w:val="24"/>
          <w:szCs w:val="24"/>
        </w:rPr>
        <w:t xml:space="preserve"> Housing Act 1996</w:t>
      </w:r>
      <w:r w:rsidRPr="00166CBD">
        <w:rPr>
          <w:rFonts w:ascii="Times New Roman" w:hAnsi="Times New Roman" w:cs="Times New Roman"/>
          <w:color w:val="3D3D3D"/>
          <w:sz w:val="24"/>
          <w:szCs w:val="24"/>
        </w:rPr>
        <w:t>, had entered</w:t>
      </w:r>
      <w:r>
        <w:rPr>
          <w:rFonts w:ascii="Times New Roman" w:hAnsi="Times New Roman" w:cs="Times New Roman"/>
          <w:color w:val="3D3D3D"/>
          <w:sz w:val="24"/>
          <w:szCs w:val="24"/>
        </w:rPr>
        <w:t xml:space="preserve"> into a written agreement with her</w:t>
      </w:r>
      <w:r w:rsidRPr="00166CBD">
        <w:rPr>
          <w:rFonts w:ascii="Times New Roman" w:hAnsi="Times New Roman" w:cs="Times New Roman"/>
          <w:color w:val="3D3D3D"/>
          <w:sz w:val="24"/>
          <w:szCs w:val="24"/>
        </w:rPr>
        <w:t xml:space="preserve"> granting her a non-secure tenancy. However, following complaints about </w:t>
      </w:r>
      <w:r>
        <w:rPr>
          <w:rFonts w:ascii="Times New Roman" w:hAnsi="Times New Roman" w:cs="Times New Roman"/>
          <w:color w:val="3D3D3D"/>
          <w:sz w:val="24"/>
          <w:szCs w:val="24"/>
        </w:rPr>
        <w:t>her</w:t>
      </w:r>
      <w:r w:rsidRPr="00166CBD">
        <w:rPr>
          <w:rFonts w:ascii="Times New Roman" w:hAnsi="Times New Roman" w:cs="Times New Roman"/>
          <w:color w:val="3D3D3D"/>
          <w:sz w:val="24"/>
          <w:szCs w:val="24"/>
        </w:rPr>
        <w:t xml:space="preserve"> behaviour at the premises, the local author</w:t>
      </w:r>
      <w:r>
        <w:rPr>
          <w:rFonts w:ascii="Times New Roman" w:hAnsi="Times New Roman" w:cs="Times New Roman"/>
          <w:color w:val="3D3D3D"/>
          <w:sz w:val="24"/>
          <w:szCs w:val="24"/>
        </w:rPr>
        <w:t>ity served a notice to quit on her</w:t>
      </w:r>
      <w:r w:rsidRPr="00166CBD">
        <w:rPr>
          <w:rFonts w:ascii="Times New Roman" w:hAnsi="Times New Roman" w:cs="Times New Roman"/>
          <w:color w:val="3D3D3D"/>
          <w:sz w:val="24"/>
          <w:szCs w:val="24"/>
        </w:rPr>
        <w:t xml:space="preserve"> in accordance with the terms of the agreement. Possession proceedings were subsequently commenced and the local authority was granted a possession order. </w:t>
      </w:r>
      <w:r>
        <w:rPr>
          <w:rFonts w:ascii="Times New Roman" w:hAnsi="Times New Roman" w:cs="Times New Roman"/>
          <w:color w:val="3D3D3D"/>
          <w:sz w:val="24"/>
          <w:szCs w:val="24"/>
        </w:rPr>
        <w:t xml:space="preserve">The Court of Appeal held that a local housing authority </w:t>
      </w:r>
      <w:r w:rsidRPr="00083BFE">
        <w:rPr>
          <w:rFonts w:ascii="Times New Roman" w:hAnsi="Times New Roman" w:cs="Times New Roman"/>
          <w:color w:val="3D3D3D"/>
          <w:sz w:val="24"/>
          <w:szCs w:val="24"/>
          <w:shd w:val="clear" w:color="auto" w:fill="FFFFFF"/>
        </w:rPr>
        <w:t>could, in principle, grant tenancies to minors that were effective in equity</w:t>
      </w:r>
      <w:r>
        <w:rPr>
          <w:rFonts w:ascii="Times New Roman" w:hAnsi="Times New Roman" w:cs="Times New Roman"/>
          <w:color w:val="3D3D3D"/>
          <w:sz w:val="24"/>
          <w:szCs w:val="24"/>
          <w:shd w:val="clear" w:color="auto" w:fill="FFFFFF"/>
        </w:rPr>
        <w:t xml:space="preserve"> as a declaration of trust. Accordingly, </w:t>
      </w:r>
      <w:r w:rsidRPr="00083BFE">
        <w:rPr>
          <w:rFonts w:ascii="Times New Roman" w:hAnsi="Times New Roman" w:cs="Times New Roman"/>
          <w:color w:val="3D3D3D"/>
          <w:sz w:val="24"/>
          <w:szCs w:val="24"/>
          <w:shd w:val="clear" w:color="auto" w:fill="FFFFFF"/>
        </w:rPr>
        <w:t>Schedule 1 para.1(1) of the 1996 Act</w:t>
      </w:r>
      <w:r>
        <w:rPr>
          <w:rFonts w:ascii="Times New Roman" w:hAnsi="Times New Roman" w:cs="Times New Roman"/>
          <w:color w:val="3D3D3D"/>
          <w:sz w:val="24"/>
          <w:szCs w:val="24"/>
          <w:shd w:val="clear" w:color="auto" w:fill="FFFFFF"/>
        </w:rPr>
        <w:t xml:space="preserve"> applied to the minor</w:t>
      </w:r>
      <w:r w:rsidRPr="00083BFE">
        <w:rPr>
          <w:rFonts w:ascii="Times New Roman" w:hAnsi="Times New Roman" w:cs="Times New Roman"/>
          <w:color w:val="3D3D3D"/>
          <w:sz w:val="24"/>
          <w:szCs w:val="24"/>
          <w:shd w:val="clear" w:color="auto" w:fill="FFFFFF"/>
        </w:rPr>
        <w:t>'s tenancy.</w:t>
      </w:r>
    </w:p>
    <w:p w14:paraId="208A8CE3" w14:textId="77777777" w:rsidR="00B060FD" w:rsidRDefault="00B060FD" w:rsidP="00B060FD">
      <w:pPr>
        <w:pStyle w:val="ListParagraph"/>
        <w:ind w:left="0"/>
        <w:jc w:val="both"/>
        <w:rPr>
          <w:rFonts w:ascii="Times New Roman" w:hAnsi="Times New Roman" w:cs="Times New Roman"/>
          <w:b/>
          <w:sz w:val="24"/>
          <w:szCs w:val="24"/>
        </w:rPr>
      </w:pPr>
    </w:p>
    <w:p w14:paraId="7E4B9BE1" w14:textId="77777777" w:rsidR="00161148" w:rsidRDefault="00A51437" w:rsidP="00BC4282">
      <w:pPr>
        <w:pStyle w:val="ListParagraph"/>
        <w:ind w:left="0"/>
        <w:jc w:val="both"/>
        <w:rPr>
          <w:rFonts w:ascii="Times New Roman" w:hAnsi="Times New Roman" w:cs="Times New Roman"/>
          <w:color w:val="333333"/>
          <w:sz w:val="24"/>
          <w:szCs w:val="24"/>
        </w:rPr>
      </w:pPr>
      <w:r w:rsidRPr="00093251">
        <w:rPr>
          <w:rFonts w:ascii="Times New Roman" w:hAnsi="Times New Roman" w:cs="Times New Roman"/>
          <w:color w:val="3D3D3D"/>
          <w:sz w:val="24"/>
          <w:szCs w:val="24"/>
          <w:shd w:val="clear" w:color="auto" w:fill="FFFFFF"/>
        </w:rPr>
        <w:t>If</w:t>
      </w:r>
      <w:r w:rsidR="00523E3C">
        <w:rPr>
          <w:rFonts w:ascii="Times New Roman" w:hAnsi="Times New Roman" w:cs="Times New Roman"/>
          <w:color w:val="3D3D3D"/>
          <w:sz w:val="24"/>
          <w:szCs w:val="24"/>
          <w:shd w:val="clear" w:color="auto" w:fill="FFFFFF"/>
        </w:rPr>
        <w:t>, however,</w:t>
      </w:r>
      <w:r w:rsidR="005B2736">
        <w:rPr>
          <w:rFonts w:ascii="Times New Roman" w:hAnsi="Times New Roman" w:cs="Times New Roman"/>
          <w:color w:val="3D3D3D"/>
          <w:sz w:val="24"/>
          <w:szCs w:val="24"/>
          <w:shd w:val="clear" w:color="auto" w:fill="FFFFFF"/>
        </w:rPr>
        <w:t xml:space="preserve"> </w:t>
      </w:r>
      <w:r w:rsidRPr="00093251">
        <w:rPr>
          <w:rFonts w:ascii="Times New Roman" w:hAnsi="Times New Roman" w:cs="Times New Roman"/>
          <w:color w:val="3D3D3D"/>
          <w:sz w:val="24"/>
          <w:szCs w:val="24"/>
          <w:shd w:val="clear" w:color="auto" w:fill="FFFFFF"/>
        </w:rPr>
        <w:t>the landlord</w:t>
      </w:r>
      <w:r w:rsidR="005B2736">
        <w:rPr>
          <w:rFonts w:ascii="Times New Roman" w:hAnsi="Times New Roman" w:cs="Times New Roman"/>
          <w:color w:val="3D3D3D"/>
          <w:sz w:val="24"/>
          <w:szCs w:val="24"/>
          <w:shd w:val="clear" w:color="auto" w:fill="FFFFFF"/>
        </w:rPr>
        <w:t xml:space="preserve"> </w:t>
      </w:r>
      <w:r w:rsidR="007C2D33" w:rsidRPr="00093251">
        <w:rPr>
          <w:rFonts w:ascii="Times New Roman" w:hAnsi="Times New Roman" w:cs="Times New Roman"/>
          <w:color w:val="3D3D3D"/>
          <w:sz w:val="24"/>
          <w:szCs w:val="24"/>
          <w:shd w:val="clear" w:color="auto" w:fill="FFFFFF"/>
        </w:rPr>
        <w:t xml:space="preserve">holds the land on trust for the minor, </w:t>
      </w:r>
      <w:r w:rsidR="000B49E9">
        <w:rPr>
          <w:rFonts w:ascii="Times New Roman" w:hAnsi="Times New Roman" w:cs="Times New Roman"/>
          <w:color w:val="3D3D3D"/>
          <w:sz w:val="24"/>
          <w:szCs w:val="24"/>
          <w:shd w:val="clear" w:color="auto" w:fill="FFFFFF"/>
        </w:rPr>
        <w:t xml:space="preserve">as was the case in </w:t>
      </w:r>
      <w:r w:rsidR="000B49E9" w:rsidRPr="000B49E9">
        <w:rPr>
          <w:rFonts w:ascii="Times New Roman" w:hAnsi="Times New Roman" w:cs="Times New Roman"/>
          <w:i/>
          <w:color w:val="3D3D3D"/>
          <w:sz w:val="24"/>
          <w:szCs w:val="24"/>
          <w:shd w:val="clear" w:color="auto" w:fill="FFFFFF"/>
        </w:rPr>
        <w:t>Hammersmith</w:t>
      </w:r>
      <w:r w:rsidR="000B49E9">
        <w:rPr>
          <w:rFonts w:ascii="Times New Roman" w:hAnsi="Times New Roman" w:cs="Times New Roman"/>
          <w:color w:val="3D3D3D"/>
          <w:sz w:val="24"/>
          <w:szCs w:val="24"/>
          <w:shd w:val="clear" w:color="auto" w:fill="FFFFFF"/>
        </w:rPr>
        <w:t xml:space="preserve">, </w:t>
      </w:r>
      <w:r w:rsidR="007C2D33" w:rsidRPr="00093251">
        <w:rPr>
          <w:rFonts w:ascii="Times New Roman" w:hAnsi="Times New Roman" w:cs="Times New Roman"/>
          <w:color w:val="3D3D3D"/>
          <w:sz w:val="24"/>
          <w:szCs w:val="24"/>
          <w:shd w:val="clear" w:color="auto" w:fill="FFFFFF"/>
        </w:rPr>
        <w:t>it cannot lawfully destroy the subject matter of the trust by serv</w:t>
      </w:r>
      <w:r w:rsidR="00694B45">
        <w:rPr>
          <w:rFonts w:ascii="Times New Roman" w:hAnsi="Times New Roman" w:cs="Times New Roman"/>
          <w:color w:val="3D3D3D"/>
          <w:sz w:val="24"/>
          <w:szCs w:val="24"/>
          <w:shd w:val="clear" w:color="auto" w:fill="FFFFFF"/>
        </w:rPr>
        <w:t>ing notice to quit on the minor.</w:t>
      </w:r>
      <w:r w:rsidR="00694B45">
        <w:rPr>
          <w:rStyle w:val="FootnoteReference"/>
          <w:rFonts w:ascii="Times New Roman" w:hAnsi="Times New Roman" w:cs="Times New Roman"/>
          <w:color w:val="3D3D3D"/>
          <w:sz w:val="24"/>
          <w:szCs w:val="24"/>
          <w:shd w:val="clear" w:color="auto" w:fill="FFFFFF"/>
        </w:rPr>
        <w:footnoteReference w:id="25"/>
      </w:r>
      <w:r w:rsidR="007C2D33" w:rsidRPr="00093251">
        <w:rPr>
          <w:rFonts w:ascii="Times New Roman" w:hAnsi="Times New Roman" w:cs="Times New Roman"/>
          <w:color w:val="3D3D3D"/>
          <w:sz w:val="24"/>
          <w:szCs w:val="24"/>
          <w:shd w:val="clear" w:color="auto" w:fill="FFFFFF"/>
        </w:rPr>
        <w:t xml:space="preserve"> </w:t>
      </w:r>
      <w:r w:rsidR="00B16349" w:rsidRPr="00093251">
        <w:rPr>
          <w:rFonts w:ascii="Times New Roman" w:hAnsi="Times New Roman" w:cs="Times New Roman"/>
          <w:sz w:val="24"/>
          <w:szCs w:val="24"/>
        </w:rPr>
        <w:t>The normal powers of the landlord cannot be exerc</w:t>
      </w:r>
      <w:r w:rsidR="00335A82" w:rsidRPr="00093251">
        <w:rPr>
          <w:rFonts w:ascii="Times New Roman" w:hAnsi="Times New Roman" w:cs="Times New Roman"/>
          <w:sz w:val="24"/>
          <w:szCs w:val="24"/>
        </w:rPr>
        <w:t>i</w:t>
      </w:r>
      <w:r w:rsidR="00B16349" w:rsidRPr="00093251">
        <w:rPr>
          <w:rFonts w:ascii="Times New Roman" w:hAnsi="Times New Roman" w:cs="Times New Roman"/>
          <w:sz w:val="24"/>
          <w:szCs w:val="24"/>
        </w:rPr>
        <w:t xml:space="preserve">sed when they would </w:t>
      </w:r>
      <w:r w:rsidR="00B16349" w:rsidRPr="00093251">
        <w:rPr>
          <w:rFonts w:ascii="Times New Roman" w:hAnsi="Times New Roman" w:cs="Times New Roman"/>
          <w:sz w:val="24"/>
          <w:szCs w:val="24"/>
        </w:rPr>
        <w:lastRenderedPageBreak/>
        <w:t xml:space="preserve">prejudice the tenant. </w:t>
      </w:r>
      <w:r w:rsidRPr="00093251">
        <w:rPr>
          <w:rFonts w:ascii="Times New Roman" w:hAnsi="Times New Roman" w:cs="Times New Roman"/>
          <w:color w:val="333333"/>
          <w:sz w:val="24"/>
          <w:szCs w:val="24"/>
        </w:rPr>
        <w:t>The landlord can, however, end the trust of land once the minor turns 18</w:t>
      </w:r>
      <w:r w:rsidR="00751166">
        <w:rPr>
          <w:rFonts w:ascii="Times New Roman" w:hAnsi="Times New Roman" w:cs="Times New Roman"/>
          <w:color w:val="333333"/>
          <w:sz w:val="24"/>
          <w:szCs w:val="24"/>
        </w:rPr>
        <w:t>.</w:t>
      </w:r>
      <w:r w:rsidR="00751166">
        <w:rPr>
          <w:rStyle w:val="FootnoteReference"/>
          <w:rFonts w:ascii="Times New Roman" w:hAnsi="Times New Roman" w:cs="Times New Roman"/>
          <w:color w:val="333333"/>
          <w:sz w:val="24"/>
          <w:szCs w:val="24"/>
        </w:rPr>
        <w:footnoteReference w:id="26"/>
      </w:r>
      <w:r w:rsidR="00751166">
        <w:rPr>
          <w:rFonts w:ascii="Times New Roman" w:hAnsi="Times New Roman" w:cs="Times New Roman"/>
          <w:color w:val="333333"/>
          <w:sz w:val="24"/>
          <w:szCs w:val="24"/>
        </w:rPr>
        <w:t xml:space="preserve"> </w:t>
      </w:r>
      <w:r w:rsidR="00A90910">
        <w:rPr>
          <w:rFonts w:ascii="Times New Roman" w:hAnsi="Times New Roman" w:cs="Times New Roman"/>
          <w:color w:val="333333"/>
          <w:sz w:val="24"/>
          <w:szCs w:val="24"/>
        </w:rPr>
        <w:t>Moreover, o</w:t>
      </w:r>
      <w:r w:rsidRPr="00093251">
        <w:rPr>
          <w:rFonts w:ascii="Times New Roman" w:hAnsi="Times New Roman" w:cs="Times New Roman"/>
          <w:color w:val="333333"/>
          <w:sz w:val="24"/>
          <w:szCs w:val="24"/>
        </w:rPr>
        <w:t>nce the trust is brought to an end, the landlord can end the tenancy in the normal way.</w:t>
      </w:r>
    </w:p>
    <w:p w14:paraId="35A80884" w14:textId="77777777" w:rsidR="00B8414E" w:rsidRDefault="00B8414E" w:rsidP="00B8414E">
      <w:pPr>
        <w:jc w:val="both"/>
        <w:rPr>
          <w:rFonts w:ascii="Times New Roman" w:hAnsi="Times New Roman" w:cs="Times New Roman"/>
          <w:b/>
          <w:sz w:val="24"/>
          <w:szCs w:val="24"/>
        </w:rPr>
      </w:pPr>
    </w:p>
    <w:p w14:paraId="0A5B7A83" w14:textId="77777777" w:rsidR="00BC4282" w:rsidRDefault="00B528DA" w:rsidP="00BC4282">
      <w:pPr>
        <w:jc w:val="both"/>
        <w:rPr>
          <w:rFonts w:ascii="Times New Roman" w:hAnsi="Times New Roman" w:cs="Times New Roman"/>
          <w:b/>
          <w:sz w:val="24"/>
          <w:szCs w:val="24"/>
        </w:rPr>
      </w:pPr>
      <w:r>
        <w:rPr>
          <w:rFonts w:ascii="Times New Roman" w:hAnsi="Times New Roman" w:cs="Times New Roman"/>
          <w:b/>
          <w:sz w:val="24"/>
          <w:szCs w:val="24"/>
        </w:rPr>
        <w:t>Secure tenancies and succession rights</w:t>
      </w:r>
    </w:p>
    <w:p w14:paraId="72779CCC" w14:textId="77777777" w:rsidR="00FF3320" w:rsidRPr="00BC4282" w:rsidRDefault="00FF3320" w:rsidP="00BC4282">
      <w:pPr>
        <w:jc w:val="both"/>
        <w:rPr>
          <w:rFonts w:ascii="Times New Roman" w:hAnsi="Times New Roman" w:cs="Times New Roman"/>
          <w:sz w:val="24"/>
          <w:szCs w:val="24"/>
        </w:rPr>
      </w:pPr>
      <w:r w:rsidRPr="00BC4282">
        <w:rPr>
          <w:rFonts w:ascii="Times New Roman" w:hAnsi="Times New Roman" w:cs="Times New Roman"/>
          <w:sz w:val="24"/>
          <w:szCs w:val="24"/>
        </w:rPr>
        <w:t>When a residential tenant dies, the tenancy may pass by succession to a spouse, cohabitee or family member provided the successor meets certain residence requirements in the period leading up to the tenant’s death. So far as a periodic assured tenancy is concerned, under the s.17 of the Housing Act 1988, only one succession is allowed in favour of the tenant’s spouse.  The Rent Act 1977, on the other hand, in relation to deaths after early 1989, permits a first succession to a surviving spouse, in which case a second succession is allowed on the spouse’s death to another spouse or family member. If the tenant leaves no qualified spouse, there is only a singl</w:t>
      </w:r>
      <w:r w:rsidR="002B6DFA">
        <w:rPr>
          <w:rFonts w:ascii="Times New Roman" w:hAnsi="Times New Roman" w:cs="Times New Roman"/>
          <w:sz w:val="24"/>
          <w:szCs w:val="24"/>
        </w:rPr>
        <w:t>e succession to a family member.</w:t>
      </w:r>
      <w:r w:rsidR="002B6DFA">
        <w:rPr>
          <w:rStyle w:val="FootnoteReference"/>
          <w:rFonts w:ascii="Times New Roman" w:hAnsi="Times New Roman" w:cs="Times New Roman"/>
          <w:sz w:val="24"/>
          <w:szCs w:val="24"/>
        </w:rPr>
        <w:footnoteReference w:id="27"/>
      </w:r>
    </w:p>
    <w:p w14:paraId="71C73A90" w14:textId="77777777" w:rsidR="00BC4282" w:rsidRDefault="00FF3320" w:rsidP="00BC4282">
      <w:pPr>
        <w:jc w:val="both"/>
        <w:rPr>
          <w:rFonts w:ascii="Times New Roman" w:hAnsi="Times New Roman" w:cs="Times New Roman"/>
          <w:sz w:val="24"/>
          <w:szCs w:val="24"/>
        </w:rPr>
      </w:pPr>
      <w:r>
        <w:rPr>
          <w:rFonts w:ascii="Times New Roman" w:hAnsi="Times New Roman" w:cs="Times New Roman"/>
          <w:sz w:val="24"/>
          <w:szCs w:val="24"/>
        </w:rPr>
        <w:t xml:space="preserve">Under the Housing Act 1985, the same rules apply to a secure tenancies.  Section 87 of the 1985 Act provides that a person is qualified to succeed to a secure tenancy if he (or she) is the tenant’s spouse or another member of the tenant’s family and has resided with the tenant throughout the period of 12 months ending with the tenant’s death.  The phrase “member of the tenant’s family” is defined in s.113(1) as being “that person’s parent, grandparent, child, grandchild, brother, sister, uncle aunt, nephew or niece”.  A child, therefore, qualifies to succeed to a secure tenancy under the 1985 Act. </w:t>
      </w:r>
    </w:p>
    <w:p w14:paraId="031E9B48" w14:textId="77777777" w:rsidR="00BC4282" w:rsidRDefault="00FF3320" w:rsidP="00BC4282">
      <w:pPr>
        <w:jc w:val="both"/>
        <w:rPr>
          <w:rFonts w:ascii="Times New Roman" w:hAnsi="Times New Roman" w:cs="Times New Roman"/>
          <w:sz w:val="24"/>
          <w:szCs w:val="24"/>
        </w:rPr>
      </w:pPr>
      <w:r w:rsidRPr="00BC4282">
        <w:rPr>
          <w:rFonts w:ascii="Times New Roman" w:hAnsi="Times New Roman" w:cs="Times New Roman"/>
          <w:sz w:val="24"/>
          <w:szCs w:val="24"/>
        </w:rPr>
        <w:t xml:space="preserve">The difficulty, however, </w:t>
      </w:r>
      <w:r w:rsidR="00B528DA" w:rsidRPr="00BC4282">
        <w:rPr>
          <w:rFonts w:ascii="Times New Roman" w:hAnsi="Times New Roman" w:cs="Times New Roman"/>
          <w:sz w:val="24"/>
          <w:szCs w:val="24"/>
        </w:rPr>
        <w:t xml:space="preserve">as we have seen, </w:t>
      </w:r>
      <w:r w:rsidRPr="00BC4282">
        <w:rPr>
          <w:rFonts w:ascii="Times New Roman" w:hAnsi="Times New Roman" w:cs="Times New Roman"/>
          <w:sz w:val="24"/>
          <w:szCs w:val="24"/>
        </w:rPr>
        <w:t>lies with the fact that a legal estate in land does not vest in a minor but is held in trust for</w:t>
      </w:r>
      <w:r w:rsidR="00523E3C">
        <w:rPr>
          <w:rFonts w:ascii="Times New Roman" w:hAnsi="Times New Roman" w:cs="Times New Roman"/>
          <w:sz w:val="24"/>
          <w:szCs w:val="24"/>
        </w:rPr>
        <w:t xml:space="preserve"> him (or her) until majority. </w:t>
      </w:r>
      <w:r w:rsidRPr="00BC4282">
        <w:rPr>
          <w:rFonts w:ascii="Times New Roman" w:hAnsi="Times New Roman" w:cs="Times New Roman"/>
          <w:sz w:val="24"/>
          <w:szCs w:val="24"/>
        </w:rPr>
        <w:t>The upshot, therefore, is that the child will acquire only an equitable interest in the secure tenancy pending majority. If the deceased tenant died intestate, the legal estate in the tenancy will vest automatically in the Public Trustee pending the grant of letters of administration to an appropriate relative. Alternatively, if the tenant died leaving a will, the legal estate will pass to their executor(s) named in the will.  Either way, it is apparent that the legal estate will have vested in a person who does not qualify to succeed to the tenancy. Does this, therefore, preclude the child from succeeding to the tenancy under s.87 of the 1985 Act?</w:t>
      </w:r>
    </w:p>
    <w:p w14:paraId="4837BB19" w14:textId="77777777" w:rsidR="00FF3320" w:rsidRDefault="00FF3320" w:rsidP="00BC4282">
      <w:pPr>
        <w:jc w:val="both"/>
        <w:rPr>
          <w:rFonts w:ascii="Times New Roman" w:hAnsi="Times New Roman" w:cs="Times New Roman"/>
          <w:sz w:val="24"/>
          <w:szCs w:val="24"/>
        </w:rPr>
      </w:pPr>
      <w:r>
        <w:rPr>
          <w:rFonts w:ascii="Times New Roman" w:hAnsi="Times New Roman" w:cs="Times New Roman"/>
          <w:sz w:val="24"/>
          <w:szCs w:val="24"/>
        </w:rPr>
        <w:t xml:space="preserve">Such a result would be surprising given that the 1985 Act itself presupposes that a child may succeed to a secure tenancy despite their incapacity to hold a legal estate in land.  So, how may this conundrum be resolved?  </w:t>
      </w:r>
    </w:p>
    <w:p w14:paraId="1D1192CA" w14:textId="77777777" w:rsidR="00FF3320" w:rsidRDefault="00FF3320" w:rsidP="00FF3320">
      <w:pPr>
        <w:jc w:val="both"/>
        <w:rPr>
          <w:rFonts w:ascii="Times New Roman" w:hAnsi="Times New Roman" w:cs="Times New Roman"/>
          <w:sz w:val="24"/>
          <w:szCs w:val="24"/>
        </w:rPr>
      </w:pPr>
    </w:p>
    <w:p w14:paraId="46391EA8" w14:textId="77777777" w:rsidR="00CE22B1" w:rsidRDefault="00FF3320" w:rsidP="00BC4282">
      <w:pPr>
        <w:jc w:val="both"/>
        <w:rPr>
          <w:rFonts w:ascii="Times New Roman" w:hAnsi="Times New Roman" w:cs="Times New Roman"/>
          <w:i/>
          <w:sz w:val="24"/>
          <w:szCs w:val="24"/>
        </w:rPr>
      </w:pPr>
      <w:r w:rsidRPr="00B528DA">
        <w:rPr>
          <w:rFonts w:ascii="Times New Roman" w:hAnsi="Times New Roman" w:cs="Times New Roman"/>
          <w:i/>
          <w:sz w:val="24"/>
          <w:szCs w:val="24"/>
        </w:rPr>
        <w:t>An equitable tenancy in favour of the child</w:t>
      </w:r>
    </w:p>
    <w:p w14:paraId="1859F39E" w14:textId="77777777" w:rsidR="00FF3320" w:rsidRPr="00CE22B1" w:rsidRDefault="00FF3320" w:rsidP="00BC4282">
      <w:pPr>
        <w:jc w:val="both"/>
        <w:rPr>
          <w:rFonts w:ascii="Times New Roman" w:hAnsi="Times New Roman" w:cs="Times New Roman"/>
          <w:i/>
          <w:sz w:val="24"/>
          <w:szCs w:val="24"/>
        </w:rPr>
      </w:pPr>
      <w:r>
        <w:rPr>
          <w:rFonts w:ascii="Times New Roman" w:hAnsi="Times New Roman" w:cs="Times New Roman"/>
          <w:sz w:val="24"/>
          <w:szCs w:val="24"/>
        </w:rPr>
        <w:lastRenderedPageBreak/>
        <w:t xml:space="preserve">In </w:t>
      </w:r>
      <w:r w:rsidRPr="00525451">
        <w:rPr>
          <w:rFonts w:ascii="Times New Roman" w:hAnsi="Times New Roman" w:cs="Times New Roman"/>
          <w:i/>
          <w:sz w:val="24"/>
          <w:szCs w:val="24"/>
        </w:rPr>
        <w:t>Kingston-upon-Thames RBC v Prince</w:t>
      </w:r>
      <w:r w:rsidR="002B6DFA">
        <w:rPr>
          <w:rFonts w:ascii="Times New Roman" w:hAnsi="Times New Roman" w:cs="Times New Roman"/>
          <w:sz w:val="24"/>
          <w:szCs w:val="24"/>
        </w:rPr>
        <w:t>,</w:t>
      </w:r>
      <w:r w:rsidR="002B6DFA">
        <w:rPr>
          <w:rStyle w:val="FootnoteReference"/>
          <w:rFonts w:ascii="Times New Roman" w:hAnsi="Times New Roman" w:cs="Times New Roman"/>
          <w:sz w:val="24"/>
          <w:szCs w:val="24"/>
        </w:rPr>
        <w:footnoteReference w:id="28"/>
      </w:r>
      <w:r w:rsidR="002B6DFA">
        <w:rPr>
          <w:rFonts w:ascii="Times New Roman" w:hAnsi="Times New Roman" w:cs="Times New Roman"/>
          <w:sz w:val="24"/>
          <w:szCs w:val="24"/>
        </w:rPr>
        <w:t xml:space="preserve"> </w:t>
      </w:r>
      <w:r>
        <w:rPr>
          <w:rFonts w:ascii="Times New Roman" w:hAnsi="Times New Roman" w:cs="Times New Roman"/>
          <w:sz w:val="24"/>
          <w:szCs w:val="24"/>
        </w:rPr>
        <w:t>the Court of Appeal concluded that the 1985 Act clearly included minors within its succession provisions.  In that case, the deceased’s adult daughter (Wendy) was held to succeed to the legal tenancy (even though she did not qualify) so as to enable her to hold the legal estate on trust for the deceased’s granddaughter (Marie, aged 13) who was entitled to succeed under s.87 because she had lived with the deceased (her grandfather) for almost three years prior to his death.  It seems that the daughter was willing to act in this way in order to avoid the difficulties associated with the legal tenancy not passing to the granddaughter during her minority. Hale J. (givi</w:t>
      </w:r>
      <w:r w:rsidR="002B6DFA">
        <w:rPr>
          <w:rFonts w:ascii="Times New Roman" w:hAnsi="Times New Roman" w:cs="Times New Roman"/>
          <w:sz w:val="24"/>
          <w:szCs w:val="24"/>
        </w:rPr>
        <w:t>ng the leading judgment) stated:</w:t>
      </w:r>
      <w:r w:rsidR="002B6DFA">
        <w:rPr>
          <w:rStyle w:val="FootnoteReference"/>
          <w:rFonts w:ascii="Times New Roman" w:hAnsi="Times New Roman" w:cs="Times New Roman"/>
          <w:sz w:val="24"/>
          <w:szCs w:val="24"/>
        </w:rPr>
        <w:footnoteReference w:id="29"/>
      </w:r>
      <w:r w:rsidR="002B6DFA">
        <w:rPr>
          <w:rFonts w:ascii="Times New Roman" w:hAnsi="Times New Roman" w:cs="Times New Roman"/>
          <w:sz w:val="24"/>
          <w:szCs w:val="24"/>
        </w:rPr>
        <w:t xml:space="preserve"> </w:t>
      </w:r>
    </w:p>
    <w:p w14:paraId="4DE3AD0B" w14:textId="77777777" w:rsidR="00BC4282" w:rsidRDefault="00FF3320" w:rsidP="00BC4282">
      <w:pPr>
        <w:ind w:left="720"/>
        <w:jc w:val="both"/>
        <w:rPr>
          <w:rFonts w:ascii="Times New Roman" w:hAnsi="Times New Roman" w:cs="Times New Roman"/>
          <w:sz w:val="24"/>
          <w:szCs w:val="24"/>
        </w:rPr>
      </w:pPr>
      <w:r>
        <w:rPr>
          <w:rFonts w:ascii="Times New Roman" w:hAnsi="Times New Roman" w:cs="Times New Roman"/>
          <w:sz w:val="24"/>
          <w:szCs w:val="24"/>
        </w:rPr>
        <w:t>“A minor is quite capable of becoming a tenant, albeit only in equity. Marie’s mother was declared trustee because she was willing to act and no one objected.  But the relevant tenancy is the equitable tenancy held by Marie. Housing legislation may include an equitable tenancy without catering for it expressly . . . If there is nothing to stop a local authority granting a tenancy effective in equity to a minor in appropriate circumstances, there can be no insuperable technical objection to Parliament rendering that equitable tenancy secure. If Parliament had wanted to limit these provisions to adults, it could easily have said so: but it did not.”</w:t>
      </w:r>
    </w:p>
    <w:p w14:paraId="32726520" w14:textId="77777777" w:rsidR="00FF3320" w:rsidRDefault="00FF3320" w:rsidP="00BC4282">
      <w:pPr>
        <w:jc w:val="both"/>
        <w:rPr>
          <w:rFonts w:ascii="Times New Roman" w:hAnsi="Times New Roman" w:cs="Times New Roman"/>
          <w:sz w:val="24"/>
          <w:szCs w:val="24"/>
        </w:rPr>
      </w:pPr>
      <w:r>
        <w:rPr>
          <w:rFonts w:ascii="Times New Roman" w:hAnsi="Times New Roman" w:cs="Times New Roman"/>
          <w:sz w:val="24"/>
          <w:szCs w:val="24"/>
        </w:rPr>
        <w:t xml:space="preserve">The point was also considered in </w:t>
      </w:r>
      <w:r w:rsidRPr="004622B5">
        <w:rPr>
          <w:rFonts w:ascii="Times New Roman" w:hAnsi="Times New Roman" w:cs="Times New Roman"/>
          <w:i/>
          <w:sz w:val="24"/>
          <w:szCs w:val="24"/>
        </w:rPr>
        <w:t>Newham L</w:t>
      </w:r>
      <w:r>
        <w:rPr>
          <w:rFonts w:ascii="Times New Roman" w:hAnsi="Times New Roman" w:cs="Times New Roman"/>
          <w:i/>
          <w:sz w:val="24"/>
          <w:szCs w:val="24"/>
        </w:rPr>
        <w:t xml:space="preserve">ondon Borough Council </w:t>
      </w:r>
      <w:r w:rsidRPr="004622B5">
        <w:rPr>
          <w:rFonts w:ascii="Times New Roman" w:hAnsi="Times New Roman" w:cs="Times New Roman"/>
          <w:i/>
          <w:sz w:val="24"/>
          <w:szCs w:val="24"/>
        </w:rPr>
        <w:t>v R</w:t>
      </w:r>
      <w:r>
        <w:rPr>
          <w:rFonts w:ascii="Times New Roman" w:hAnsi="Times New Roman" w:cs="Times New Roman"/>
          <w:i/>
          <w:sz w:val="24"/>
          <w:szCs w:val="24"/>
        </w:rPr>
        <w:t>ia</w:t>
      </w:r>
      <w:r w:rsidRPr="004622B5">
        <w:rPr>
          <w:rFonts w:ascii="Times New Roman" w:hAnsi="Times New Roman" w:cs="Times New Roman"/>
          <w:i/>
          <w:sz w:val="24"/>
          <w:szCs w:val="24"/>
        </w:rPr>
        <w:t xml:space="preserve"> (A Child)</w:t>
      </w:r>
      <w:r w:rsidR="002B6DFA">
        <w:rPr>
          <w:rFonts w:ascii="Times New Roman" w:hAnsi="Times New Roman" w:cs="Times New Roman"/>
          <w:sz w:val="24"/>
          <w:szCs w:val="24"/>
        </w:rPr>
        <w:t>.</w:t>
      </w:r>
      <w:r w:rsidR="002B6DFA">
        <w:rPr>
          <w:rStyle w:val="FootnoteReference"/>
          <w:rFonts w:ascii="Times New Roman" w:hAnsi="Times New Roman" w:cs="Times New Roman"/>
          <w:i/>
          <w:sz w:val="24"/>
          <w:szCs w:val="24"/>
        </w:rPr>
        <w:footnoteReference w:id="30"/>
      </w:r>
      <w:r w:rsidR="002B6DFA">
        <w:rPr>
          <w:rFonts w:ascii="Times New Roman" w:hAnsi="Times New Roman" w:cs="Times New Roman"/>
          <w:sz w:val="24"/>
          <w:szCs w:val="24"/>
        </w:rPr>
        <w:t xml:space="preserve"> </w:t>
      </w:r>
      <w:r>
        <w:rPr>
          <w:rFonts w:ascii="Times New Roman" w:hAnsi="Times New Roman" w:cs="Times New Roman"/>
          <w:sz w:val="24"/>
          <w:szCs w:val="24"/>
        </w:rPr>
        <w:t xml:space="preserve">Here, the minor had resided with her mother until the latter’s death in 2001. The mother had left in her will her entire net estate to be held upon trust for the minor (her daughter) and appointed her aunt as sole executrix and trustee. The minor was clearly a person qualified to succeed to her mother’s secure periodic tenancy. The Court of Appeal, applying </w:t>
      </w:r>
      <w:r w:rsidRPr="0004773B">
        <w:rPr>
          <w:rFonts w:ascii="Times New Roman" w:hAnsi="Times New Roman" w:cs="Times New Roman"/>
          <w:i/>
          <w:sz w:val="24"/>
          <w:szCs w:val="24"/>
        </w:rPr>
        <w:t>Prince</w:t>
      </w:r>
      <w:r>
        <w:rPr>
          <w:rFonts w:ascii="Times New Roman" w:hAnsi="Times New Roman" w:cs="Times New Roman"/>
          <w:sz w:val="24"/>
          <w:szCs w:val="24"/>
        </w:rPr>
        <w:t>, held that the legal tenancy vested in the child’s aunt by virtue of the mother’s will. Moreover, the 1985 Act did not prevent the aunt from holding the tenancy in this way on trust for the daughter despite the fact that she was not someone who could qualify to succeed to the tenancy herself.  On reaching her majority, however, the daughter would be entitled (by way of an assent from her aunt) to have the legal estate in the tenancy vested in her absolutely as legal and equitable owner.</w:t>
      </w:r>
      <w:r w:rsidR="00471B50">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Significantly, Sir Martin Nourse rejected the notion that the legal estate had vested in the Council on the moth</w:t>
      </w:r>
      <w:r w:rsidR="002B6DFA">
        <w:rPr>
          <w:rFonts w:ascii="Times New Roman" w:hAnsi="Times New Roman" w:cs="Times New Roman"/>
          <w:sz w:val="24"/>
          <w:szCs w:val="24"/>
        </w:rPr>
        <w:t>er’s death. His Lordship stated:</w:t>
      </w:r>
      <w:r w:rsidR="002B6DFA">
        <w:rPr>
          <w:rStyle w:val="FootnoteReference"/>
          <w:rFonts w:ascii="Times New Roman" w:hAnsi="Times New Roman" w:cs="Times New Roman"/>
          <w:sz w:val="24"/>
          <w:szCs w:val="24"/>
        </w:rPr>
        <w:footnoteReference w:id="32"/>
      </w:r>
      <w:r w:rsidR="002B6DFA">
        <w:rPr>
          <w:rFonts w:ascii="Times New Roman" w:hAnsi="Times New Roman" w:cs="Times New Roman"/>
          <w:sz w:val="24"/>
          <w:szCs w:val="24"/>
        </w:rPr>
        <w:t xml:space="preserve"> </w:t>
      </w:r>
    </w:p>
    <w:p w14:paraId="699E4634" w14:textId="77777777" w:rsidR="00FF3320" w:rsidRDefault="00FF3320" w:rsidP="00FF3320">
      <w:pPr>
        <w:ind w:left="720"/>
        <w:jc w:val="both"/>
        <w:rPr>
          <w:rFonts w:ascii="Times New Roman" w:hAnsi="Times New Roman" w:cs="Times New Roman"/>
          <w:sz w:val="24"/>
          <w:szCs w:val="24"/>
        </w:rPr>
      </w:pPr>
      <w:r>
        <w:rPr>
          <w:rFonts w:ascii="Times New Roman" w:hAnsi="Times New Roman" w:cs="Times New Roman"/>
          <w:sz w:val="24"/>
          <w:szCs w:val="24"/>
        </w:rPr>
        <w:t>“. . . the notion of a landlord being a trustee of a tenancy of the demised premises for the benefit of the tenant is a very curious one, to which effect should not be given without express provision. Nor can the court accept any argument that the vesting of the legal estate is in some way suspended or in limbo until [the minor] attains her majority.”</w:t>
      </w:r>
    </w:p>
    <w:p w14:paraId="77F820F7" w14:textId="77777777" w:rsidR="00B528DA" w:rsidRDefault="00FF3320" w:rsidP="00FF3320">
      <w:pPr>
        <w:jc w:val="both"/>
        <w:rPr>
          <w:rFonts w:ascii="Times New Roman" w:hAnsi="Times New Roman" w:cs="Times New Roman"/>
          <w:sz w:val="24"/>
          <w:szCs w:val="24"/>
        </w:rPr>
      </w:pPr>
      <w:r>
        <w:rPr>
          <w:rFonts w:ascii="Times New Roman" w:hAnsi="Times New Roman" w:cs="Times New Roman"/>
          <w:sz w:val="24"/>
          <w:szCs w:val="24"/>
        </w:rPr>
        <w:lastRenderedPageBreak/>
        <w:t>His Lordship also made reference to paragraph 2 of Schedule 1 to the Trusts of Land and Appointment of Trustees Act 1996 which refers to a legal estate in land vesting in a person by reason of intestacy “or in any other circumstances” which clearly contemplated not only intestate succession, but also (as in the instant case) dispositions of land by will.</w:t>
      </w:r>
    </w:p>
    <w:p w14:paraId="0515890A" w14:textId="77777777" w:rsidR="00305847" w:rsidRDefault="00305847" w:rsidP="00FF3320">
      <w:pPr>
        <w:jc w:val="both"/>
        <w:rPr>
          <w:rFonts w:ascii="Times New Roman" w:hAnsi="Times New Roman" w:cs="Times New Roman"/>
          <w:i/>
          <w:sz w:val="24"/>
          <w:szCs w:val="24"/>
        </w:rPr>
      </w:pPr>
    </w:p>
    <w:p w14:paraId="2636E7ED" w14:textId="77777777" w:rsidR="00FF3320" w:rsidRPr="00B528DA" w:rsidRDefault="00FF3320" w:rsidP="00FF3320">
      <w:pPr>
        <w:jc w:val="both"/>
        <w:rPr>
          <w:rFonts w:ascii="Times New Roman" w:hAnsi="Times New Roman" w:cs="Times New Roman"/>
          <w:sz w:val="24"/>
          <w:szCs w:val="24"/>
        </w:rPr>
      </w:pPr>
      <w:r w:rsidRPr="00B528DA">
        <w:rPr>
          <w:rFonts w:ascii="Times New Roman" w:hAnsi="Times New Roman" w:cs="Times New Roman"/>
          <w:i/>
          <w:sz w:val="24"/>
          <w:szCs w:val="24"/>
        </w:rPr>
        <w:t>Practical difficulties</w:t>
      </w:r>
    </w:p>
    <w:p w14:paraId="236C37C8" w14:textId="77777777" w:rsidR="00FF3320" w:rsidRDefault="00FF3320" w:rsidP="00FF3320">
      <w:pPr>
        <w:jc w:val="both"/>
        <w:rPr>
          <w:rFonts w:ascii="Times New Roman" w:hAnsi="Times New Roman" w:cs="Times New Roman"/>
          <w:sz w:val="24"/>
          <w:szCs w:val="24"/>
        </w:rPr>
      </w:pPr>
      <w:r>
        <w:rPr>
          <w:rFonts w:ascii="Times New Roman" w:hAnsi="Times New Roman" w:cs="Times New Roman"/>
          <w:sz w:val="24"/>
          <w:szCs w:val="24"/>
        </w:rPr>
        <w:t xml:space="preserve">It is noteworthy that, in </w:t>
      </w:r>
      <w:r w:rsidRPr="0024407E">
        <w:rPr>
          <w:rFonts w:ascii="Times New Roman" w:hAnsi="Times New Roman" w:cs="Times New Roman"/>
          <w:i/>
          <w:sz w:val="24"/>
          <w:szCs w:val="24"/>
        </w:rPr>
        <w:t>Prince</w:t>
      </w:r>
      <w:r w:rsidR="00612FD6">
        <w:rPr>
          <w:rFonts w:ascii="Times New Roman" w:hAnsi="Times New Roman" w:cs="Times New Roman"/>
          <w:sz w:val="24"/>
          <w:szCs w:val="24"/>
        </w:rPr>
        <w:t>, the deceased's adult daughter</w:t>
      </w:r>
      <w:r>
        <w:rPr>
          <w:rFonts w:ascii="Times New Roman" w:hAnsi="Times New Roman" w:cs="Times New Roman"/>
          <w:sz w:val="24"/>
          <w:szCs w:val="24"/>
        </w:rPr>
        <w:t xml:space="preserve"> was willing to hold the legal estate</w:t>
      </w:r>
      <w:r w:rsidR="00612FD6">
        <w:rPr>
          <w:rFonts w:ascii="Times New Roman" w:hAnsi="Times New Roman" w:cs="Times New Roman"/>
          <w:sz w:val="24"/>
          <w:szCs w:val="24"/>
        </w:rPr>
        <w:t xml:space="preserve"> in the tenancy on behalf of the deceased's grand</w:t>
      </w:r>
      <w:r>
        <w:rPr>
          <w:rFonts w:ascii="Times New Roman" w:hAnsi="Times New Roman" w:cs="Times New Roman"/>
          <w:sz w:val="24"/>
          <w:szCs w:val="24"/>
        </w:rPr>
        <w:t xml:space="preserve">daughter until the latter reached majority.  In </w:t>
      </w:r>
      <w:r w:rsidRPr="0024407E">
        <w:rPr>
          <w:rFonts w:ascii="Times New Roman" w:hAnsi="Times New Roman" w:cs="Times New Roman"/>
          <w:i/>
          <w:sz w:val="24"/>
          <w:szCs w:val="24"/>
        </w:rPr>
        <w:t>Newham</w:t>
      </w:r>
      <w:r>
        <w:rPr>
          <w:rFonts w:ascii="Times New Roman" w:hAnsi="Times New Roman" w:cs="Times New Roman"/>
          <w:sz w:val="24"/>
          <w:szCs w:val="24"/>
        </w:rPr>
        <w:t>, the deceased had expressly appointed her sister trustee of her entire estate in her will, who (again) was willing to act and give an assent of the legal estate in favour o</w:t>
      </w:r>
      <w:r w:rsidR="00CE22B1">
        <w:rPr>
          <w:rFonts w:ascii="Times New Roman" w:hAnsi="Times New Roman" w:cs="Times New Roman"/>
          <w:sz w:val="24"/>
          <w:szCs w:val="24"/>
        </w:rPr>
        <w:t>f her niece upon reaching majority.</w:t>
      </w:r>
      <w:r>
        <w:rPr>
          <w:rFonts w:ascii="Times New Roman" w:hAnsi="Times New Roman" w:cs="Times New Roman"/>
          <w:sz w:val="24"/>
          <w:szCs w:val="24"/>
        </w:rPr>
        <w:t xml:space="preserve">  </w:t>
      </w:r>
    </w:p>
    <w:p w14:paraId="09A4AE7B" w14:textId="77777777" w:rsidR="00FF3320" w:rsidRDefault="00612FD6" w:rsidP="00FF3320">
      <w:pPr>
        <w:jc w:val="both"/>
        <w:rPr>
          <w:rFonts w:ascii="Times New Roman" w:hAnsi="Times New Roman" w:cs="Times New Roman"/>
          <w:sz w:val="24"/>
          <w:szCs w:val="24"/>
        </w:rPr>
      </w:pPr>
      <w:r>
        <w:rPr>
          <w:rFonts w:ascii="Times New Roman" w:hAnsi="Times New Roman" w:cs="Times New Roman"/>
          <w:sz w:val="24"/>
          <w:szCs w:val="24"/>
        </w:rPr>
        <w:t>Had, however, the daughter</w:t>
      </w:r>
      <w:r w:rsidR="00FF3320">
        <w:rPr>
          <w:rFonts w:ascii="Times New Roman" w:hAnsi="Times New Roman" w:cs="Times New Roman"/>
          <w:sz w:val="24"/>
          <w:szCs w:val="24"/>
        </w:rPr>
        <w:t xml:space="preserve"> and sister in these cases refused to co-operate and act as trustee, then presumably an application to court would have been necessary so as to appoint someone suitable (for example, the child’s uncle or other guardian) to act in their place as trustee of the legal tenancy until the child reached full age. Interestingly, the Court of Appeal in </w:t>
      </w:r>
      <w:r w:rsidR="00FF3320" w:rsidRPr="00984822">
        <w:rPr>
          <w:rFonts w:ascii="Times New Roman" w:hAnsi="Times New Roman" w:cs="Times New Roman"/>
          <w:i/>
          <w:sz w:val="24"/>
          <w:szCs w:val="24"/>
        </w:rPr>
        <w:t>Newham</w:t>
      </w:r>
      <w:r w:rsidR="00FF3320">
        <w:rPr>
          <w:rFonts w:ascii="Times New Roman" w:hAnsi="Times New Roman" w:cs="Times New Roman"/>
          <w:sz w:val="24"/>
          <w:szCs w:val="24"/>
        </w:rPr>
        <w:t xml:space="preserve"> ruled out the possibility that the legal estate in the tenancy could simply remain in abeyance pending majority. Equally, as we have seen, the Court did not favour the suggestion that the legal estate should vest in the local authority </w:t>
      </w:r>
      <w:r w:rsidR="00AC0347">
        <w:rPr>
          <w:rFonts w:ascii="Times New Roman" w:hAnsi="Times New Roman" w:cs="Times New Roman"/>
          <w:sz w:val="24"/>
          <w:szCs w:val="24"/>
        </w:rPr>
        <w:t xml:space="preserve">(as landlord) </w:t>
      </w:r>
      <w:r w:rsidR="00FF3320">
        <w:rPr>
          <w:rFonts w:ascii="Times New Roman" w:hAnsi="Times New Roman" w:cs="Times New Roman"/>
          <w:sz w:val="24"/>
          <w:szCs w:val="24"/>
        </w:rPr>
        <w:t xml:space="preserve">in trust for the minor. No doubt, such an approach would have the huge potential for a conflict of interest if a local housing authority acted both as landlord and legal tenant of its own property. The better course, in such cases, is that the person with parental responsibility for the child should act as independent trustee. </w:t>
      </w:r>
    </w:p>
    <w:p w14:paraId="0DC6485A" w14:textId="77777777" w:rsidR="00FF3320" w:rsidRDefault="00FF3320" w:rsidP="00FF3320">
      <w:pPr>
        <w:jc w:val="both"/>
        <w:rPr>
          <w:rFonts w:ascii="Times New Roman" w:hAnsi="Times New Roman" w:cs="Times New Roman"/>
          <w:sz w:val="24"/>
          <w:szCs w:val="24"/>
        </w:rPr>
      </w:pPr>
      <w:r>
        <w:rPr>
          <w:rFonts w:ascii="Times New Roman" w:hAnsi="Times New Roman" w:cs="Times New Roman"/>
          <w:sz w:val="24"/>
          <w:szCs w:val="24"/>
        </w:rPr>
        <w:t xml:space="preserve">Of course, there may rare cases where the child has no one to look after their well-being after the tenant’s death. As was suggested in </w:t>
      </w:r>
      <w:r w:rsidRPr="00E54F92">
        <w:rPr>
          <w:rFonts w:ascii="Times New Roman" w:hAnsi="Times New Roman" w:cs="Times New Roman"/>
          <w:i/>
          <w:sz w:val="24"/>
          <w:szCs w:val="24"/>
        </w:rPr>
        <w:t>Prince</w:t>
      </w:r>
      <w:r>
        <w:rPr>
          <w:rFonts w:ascii="Times New Roman" w:hAnsi="Times New Roman" w:cs="Times New Roman"/>
          <w:sz w:val="24"/>
          <w:szCs w:val="24"/>
        </w:rPr>
        <w:t>, in these circumstances, the local social services authority may have to step in to provide accommodation for the child under the Children Act 1989. Unless the child can be supported in their own home, social services may have little choice but to place the child in other premises, in which case the tenant condition under s.81 of the 1985 Act will no longer be fulfilled and the tenancy will cease to be a secure tenancy. There may be other difficulties. For example, the child may not be able to pay the rent or otherwise discharge the obligations of the tenancy.</w:t>
      </w:r>
      <w:r w:rsidR="003F04B0">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The landlord </w:t>
      </w:r>
      <w:r w:rsidR="00AC0347">
        <w:rPr>
          <w:rFonts w:ascii="Times New Roman" w:hAnsi="Times New Roman" w:cs="Times New Roman"/>
          <w:sz w:val="24"/>
          <w:szCs w:val="24"/>
        </w:rPr>
        <w:t xml:space="preserve">(assuming it is not also a trustee) </w:t>
      </w:r>
      <w:r>
        <w:rPr>
          <w:rFonts w:ascii="Times New Roman" w:hAnsi="Times New Roman" w:cs="Times New Roman"/>
          <w:sz w:val="24"/>
          <w:szCs w:val="24"/>
        </w:rPr>
        <w:t>would then be able to bring the tenancy to an end and obtain possession of the premises under one of the grounds listed in Schedule 2 to the 1985 Act.</w:t>
      </w:r>
      <w:r w:rsidR="002630C0">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If, however, the child is able to comply with the terms of the tenancy (because they are working or are </w:t>
      </w:r>
      <w:r>
        <w:rPr>
          <w:rFonts w:ascii="Times New Roman" w:hAnsi="Times New Roman" w:cs="Times New Roman"/>
          <w:sz w:val="24"/>
          <w:szCs w:val="24"/>
        </w:rPr>
        <w:lastRenderedPageBreak/>
        <w:t>being provided for by other means), then there would be no obvious difficulty in allowing them to continue to occupy the premises as their only or principal home pending majority.</w:t>
      </w:r>
      <w:r w:rsidR="00EF0A70">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
    <w:p w14:paraId="0AD269DC" w14:textId="77777777" w:rsidR="00FF3320" w:rsidRDefault="00FF3320" w:rsidP="00FF3320">
      <w:pPr>
        <w:jc w:val="both"/>
        <w:rPr>
          <w:rFonts w:ascii="Times New Roman" w:hAnsi="Times New Roman" w:cs="Times New Roman"/>
          <w:sz w:val="24"/>
          <w:szCs w:val="24"/>
        </w:rPr>
      </w:pPr>
      <w:r>
        <w:rPr>
          <w:rFonts w:ascii="Times New Roman" w:hAnsi="Times New Roman" w:cs="Times New Roman"/>
          <w:sz w:val="24"/>
          <w:szCs w:val="24"/>
        </w:rPr>
        <w:t xml:space="preserve">It may also be asked whether the child would have the right to acquire the freehold (or be granted a lease) of the premises under Part V of the 1985 Act.  Since an equitable secure tenancy satisfies the definition of a secure tenancy under s.79, there seems no reason why this could not be possible, especially as neither equitable secure tenancies nor minors are expressly excluded from the right to buy provisions under the Act.  In the words of Hale J. in </w:t>
      </w:r>
      <w:r w:rsidRPr="00692B0F">
        <w:rPr>
          <w:rFonts w:ascii="Times New Roman" w:hAnsi="Times New Roman" w:cs="Times New Roman"/>
          <w:i/>
          <w:sz w:val="24"/>
          <w:szCs w:val="24"/>
        </w:rPr>
        <w:t>Prince</w:t>
      </w:r>
      <w:r w:rsidR="00CD2A6E">
        <w:rPr>
          <w:rFonts w:ascii="Times New Roman" w:hAnsi="Times New Roman" w:cs="Times New Roman"/>
          <w:sz w:val="24"/>
          <w:szCs w:val="24"/>
        </w:rPr>
        <w:t>:</w:t>
      </w:r>
      <w:r w:rsidR="00CD2A6E">
        <w:rPr>
          <w:rStyle w:val="FootnoteReference"/>
          <w:rFonts w:ascii="Times New Roman" w:hAnsi="Times New Roman" w:cs="Times New Roman"/>
          <w:sz w:val="24"/>
          <w:szCs w:val="24"/>
        </w:rPr>
        <w:footnoteReference w:id="36"/>
      </w:r>
      <w:r w:rsidR="00CD2A6E">
        <w:rPr>
          <w:rFonts w:ascii="Times New Roman" w:hAnsi="Times New Roman" w:cs="Times New Roman"/>
          <w:sz w:val="24"/>
          <w:szCs w:val="24"/>
        </w:rPr>
        <w:t xml:space="preserve"> </w:t>
      </w:r>
    </w:p>
    <w:p w14:paraId="4533C323" w14:textId="77777777" w:rsidR="00FF3320" w:rsidRDefault="00FF3320" w:rsidP="00FF3320">
      <w:pPr>
        <w:ind w:left="720"/>
        <w:jc w:val="both"/>
        <w:rPr>
          <w:rFonts w:ascii="Times New Roman" w:hAnsi="Times New Roman" w:cs="Times New Roman"/>
          <w:sz w:val="24"/>
          <w:szCs w:val="24"/>
        </w:rPr>
      </w:pPr>
      <w:r>
        <w:rPr>
          <w:rFonts w:ascii="Times New Roman" w:hAnsi="Times New Roman" w:cs="Times New Roman"/>
          <w:sz w:val="24"/>
          <w:szCs w:val="24"/>
        </w:rPr>
        <w:t>“. . . there is ample reason to conclude that minor children are not ‘non persons’ in the law of landlord and tenant let alone the law of property generally. The modern tendency of the law is to recognise that children are indeed people. It simply cannot be assumed that they are omitted from legislation unless the contrary is expressly stated.”</w:t>
      </w:r>
    </w:p>
    <w:p w14:paraId="6DD1E19D" w14:textId="77777777" w:rsidR="0064537D" w:rsidRDefault="0064537D" w:rsidP="00FF3320">
      <w:pPr>
        <w:jc w:val="both"/>
        <w:rPr>
          <w:rFonts w:ascii="Times New Roman" w:hAnsi="Times New Roman" w:cs="Times New Roman"/>
          <w:sz w:val="24"/>
          <w:szCs w:val="24"/>
        </w:rPr>
      </w:pPr>
    </w:p>
    <w:p w14:paraId="27C94450" w14:textId="77777777" w:rsidR="00FF3320" w:rsidRPr="00B528DA" w:rsidRDefault="00FF3320" w:rsidP="00FF3320">
      <w:pPr>
        <w:jc w:val="both"/>
        <w:rPr>
          <w:rFonts w:ascii="Times New Roman" w:hAnsi="Times New Roman" w:cs="Times New Roman"/>
          <w:i/>
          <w:sz w:val="24"/>
          <w:szCs w:val="24"/>
        </w:rPr>
      </w:pPr>
      <w:r w:rsidRPr="00B528DA">
        <w:rPr>
          <w:rFonts w:ascii="Times New Roman" w:hAnsi="Times New Roman" w:cs="Times New Roman"/>
          <w:i/>
          <w:sz w:val="24"/>
          <w:szCs w:val="24"/>
        </w:rPr>
        <w:t>A more fundamental objection?</w:t>
      </w:r>
    </w:p>
    <w:p w14:paraId="6F4E89B3" w14:textId="77777777" w:rsidR="00FF3320" w:rsidRDefault="00FF3320" w:rsidP="00FF3320">
      <w:pPr>
        <w:jc w:val="both"/>
        <w:rPr>
          <w:rFonts w:ascii="Times New Roman" w:hAnsi="Times New Roman" w:cs="Times New Roman"/>
          <w:sz w:val="24"/>
          <w:szCs w:val="24"/>
        </w:rPr>
      </w:pPr>
      <w:r>
        <w:rPr>
          <w:rFonts w:ascii="Times New Roman" w:hAnsi="Times New Roman" w:cs="Times New Roman"/>
          <w:sz w:val="24"/>
          <w:szCs w:val="24"/>
        </w:rPr>
        <w:t xml:space="preserve">Aside the practical difficulties, however, there is a more fundamental objection to allowing the device of the trust to be used so as to permit a minor to succeed to a secure tenancy in equity pending majority.  As has been noted by </w:t>
      </w:r>
      <w:r w:rsidR="005F6242">
        <w:rPr>
          <w:rFonts w:ascii="Times New Roman" w:hAnsi="Times New Roman" w:cs="Times New Roman"/>
          <w:sz w:val="24"/>
          <w:szCs w:val="24"/>
        </w:rPr>
        <w:t>other commentators,</w:t>
      </w:r>
      <w:r w:rsidR="005F6242">
        <w:rPr>
          <w:rStyle w:val="FootnoteReference"/>
          <w:rFonts w:ascii="Times New Roman" w:hAnsi="Times New Roman" w:cs="Times New Roman"/>
          <w:sz w:val="24"/>
          <w:szCs w:val="24"/>
        </w:rPr>
        <w:footnoteReference w:id="37"/>
      </w:r>
      <w:r w:rsidR="005F6242">
        <w:rPr>
          <w:rFonts w:ascii="Times New Roman" w:hAnsi="Times New Roman" w:cs="Times New Roman"/>
          <w:sz w:val="24"/>
          <w:szCs w:val="24"/>
        </w:rPr>
        <w:t xml:space="preserve"> </w:t>
      </w:r>
      <w:r>
        <w:rPr>
          <w:rFonts w:ascii="Times New Roman" w:hAnsi="Times New Roman" w:cs="Times New Roman"/>
          <w:sz w:val="24"/>
          <w:szCs w:val="24"/>
        </w:rPr>
        <w:t xml:space="preserve">the decision in </w:t>
      </w:r>
      <w:r w:rsidRPr="009318D0">
        <w:rPr>
          <w:rFonts w:ascii="Times New Roman" w:hAnsi="Times New Roman" w:cs="Times New Roman"/>
          <w:i/>
          <w:sz w:val="24"/>
          <w:szCs w:val="24"/>
        </w:rPr>
        <w:t>Prince</w:t>
      </w:r>
      <w:r>
        <w:rPr>
          <w:rFonts w:ascii="Times New Roman" w:hAnsi="Times New Roman" w:cs="Times New Roman"/>
          <w:sz w:val="24"/>
          <w:szCs w:val="24"/>
        </w:rPr>
        <w:t xml:space="preserve"> may be explained on the basis that:</w:t>
      </w:r>
    </w:p>
    <w:p w14:paraId="330593A9" w14:textId="77777777" w:rsidR="00FF3320" w:rsidRDefault="00FF3320" w:rsidP="00FF3320">
      <w:pPr>
        <w:ind w:left="720"/>
        <w:jc w:val="both"/>
        <w:rPr>
          <w:rFonts w:ascii="Times New Roman" w:hAnsi="Times New Roman" w:cs="Times New Roman"/>
          <w:sz w:val="24"/>
          <w:szCs w:val="24"/>
        </w:rPr>
      </w:pPr>
      <w:r>
        <w:rPr>
          <w:rFonts w:ascii="Times New Roman" w:hAnsi="Times New Roman" w:cs="Times New Roman"/>
          <w:sz w:val="24"/>
          <w:szCs w:val="24"/>
        </w:rPr>
        <w:t xml:space="preserve">“If both the legal and equitable interests in a tenancy vest in a non-qualifying person, that tenancy cannot be secure by virtue of section 89(3). If, however, the equitable estate vests in a qualifying minor and the legal estate vests in a non-qualifying adult, the equitable tenancy will remain secure by reason of </w:t>
      </w:r>
      <w:r w:rsidRPr="00DC05A0">
        <w:rPr>
          <w:rFonts w:ascii="Times New Roman" w:hAnsi="Times New Roman" w:cs="Times New Roman"/>
          <w:i/>
          <w:sz w:val="24"/>
          <w:szCs w:val="24"/>
        </w:rPr>
        <w:t>Prince</w:t>
      </w:r>
      <w:r>
        <w:rPr>
          <w:rFonts w:ascii="Times New Roman" w:hAnsi="Times New Roman" w:cs="Times New Roman"/>
          <w:sz w:val="24"/>
          <w:szCs w:val="24"/>
        </w:rPr>
        <w:t>, although bizarrely the legal tenancy may lose its secure status.”</w:t>
      </w:r>
    </w:p>
    <w:p w14:paraId="77FE8924" w14:textId="77777777" w:rsidR="00FF3320" w:rsidRDefault="00FF3320" w:rsidP="00FF3320">
      <w:pPr>
        <w:jc w:val="both"/>
        <w:rPr>
          <w:rFonts w:ascii="Times New Roman" w:hAnsi="Times New Roman" w:cs="Times New Roman"/>
          <w:sz w:val="24"/>
          <w:szCs w:val="24"/>
        </w:rPr>
      </w:pPr>
      <w:r>
        <w:rPr>
          <w:rFonts w:ascii="Times New Roman" w:hAnsi="Times New Roman" w:cs="Times New Roman"/>
          <w:sz w:val="24"/>
          <w:szCs w:val="24"/>
        </w:rPr>
        <w:t xml:space="preserve">The inherent problem with the </w:t>
      </w:r>
      <w:r w:rsidRPr="00DC05A0">
        <w:rPr>
          <w:rFonts w:ascii="Times New Roman" w:hAnsi="Times New Roman" w:cs="Times New Roman"/>
          <w:i/>
          <w:sz w:val="24"/>
          <w:szCs w:val="24"/>
        </w:rPr>
        <w:t>Prince</w:t>
      </w:r>
      <w:r>
        <w:rPr>
          <w:rFonts w:ascii="Times New Roman" w:hAnsi="Times New Roman" w:cs="Times New Roman"/>
          <w:sz w:val="24"/>
          <w:szCs w:val="24"/>
        </w:rPr>
        <w:t xml:space="preserve"> ruling is that the tenancy will cease to be secure when it is vested or disposed of to a person not qualified to succeed to the tenancy unless it is vested in accordance with one of the limited exceptions contained in s.89(3). The Court of Appeal, on the other hand, concluded that Marie’s mother could hold the legal tenancy even though she did not qualify under s.87 and the exceptions did not apply because it was enough that the child held an equitable tenancy of the premises whilst a minor.  </w:t>
      </w:r>
    </w:p>
    <w:p w14:paraId="7AE0269B" w14:textId="77777777" w:rsidR="00FF3320" w:rsidRDefault="00FF3320" w:rsidP="00FF3320">
      <w:pPr>
        <w:jc w:val="both"/>
        <w:rPr>
          <w:rFonts w:ascii="Times New Roman" w:hAnsi="Times New Roman" w:cs="Times New Roman"/>
          <w:sz w:val="24"/>
          <w:szCs w:val="24"/>
        </w:rPr>
      </w:pPr>
      <w:r>
        <w:rPr>
          <w:rFonts w:ascii="Times New Roman" w:hAnsi="Times New Roman" w:cs="Times New Roman"/>
          <w:sz w:val="24"/>
          <w:szCs w:val="24"/>
        </w:rPr>
        <w:t xml:space="preserve">Interestingly, it was argued in </w:t>
      </w:r>
      <w:r w:rsidRPr="00661F11">
        <w:rPr>
          <w:rFonts w:ascii="Times New Roman" w:hAnsi="Times New Roman" w:cs="Times New Roman"/>
          <w:i/>
          <w:sz w:val="24"/>
          <w:szCs w:val="24"/>
        </w:rPr>
        <w:t>Prince</w:t>
      </w:r>
      <w:r>
        <w:rPr>
          <w:rFonts w:ascii="Times New Roman" w:hAnsi="Times New Roman" w:cs="Times New Roman"/>
          <w:sz w:val="24"/>
          <w:szCs w:val="24"/>
        </w:rPr>
        <w:t xml:space="preserve">, on behalf of the local authority, that the 1985 Act did not permit the separation of the legal and equitable estates in this way. The word “tenancy” in the 1985 Act referred only to the legal estate and excluded an equitable tenancy. Consequently, succession could not apply to a minor because the minor could not hold the legal estate which is the “tenancy” within the meaning of the Act. In essence, the effect of the </w:t>
      </w:r>
      <w:r>
        <w:rPr>
          <w:rFonts w:ascii="Times New Roman" w:hAnsi="Times New Roman" w:cs="Times New Roman"/>
          <w:sz w:val="24"/>
          <w:szCs w:val="24"/>
        </w:rPr>
        <w:lastRenderedPageBreak/>
        <w:t xml:space="preserve">order in </w:t>
      </w:r>
      <w:r w:rsidRPr="00992F4F">
        <w:rPr>
          <w:rFonts w:ascii="Times New Roman" w:hAnsi="Times New Roman" w:cs="Times New Roman"/>
          <w:i/>
          <w:sz w:val="24"/>
          <w:szCs w:val="24"/>
        </w:rPr>
        <w:t>Prince</w:t>
      </w:r>
      <w:r>
        <w:rPr>
          <w:rFonts w:ascii="Times New Roman" w:hAnsi="Times New Roman" w:cs="Times New Roman"/>
          <w:sz w:val="24"/>
          <w:szCs w:val="24"/>
        </w:rPr>
        <w:t xml:space="preserve"> was to constitute Marie’s mother the “tenant” of the property and, therefore, a secure tenant even though she was not qualified to succeed.</w:t>
      </w:r>
    </w:p>
    <w:p w14:paraId="04360452" w14:textId="77777777" w:rsidR="00F07384" w:rsidRDefault="00F07384" w:rsidP="00FF3320">
      <w:pPr>
        <w:jc w:val="both"/>
        <w:rPr>
          <w:rFonts w:ascii="Times New Roman" w:hAnsi="Times New Roman" w:cs="Times New Roman"/>
          <w:sz w:val="24"/>
          <w:szCs w:val="24"/>
        </w:rPr>
      </w:pPr>
    </w:p>
    <w:p w14:paraId="27506295" w14:textId="77777777" w:rsidR="00B528DA" w:rsidRPr="00B528DA" w:rsidRDefault="00B528DA" w:rsidP="00FF3320">
      <w:pPr>
        <w:jc w:val="both"/>
        <w:rPr>
          <w:rFonts w:ascii="Times New Roman" w:hAnsi="Times New Roman" w:cs="Times New Roman"/>
          <w:i/>
          <w:sz w:val="24"/>
          <w:szCs w:val="24"/>
        </w:rPr>
      </w:pPr>
      <w:r w:rsidRPr="00B528DA">
        <w:rPr>
          <w:rFonts w:ascii="Times New Roman" w:hAnsi="Times New Roman" w:cs="Times New Roman"/>
          <w:i/>
          <w:sz w:val="24"/>
          <w:szCs w:val="24"/>
        </w:rPr>
        <w:t>A</w:t>
      </w:r>
      <w:r w:rsidR="003A7E5A">
        <w:rPr>
          <w:rFonts w:ascii="Times New Roman" w:hAnsi="Times New Roman" w:cs="Times New Roman"/>
          <w:i/>
          <w:sz w:val="24"/>
          <w:szCs w:val="24"/>
        </w:rPr>
        <w:t xml:space="preserve"> pragmatic approach</w:t>
      </w:r>
    </w:p>
    <w:p w14:paraId="51E2A8B9" w14:textId="77777777" w:rsidR="00B8414E" w:rsidRDefault="00FF3320" w:rsidP="00BF36EA">
      <w:pPr>
        <w:jc w:val="both"/>
        <w:rPr>
          <w:rFonts w:ascii="Times New Roman" w:hAnsi="Times New Roman" w:cs="Times New Roman"/>
          <w:sz w:val="24"/>
          <w:szCs w:val="24"/>
        </w:rPr>
      </w:pPr>
      <w:r>
        <w:rPr>
          <w:rFonts w:ascii="Times New Roman" w:hAnsi="Times New Roman" w:cs="Times New Roman"/>
          <w:sz w:val="24"/>
          <w:szCs w:val="24"/>
        </w:rPr>
        <w:t xml:space="preserve">Despite the technical arguments associated with the separation of the legal and equitable interests, there is no doubt that the </w:t>
      </w:r>
      <w:r w:rsidRPr="00EF3A10">
        <w:rPr>
          <w:rFonts w:ascii="Times New Roman" w:hAnsi="Times New Roman" w:cs="Times New Roman"/>
          <w:i/>
          <w:sz w:val="24"/>
          <w:szCs w:val="24"/>
        </w:rPr>
        <w:t>Prince</w:t>
      </w:r>
      <w:r>
        <w:rPr>
          <w:rFonts w:ascii="Times New Roman" w:hAnsi="Times New Roman" w:cs="Times New Roman"/>
          <w:sz w:val="24"/>
          <w:szCs w:val="24"/>
        </w:rPr>
        <w:t xml:space="preserve"> ruling provides an obvious solution to the conundrum of allowing a child to succeed to a secure tenancy notwithstanding their incapacity to hold a legal tenancy until majority.  As Mills and Jones conclu</w:t>
      </w:r>
      <w:r w:rsidR="00A03A58">
        <w:rPr>
          <w:rFonts w:ascii="Times New Roman" w:hAnsi="Times New Roman" w:cs="Times New Roman"/>
          <w:sz w:val="24"/>
          <w:szCs w:val="24"/>
        </w:rPr>
        <w:t>de in their article</w:t>
      </w:r>
      <w:r>
        <w:rPr>
          <w:rFonts w:ascii="Times New Roman" w:hAnsi="Times New Roman" w:cs="Times New Roman"/>
          <w:sz w:val="24"/>
          <w:szCs w:val="24"/>
        </w:rPr>
        <w:t>,</w:t>
      </w:r>
      <w:r w:rsidR="00A03A58">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the Court of Appeal “may have simply taken a pragmatic approach in o</w:t>
      </w:r>
      <w:r w:rsidR="005F6242">
        <w:rPr>
          <w:rFonts w:ascii="Times New Roman" w:hAnsi="Times New Roman" w:cs="Times New Roman"/>
          <w:sz w:val="24"/>
          <w:szCs w:val="24"/>
        </w:rPr>
        <w:t>rder to do justice in the case”.</w:t>
      </w:r>
      <w:r w:rsidR="00A03A58">
        <w:rPr>
          <w:rFonts w:ascii="Times New Roman" w:hAnsi="Times New Roman" w:cs="Times New Roman"/>
          <w:sz w:val="24"/>
          <w:szCs w:val="24"/>
        </w:rPr>
        <w:t xml:space="preserve"> </w:t>
      </w:r>
      <w:r>
        <w:rPr>
          <w:rFonts w:ascii="Times New Roman" w:hAnsi="Times New Roman" w:cs="Times New Roman"/>
          <w:sz w:val="24"/>
          <w:szCs w:val="24"/>
        </w:rPr>
        <w:t>However, whilst, no doubt, providing a just solution, the decision is not without its practical difficulties which may (in less fortunate circumstances) deny the minor the opportunity to succeed to a secure tenancy or operate so as to give the local authority reason to bring to an end the tenancy and seek possession of the premises.</w:t>
      </w:r>
    </w:p>
    <w:p w14:paraId="7F6F9CB1" w14:textId="77777777" w:rsidR="00BF36EA" w:rsidRDefault="00BF36EA" w:rsidP="00BF36EA">
      <w:pPr>
        <w:jc w:val="both"/>
        <w:rPr>
          <w:rFonts w:ascii="Times New Roman" w:hAnsi="Times New Roman" w:cs="Times New Roman"/>
          <w:sz w:val="24"/>
          <w:szCs w:val="24"/>
        </w:rPr>
      </w:pPr>
    </w:p>
    <w:p w14:paraId="77DB2A2F" w14:textId="77777777" w:rsidR="00BF36EA" w:rsidRPr="00BF36EA" w:rsidRDefault="00BF36EA" w:rsidP="00BF36EA">
      <w:pPr>
        <w:jc w:val="both"/>
        <w:rPr>
          <w:rFonts w:ascii="Times New Roman" w:hAnsi="Times New Roman" w:cs="Times New Roman"/>
          <w:b/>
          <w:sz w:val="24"/>
          <w:szCs w:val="24"/>
        </w:rPr>
      </w:pPr>
      <w:r w:rsidRPr="00BF36EA">
        <w:rPr>
          <w:rFonts w:ascii="Times New Roman" w:hAnsi="Times New Roman" w:cs="Times New Roman"/>
          <w:b/>
          <w:sz w:val="24"/>
          <w:szCs w:val="24"/>
        </w:rPr>
        <w:t>Conclusion</w:t>
      </w:r>
    </w:p>
    <w:p w14:paraId="2DEE3EE4" w14:textId="77777777" w:rsidR="00D826E5" w:rsidRDefault="00BF36EA" w:rsidP="00CA3EFF">
      <w:pPr>
        <w:jc w:val="both"/>
        <w:rPr>
          <w:rFonts w:ascii="Times New Roman" w:hAnsi="Times New Roman" w:cs="Times New Roman"/>
          <w:color w:val="333333"/>
          <w:sz w:val="24"/>
          <w:szCs w:val="24"/>
        </w:rPr>
      </w:pPr>
      <w:r>
        <w:rPr>
          <w:rFonts w:ascii="Times New Roman" w:hAnsi="Times New Roman" w:cs="Times New Roman"/>
          <w:sz w:val="24"/>
          <w:szCs w:val="24"/>
        </w:rPr>
        <w:t xml:space="preserve">Although the mechanism of the trust provides a useful device for allowing a transfer of </w:t>
      </w:r>
      <w:r w:rsidR="00CE22B1">
        <w:rPr>
          <w:rFonts w:ascii="Times New Roman" w:hAnsi="Times New Roman" w:cs="Times New Roman"/>
          <w:sz w:val="24"/>
          <w:szCs w:val="24"/>
        </w:rPr>
        <w:t xml:space="preserve">land </w:t>
      </w:r>
      <w:r>
        <w:rPr>
          <w:rFonts w:ascii="Times New Roman" w:hAnsi="Times New Roman" w:cs="Times New Roman"/>
          <w:sz w:val="24"/>
          <w:szCs w:val="24"/>
        </w:rPr>
        <w:t xml:space="preserve">to a minor to take effect pending </w:t>
      </w:r>
      <w:r w:rsidR="00AE414F">
        <w:rPr>
          <w:rFonts w:ascii="Times New Roman" w:hAnsi="Times New Roman" w:cs="Times New Roman"/>
          <w:sz w:val="24"/>
          <w:szCs w:val="24"/>
        </w:rPr>
        <w:t xml:space="preserve">his </w:t>
      </w:r>
      <w:r>
        <w:rPr>
          <w:rFonts w:ascii="Times New Roman" w:hAnsi="Times New Roman" w:cs="Times New Roman"/>
          <w:sz w:val="24"/>
          <w:szCs w:val="24"/>
        </w:rPr>
        <w:t>maj</w:t>
      </w:r>
      <w:r w:rsidR="007422C3">
        <w:rPr>
          <w:rFonts w:ascii="Times New Roman" w:hAnsi="Times New Roman" w:cs="Times New Roman"/>
          <w:sz w:val="24"/>
          <w:szCs w:val="24"/>
        </w:rPr>
        <w:t>ority</w:t>
      </w:r>
      <w:r>
        <w:rPr>
          <w:rFonts w:ascii="Times New Roman" w:hAnsi="Times New Roman" w:cs="Times New Roman"/>
          <w:sz w:val="24"/>
          <w:szCs w:val="24"/>
        </w:rPr>
        <w:t xml:space="preserve">, there are several other ways </w:t>
      </w:r>
      <w:r w:rsidR="00E2660A">
        <w:rPr>
          <w:rFonts w:ascii="Times New Roman" w:hAnsi="Times New Roman" w:cs="Times New Roman"/>
          <w:sz w:val="24"/>
          <w:szCs w:val="24"/>
        </w:rPr>
        <w:t xml:space="preserve">in which </w:t>
      </w:r>
      <w:r w:rsidR="003B6D5D">
        <w:rPr>
          <w:rFonts w:ascii="Times New Roman" w:hAnsi="Times New Roman" w:cs="Times New Roman"/>
          <w:sz w:val="24"/>
          <w:szCs w:val="24"/>
        </w:rPr>
        <w:t xml:space="preserve">the </w:t>
      </w:r>
      <w:r w:rsidR="00AE414F">
        <w:rPr>
          <w:rFonts w:ascii="Times New Roman" w:hAnsi="Times New Roman" w:cs="Times New Roman"/>
          <w:sz w:val="24"/>
          <w:szCs w:val="24"/>
        </w:rPr>
        <w:t xml:space="preserve">device of the </w:t>
      </w:r>
      <w:r w:rsidR="003B6D5D">
        <w:rPr>
          <w:rFonts w:ascii="Times New Roman" w:hAnsi="Times New Roman" w:cs="Times New Roman"/>
          <w:sz w:val="24"/>
          <w:szCs w:val="24"/>
        </w:rPr>
        <w:t xml:space="preserve">trust can be used in order to grant </w:t>
      </w:r>
      <w:r w:rsidR="00E2660A" w:rsidRPr="00E2660A">
        <w:rPr>
          <w:rFonts w:ascii="Times New Roman" w:hAnsi="Times New Roman" w:cs="Times New Roman"/>
          <w:color w:val="333333"/>
          <w:sz w:val="24"/>
          <w:szCs w:val="24"/>
        </w:rPr>
        <w:t xml:space="preserve">occupation rights </w:t>
      </w:r>
      <w:r w:rsidR="00E2660A">
        <w:rPr>
          <w:rFonts w:ascii="Times New Roman" w:hAnsi="Times New Roman" w:cs="Times New Roman"/>
          <w:color w:val="333333"/>
          <w:sz w:val="24"/>
          <w:szCs w:val="24"/>
        </w:rPr>
        <w:t xml:space="preserve">in land </w:t>
      </w:r>
      <w:r w:rsidR="00E2660A" w:rsidRPr="00E2660A">
        <w:rPr>
          <w:rFonts w:ascii="Times New Roman" w:hAnsi="Times New Roman" w:cs="Times New Roman"/>
          <w:color w:val="333333"/>
          <w:sz w:val="24"/>
          <w:szCs w:val="24"/>
        </w:rPr>
        <w:t xml:space="preserve">to </w:t>
      </w:r>
      <w:r w:rsidR="003B6D5D">
        <w:rPr>
          <w:rFonts w:ascii="Times New Roman" w:hAnsi="Times New Roman" w:cs="Times New Roman"/>
          <w:color w:val="333333"/>
          <w:sz w:val="24"/>
          <w:szCs w:val="24"/>
        </w:rPr>
        <w:t>a minor</w:t>
      </w:r>
      <w:r w:rsidR="00E2660A">
        <w:rPr>
          <w:rFonts w:ascii="Times New Roman" w:hAnsi="Times New Roman" w:cs="Times New Roman"/>
          <w:color w:val="333333"/>
          <w:sz w:val="24"/>
          <w:szCs w:val="24"/>
        </w:rPr>
        <w:t>.</w:t>
      </w:r>
      <w:r w:rsidR="00F45B40">
        <w:rPr>
          <w:rFonts w:ascii="Times New Roman" w:hAnsi="Times New Roman" w:cs="Times New Roman"/>
          <w:color w:val="333333"/>
          <w:sz w:val="24"/>
          <w:szCs w:val="24"/>
        </w:rPr>
        <w:t xml:space="preserve"> First, the landlord my grant a tenancy to a third party on trust for the minor until </w:t>
      </w:r>
      <w:r w:rsidR="00C16584">
        <w:rPr>
          <w:rFonts w:ascii="Times New Roman" w:hAnsi="Times New Roman" w:cs="Times New Roman"/>
          <w:color w:val="333333"/>
          <w:sz w:val="24"/>
          <w:szCs w:val="24"/>
        </w:rPr>
        <w:t>he</w:t>
      </w:r>
      <w:r w:rsidR="00F45B40">
        <w:rPr>
          <w:rFonts w:ascii="Times New Roman" w:hAnsi="Times New Roman" w:cs="Times New Roman"/>
          <w:color w:val="333333"/>
          <w:sz w:val="24"/>
          <w:szCs w:val="24"/>
        </w:rPr>
        <w:t xml:space="preserve"> reach</w:t>
      </w:r>
      <w:r w:rsidR="00C16584">
        <w:rPr>
          <w:rFonts w:ascii="Times New Roman" w:hAnsi="Times New Roman" w:cs="Times New Roman"/>
          <w:color w:val="333333"/>
          <w:sz w:val="24"/>
          <w:szCs w:val="24"/>
        </w:rPr>
        <w:t>es</w:t>
      </w:r>
      <w:r w:rsidR="00F45B40">
        <w:rPr>
          <w:rFonts w:ascii="Times New Roman" w:hAnsi="Times New Roman" w:cs="Times New Roman"/>
          <w:color w:val="333333"/>
          <w:sz w:val="24"/>
          <w:szCs w:val="24"/>
        </w:rPr>
        <w:t xml:space="preserve"> 18. In this scenario, the </w:t>
      </w:r>
      <w:r w:rsidR="00063360" w:rsidRPr="00F45B40">
        <w:rPr>
          <w:rFonts w:ascii="Times New Roman" w:hAnsi="Times New Roman" w:cs="Times New Roman"/>
          <w:color w:val="333333"/>
          <w:sz w:val="24"/>
          <w:szCs w:val="24"/>
        </w:rPr>
        <w:t xml:space="preserve">minor has a beneficial interest, which means they </w:t>
      </w:r>
      <w:r w:rsidR="007422C3">
        <w:rPr>
          <w:rFonts w:ascii="Times New Roman" w:hAnsi="Times New Roman" w:cs="Times New Roman"/>
          <w:color w:val="333333"/>
          <w:sz w:val="24"/>
          <w:szCs w:val="24"/>
        </w:rPr>
        <w:t xml:space="preserve">will </w:t>
      </w:r>
      <w:r w:rsidR="00063360" w:rsidRPr="00F45B40">
        <w:rPr>
          <w:rFonts w:ascii="Times New Roman" w:hAnsi="Times New Roman" w:cs="Times New Roman"/>
          <w:color w:val="333333"/>
          <w:sz w:val="24"/>
          <w:szCs w:val="24"/>
        </w:rPr>
        <w:t>have the right to live in the property. The trustee holds the legal title to the tenancy.</w:t>
      </w:r>
      <w:r w:rsidR="00F45B40">
        <w:rPr>
          <w:rFonts w:ascii="Times New Roman" w:hAnsi="Times New Roman" w:cs="Times New Roman"/>
          <w:color w:val="333333"/>
          <w:sz w:val="24"/>
          <w:szCs w:val="24"/>
        </w:rPr>
        <w:t xml:space="preserve"> Secondly, the landlord may grant a joint tenancy to an adult who is willing to enter into the tenancy with the minor</w:t>
      </w:r>
      <w:r w:rsidR="00A80C55">
        <w:rPr>
          <w:rFonts w:ascii="Times New Roman" w:hAnsi="Times New Roman" w:cs="Times New Roman"/>
          <w:color w:val="333333"/>
          <w:sz w:val="24"/>
          <w:szCs w:val="24"/>
        </w:rPr>
        <w:t xml:space="preserve">. The effect of this arrangement is that </w:t>
      </w:r>
      <w:r w:rsidR="00A80C55">
        <w:rPr>
          <w:color w:val="333333"/>
        </w:rPr>
        <w:t xml:space="preserve">the </w:t>
      </w:r>
      <w:r w:rsidR="00063360" w:rsidRPr="00A80C55">
        <w:rPr>
          <w:rFonts w:ascii="Times New Roman" w:hAnsi="Times New Roman" w:cs="Times New Roman"/>
          <w:color w:val="333333"/>
          <w:sz w:val="24"/>
          <w:szCs w:val="24"/>
        </w:rPr>
        <w:t>adult tenant holds the legal estate as trustee f</w:t>
      </w:r>
      <w:r w:rsidR="00A80C55">
        <w:rPr>
          <w:color w:val="333333"/>
        </w:rPr>
        <w:t xml:space="preserve">or both </w:t>
      </w:r>
      <w:r w:rsidR="00A80C55" w:rsidRPr="00C16584">
        <w:rPr>
          <w:rFonts w:ascii="Times New Roman" w:hAnsi="Times New Roman" w:cs="Times New Roman"/>
          <w:color w:val="333333"/>
          <w:sz w:val="24"/>
          <w:szCs w:val="24"/>
        </w:rPr>
        <w:t>joint tenants</w:t>
      </w:r>
      <w:r w:rsidR="00063360" w:rsidRPr="00C16584">
        <w:rPr>
          <w:rFonts w:ascii="Times New Roman" w:hAnsi="Times New Roman" w:cs="Times New Roman"/>
          <w:color w:val="333333"/>
          <w:sz w:val="24"/>
          <w:szCs w:val="24"/>
        </w:rPr>
        <w:t>.</w:t>
      </w:r>
      <w:r w:rsidR="007422C3">
        <w:rPr>
          <w:rFonts w:ascii="Times New Roman" w:hAnsi="Times New Roman" w:cs="Times New Roman"/>
          <w:color w:val="333333"/>
          <w:sz w:val="24"/>
          <w:szCs w:val="24"/>
        </w:rPr>
        <w:t xml:space="preserve"> A separate</w:t>
      </w:r>
      <w:r w:rsidR="00063360" w:rsidRPr="00A80C55">
        <w:rPr>
          <w:rFonts w:ascii="Times New Roman" w:hAnsi="Times New Roman" w:cs="Times New Roman"/>
          <w:color w:val="333333"/>
          <w:sz w:val="24"/>
          <w:szCs w:val="24"/>
        </w:rPr>
        <w:t xml:space="preserve"> ag</w:t>
      </w:r>
      <w:r w:rsidR="00A80C55">
        <w:rPr>
          <w:rFonts w:ascii="Times New Roman" w:hAnsi="Times New Roman" w:cs="Times New Roman"/>
          <w:color w:val="333333"/>
          <w:sz w:val="24"/>
          <w:szCs w:val="24"/>
        </w:rPr>
        <w:t>reement between all parties (</w:t>
      </w:r>
      <w:r w:rsidR="00063360" w:rsidRPr="00A80C55">
        <w:rPr>
          <w:rFonts w:ascii="Times New Roman" w:hAnsi="Times New Roman" w:cs="Times New Roman"/>
          <w:color w:val="333333"/>
          <w:sz w:val="24"/>
          <w:szCs w:val="24"/>
        </w:rPr>
        <w:t>including the la</w:t>
      </w:r>
      <w:r w:rsidR="00A80C55">
        <w:rPr>
          <w:rFonts w:ascii="Times New Roman" w:hAnsi="Times New Roman" w:cs="Times New Roman"/>
          <w:color w:val="333333"/>
          <w:sz w:val="24"/>
          <w:szCs w:val="24"/>
        </w:rPr>
        <w:t>ndlord) could state</w:t>
      </w:r>
      <w:r w:rsidR="00063360" w:rsidRPr="00A80C55">
        <w:rPr>
          <w:rFonts w:ascii="Times New Roman" w:hAnsi="Times New Roman" w:cs="Times New Roman"/>
          <w:color w:val="333333"/>
          <w:sz w:val="24"/>
          <w:szCs w:val="24"/>
        </w:rPr>
        <w:t xml:space="preserve"> that a sole tenancy will be granted to the mi</w:t>
      </w:r>
      <w:r w:rsidR="007422C3">
        <w:rPr>
          <w:rFonts w:ascii="Times New Roman" w:hAnsi="Times New Roman" w:cs="Times New Roman"/>
          <w:color w:val="333333"/>
          <w:sz w:val="24"/>
          <w:szCs w:val="24"/>
        </w:rPr>
        <w:t>nor when he</w:t>
      </w:r>
      <w:r w:rsidR="00A80C55">
        <w:rPr>
          <w:rFonts w:ascii="Times New Roman" w:hAnsi="Times New Roman" w:cs="Times New Roman"/>
          <w:color w:val="333333"/>
          <w:sz w:val="24"/>
          <w:szCs w:val="24"/>
        </w:rPr>
        <w:t xml:space="preserve"> reach</w:t>
      </w:r>
      <w:r w:rsidR="007422C3">
        <w:rPr>
          <w:rFonts w:ascii="Times New Roman" w:hAnsi="Times New Roman" w:cs="Times New Roman"/>
          <w:color w:val="333333"/>
          <w:sz w:val="24"/>
          <w:szCs w:val="24"/>
        </w:rPr>
        <w:t>es</w:t>
      </w:r>
      <w:r w:rsidR="00A80C55">
        <w:rPr>
          <w:rFonts w:ascii="Times New Roman" w:hAnsi="Times New Roman" w:cs="Times New Roman"/>
          <w:color w:val="333333"/>
          <w:sz w:val="24"/>
          <w:szCs w:val="24"/>
        </w:rPr>
        <w:t xml:space="preserve"> majority</w:t>
      </w:r>
      <w:r w:rsidR="00063360" w:rsidRPr="00A80C55">
        <w:rPr>
          <w:rFonts w:ascii="Times New Roman" w:hAnsi="Times New Roman" w:cs="Times New Roman"/>
          <w:color w:val="333333"/>
          <w:sz w:val="24"/>
          <w:szCs w:val="24"/>
        </w:rPr>
        <w:t>, at which time the joint tenancy will be surrendered.</w:t>
      </w:r>
      <w:r w:rsidR="00CA3EFF">
        <w:rPr>
          <w:rFonts w:ascii="Times New Roman" w:hAnsi="Times New Roman" w:cs="Times New Roman"/>
          <w:color w:val="333333"/>
          <w:sz w:val="24"/>
          <w:szCs w:val="24"/>
        </w:rPr>
        <w:t xml:space="preserve"> </w:t>
      </w:r>
    </w:p>
    <w:p w14:paraId="27EF875F" w14:textId="77777777" w:rsidR="00EA0343" w:rsidRPr="00567BCC" w:rsidRDefault="00CA3EFF" w:rsidP="00CA3EFF">
      <w:pPr>
        <w:jc w:val="both"/>
        <w:rPr>
          <w:rFonts w:ascii="Times New Roman" w:hAnsi="Times New Roman" w:cs="Times New Roman"/>
          <w:color w:val="333333"/>
          <w:sz w:val="24"/>
          <w:szCs w:val="24"/>
        </w:rPr>
      </w:pPr>
      <w:r w:rsidRPr="00C16584">
        <w:rPr>
          <w:rFonts w:ascii="Times New Roman" w:hAnsi="Times New Roman" w:cs="Times New Roman"/>
          <w:color w:val="333333"/>
          <w:sz w:val="24"/>
          <w:szCs w:val="24"/>
        </w:rPr>
        <w:t xml:space="preserve">Finally, the landlord may wish to grant a licence to the minor to occupy the land. </w:t>
      </w:r>
      <w:r w:rsidR="00063360" w:rsidRPr="00C16584">
        <w:rPr>
          <w:rFonts w:ascii="Times New Roman" w:hAnsi="Times New Roman" w:cs="Times New Roman"/>
          <w:color w:val="333333"/>
          <w:sz w:val="24"/>
          <w:szCs w:val="24"/>
        </w:rPr>
        <w:t>There is no restriction on min</w:t>
      </w:r>
      <w:r w:rsidRPr="00C16584">
        <w:rPr>
          <w:rFonts w:ascii="Times New Roman" w:hAnsi="Times New Roman" w:cs="Times New Roman"/>
          <w:color w:val="333333"/>
          <w:sz w:val="24"/>
          <w:szCs w:val="24"/>
        </w:rPr>
        <w:t xml:space="preserve">ors being granted a licence in the form of a </w:t>
      </w:r>
      <w:r w:rsidR="00063360" w:rsidRPr="00C16584">
        <w:rPr>
          <w:rFonts w:ascii="Times New Roman" w:hAnsi="Times New Roman" w:cs="Times New Roman"/>
          <w:color w:val="333333"/>
          <w:sz w:val="24"/>
          <w:szCs w:val="24"/>
        </w:rPr>
        <w:t>persona</w:t>
      </w:r>
      <w:r w:rsidRPr="00C16584">
        <w:rPr>
          <w:rFonts w:ascii="Times New Roman" w:hAnsi="Times New Roman" w:cs="Times New Roman"/>
          <w:color w:val="333333"/>
          <w:sz w:val="24"/>
          <w:szCs w:val="24"/>
        </w:rPr>
        <w:t xml:space="preserve">l permission to occupy </w:t>
      </w:r>
      <w:r w:rsidR="007422C3">
        <w:rPr>
          <w:rFonts w:ascii="Times New Roman" w:hAnsi="Times New Roman" w:cs="Times New Roman"/>
          <w:color w:val="333333"/>
          <w:sz w:val="24"/>
          <w:szCs w:val="24"/>
        </w:rPr>
        <w:t xml:space="preserve">land. A full tenancy can </w:t>
      </w:r>
      <w:r w:rsidR="00063360" w:rsidRPr="00C16584">
        <w:rPr>
          <w:rFonts w:ascii="Times New Roman" w:hAnsi="Times New Roman" w:cs="Times New Roman"/>
          <w:color w:val="333333"/>
          <w:sz w:val="24"/>
          <w:szCs w:val="24"/>
        </w:rPr>
        <w:t>be grante</w:t>
      </w:r>
      <w:r w:rsidRPr="00C16584">
        <w:rPr>
          <w:rFonts w:ascii="Times New Roman" w:hAnsi="Times New Roman" w:cs="Times New Roman"/>
          <w:color w:val="333333"/>
          <w:sz w:val="24"/>
          <w:szCs w:val="24"/>
        </w:rPr>
        <w:t>d to the minor when they reach 18.</w:t>
      </w:r>
      <w:r w:rsidR="00C16584">
        <w:rPr>
          <w:rFonts w:ascii="Times New Roman" w:hAnsi="Times New Roman" w:cs="Times New Roman"/>
          <w:color w:val="333333"/>
          <w:sz w:val="24"/>
          <w:szCs w:val="24"/>
        </w:rPr>
        <w:t xml:space="preserve"> This last option, does not, of course, involve the intervention of a trust.</w:t>
      </w:r>
      <w:r w:rsidR="00EA0343">
        <w:rPr>
          <w:rFonts w:ascii="Times New Roman" w:hAnsi="Times New Roman" w:cs="Times New Roman"/>
          <w:color w:val="333333"/>
          <w:sz w:val="24"/>
          <w:szCs w:val="24"/>
        </w:rPr>
        <w:t xml:space="preserve"> Interestingly, it was specifically referred to in the </w:t>
      </w:r>
      <w:r w:rsidR="00EA0343" w:rsidRPr="00EA0343">
        <w:rPr>
          <w:rFonts w:ascii="Times New Roman" w:hAnsi="Times New Roman" w:cs="Times New Roman"/>
          <w:i/>
          <w:color w:val="333333"/>
          <w:sz w:val="24"/>
          <w:szCs w:val="24"/>
        </w:rPr>
        <w:t>Hammersmith</w:t>
      </w:r>
      <w:r w:rsidR="00EA0343">
        <w:rPr>
          <w:rFonts w:ascii="Times New Roman" w:hAnsi="Times New Roman" w:cs="Times New Roman"/>
          <w:color w:val="333333"/>
          <w:sz w:val="24"/>
          <w:szCs w:val="24"/>
        </w:rPr>
        <w:t xml:space="preserve"> case as a possible course of action for local authority landlords</w:t>
      </w:r>
      <w:r w:rsidR="00AE414F">
        <w:rPr>
          <w:rFonts w:ascii="Times New Roman" w:hAnsi="Times New Roman" w:cs="Times New Roman"/>
          <w:color w:val="333333"/>
          <w:sz w:val="24"/>
          <w:szCs w:val="24"/>
        </w:rPr>
        <w:t xml:space="preserve"> intending to grant occupation</w:t>
      </w:r>
      <w:r w:rsidR="00EA0343">
        <w:rPr>
          <w:rFonts w:ascii="Times New Roman" w:hAnsi="Times New Roman" w:cs="Times New Roman"/>
          <w:color w:val="333333"/>
          <w:sz w:val="24"/>
          <w:szCs w:val="24"/>
        </w:rPr>
        <w:t xml:space="preserve"> rights to a minor. However, although a licence is not a legal estate, </w:t>
      </w:r>
      <w:r w:rsidR="00EA0343">
        <w:rPr>
          <w:rFonts w:ascii="Times New Roman" w:hAnsi="Times New Roman" w:cs="Times New Roman"/>
          <w:color w:val="3D3D3D"/>
          <w:sz w:val="24"/>
          <w:szCs w:val="24"/>
          <w:shd w:val="clear" w:color="auto" w:fill="FFFFFF"/>
        </w:rPr>
        <w:t>d</w:t>
      </w:r>
      <w:r w:rsidR="00EA0343" w:rsidRPr="00EA0343">
        <w:rPr>
          <w:rFonts w:ascii="Times New Roman" w:hAnsi="Times New Roman" w:cs="Times New Roman"/>
          <w:color w:val="3D3D3D"/>
          <w:sz w:val="24"/>
          <w:szCs w:val="24"/>
          <w:shd w:val="clear" w:color="auto" w:fill="FFFFFF"/>
        </w:rPr>
        <w:t>escribing an agreement as an agreement to grant a licence will not suffice to avoid the creatio</w:t>
      </w:r>
      <w:r w:rsidR="00EA0343">
        <w:rPr>
          <w:rFonts w:ascii="Times New Roman" w:hAnsi="Times New Roman" w:cs="Times New Roman"/>
          <w:color w:val="3D3D3D"/>
          <w:sz w:val="24"/>
          <w:szCs w:val="24"/>
          <w:shd w:val="clear" w:color="auto" w:fill="FFFFFF"/>
        </w:rPr>
        <w:t>n of a tenancy if the landlord allows the occupier</w:t>
      </w:r>
      <w:r w:rsidR="00EA0343" w:rsidRPr="00EA0343">
        <w:rPr>
          <w:rFonts w:ascii="Times New Roman" w:hAnsi="Times New Roman" w:cs="Times New Roman"/>
          <w:color w:val="3D3D3D"/>
          <w:sz w:val="24"/>
          <w:szCs w:val="24"/>
          <w:shd w:val="clear" w:color="auto" w:fill="FFFFFF"/>
        </w:rPr>
        <w:t xml:space="preserve"> to have excl</w:t>
      </w:r>
      <w:r w:rsidR="00AE414F">
        <w:rPr>
          <w:rFonts w:ascii="Times New Roman" w:hAnsi="Times New Roman" w:cs="Times New Roman"/>
          <w:color w:val="3D3D3D"/>
          <w:sz w:val="24"/>
          <w:szCs w:val="24"/>
          <w:shd w:val="clear" w:color="auto" w:fill="FFFFFF"/>
        </w:rPr>
        <w:t xml:space="preserve">usive possession of the </w:t>
      </w:r>
      <w:r w:rsidR="00EA0343" w:rsidRPr="00EA0343">
        <w:rPr>
          <w:rFonts w:ascii="Times New Roman" w:hAnsi="Times New Roman" w:cs="Times New Roman"/>
          <w:color w:val="3D3D3D"/>
          <w:sz w:val="24"/>
          <w:szCs w:val="24"/>
          <w:shd w:val="clear" w:color="auto" w:fill="FFFFFF"/>
        </w:rPr>
        <w:lastRenderedPageBreak/>
        <w:t>pre</w:t>
      </w:r>
      <w:r w:rsidR="00322116">
        <w:rPr>
          <w:rFonts w:ascii="Times New Roman" w:hAnsi="Times New Roman" w:cs="Times New Roman"/>
          <w:color w:val="3D3D3D"/>
          <w:sz w:val="24"/>
          <w:szCs w:val="24"/>
          <w:shd w:val="clear" w:color="auto" w:fill="FFFFFF"/>
        </w:rPr>
        <w:t>mises for a term</w:t>
      </w:r>
      <w:r w:rsidR="00AC3C1E">
        <w:rPr>
          <w:rFonts w:ascii="Times New Roman" w:hAnsi="Times New Roman" w:cs="Times New Roman"/>
          <w:color w:val="3D3D3D"/>
          <w:sz w:val="24"/>
          <w:szCs w:val="24"/>
          <w:shd w:val="clear" w:color="auto" w:fill="FFFFFF"/>
        </w:rPr>
        <w:t>.</w:t>
      </w:r>
      <w:r w:rsidR="00AC3C1E">
        <w:rPr>
          <w:rStyle w:val="FootnoteReference"/>
          <w:rFonts w:ascii="Times New Roman" w:hAnsi="Times New Roman" w:cs="Times New Roman"/>
          <w:i/>
          <w:color w:val="3D3D3D"/>
          <w:sz w:val="24"/>
          <w:szCs w:val="24"/>
          <w:shd w:val="clear" w:color="auto" w:fill="FFFFFF"/>
        </w:rPr>
        <w:footnoteReference w:id="39"/>
      </w:r>
      <w:r w:rsidR="00AC3C1E">
        <w:rPr>
          <w:rFonts w:ascii="Times New Roman" w:hAnsi="Times New Roman" w:cs="Times New Roman"/>
          <w:color w:val="3D3D3D"/>
          <w:sz w:val="24"/>
          <w:szCs w:val="24"/>
          <w:shd w:val="clear" w:color="auto" w:fill="FFFFFF"/>
        </w:rPr>
        <w:t xml:space="preserve"> </w:t>
      </w:r>
      <w:r w:rsidR="00EA0343">
        <w:rPr>
          <w:rFonts w:ascii="Times New Roman" w:hAnsi="Times New Roman" w:cs="Times New Roman"/>
          <w:color w:val="3D3D3D"/>
          <w:sz w:val="24"/>
          <w:szCs w:val="24"/>
          <w:shd w:val="clear" w:color="auto" w:fill="FFFFFF"/>
        </w:rPr>
        <w:t>The way out o</w:t>
      </w:r>
      <w:r w:rsidR="00FE3C6D">
        <w:rPr>
          <w:rFonts w:ascii="Times New Roman" w:hAnsi="Times New Roman" w:cs="Times New Roman"/>
          <w:color w:val="3D3D3D"/>
          <w:sz w:val="24"/>
          <w:szCs w:val="24"/>
          <w:shd w:val="clear" w:color="auto" w:fill="FFFFFF"/>
        </w:rPr>
        <w:t>f this potential difficulty</w:t>
      </w:r>
      <w:r w:rsidR="00322116">
        <w:rPr>
          <w:rFonts w:ascii="Times New Roman" w:hAnsi="Times New Roman" w:cs="Times New Roman"/>
          <w:color w:val="3D3D3D"/>
          <w:sz w:val="24"/>
          <w:szCs w:val="24"/>
          <w:shd w:val="clear" w:color="auto" w:fill="FFFFFF"/>
        </w:rPr>
        <w:t>, however,</w:t>
      </w:r>
      <w:r w:rsidR="00FE3C6D">
        <w:rPr>
          <w:rFonts w:ascii="Times New Roman" w:hAnsi="Times New Roman" w:cs="Times New Roman"/>
          <w:color w:val="3D3D3D"/>
          <w:sz w:val="24"/>
          <w:szCs w:val="24"/>
          <w:shd w:val="clear" w:color="auto" w:fill="FFFFFF"/>
        </w:rPr>
        <w:t xml:space="preserve"> </w:t>
      </w:r>
      <w:r w:rsidR="00567BCC">
        <w:rPr>
          <w:rFonts w:ascii="Times New Roman" w:hAnsi="Times New Roman" w:cs="Times New Roman"/>
          <w:color w:val="3D3D3D"/>
          <w:sz w:val="24"/>
          <w:szCs w:val="24"/>
          <w:shd w:val="clear" w:color="auto" w:fill="FFFFFF"/>
        </w:rPr>
        <w:t>was alluded to by Sullivan</w:t>
      </w:r>
      <w:r w:rsidR="00EA0343">
        <w:rPr>
          <w:rFonts w:ascii="Times New Roman" w:hAnsi="Times New Roman" w:cs="Times New Roman"/>
          <w:color w:val="3D3D3D"/>
          <w:sz w:val="24"/>
          <w:szCs w:val="24"/>
          <w:shd w:val="clear" w:color="auto" w:fill="FFFFFF"/>
        </w:rPr>
        <w:t xml:space="preserve"> LJ in </w:t>
      </w:r>
      <w:r w:rsidR="00EA0343" w:rsidRPr="00FE3C6D">
        <w:rPr>
          <w:rFonts w:ascii="Times New Roman" w:hAnsi="Times New Roman" w:cs="Times New Roman"/>
          <w:i/>
          <w:color w:val="3D3D3D"/>
          <w:sz w:val="24"/>
          <w:szCs w:val="24"/>
          <w:shd w:val="clear" w:color="auto" w:fill="FFFFFF"/>
        </w:rPr>
        <w:t>Hammersmith</w:t>
      </w:r>
      <w:r w:rsidR="00AC3C1E">
        <w:rPr>
          <w:rFonts w:ascii="Times New Roman" w:hAnsi="Times New Roman" w:cs="Times New Roman"/>
          <w:color w:val="3D3D3D"/>
          <w:sz w:val="24"/>
          <w:szCs w:val="24"/>
          <w:shd w:val="clear" w:color="auto" w:fill="FFFFFF"/>
        </w:rPr>
        <w:t>,</w:t>
      </w:r>
      <w:r w:rsidR="00AC3C1E">
        <w:rPr>
          <w:rStyle w:val="FootnoteReference"/>
          <w:rFonts w:ascii="Times New Roman" w:hAnsi="Times New Roman" w:cs="Times New Roman"/>
          <w:color w:val="3D3D3D"/>
          <w:sz w:val="24"/>
          <w:szCs w:val="24"/>
          <w:shd w:val="clear" w:color="auto" w:fill="FFFFFF"/>
        </w:rPr>
        <w:footnoteReference w:id="40"/>
      </w:r>
      <w:r w:rsidR="00AC3C1E">
        <w:rPr>
          <w:rFonts w:ascii="Times New Roman" w:hAnsi="Times New Roman" w:cs="Times New Roman"/>
          <w:color w:val="3D3D3D"/>
          <w:sz w:val="24"/>
          <w:szCs w:val="24"/>
          <w:shd w:val="clear" w:color="auto" w:fill="FFFFFF"/>
        </w:rPr>
        <w:t xml:space="preserve"> </w:t>
      </w:r>
      <w:r w:rsidR="00567BCC">
        <w:rPr>
          <w:rFonts w:ascii="Times New Roman" w:hAnsi="Times New Roman" w:cs="Times New Roman"/>
          <w:color w:val="3D3D3D"/>
          <w:sz w:val="24"/>
          <w:szCs w:val="24"/>
          <w:shd w:val="clear" w:color="auto" w:fill="FFFFFF"/>
        </w:rPr>
        <w:t>in the following terms:</w:t>
      </w:r>
    </w:p>
    <w:p w14:paraId="2B29197C" w14:textId="77777777" w:rsidR="00EA0343" w:rsidRDefault="00567BCC" w:rsidP="00CA3EFF">
      <w:pPr>
        <w:jc w:val="both"/>
        <w:rPr>
          <w:rFonts w:ascii="Times New Roman" w:hAnsi="Times New Roman" w:cs="Times New Roman"/>
          <w:color w:val="3D3D3D"/>
          <w:sz w:val="24"/>
          <w:szCs w:val="24"/>
          <w:shd w:val="clear" w:color="auto" w:fill="FFFFFF"/>
        </w:rPr>
      </w:pPr>
      <w:r>
        <w:rPr>
          <w:rFonts w:ascii="Times New Roman" w:hAnsi="Times New Roman" w:cs="Times New Roman"/>
          <w:color w:val="3D3D3D"/>
          <w:sz w:val="24"/>
          <w:szCs w:val="24"/>
          <w:shd w:val="clear" w:color="auto" w:fill="FFFFFF"/>
        </w:rPr>
        <w:tab/>
      </w:r>
      <w:r w:rsidRPr="00567BCC">
        <w:rPr>
          <w:rFonts w:ascii="Times New Roman" w:hAnsi="Times New Roman" w:cs="Times New Roman"/>
          <w:color w:val="3D3D3D"/>
          <w:sz w:val="24"/>
          <w:szCs w:val="24"/>
          <w:shd w:val="clear" w:color="auto" w:fill="FFFFFF"/>
        </w:rPr>
        <w:t xml:space="preserve"> ". . . t</w:t>
      </w:r>
      <w:r w:rsidR="00EA0343" w:rsidRPr="00567BCC">
        <w:rPr>
          <w:rFonts w:ascii="Times New Roman" w:hAnsi="Times New Roman" w:cs="Times New Roman"/>
          <w:color w:val="3D3D3D"/>
          <w:sz w:val="24"/>
          <w:szCs w:val="24"/>
          <w:shd w:val="clear" w:color="auto" w:fill="FFFFFF"/>
        </w:rPr>
        <w:t xml:space="preserve">he applicants in question are 16-17 years old. They may well require support </w:t>
      </w:r>
      <w:r>
        <w:rPr>
          <w:rFonts w:ascii="Times New Roman" w:hAnsi="Times New Roman" w:cs="Times New Roman"/>
          <w:color w:val="3D3D3D"/>
          <w:sz w:val="24"/>
          <w:szCs w:val="24"/>
          <w:shd w:val="clear" w:color="auto" w:fill="FFFFFF"/>
        </w:rPr>
        <w:tab/>
      </w:r>
      <w:r w:rsidR="00EA0343" w:rsidRPr="00567BCC">
        <w:rPr>
          <w:rFonts w:ascii="Times New Roman" w:hAnsi="Times New Roman" w:cs="Times New Roman"/>
          <w:color w:val="3D3D3D"/>
          <w:sz w:val="24"/>
          <w:szCs w:val="24"/>
          <w:shd w:val="clear" w:color="auto" w:fill="FFFFFF"/>
        </w:rPr>
        <w:t xml:space="preserve">and assistance going beyond the mere provision of accommodation. It should not be </w:t>
      </w:r>
      <w:r>
        <w:rPr>
          <w:rFonts w:ascii="Times New Roman" w:hAnsi="Times New Roman" w:cs="Times New Roman"/>
          <w:color w:val="3D3D3D"/>
          <w:sz w:val="24"/>
          <w:szCs w:val="24"/>
          <w:shd w:val="clear" w:color="auto" w:fill="FFFFFF"/>
        </w:rPr>
        <w:tab/>
      </w:r>
      <w:r w:rsidRPr="00567BCC">
        <w:rPr>
          <w:rFonts w:ascii="Times New Roman" w:hAnsi="Times New Roman" w:cs="Times New Roman"/>
          <w:color w:val="3D3D3D"/>
          <w:sz w:val="24"/>
          <w:szCs w:val="24"/>
          <w:shd w:val="clear" w:color="auto" w:fill="FFFFFF"/>
        </w:rPr>
        <w:t>too difficult for the [landlord]</w:t>
      </w:r>
      <w:r w:rsidR="00EA0343" w:rsidRPr="00567BCC">
        <w:rPr>
          <w:rFonts w:ascii="Times New Roman" w:hAnsi="Times New Roman" w:cs="Times New Roman"/>
          <w:color w:val="3D3D3D"/>
          <w:sz w:val="24"/>
          <w:szCs w:val="24"/>
          <w:shd w:val="clear" w:color="auto" w:fill="FFFFFF"/>
        </w:rPr>
        <w:t xml:space="preserve">, in discharging both its local housing authority and </w:t>
      </w:r>
      <w:r>
        <w:rPr>
          <w:rFonts w:ascii="Times New Roman" w:hAnsi="Times New Roman" w:cs="Times New Roman"/>
          <w:color w:val="3D3D3D"/>
          <w:sz w:val="24"/>
          <w:szCs w:val="24"/>
          <w:shd w:val="clear" w:color="auto" w:fill="FFFFFF"/>
        </w:rPr>
        <w:tab/>
      </w:r>
      <w:r w:rsidR="00EA0343" w:rsidRPr="00567BCC">
        <w:rPr>
          <w:rFonts w:ascii="Times New Roman" w:hAnsi="Times New Roman" w:cs="Times New Roman"/>
          <w:color w:val="3D3D3D"/>
          <w:sz w:val="24"/>
          <w:szCs w:val="24"/>
          <w:shd w:val="clear" w:color="auto" w:fill="FFFFFF"/>
        </w:rPr>
        <w:t xml:space="preserve">social services functions to co-ordinate matters so that, whether by making provision </w:t>
      </w:r>
      <w:r>
        <w:rPr>
          <w:rFonts w:ascii="Times New Roman" w:hAnsi="Times New Roman" w:cs="Times New Roman"/>
          <w:color w:val="3D3D3D"/>
          <w:sz w:val="24"/>
          <w:szCs w:val="24"/>
          <w:shd w:val="clear" w:color="auto" w:fill="FFFFFF"/>
        </w:rPr>
        <w:tab/>
      </w:r>
      <w:r w:rsidR="00EA0343" w:rsidRPr="00567BCC">
        <w:rPr>
          <w:rFonts w:ascii="Times New Roman" w:hAnsi="Times New Roman" w:cs="Times New Roman"/>
          <w:color w:val="3D3D3D"/>
          <w:sz w:val="24"/>
          <w:szCs w:val="24"/>
          <w:shd w:val="clear" w:color="auto" w:fill="FFFFFF"/>
        </w:rPr>
        <w:t xml:space="preserve">in the agreement for some attention or services, or by permitting inspection of the </w:t>
      </w:r>
      <w:r>
        <w:rPr>
          <w:rFonts w:ascii="Times New Roman" w:hAnsi="Times New Roman" w:cs="Times New Roman"/>
          <w:color w:val="3D3D3D"/>
          <w:sz w:val="24"/>
          <w:szCs w:val="24"/>
          <w:shd w:val="clear" w:color="auto" w:fill="FFFFFF"/>
        </w:rPr>
        <w:tab/>
      </w:r>
      <w:r w:rsidR="00EA0343" w:rsidRPr="00567BCC">
        <w:rPr>
          <w:rFonts w:ascii="Times New Roman" w:hAnsi="Times New Roman" w:cs="Times New Roman"/>
          <w:color w:val="3D3D3D"/>
          <w:sz w:val="24"/>
          <w:szCs w:val="24"/>
          <w:shd w:val="clear" w:color="auto" w:fill="FFFFFF"/>
        </w:rPr>
        <w:t xml:space="preserve">premises by those charged with the child's welfare, and thereby preventing the grant </w:t>
      </w:r>
      <w:r>
        <w:rPr>
          <w:rFonts w:ascii="Times New Roman" w:hAnsi="Times New Roman" w:cs="Times New Roman"/>
          <w:color w:val="3D3D3D"/>
          <w:sz w:val="24"/>
          <w:szCs w:val="24"/>
          <w:shd w:val="clear" w:color="auto" w:fill="FFFFFF"/>
        </w:rPr>
        <w:tab/>
      </w:r>
      <w:r w:rsidR="00EA0343" w:rsidRPr="00567BCC">
        <w:rPr>
          <w:rFonts w:ascii="Times New Roman" w:hAnsi="Times New Roman" w:cs="Times New Roman"/>
          <w:color w:val="3D3D3D"/>
          <w:sz w:val="24"/>
          <w:szCs w:val="24"/>
          <w:shd w:val="clear" w:color="auto" w:fill="FFFFFF"/>
        </w:rPr>
        <w:t xml:space="preserve">of exclusive possession, any agreement with a 16-17 year old is not merely expressed </w:t>
      </w:r>
      <w:r>
        <w:rPr>
          <w:rFonts w:ascii="Times New Roman" w:hAnsi="Times New Roman" w:cs="Times New Roman"/>
          <w:color w:val="3D3D3D"/>
          <w:sz w:val="24"/>
          <w:szCs w:val="24"/>
          <w:shd w:val="clear" w:color="auto" w:fill="FFFFFF"/>
        </w:rPr>
        <w:tab/>
      </w:r>
      <w:r w:rsidR="00EA0343" w:rsidRPr="00567BCC">
        <w:rPr>
          <w:rFonts w:ascii="Times New Roman" w:hAnsi="Times New Roman" w:cs="Times New Roman"/>
          <w:color w:val="3D3D3D"/>
          <w:sz w:val="24"/>
          <w:szCs w:val="24"/>
          <w:shd w:val="clear" w:color="auto" w:fill="FFFFFF"/>
        </w:rPr>
        <w:t>to be, but is the grant of a licence rather than a tenancy.</w:t>
      </w:r>
      <w:r w:rsidRPr="00567BCC">
        <w:rPr>
          <w:rFonts w:ascii="Times New Roman" w:hAnsi="Times New Roman" w:cs="Times New Roman"/>
          <w:color w:val="3D3D3D"/>
          <w:sz w:val="24"/>
          <w:szCs w:val="24"/>
          <w:shd w:val="clear" w:color="auto" w:fill="FFFFFF"/>
        </w:rPr>
        <w:t>"</w:t>
      </w:r>
    </w:p>
    <w:p w14:paraId="62C378F2" w14:textId="77777777" w:rsidR="00063360" w:rsidRPr="00AE63FD" w:rsidRDefault="00567BCC" w:rsidP="00BF36EA">
      <w:pPr>
        <w:jc w:val="both"/>
        <w:rPr>
          <w:rFonts w:ascii="Times New Roman" w:hAnsi="Times New Roman" w:cs="Times New Roman"/>
          <w:color w:val="333333"/>
          <w:sz w:val="24"/>
          <w:szCs w:val="24"/>
        </w:rPr>
      </w:pPr>
      <w:r>
        <w:rPr>
          <w:rFonts w:ascii="Times New Roman" w:hAnsi="Times New Roman" w:cs="Times New Roman"/>
          <w:color w:val="3D3D3D"/>
          <w:sz w:val="24"/>
          <w:szCs w:val="24"/>
          <w:shd w:val="clear" w:color="auto" w:fill="FFFFFF"/>
        </w:rPr>
        <w:t xml:space="preserve">In the absence of such </w:t>
      </w:r>
      <w:r w:rsidR="00322116">
        <w:rPr>
          <w:rFonts w:ascii="Times New Roman" w:hAnsi="Times New Roman" w:cs="Times New Roman"/>
          <w:color w:val="3D3D3D"/>
          <w:sz w:val="24"/>
          <w:szCs w:val="24"/>
          <w:shd w:val="clear" w:color="auto" w:fill="FFFFFF"/>
        </w:rPr>
        <w:t>attendance or services</w:t>
      </w:r>
      <w:r>
        <w:rPr>
          <w:rFonts w:ascii="Times New Roman" w:hAnsi="Times New Roman" w:cs="Times New Roman"/>
          <w:color w:val="3D3D3D"/>
          <w:sz w:val="24"/>
          <w:szCs w:val="24"/>
          <w:shd w:val="clear" w:color="auto" w:fill="FFFFFF"/>
        </w:rPr>
        <w:t>, however, the</w:t>
      </w:r>
      <w:r w:rsidR="00E41A72">
        <w:rPr>
          <w:rFonts w:ascii="Times New Roman" w:hAnsi="Times New Roman" w:cs="Times New Roman"/>
          <w:color w:val="3D3D3D"/>
          <w:sz w:val="24"/>
          <w:szCs w:val="24"/>
          <w:shd w:val="clear" w:color="auto" w:fill="FFFFFF"/>
        </w:rPr>
        <w:t xml:space="preserve"> </w:t>
      </w:r>
      <w:r>
        <w:rPr>
          <w:rFonts w:ascii="Times New Roman" w:hAnsi="Times New Roman" w:cs="Times New Roman"/>
          <w:color w:val="3D3D3D"/>
          <w:sz w:val="24"/>
          <w:szCs w:val="24"/>
          <w:shd w:val="clear" w:color="auto" w:fill="FFFFFF"/>
        </w:rPr>
        <w:t xml:space="preserve">preferred option for a landlord </w:t>
      </w:r>
      <w:r w:rsidR="00E41A72">
        <w:rPr>
          <w:rFonts w:ascii="Times New Roman" w:hAnsi="Times New Roman" w:cs="Times New Roman"/>
          <w:color w:val="3D3D3D"/>
          <w:sz w:val="24"/>
          <w:szCs w:val="24"/>
          <w:shd w:val="clear" w:color="auto" w:fill="FFFFFF"/>
        </w:rPr>
        <w:t>is likel</w:t>
      </w:r>
      <w:r w:rsidR="00322116">
        <w:rPr>
          <w:rFonts w:ascii="Times New Roman" w:hAnsi="Times New Roman" w:cs="Times New Roman"/>
          <w:color w:val="3D3D3D"/>
          <w:sz w:val="24"/>
          <w:szCs w:val="24"/>
          <w:shd w:val="clear" w:color="auto" w:fill="FFFFFF"/>
        </w:rPr>
        <w:t>y</w:t>
      </w:r>
      <w:r w:rsidR="00E41A72">
        <w:rPr>
          <w:rFonts w:ascii="Times New Roman" w:hAnsi="Times New Roman" w:cs="Times New Roman"/>
          <w:color w:val="3D3D3D"/>
          <w:sz w:val="24"/>
          <w:szCs w:val="24"/>
          <w:shd w:val="clear" w:color="auto" w:fill="FFFFFF"/>
        </w:rPr>
        <w:t xml:space="preserve"> to be the </w:t>
      </w:r>
      <w:r>
        <w:rPr>
          <w:rFonts w:ascii="Times New Roman" w:hAnsi="Times New Roman" w:cs="Times New Roman"/>
          <w:color w:val="3D3D3D"/>
          <w:sz w:val="24"/>
          <w:szCs w:val="24"/>
          <w:shd w:val="clear" w:color="auto" w:fill="FFFFFF"/>
        </w:rPr>
        <w:t xml:space="preserve">grant </w:t>
      </w:r>
      <w:r w:rsidR="00E41A72">
        <w:rPr>
          <w:rFonts w:ascii="Times New Roman" w:hAnsi="Times New Roman" w:cs="Times New Roman"/>
          <w:color w:val="3D3D3D"/>
          <w:sz w:val="24"/>
          <w:szCs w:val="24"/>
          <w:shd w:val="clear" w:color="auto" w:fill="FFFFFF"/>
        </w:rPr>
        <w:t xml:space="preserve">of </w:t>
      </w:r>
      <w:r>
        <w:rPr>
          <w:rFonts w:ascii="Times New Roman" w:hAnsi="Times New Roman" w:cs="Times New Roman"/>
          <w:color w:val="3D3D3D"/>
          <w:sz w:val="24"/>
          <w:szCs w:val="24"/>
          <w:shd w:val="clear" w:color="auto" w:fill="FFFFFF"/>
        </w:rPr>
        <w:t>a tenancy to a third party</w:t>
      </w:r>
      <w:r w:rsidR="00E41A72">
        <w:rPr>
          <w:rFonts w:ascii="Times New Roman" w:hAnsi="Times New Roman" w:cs="Times New Roman"/>
          <w:color w:val="3D3D3D"/>
          <w:sz w:val="24"/>
          <w:szCs w:val="24"/>
          <w:shd w:val="clear" w:color="auto" w:fill="FFFFFF"/>
        </w:rPr>
        <w:t>,</w:t>
      </w:r>
      <w:r>
        <w:rPr>
          <w:rFonts w:ascii="Times New Roman" w:hAnsi="Times New Roman" w:cs="Times New Roman"/>
          <w:color w:val="3D3D3D"/>
          <w:sz w:val="24"/>
          <w:szCs w:val="24"/>
          <w:shd w:val="clear" w:color="auto" w:fill="FFFFFF"/>
        </w:rPr>
        <w:t xml:space="preserve"> or </w:t>
      </w:r>
      <w:r w:rsidR="00E41A72">
        <w:rPr>
          <w:rFonts w:ascii="Times New Roman" w:hAnsi="Times New Roman" w:cs="Times New Roman"/>
          <w:color w:val="3D3D3D"/>
          <w:sz w:val="24"/>
          <w:szCs w:val="24"/>
          <w:shd w:val="clear" w:color="auto" w:fill="FFFFFF"/>
        </w:rPr>
        <w:t xml:space="preserve">the </w:t>
      </w:r>
      <w:r>
        <w:rPr>
          <w:rFonts w:ascii="Times New Roman" w:hAnsi="Times New Roman" w:cs="Times New Roman"/>
          <w:color w:val="3D3D3D"/>
          <w:sz w:val="24"/>
          <w:szCs w:val="24"/>
          <w:shd w:val="clear" w:color="auto" w:fill="FFFFFF"/>
        </w:rPr>
        <w:t>grant a joint tenancy</w:t>
      </w:r>
      <w:r w:rsidR="00E41A72">
        <w:rPr>
          <w:rFonts w:ascii="Times New Roman" w:hAnsi="Times New Roman" w:cs="Times New Roman"/>
          <w:color w:val="3D3D3D"/>
          <w:sz w:val="24"/>
          <w:szCs w:val="24"/>
          <w:shd w:val="clear" w:color="auto" w:fill="FFFFFF"/>
        </w:rPr>
        <w:t>,</w:t>
      </w:r>
      <w:r>
        <w:rPr>
          <w:rFonts w:ascii="Times New Roman" w:hAnsi="Times New Roman" w:cs="Times New Roman"/>
          <w:color w:val="3D3D3D"/>
          <w:sz w:val="24"/>
          <w:szCs w:val="24"/>
          <w:shd w:val="clear" w:color="auto" w:fill="FFFFFF"/>
        </w:rPr>
        <w:t xml:space="preserve"> relying </w:t>
      </w:r>
      <w:r w:rsidR="00E41A72">
        <w:rPr>
          <w:rFonts w:ascii="Times New Roman" w:hAnsi="Times New Roman" w:cs="Times New Roman"/>
          <w:color w:val="3D3D3D"/>
          <w:sz w:val="24"/>
          <w:szCs w:val="24"/>
          <w:shd w:val="clear" w:color="auto" w:fill="FFFFFF"/>
        </w:rPr>
        <w:t xml:space="preserve">in each case </w:t>
      </w:r>
      <w:r>
        <w:rPr>
          <w:rFonts w:ascii="Times New Roman" w:hAnsi="Times New Roman" w:cs="Times New Roman"/>
          <w:color w:val="3D3D3D"/>
          <w:sz w:val="24"/>
          <w:szCs w:val="24"/>
          <w:shd w:val="clear" w:color="auto" w:fill="FFFFFF"/>
        </w:rPr>
        <w:t xml:space="preserve">on the device </w:t>
      </w:r>
      <w:r w:rsidR="00E41A72">
        <w:rPr>
          <w:rFonts w:ascii="Times New Roman" w:hAnsi="Times New Roman" w:cs="Times New Roman"/>
          <w:color w:val="3D3D3D"/>
          <w:sz w:val="24"/>
          <w:szCs w:val="24"/>
          <w:shd w:val="clear" w:color="auto" w:fill="FFFFFF"/>
        </w:rPr>
        <w:t xml:space="preserve">of a trust </w:t>
      </w:r>
      <w:r>
        <w:rPr>
          <w:rFonts w:ascii="Times New Roman" w:hAnsi="Times New Roman" w:cs="Times New Roman"/>
          <w:color w:val="3D3D3D"/>
          <w:sz w:val="24"/>
          <w:szCs w:val="24"/>
          <w:shd w:val="clear" w:color="auto" w:fill="FFFFFF"/>
        </w:rPr>
        <w:t xml:space="preserve">to confer beneficial rights </w:t>
      </w:r>
      <w:r w:rsidR="00E41A72">
        <w:rPr>
          <w:rFonts w:ascii="Times New Roman" w:hAnsi="Times New Roman" w:cs="Times New Roman"/>
          <w:color w:val="3D3D3D"/>
          <w:sz w:val="24"/>
          <w:szCs w:val="24"/>
          <w:shd w:val="clear" w:color="auto" w:fill="FFFFFF"/>
        </w:rPr>
        <w:t xml:space="preserve">of occupation </w:t>
      </w:r>
      <w:r>
        <w:rPr>
          <w:rFonts w:ascii="Times New Roman" w:hAnsi="Times New Roman" w:cs="Times New Roman"/>
          <w:color w:val="3D3D3D"/>
          <w:sz w:val="24"/>
          <w:szCs w:val="24"/>
          <w:shd w:val="clear" w:color="auto" w:fill="FFFFFF"/>
        </w:rPr>
        <w:t>on the minor.</w:t>
      </w:r>
    </w:p>
    <w:sectPr w:rsidR="00063360" w:rsidRPr="00AE63FD" w:rsidSect="003803C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F2FD" w14:textId="77777777" w:rsidR="00CA77F6" w:rsidRDefault="00CA77F6" w:rsidP="00754AD4">
      <w:pPr>
        <w:spacing w:after="0" w:line="240" w:lineRule="auto"/>
      </w:pPr>
      <w:r>
        <w:separator/>
      </w:r>
    </w:p>
  </w:endnote>
  <w:endnote w:type="continuationSeparator" w:id="0">
    <w:p w14:paraId="0FD403BC" w14:textId="77777777" w:rsidR="00CA77F6" w:rsidRDefault="00CA77F6" w:rsidP="0075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425" w14:textId="77777777" w:rsidR="005F6242" w:rsidRDefault="005F6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1672"/>
      <w:docPartObj>
        <w:docPartGallery w:val="Page Numbers (Bottom of Page)"/>
        <w:docPartUnique/>
      </w:docPartObj>
    </w:sdtPr>
    <w:sdtContent>
      <w:p w14:paraId="22925C37" w14:textId="77777777" w:rsidR="005F6242" w:rsidRDefault="00000000">
        <w:pPr>
          <w:pStyle w:val="Footer"/>
          <w:jc w:val="center"/>
        </w:pPr>
        <w:r>
          <w:fldChar w:fldCharType="begin"/>
        </w:r>
        <w:r>
          <w:instrText xml:space="preserve"> PAGE   \* MERGEFORMAT </w:instrText>
        </w:r>
        <w:r>
          <w:fldChar w:fldCharType="separate"/>
        </w:r>
        <w:r w:rsidR="00931CA6">
          <w:rPr>
            <w:noProof/>
          </w:rPr>
          <w:t>2</w:t>
        </w:r>
        <w:r>
          <w:rPr>
            <w:noProof/>
          </w:rPr>
          <w:fldChar w:fldCharType="end"/>
        </w:r>
      </w:p>
    </w:sdtContent>
  </w:sdt>
  <w:p w14:paraId="63E85CC8" w14:textId="77777777" w:rsidR="005F6242" w:rsidRDefault="005F6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1BF8" w14:textId="77777777" w:rsidR="005F6242" w:rsidRDefault="005F6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F59A" w14:textId="77777777" w:rsidR="00CA77F6" w:rsidRDefault="00CA77F6" w:rsidP="00754AD4">
      <w:pPr>
        <w:spacing w:after="0" w:line="240" w:lineRule="auto"/>
      </w:pPr>
      <w:r>
        <w:separator/>
      </w:r>
    </w:p>
  </w:footnote>
  <w:footnote w:type="continuationSeparator" w:id="0">
    <w:p w14:paraId="1D79552E" w14:textId="77777777" w:rsidR="00CA77F6" w:rsidRDefault="00CA77F6" w:rsidP="00754AD4">
      <w:pPr>
        <w:spacing w:after="0" w:line="240" w:lineRule="auto"/>
      </w:pPr>
      <w:r>
        <w:continuationSeparator/>
      </w:r>
    </w:p>
  </w:footnote>
  <w:footnote w:id="1">
    <w:p w14:paraId="18162EE7" w14:textId="77777777" w:rsidR="005F6242" w:rsidRDefault="005F6242">
      <w:pPr>
        <w:pStyle w:val="FootnoteText"/>
      </w:pPr>
      <w:r>
        <w:rPr>
          <w:rStyle w:val="FootnoteReference"/>
        </w:rPr>
        <w:footnoteRef/>
      </w:r>
      <w:r>
        <w:t xml:space="preserve"> Section 1(6) of the Law of Property Act 1925; Schedule 1, para 1, Trusts of Land and Appointment of Trustees Act 1996.</w:t>
      </w:r>
    </w:p>
  </w:footnote>
  <w:footnote w:id="2">
    <w:p w14:paraId="26120632" w14:textId="77777777" w:rsidR="005F6242" w:rsidRDefault="005F6242">
      <w:pPr>
        <w:pStyle w:val="FootnoteText"/>
      </w:pPr>
      <w:r>
        <w:rPr>
          <w:rStyle w:val="FootnoteReference"/>
        </w:rPr>
        <w:footnoteRef/>
      </w:r>
      <w:r>
        <w:t xml:space="preserve"> Section 20 of the Law of Property Act 1925.</w:t>
      </w:r>
    </w:p>
  </w:footnote>
  <w:footnote w:id="3">
    <w:p w14:paraId="1C84816F" w14:textId="77777777" w:rsidR="005F6242" w:rsidRDefault="005F6242">
      <w:pPr>
        <w:pStyle w:val="FootnoteText"/>
      </w:pPr>
      <w:r>
        <w:rPr>
          <w:rStyle w:val="FootnoteReference"/>
        </w:rPr>
        <w:footnoteRef/>
      </w:r>
      <w:r>
        <w:t xml:space="preserve"> Section 27(1) of the Settled Land Act 1925.</w:t>
      </w:r>
    </w:p>
  </w:footnote>
  <w:footnote w:id="4">
    <w:p w14:paraId="22664DED" w14:textId="77777777" w:rsidR="005F6242" w:rsidRDefault="005F6242">
      <w:pPr>
        <w:pStyle w:val="FootnoteText"/>
      </w:pPr>
      <w:r>
        <w:rPr>
          <w:rStyle w:val="FootnoteReference"/>
        </w:rPr>
        <w:footnoteRef/>
      </w:r>
      <w:r>
        <w:t xml:space="preserve"> Law Com No 134, 28 June 1984, para 5.15.</w:t>
      </w:r>
    </w:p>
  </w:footnote>
  <w:footnote w:id="5">
    <w:p w14:paraId="49C84554" w14:textId="77777777" w:rsidR="005F6242" w:rsidRDefault="005F6242" w:rsidP="000C4750">
      <w:pPr>
        <w:pStyle w:val="FootnoteText"/>
      </w:pPr>
      <w:r>
        <w:rPr>
          <w:rStyle w:val="FootnoteReference"/>
        </w:rPr>
        <w:footnoteRef/>
      </w:r>
      <w:r>
        <w:t xml:space="preserve"> Section 2(6), Schedule 1, para 1(3) of the Trusts of Land and Appointment of Trustees Act 1996.</w:t>
      </w:r>
    </w:p>
    <w:p w14:paraId="23188541" w14:textId="77777777" w:rsidR="005F6242" w:rsidRDefault="005F6242">
      <w:pPr>
        <w:pStyle w:val="FootnoteText"/>
      </w:pPr>
    </w:p>
  </w:footnote>
  <w:footnote w:id="6">
    <w:p w14:paraId="7EBCCB01" w14:textId="77777777" w:rsidR="005F6242" w:rsidRDefault="005F6242" w:rsidP="00E240E4">
      <w:pPr>
        <w:pStyle w:val="FootnoteText"/>
        <w:jc w:val="both"/>
      </w:pPr>
      <w:r>
        <w:rPr>
          <w:rStyle w:val="FootnoteReference"/>
        </w:rPr>
        <w:footnoteRef/>
      </w:r>
      <w:r w:rsidR="000A6C1B">
        <w:t xml:space="preserve"> Schedule</w:t>
      </w:r>
      <w:r>
        <w:t xml:space="preserve"> 1, para 1(1)(b) of the 1996 Act  and </w:t>
      </w:r>
      <w:r w:rsidRPr="00A302D6">
        <w:rPr>
          <w:rFonts w:cs="Times New Roman"/>
          <w:i/>
        </w:rPr>
        <w:t>Hammersmith &amp; Fulham LBC v Alexander-David</w:t>
      </w:r>
      <w:r w:rsidRPr="00A302D6">
        <w:rPr>
          <w:rFonts w:cs="Times New Roman"/>
        </w:rPr>
        <w:t xml:space="preserve"> [2009] EWCA Civ 259; [2010] Ch 272.</w:t>
      </w:r>
      <w:r w:rsidR="00E240E4">
        <w:rPr>
          <w:rFonts w:cs="Times New Roman"/>
        </w:rPr>
        <w:t xml:space="preserve">  The declaration of trust falls to be treated as a statutory trust created in order to resolve the problem of a minor being unable to own a legal estate. </w:t>
      </w:r>
    </w:p>
  </w:footnote>
  <w:footnote w:id="7">
    <w:p w14:paraId="2BC4CEA4" w14:textId="77777777" w:rsidR="00F7688B" w:rsidRPr="00F7688B" w:rsidRDefault="00F7688B" w:rsidP="00F7688B">
      <w:pPr>
        <w:pStyle w:val="FootnoteText"/>
        <w:jc w:val="both"/>
      </w:pPr>
      <w:r>
        <w:rPr>
          <w:rStyle w:val="FootnoteReference"/>
        </w:rPr>
        <w:footnoteRef/>
      </w:r>
      <w:r>
        <w:t xml:space="preserve"> </w:t>
      </w:r>
      <w:r w:rsidRPr="00F7688B">
        <w:rPr>
          <w:rFonts w:cs="Arial"/>
          <w:color w:val="000000"/>
          <w:shd w:val="clear" w:color="auto" w:fill="FFFFFF"/>
        </w:rPr>
        <w:t>The whole policy rationale underlying the L</w:t>
      </w:r>
      <w:r>
        <w:rPr>
          <w:rFonts w:cs="Arial"/>
          <w:color w:val="000000"/>
          <w:shd w:val="clear" w:color="auto" w:fill="FFFFFF"/>
        </w:rPr>
        <w:t xml:space="preserve">aw of </w:t>
      </w:r>
      <w:r w:rsidRPr="00F7688B">
        <w:rPr>
          <w:rFonts w:cs="Arial"/>
          <w:color w:val="000000"/>
          <w:shd w:val="clear" w:color="auto" w:fill="FFFFFF"/>
        </w:rPr>
        <w:t>P</w:t>
      </w:r>
      <w:r>
        <w:rPr>
          <w:rFonts w:cs="Arial"/>
          <w:color w:val="000000"/>
          <w:shd w:val="clear" w:color="auto" w:fill="FFFFFF"/>
        </w:rPr>
        <w:t xml:space="preserve">roperty </w:t>
      </w:r>
      <w:r w:rsidRPr="00F7688B">
        <w:rPr>
          <w:rFonts w:cs="Arial"/>
          <w:color w:val="000000"/>
          <w:shd w:val="clear" w:color="auto" w:fill="FFFFFF"/>
        </w:rPr>
        <w:t>A</w:t>
      </w:r>
      <w:r>
        <w:rPr>
          <w:rFonts w:cs="Arial"/>
          <w:color w:val="000000"/>
          <w:shd w:val="clear" w:color="auto" w:fill="FFFFFF"/>
        </w:rPr>
        <w:t xml:space="preserve">ct 1925 </w:t>
      </w:r>
      <w:r w:rsidRPr="00F7688B">
        <w:rPr>
          <w:rFonts w:cs="Arial"/>
          <w:color w:val="000000"/>
          <w:shd w:val="clear" w:color="auto" w:fill="FFFFFF"/>
        </w:rPr>
        <w:t>was to create a simplified and more streamlin</w:t>
      </w:r>
      <w:r>
        <w:rPr>
          <w:rFonts w:cs="Arial"/>
          <w:color w:val="000000"/>
          <w:shd w:val="clear" w:color="auto" w:fill="FFFFFF"/>
        </w:rPr>
        <w:t xml:space="preserve">ed framework of land law rules </w:t>
      </w:r>
      <w:r w:rsidRPr="00F7688B">
        <w:rPr>
          <w:rFonts w:cs="Arial"/>
          <w:color w:val="000000"/>
          <w:shd w:val="clear" w:color="auto" w:fill="FFFFFF"/>
        </w:rPr>
        <w:t>which would make la</w:t>
      </w:r>
      <w:r>
        <w:rPr>
          <w:rFonts w:cs="Arial"/>
          <w:color w:val="000000"/>
          <w:shd w:val="clear" w:color="auto" w:fill="FFFFFF"/>
        </w:rPr>
        <w:t xml:space="preserve">nd much more alienable and, therefore, </w:t>
      </w:r>
      <w:r w:rsidRPr="00F7688B">
        <w:rPr>
          <w:rFonts w:cs="Arial"/>
          <w:color w:val="000000"/>
          <w:shd w:val="clear" w:color="auto" w:fill="FFFFFF"/>
        </w:rPr>
        <w:t xml:space="preserve">help create wider </w:t>
      </w:r>
      <w:r>
        <w:rPr>
          <w:rFonts w:cs="Arial"/>
          <w:color w:val="000000"/>
          <w:shd w:val="clear" w:color="auto" w:fill="FFFFFF"/>
        </w:rPr>
        <w:t>economic benefits</w:t>
      </w:r>
      <w:r w:rsidR="00C83DCE">
        <w:rPr>
          <w:rFonts w:cs="Arial"/>
          <w:color w:val="000000"/>
          <w:shd w:val="clear" w:color="auto" w:fill="FFFFFF"/>
        </w:rPr>
        <w:t xml:space="preserve"> generally.</w:t>
      </w:r>
    </w:p>
  </w:footnote>
  <w:footnote w:id="8">
    <w:p w14:paraId="383824FF" w14:textId="77777777" w:rsidR="00F73EDB" w:rsidRDefault="00F73EDB">
      <w:pPr>
        <w:pStyle w:val="FootnoteText"/>
      </w:pPr>
      <w:r>
        <w:rPr>
          <w:rStyle w:val="FootnoteReference"/>
        </w:rPr>
        <w:footnoteRef/>
      </w:r>
      <w:r>
        <w:t xml:space="preserve"> Law Com No 181, </w:t>
      </w:r>
      <w:r w:rsidR="00CA111C">
        <w:t xml:space="preserve">8 June 1989, </w:t>
      </w:r>
      <w:r>
        <w:t>at 5.1.</w:t>
      </w:r>
    </w:p>
  </w:footnote>
  <w:footnote w:id="9">
    <w:p w14:paraId="5CF0260C" w14:textId="77777777" w:rsidR="005F6242" w:rsidRPr="00A302D6" w:rsidRDefault="005F6242" w:rsidP="004A44B6">
      <w:pPr>
        <w:pStyle w:val="FootnoteText"/>
      </w:pPr>
      <w:r>
        <w:rPr>
          <w:rStyle w:val="FootnoteReference"/>
        </w:rPr>
        <w:footnoteRef/>
      </w:r>
      <w:r>
        <w:t xml:space="preserve"> </w:t>
      </w:r>
      <w:r w:rsidRPr="00A302D6">
        <w:rPr>
          <w:rFonts w:cs="Times New Roman"/>
        </w:rPr>
        <w:t>Schedule 1, paras 1 and 2, of the 1996 Act</w:t>
      </w:r>
      <w:r>
        <w:rPr>
          <w:rFonts w:cs="Times New Roman"/>
        </w:rPr>
        <w:t>.</w:t>
      </w:r>
    </w:p>
  </w:footnote>
  <w:footnote w:id="10">
    <w:p w14:paraId="03F08B48" w14:textId="77777777" w:rsidR="005F6242" w:rsidRPr="00300271" w:rsidRDefault="005F6242" w:rsidP="00300271">
      <w:pPr>
        <w:pStyle w:val="ListParagraph"/>
        <w:spacing w:after="0" w:line="240" w:lineRule="auto"/>
        <w:ind w:left="0"/>
        <w:jc w:val="both"/>
        <w:rPr>
          <w:rFonts w:cs="Times New Roman"/>
          <w:sz w:val="20"/>
          <w:szCs w:val="20"/>
        </w:rPr>
      </w:pPr>
      <w:r>
        <w:rPr>
          <w:rStyle w:val="FootnoteReference"/>
        </w:rPr>
        <w:footnoteRef/>
      </w:r>
      <w:r>
        <w:t xml:space="preserve"> </w:t>
      </w:r>
      <w:r w:rsidR="00807D45" w:rsidRPr="00300271">
        <w:t xml:space="preserve">Section 1(1) and (2), </w:t>
      </w:r>
      <w:r w:rsidRPr="00300271">
        <w:rPr>
          <w:rFonts w:cs="Times New Roman"/>
          <w:sz w:val="20"/>
          <w:szCs w:val="20"/>
        </w:rPr>
        <w:t>Schedule 1, para 1(2) of the 1996 Act.</w:t>
      </w:r>
      <w:r w:rsidR="00300271" w:rsidRPr="00300271">
        <w:rPr>
          <w:rFonts w:cs="Times New Roman"/>
          <w:sz w:val="20"/>
          <w:szCs w:val="20"/>
        </w:rPr>
        <w:t xml:space="preserve"> </w:t>
      </w:r>
      <w:r w:rsidR="00797C49">
        <w:rPr>
          <w:rFonts w:cs="Arial"/>
          <w:color w:val="0B0C0C"/>
          <w:sz w:val="20"/>
          <w:szCs w:val="20"/>
          <w:shd w:val="clear" w:color="auto" w:fill="FFFFFF"/>
        </w:rPr>
        <w:t>Trusts created under Schedule 1</w:t>
      </w:r>
      <w:r w:rsidR="00300271" w:rsidRPr="00300271">
        <w:rPr>
          <w:rFonts w:cs="Arial"/>
          <w:color w:val="0B0C0C"/>
          <w:sz w:val="20"/>
          <w:szCs w:val="20"/>
          <w:shd w:val="clear" w:color="auto" w:fill="FFFFFF"/>
        </w:rPr>
        <w:t xml:space="preserve"> </w:t>
      </w:r>
      <w:r w:rsidR="00797C49">
        <w:rPr>
          <w:rFonts w:cs="Arial"/>
          <w:color w:val="0B0C0C"/>
          <w:sz w:val="20"/>
          <w:szCs w:val="20"/>
          <w:shd w:val="clear" w:color="auto" w:fill="FFFFFF"/>
        </w:rPr>
        <w:t xml:space="preserve">of the 1996 Act </w:t>
      </w:r>
      <w:r w:rsidR="00300271" w:rsidRPr="00300271">
        <w:rPr>
          <w:rFonts w:cs="Arial"/>
          <w:color w:val="0B0C0C"/>
          <w:sz w:val="20"/>
          <w:szCs w:val="20"/>
          <w:shd w:val="clear" w:color="auto" w:fill="FFFFFF"/>
        </w:rPr>
        <w:t>ar</w:t>
      </w:r>
      <w:r w:rsidR="003F18A6">
        <w:rPr>
          <w:rFonts w:cs="Arial"/>
          <w:color w:val="0B0C0C"/>
          <w:sz w:val="20"/>
          <w:szCs w:val="20"/>
          <w:shd w:val="clear" w:color="auto" w:fill="FFFFFF"/>
        </w:rPr>
        <w:t xml:space="preserve">e excluded from registration with </w:t>
      </w:r>
      <w:r w:rsidR="00300271">
        <w:rPr>
          <w:rFonts w:cs="Arial"/>
          <w:color w:val="0B0C0C"/>
          <w:sz w:val="20"/>
          <w:szCs w:val="20"/>
          <w:shd w:val="clear" w:color="auto" w:fill="FFFFFF"/>
        </w:rPr>
        <w:t xml:space="preserve">the </w:t>
      </w:r>
      <w:r w:rsidR="0046199D">
        <w:rPr>
          <w:rFonts w:cs="Arial"/>
          <w:color w:val="0B0C0C"/>
          <w:sz w:val="20"/>
          <w:szCs w:val="20"/>
          <w:shd w:val="clear" w:color="auto" w:fill="FFFFFF"/>
        </w:rPr>
        <w:t xml:space="preserve">HMRC </w:t>
      </w:r>
      <w:r w:rsidR="00300271">
        <w:rPr>
          <w:rFonts w:cs="Arial"/>
          <w:color w:val="0B0C0C"/>
          <w:sz w:val="20"/>
          <w:szCs w:val="20"/>
          <w:shd w:val="clear" w:color="auto" w:fill="FFFFFF"/>
        </w:rPr>
        <w:t>Trust Registration Service</w:t>
      </w:r>
      <w:r w:rsidR="008C2751">
        <w:rPr>
          <w:rFonts w:cs="Arial"/>
          <w:color w:val="0B0C0C"/>
          <w:sz w:val="20"/>
          <w:szCs w:val="20"/>
          <w:shd w:val="clear" w:color="auto" w:fill="FFFFFF"/>
        </w:rPr>
        <w:t xml:space="preserve"> which was </w:t>
      </w:r>
      <w:r w:rsidR="003F18A6">
        <w:rPr>
          <w:rFonts w:cs="Arial"/>
          <w:color w:val="0B0C0C"/>
          <w:sz w:val="20"/>
          <w:szCs w:val="20"/>
          <w:shd w:val="clear" w:color="auto" w:fill="FFFFFF"/>
        </w:rPr>
        <w:t>introduced</w:t>
      </w:r>
      <w:r w:rsidR="008C2751">
        <w:rPr>
          <w:rFonts w:cs="Arial"/>
          <w:color w:val="0B0C0C"/>
          <w:sz w:val="20"/>
          <w:szCs w:val="20"/>
          <w:shd w:val="clear" w:color="auto" w:fill="FFFFFF"/>
        </w:rPr>
        <w:t xml:space="preserve"> in 2017 as a result of anti-money laundering regulations</w:t>
      </w:r>
      <w:r w:rsidR="00931CA6">
        <w:rPr>
          <w:rFonts w:cs="Arial"/>
          <w:color w:val="0B0C0C"/>
          <w:sz w:val="20"/>
          <w:szCs w:val="20"/>
          <w:shd w:val="clear" w:color="auto" w:fill="FFFFFF"/>
        </w:rPr>
        <w:t xml:space="preserve">. </w:t>
      </w:r>
    </w:p>
  </w:footnote>
  <w:footnote w:id="11">
    <w:p w14:paraId="3E1BF25E" w14:textId="77777777" w:rsidR="005F6242" w:rsidRDefault="005F6242" w:rsidP="004A44B6">
      <w:pPr>
        <w:pStyle w:val="FootnoteText"/>
      </w:pPr>
      <w:r>
        <w:rPr>
          <w:rStyle w:val="FootnoteReference"/>
        </w:rPr>
        <w:footnoteRef/>
      </w:r>
      <w:r>
        <w:t xml:space="preserve"> Sections 12 and 13 of the 1996 Act.</w:t>
      </w:r>
    </w:p>
  </w:footnote>
  <w:footnote w:id="12">
    <w:p w14:paraId="512DD63E" w14:textId="77777777" w:rsidR="005F6242" w:rsidRDefault="005F6242">
      <w:pPr>
        <w:pStyle w:val="FootnoteText"/>
      </w:pPr>
      <w:r>
        <w:rPr>
          <w:rStyle w:val="FootnoteReference"/>
        </w:rPr>
        <w:footnoteRef/>
      </w:r>
      <w:r>
        <w:t xml:space="preserve"> Section 6 of the 1996 Act.</w:t>
      </w:r>
    </w:p>
  </w:footnote>
  <w:footnote w:id="13">
    <w:p w14:paraId="6680D70C" w14:textId="77777777" w:rsidR="005F6242" w:rsidRDefault="005F6242">
      <w:pPr>
        <w:pStyle w:val="FootnoteText"/>
      </w:pPr>
      <w:r>
        <w:rPr>
          <w:rStyle w:val="FootnoteReference"/>
        </w:rPr>
        <w:footnoteRef/>
      </w:r>
      <w:r w:rsidR="000E74F1">
        <w:t xml:space="preserve"> Section 6(5) of the 1996 Act.</w:t>
      </w:r>
    </w:p>
  </w:footnote>
  <w:footnote w:id="14">
    <w:p w14:paraId="77C6CEFB" w14:textId="77777777" w:rsidR="005F6242" w:rsidRDefault="005F6242">
      <w:pPr>
        <w:pStyle w:val="FootnoteText"/>
      </w:pPr>
      <w:r>
        <w:rPr>
          <w:rStyle w:val="FootnoteReference"/>
        </w:rPr>
        <w:footnoteRef/>
      </w:r>
      <w:r>
        <w:t xml:space="preserve"> Section 6(6) of the 1996 Act.</w:t>
      </w:r>
      <w:r w:rsidR="000E74F1">
        <w:t xml:space="preserve"> </w:t>
      </w:r>
    </w:p>
  </w:footnote>
  <w:footnote w:id="15">
    <w:p w14:paraId="20FF7B68" w14:textId="77777777" w:rsidR="00A549B8" w:rsidRDefault="00716C00" w:rsidP="00A549B8">
      <w:pPr>
        <w:pStyle w:val="FootnoteText"/>
        <w:jc w:val="both"/>
      </w:pPr>
      <w:r>
        <w:rPr>
          <w:rStyle w:val="FootnoteReference"/>
        </w:rPr>
        <w:footnoteRef/>
      </w:r>
      <w:r>
        <w:t xml:space="preserve"> See, </w:t>
      </w:r>
      <w:r w:rsidRPr="000E74F1">
        <w:rPr>
          <w:i/>
        </w:rPr>
        <w:t>Target Holdings v Redferns</w:t>
      </w:r>
      <w:r>
        <w:t xml:space="preserve"> [1996] 1 AC 421; </w:t>
      </w:r>
      <w:r w:rsidRPr="00716C00">
        <w:rPr>
          <w:i/>
        </w:rPr>
        <w:t>AIB  Group v Mark Redler</w:t>
      </w:r>
      <w:r>
        <w:t xml:space="preserve"> [2014] UKSC 58, at 51; </w:t>
      </w:r>
      <w:r w:rsidRPr="000E74F1">
        <w:rPr>
          <w:i/>
        </w:rPr>
        <w:t>Henderson  v Merrett Syndicates</w:t>
      </w:r>
      <w:r>
        <w:t xml:space="preserve"> [1995] 2 AC 145, at 206.</w:t>
      </w:r>
      <w:r w:rsidR="00A549B8">
        <w:t xml:space="preserve"> Apart from ensuring that legal title to the property is registered in their names, the management duties of trustees will include an obligation to maintain and insure the trust property, pay rent and insurance premiums</w:t>
      </w:r>
      <w:r w:rsidR="00E42A1B">
        <w:t>,</w:t>
      </w:r>
      <w:r w:rsidR="00A549B8">
        <w:t xml:space="preserve"> and discharge any tax liabilities.</w:t>
      </w:r>
      <w:r w:rsidR="00E42A1B">
        <w:t xml:space="preserve"> The parties may decide to incorporate these into an express trust for the benefit of the minor beneficiary.</w:t>
      </w:r>
    </w:p>
  </w:footnote>
  <w:footnote w:id="16">
    <w:p w14:paraId="042E00F4" w14:textId="77777777" w:rsidR="00092686" w:rsidRDefault="00092686">
      <w:pPr>
        <w:pStyle w:val="FootnoteText"/>
      </w:pPr>
      <w:r>
        <w:rPr>
          <w:rStyle w:val="FootnoteReference"/>
        </w:rPr>
        <w:footnoteRef/>
      </w:r>
      <w:r>
        <w:t xml:space="preserve"> [1841] 4 Beav 115.</w:t>
      </w:r>
    </w:p>
  </w:footnote>
  <w:footnote w:id="17">
    <w:p w14:paraId="73E73EA5" w14:textId="77777777" w:rsidR="00ED6737" w:rsidRDefault="00ED6737" w:rsidP="00EB6E4A">
      <w:pPr>
        <w:pStyle w:val="FootnoteText"/>
        <w:jc w:val="both"/>
      </w:pPr>
      <w:r>
        <w:rPr>
          <w:rStyle w:val="FootnoteReference"/>
        </w:rPr>
        <w:footnoteRef/>
      </w:r>
      <w:r>
        <w:t xml:space="preserve"> If the contract is rescinded by the court, this will normally be on terms to make </w:t>
      </w:r>
      <w:r w:rsidR="00EB6E4A">
        <w:t xml:space="preserve">appropriate </w:t>
      </w:r>
      <w:r>
        <w:t>restitution where necessary.</w:t>
      </w:r>
    </w:p>
  </w:footnote>
  <w:footnote w:id="18">
    <w:p w14:paraId="095B2E04" w14:textId="77777777" w:rsidR="005F6242" w:rsidRPr="00BE3532" w:rsidRDefault="005F6242">
      <w:pPr>
        <w:pStyle w:val="FootnoteText"/>
      </w:pPr>
      <w:r>
        <w:rPr>
          <w:rStyle w:val="FootnoteReference"/>
        </w:rPr>
        <w:footnoteRef/>
      </w:r>
      <w:r>
        <w:t xml:space="preserve"> </w:t>
      </w:r>
      <w:r w:rsidRPr="004A44B6">
        <w:rPr>
          <w:rFonts w:cs="Times New Roman"/>
          <w:i/>
        </w:rPr>
        <w:t>Blake v Concannon</w:t>
      </w:r>
      <w:r w:rsidRPr="004A44B6">
        <w:rPr>
          <w:rFonts w:cs="Times New Roman"/>
        </w:rPr>
        <w:t xml:space="preserve"> (1870) 4 Ir Rep Cl 320</w:t>
      </w:r>
      <w:r w:rsidR="00373128">
        <w:rPr>
          <w:rFonts w:cs="Times New Roman"/>
        </w:rPr>
        <w:t xml:space="preserve">; </w:t>
      </w:r>
      <w:r w:rsidR="00373128" w:rsidRPr="00BE3532">
        <w:rPr>
          <w:rFonts w:cs="Segoe UI"/>
          <w:i/>
          <w:color w:val="212529"/>
          <w:shd w:val="clear" w:color="auto" w:fill="FFFFFF"/>
        </w:rPr>
        <w:t>London &amp; North Western Railway v M’Michael</w:t>
      </w:r>
      <w:r w:rsidR="00373128" w:rsidRPr="00BE3532">
        <w:rPr>
          <w:rFonts w:cs="Segoe UI"/>
          <w:color w:val="212529"/>
          <w:shd w:val="clear" w:color="auto" w:fill="FFFFFF"/>
        </w:rPr>
        <w:t xml:space="preserve"> (1850) 5 Ex 114</w:t>
      </w:r>
      <w:r w:rsidR="00BE3532" w:rsidRPr="00BE3532">
        <w:rPr>
          <w:rFonts w:cs="Segoe UI"/>
          <w:color w:val="212529"/>
          <w:shd w:val="clear" w:color="auto" w:fill="FFFFFF"/>
        </w:rPr>
        <w:t>;</w:t>
      </w:r>
      <w:r w:rsidR="00BE3532">
        <w:rPr>
          <w:rFonts w:ascii="Segoe UI" w:hAnsi="Segoe UI" w:cs="Segoe UI"/>
          <w:color w:val="212529"/>
          <w:shd w:val="clear" w:color="auto" w:fill="FFFFFF"/>
        </w:rPr>
        <w:t xml:space="preserve"> </w:t>
      </w:r>
      <w:r w:rsidR="00BE3532" w:rsidRPr="00BE3532">
        <w:rPr>
          <w:rFonts w:cs="Segoe UI"/>
          <w:color w:val="212529"/>
          <w:shd w:val="clear" w:color="auto" w:fill="FFFFFF"/>
        </w:rPr>
        <w:t>155 ER 49.</w:t>
      </w:r>
    </w:p>
  </w:footnote>
  <w:footnote w:id="19">
    <w:p w14:paraId="0A00FC7D" w14:textId="77777777" w:rsidR="005F6242" w:rsidRPr="004A44B6" w:rsidRDefault="005F6242">
      <w:pPr>
        <w:pStyle w:val="FootnoteText"/>
        <w:rPr>
          <w:rFonts w:ascii="Times New Roman" w:hAnsi="Times New Roman" w:cs="Times New Roman"/>
        </w:rPr>
      </w:pPr>
      <w:r>
        <w:rPr>
          <w:rStyle w:val="FootnoteReference"/>
        </w:rPr>
        <w:footnoteRef/>
      </w:r>
      <w:r>
        <w:t xml:space="preserve"> </w:t>
      </w:r>
      <w:r w:rsidRPr="004A44B6">
        <w:rPr>
          <w:rFonts w:ascii="Times New Roman" w:hAnsi="Times New Roman" w:cs="Times New Roman"/>
          <w:i/>
        </w:rPr>
        <w:t>Davies v Benyon-Harris</w:t>
      </w:r>
      <w:r w:rsidRPr="004A44B6">
        <w:rPr>
          <w:rFonts w:ascii="Times New Roman" w:hAnsi="Times New Roman" w:cs="Times New Roman"/>
        </w:rPr>
        <w:t xml:space="preserve"> (1931) 47 TLR 424; </w:t>
      </w:r>
      <w:r w:rsidRPr="004A44B6">
        <w:rPr>
          <w:rFonts w:ascii="Times New Roman" w:hAnsi="Times New Roman" w:cs="Times New Roman"/>
          <w:i/>
        </w:rPr>
        <w:t xml:space="preserve">Portman Registrars v Mohamed Latif </w:t>
      </w:r>
      <w:r w:rsidRPr="004A44B6">
        <w:rPr>
          <w:rFonts w:ascii="Times New Roman" w:hAnsi="Times New Roman" w:cs="Times New Roman"/>
        </w:rPr>
        <w:t>[1987]  6 CL 217.</w:t>
      </w:r>
    </w:p>
  </w:footnote>
  <w:footnote w:id="20">
    <w:p w14:paraId="62E30141" w14:textId="77777777" w:rsidR="005F6242" w:rsidRPr="004A44B6" w:rsidRDefault="005F6242">
      <w:pPr>
        <w:pStyle w:val="FootnoteText"/>
        <w:rPr>
          <w:rFonts w:ascii="Times New Roman" w:hAnsi="Times New Roman" w:cs="Times New Roman"/>
        </w:rPr>
      </w:pPr>
      <w:r>
        <w:rPr>
          <w:rStyle w:val="FootnoteReference"/>
        </w:rPr>
        <w:footnoteRef/>
      </w:r>
      <w:r>
        <w:t xml:space="preserve"> </w:t>
      </w:r>
      <w:r w:rsidRPr="004A44B6">
        <w:rPr>
          <w:rFonts w:ascii="Times New Roman" w:hAnsi="Times New Roman" w:cs="Times New Roman"/>
          <w:i/>
        </w:rPr>
        <w:t>Lowe v Griffiths</w:t>
      </w:r>
      <w:r w:rsidRPr="004A44B6">
        <w:rPr>
          <w:rFonts w:ascii="Times New Roman" w:hAnsi="Times New Roman" w:cs="Times New Roman"/>
        </w:rPr>
        <w:t xml:space="preserve"> (1835) 4 LJCP 94, at 96</w:t>
      </w:r>
      <w:r>
        <w:rPr>
          <w:rFonts w:ascii="Times New Roman" w:hAnsi="Times New Roman" w:cs="Times New Roman"/>
        </w:rPr>
        <w:t>.</w:t>
      </w:r>
    </w:p>
  </w:footnote>
  <w:footnote w:id="21">
    <w:p w14:paraId="39B3FD25" w14:textId="77777777" w:rsidR="005F6242" w:rsidRDefault="005F6242">
      <w:pPr>
        <w:pStyle w:val="FootnoteText"/>
      </w:pPr>
      <w:r>
        <w:rPr>
          <w:rStyle w:val="FootnoteReference"/>
        </w:rPr>
        <w:footnoteRef/>
      </w:r>
      <w:r>
        <w:t xml:space="preserve"> </w:t>
      </w:r>
      <w:r w:rsidRPr="004A44B6">
        <w:rPr>
          <w:rFonts w:ascii="Times New Roman" w:hAnsi="Times New Roman" w:cs="Times New Roman"/>
          <w:i/>
        </w:rPr>
        <w:t>Valentini v Canali</w:t>
      </w:r>
      <w:r w:rsidRPr="004A44B6">
        <w:rPr>
          <w:rFonts w:ascii="Times New Roman" w:hAnsi="Times New Roman" w:cs="Times New Roman"/>
        </w:rPr>
        <w:t xml:space="preserve"> (1989) 24 QBD 166, at 167; </w:t>
      </w:r>
      <w:r w:rsidRPr="004A44B6">
        <w:rPr>
          <w:rFonts w:ascii="Times New Roman" w:hAnsi="Times New Roman" w:cs="Times New Roman"/>
          <w:i/>
        </w:rPr>
        <w:t>Davies v Benyon-Harris</w:t>
      </w:r>
      <w:r>
        <w:rPr>
          <w:rFonts w:ascii="Times New Roman" w:hAnsi="Times New Roman" w:cs="Times New Roman"/>
        </w:rPr>
        <w:t xml:space="preserve"> (1931) 47 TLR 424.</w:t>
      </w:r>
    </w:p>
  </w:footnote>
  <w:footnote w:id="22">
    <w:p w14:paraId="490348CF" w14:textId="77777777" w:rsidR="005F6242" w:rsidRDefault="005F6242" w:rsidP="00694B45">
      <w:pPr>
        <w:pStyle w:val="FootnoteText"/>
      </w:pPr>
      <w:r>
        <w:rPr>
          <w:rStyle w:val="FootnoteReference"/>
        </w:rPr>
        <w:footnoteRef/>
      </w:r>
      <w:r>
        <w:t xml:space="preserve"> Law Com No 134, 28 June 1984, at para 5.15.</w:t>
      </w:r>
    </w:p>
  </w:footnote>
  <w:footnote w:id="23">
    <w:p w14:paraId="1E0D1B45" w14:textId="77777777" w:rsidR="005F6242" w:rsidRPr="00694B45" w:rsidRDefault="005F6242" w:rsidP="00694B45">
      <w:pPr>
        <w:spacing w:after="0"/>
        <w:jc w:val="both"/>
        <w:rPr>
          <w:rFonts w:cs="Times New Roman"/>
          <w:sz w:val="20"/>
          <w:szCs w:val="20"/>
        </w:rPr>
      </w:pPr>
      <w:r>
        <w:rPr>
          <w:rStyle w:val="FootnoteReference"/>
        </w:rPr>
        <w:footnoteRef/>
      </w:r>
      <w:r>
        <w:t xml:space="preserve"> </w:t>
      </w:r>
      <w:r w:rsidRPr="00694B45">
        <w:rPr>
          <w:rFonts w:cs="Times New Roman"/>
          <w:i/>
          <w:sz w:val="20"/>
          <w:szCs w:val="20"/>
        </w:rPr>
        <w:t>Portman Registrars and Nominees v Mohammed Latiff</w:t>
      </w:r>
      <w:r w:rsidRPr="00694B45">
        <w:rPr>
          <w:rFonts w:cs="Times New Roman"/>
          <w:sz w:val="20"/>
          <w:szCs w:val="20"/>
        </w:rPr>
        <w:t xml:space="preserve"> [1987] C.L.Y. 2239; [1988] 18 E.G. 61, H.H. Judge Hill-Smith, Willesden County Court), where a 16 year old daughter was held to succeed to a statutory tenancy. </w:t>
      </w:r>
    </w:p>
  </w:footnote>
  <w:footnote w:id="24">
    <w:p w14:paraId="77DBF962" w14:textId="77777777" w:rsidR="005F6242" w:rsidRPr="00694B45" w:rsidRDefault="005F6242" w:rsidP="00694B45">
      <w:pPr>
        <w:pStyle w:val="FootnoteText"/>
      </w:pPr>
      <w:r w:rsidRPr="00694B45">
        <w:rPr>
          <w:rStyle w:val="FootnoteReference"/>
        </w:rPr>
        <w:footnoteRef/>
      </w:r>
      <w:r w:rsidRPr="00694B45">
        <w:rPr>
          <w:rFonts w:cs="Times New Roman"/>
        </w:rPr>
        <w:t>[2009] EWCA Civ 259; [2010] Ch 272.</w:t>
      </w:r>
    </w:p>
  </w:footnote>
  <w:footnote w:id="25">
    <w:p w14:paraId="4CFB2434" w14:textId="77777777" w:rsidR="005F6242" w:rsidRPr="00694B45" w:rsidRDefault="005F6242">
      <w:pPr>
        <w:pStyle w:val="FootnoteText"/>
      </w:pPr>
      <w:r>
        <w:rPr>
          <w:rStyle w:val="FootnoteReference"/>
        </w:rPr>
        <w:footnoteRef/>
      </w:r>
      <w:r>
        <w:t xml:space="preserve"> </w:t>
      </w:r>
      <w:r w:rsidRPr="00694B45">
        <w:rPr>
          <w:rFonts w:cs="Times New Roman"/>
          <w:i/>
        </w:rPr>
        <w:t>Hammersmith &amp; Fulham LBC v Alexander-David</w:t>
      </w:r>
      <w:r>
        <w:rPr>
          <w:rFonts w:cs="Times New Roman"/>
        </w:rPr>
        <w:t xml:space="preserve"> [2009] EWCA Civ 259; [2010] Ch 272.</w:t>
      </w:r>
    </w:p>
  </w:footnote>
  <w:footnote w:id="26">
    <w:p w14:paraId="59A8C59E" w14:textId="77777777" w:rsidR="005F6242" w:rsidRDefault="005F6242">
      <w:pPr>
        <w:pStyle w:val="FootnoteText"/>
      </w:pPr>
      <w:r>
        <w:rPr>
          <w:rStyle w:val="FootnoteReference"/>
        </w:rPr>
        <w:footnoteRef/>
      </w:r>
      <w:r>
        <w:t xml:space="preserve"> Section 6(2) of the 1996 Act.</w:t>
      </w:r>
    </w:p>
  </w:footnote>
  <w:footnote w:id="27">
    <w:p w14:paraId="3AB2195D" w14:textId="77777777" w:rsidR="005F6242" w:rsidRPr="002B6DFA" w:rsidRDefault="005F6242" w:rsidP="002B6DFA">
      <w:pPr>
        <w:spacing w:after="0"/>
        <w:jc w:val="both"/>
        <w:rPr>
          <w:rFonts w:cs="Times New Roman"/>
          <w:sz w:val="20"/>
          <w:szCs w:val="20"/>
        </w:rPr>
      </w:pPr>
      <w:r>
        <w:rPr>
          <w:rStyle w:val="FootnoteReference"/>
        </w:rPr>
        <w:footnoteRef/>
      </w:r>
      <w:r>
        <w:t xml:space="preserve"> </w:t>
      </w:r>
      <w:r w:rsidRPr="002B6DFA">
        <w:rPr>
          <w:rFonts w:cs="Times New Roman"/>
          <w:sz w:val="20"/>
          <w:szCs w:val="20"/>
        </w:rPr>
        <w:t xml:space="preserve">Section 39 and Schedule 4 to the Housing Act 1988. </w:t>
      </w:r>
    </w:p>
  </w:footnote>
  <w:footnote w:id="28">
    <w:p w14:paraId="5D83CBE4" w14:textId="77777777" w:rsidR="005F6242" w:rsidRDefault="005F6242" w:rsidP="002B6DFA">
      <w:pPr>
        <w:pStyle w:val="FootnoteText"/>
      </w:pPr>
      <w:r>
        <w:rPr>
          <w:rStyle w:val="FootnoteReference"/>
        </w:rPr>
        <w:footnoteRef/>
      </w:r>
      <w:r>
        <w:t xml:space="preserve"> (1999) 31 HLR 794.</w:t>
      </w:r>
    </w:p>
  </w:footnote>
  <w:footnote w:id="29">
    <w:p w14:paraId="2431D221" w14:textId="77777777" w:rsidR="005F6242" w:rsidRDefault="005F6242">
      <w:pPr>
        <w:pStyle w:val="FootnoteText"/>
      </w:pPr>
      <w:r>
        <w:rPr>
          <w:rStyle w:val="FootnoteReference"/>
        </w:rPr>
        <w:footnoteRef/>
      </w:r>
      <w:r>
        <w:t xml:space="preserve"> (1999) 31 HLR 794, at 802.</w:t>
      </w:r>
    </w:p>
  </w:footnote>
  <w:footnote w:id="30">
    <w:p w14:paraId="26570FD6" w14:textId="77777777" w:rsidR="005F6242" w:rsidRDefault="005F6242">
      <w:pPr>
        <w:pStyle w:val="FootnoteText"/>
      </w:pPr>
      <w:r>
        <w:rPr>
          <w:rStyle w:val="FootnoteReference"/>
        </w:rPr>
        <w:footnoteRef/>
      </w:r>
      <w:r>
        <w:t xml:space="preserve"> [2004] EWCA Civ 41.</w:t>
      </w:r>
    </w:p>
  </w:footnote>
  <w:footnote w:id="31">
    <w:p w14:paraId="75074208" w14:textId="77777777" w:rsidR="00471B50" w:rsidRDefault="00471B50" w:rsidP="00471B50">
      <w:pPr>
        <w:pStyle w:val="FootnoteText"/>
        <w:jc w:val="both"/>
      </w:pPr>
      <w:r>
        <w:rPr>
          <w:rStyle w:val="FootnoteReference"/>
        </w:rPr>
        <w:footnoteRef/>
      </w:r>
      <w:r>
        <w:t xml:space="preserve"> </w:t>
      </w:r>
      <w:r w:rsidR="00F842C7">
        <w:t>[2004] EWCA Civ 41, at [17]. It may be argued, however,</w:t>
      </w:r>
      <w:r>
        <w:t xml:space="preserve"> that the trust in favour of the minor ends automatically when the minor reaches majority (so that legal title vests in the minor by operation of law) without the need for a formal assent. </w:t>
      </w:r>
      <w:r w:rsidR="005C0B70">
        <w:t>However, Schedule 1 to the Trusts of Land and Appointment of Trustees Act 1996 is silent on the point.</w:t>
      </w:r>
    </w:p>
  </w:footnote>
  <w:footnote w:id="32">
    <w:p w14:paraId="327D1D13" w14:textId="77777777" w:rsidR="005F6242" w:rsidRDefault="005F6242">
      <w:pPr>
        <w:pStyle w:val="FootnoteText"/>
      </w:pPr>
      <w:r>
        <w:rPr>
          <w:rStyle w:val="FootnoteReference"/>
        </w:rPr>
        <w:footnoteRef/>
      </w:r>
      <w:r>
        <w:t xml:space="preserve"> [2004] EWCA Civ 41, at [14].</w:t>
      </w:r>
    </w:p>
  </w:footnote>
  <w:footnote w:id="33">
    <w:p w14:paraId="04D13899" w14:textId="77777777" w:rsidR="003F04B0" w:rsidRPr="003F04B0" w:rsidRDefault="003F04B0" w:rsidP="00925708">
      <w:pPr>
        <w:pStyle w:val="FootnoteText"/>
        <w:jc w:val="both"/>
        <w:rPr>
          <w:rFonts w:ascii="Times New Roman" w:hAnsi="Times New Roman" w:cs="Times New Roman"/>
        </w:rPr>
      </w:pPr>
      <w:r>
        <w:rPr>
          <w:rStyle w:val="FootnoteReference"/>
        </w:rPr>
        <w:footnoteRef/>
      </w:r>
      <w:r>
        <w:t xml:space="preserve"> </w:t>
      </w:r>
      <w:r w:rsidRPr="003F04B0">
        <w:t>The trustee/personal representa</w:t>
      </w:r>
      <w:r>
        <w:t>t</w:t>
      </w:r>
      <w:r w:rsidRPr="003F04B0">
        <w:t xml:space="preserve">ive </w:t>
      </w:r>
      <w:r w:rsidRPr="003F04B0">
        <w:rPr>
          <w:rFonts w:cs="Times New Roman"/>
          <w:color w:val="3D3D3D"/>
          <w:shd w:val="clear" w:color="auto" w:fill="FFFFFF"/>
        </w:rPr>
        <w:t>will also</w:t>
      </w:r>
      <w:r w:rsidR="003921AA">
        <w:rPr>
          <w:rFonts w:ascii="Times New Roman" w:hAnsi="Times New Roman" w:cs="Times New Roman"/>
          <w:color w:val="3D3D3D"/>
          <w:shd w:val="clear" w:color="auto" w:fill="FFFFFF"/>
        </w:rPr>
        <w:t xml:space="preserve"> be liable to pay rent due under the tenancy</w:t>
      </w:r>
      <w:r w:rsidRPr="003F04B0">
        <w:rPr>
          <w:rFonts w:ascii="Times New Roman" w:hAnsi="Times New Roman" w:cs="Times New Roman"/>
          <w:color w:val="3D3D3D"/>
          <w:shd w:val="clear" w:color="auto" w:fill="FFFFFF"/>
        </w:rPr>
        <w:t xml:space="preserve">, but limited to the assets in the deceased's estate. </w:t>
      </w:r>
      <w:r>
        <w:rPr>
          <w:rFonts w:ascii="Times New Roman" w:hAnsi="Times New Roman" w:cs="Times New Roman"/>
          <w:color w:val="3D3D3D"/>
          <w:shd w:val="clear" w:color="auto" w:fill="FFFFFF"/>
        </w:rPr>
        <w:t>He</w:t>
      </w:r>
      <w:r w:rsidRPr="003F04B0">
        <w:rPr>
          <w:rFonts w:ascii="Times New Roman" w:hAnsi="Times New Roman" w:cs="Times New Roman"/>
          <w:color w:val="3D3D3D"/>
          <w:shd w:val="clear" w:color="auto" w:fill="FFFFFF"/>
        </w:rPr>
        <w:t xml:space="preserve"> is not</w:t>
      </w:r>
      <w:r w:rsidR="003D4865">
        <w:rPr>
          <w:rFonts w:ascii="Times New Roman" w:hAnsi="Times New Roman" w:cs="Times New Roman"/>
          <w:color w:val="3D3D3D"/>
          <w:shd w:val="clear" w:color="auto" w:fill="FFFFFF"/>
        </w:rPr>
        <w:t>, however,</w:t>
      </w:r>
      <w:r w:rsidRPr="003F04B0">
        <w:rPr>
          <w:rFonts w:ascii="Times New Roman" w:hAnsi="Times New Roman" w:cs="Times New Roman"/>
          <w:color w:val="3D3D3D"/>
          <w:shd w:val="clear" w:color="auto" w:fill="FFFFFF"/>
        </w:rPr>
        <w:t xml:space="preserve"> under any obligation to use his own resources to meet the obligations of</w:t>
      </w:r>
      <w:r w:rsidR="003921AA">
        <w:rPr>
          <w:rFonts w:ascii="Times New Roman" w:hAnsi="Times New Roman" w:cs="Times New Roman"/>
          <w:color w:val="3D3D3D"/>
          <w:shd w:val="clear" w:color="auto" w:fill="FFFFFF"/>
        </w:rPr>
        <w:t xml:space="preserve"> the estate so as to preserve the tenancy</w:t>
      </w:r>
      <w:r w:rsidRPr="003F04B0">
        <w:rPr>
          <w:rFonts w:ascii="Times New Roman" w:hAnsi="Times New Roman" w:cs="Times New Roman"/>
          <w:color w:val="3D3D3D"/>
          <w:shd w:val="clear" w:color="auto" w:fill="FFFFFF"/>
        </w:rPr>
        <w:t>.</w:t>
      </w:r>
      <w:r w:rsidR="00CF2034">
        <w:rPr>
          <w:rFonts w:ascii="Times New Roman" w:hAnsi="Times New Roman" w:cs="Times New Roman"/>
          <w:color w:val="3D3D3D"/>
          <w:shd w:val="clear" w:color="auto" w:fill="FFFFFF"/>
        </w:rPr>
        <w:t xml:space="preserve"> Apart from the liability to pay rent, he may be sued for breach of other covenants in the tenancy (for example, nuisance and annoyance committed by the minor). In these circumstances, the landlord may be minded to bring pro</w:t>
      </w:r>
      <w:r w:rsidR="002A2487">
        <w:rPr>
          <w:rFonts w:ascii="Times New Roman" w:hAnsi="Times New Roman" w:cs="Times New Roman"/>
          <w:color w:val="3D3D3D"/>
          <w:shd w:val="clear" w:color="auto" w:fill="FFFFFF"/>
        </w:rPr>
        <w:t>ceedings against both the legal trustee and equitable tenant so that any court order binds both</w:t>
      </w:r>
      <w:r w:rsidR="000A6C1B">
        <w:rPr>
          <w:rFonts w:ascii="Times New Roman" w:hAnsi="Times New Roman" w:cs="Times New Roman"/>
          <w:color w:val="3D3D3D"/>
          <w:shd w:val="clear" w:color="auto" w:fill="FFFFFF"/>
        </w:rPr>
        <w:t xml:space="preserve"> of them.</w:t>
      </w:r>
    </w:p>
  </w:footnote>
  <w:footnote w:id="34">
    <w:p w14:paraId="6974FF20" w14:textId="77777777" w:rsidR="002630C0" w:rsidRDefault="002630C0" w:rsidP="00EF0A70">
      <w:pPr>
        <w:pStyle w:val="FootnoteText"/>
      </w:pPr>
      <w:r>
        <w:rPr>
          <w:rStyle w:val="FootnoteReference"/>
        </w:rPr>
        <w:footnoteRef/>
      </w:r>
      <w:r>
        <w:t xml:space="preserve"> See, </w:t>
      </w:r>
      <w:r w:rsidRPr="002630C0">
        <w:rPr>
          <w:i/>
        </w:rPr>
        <w:t>Kingston-upon-Thames BBC v Prince</w:t>
      </w:r>
      <w:r>
        <w:t xml:space="preserve"> (1999) 31 HLR 794, at 804.</w:t>
      </w:r>
    </w:p>
  </w:footnote>
  <w:footnote w:id="35">
    <w:p w14:paraId="486C5BA5" w14:textId="77777777" w:rsidR="00EF0A70" w:rsidRDefault="00EF0A70" w:rsidP="00EF0A70">
      <w:pPr>
        <w:pStyle w:val="FootnoteText"/>
      </w:pPr>
      <w:r>
        <w:rPr>
          <w:rStyle w:val="FootnoteReference"/>
        </w:rPr>
        <w:footnoteRef/>
      </w:r>
      <w:r>
        <w:t xml:space="preserve"> Ibid, at 804.</w:t>
      </w:r>
    </w:p>
  </w:footnote>
  <w:footnote w:id="36">
    <w:p w14:paraId="0004ADCD" w14:textId="77777777" w:rsidR="005F6242" w:rsidRDefault="005F6242" w:rsidP="009B1E86">
      <w:pPr>
        <w:pStyle w:val="FootnoteText"/>
      </w:pPr>
      <w:r>
        <w:rPr>
          <w:rStyle w:val="FootnoteReference"/>
        </w:rPr>
        <w:footnoteRef/>
      </w:r>
      <w:r>
        <w:t xml:space="preserve"> (1999) 31 HLR 794, at 804.</w:t>
      </w:r>
    </w:p>
  </w:footnote>
  <w:footnote w:id="37">
    <w:p w14:paraId="4E8C3151" w14:textId="77777777" w:rsidR="00A03A58" w:rsidRPr="00A03A58" w:rsidRDefault="005F6242" w:rsidP="009B1E86">
      <w:pPr>
        <w:pStyle w:val="FootnoteText"/>
        <w:rPr>
          <w:rFonts w:cs="Times New Roman"/>
        </w:rPr>
      </w:pPr>
      <w:r w:rsidRPr="00A03A58">
        <w:rPr>
          <w:rStyle w:val="FootnoteReference"/>
        </w:rPr>
        <w:footnoteRef/>
      </w:r>
      <w:r w:rsidRPr="00A03A58">
        <w:t xml:space="preserve"> </w:t>
      </w:r>
      <w:r w:rsidRPr="00A03A58">
        <w:rPr>
          <w:rFonts w:cs="Times New Roman"/>
        </w:rPr>
        <w:t>S. Mills and N. Joss, “Children and Secure Tenancies”, (2001) 5 L. &amp; T. Rev. 53, at 54.</w:t>
      </w:r>
    </w:p>
  </w:footnote>
  <w:footnote w:id="38">
    <w:p w14:paraId="734CD1D5" w14:textId="77777777" w:rsidR="00A03A58" w:rsidRPr="00A03A58" w:rsidRDefault="00A03A58">
      <w:pPr>
        <w:pStyle w:val="FootnoteText"/>
      </w:pPr>
      <w:r w:rsidRPr="00A03A58">
        <w:rPr>
          <w:rStyle w:val="FootnoteReference"/>
        </w:rPr>
        <w:footnoteRef/>
      </w:r>
      <w:r w:rsidRPr="00A03A58">
        <w:t xml:space="preserve"> </w:t>
      </w:r>
      <w:r>
        <w:rPr>
          <w:rFonts w:cs="Times New Roman"/>
        </w:rPr>
        <w:t>Ibid</w:t>
      </w:r>
      <w:r w:rsidRPr="00A03A58">
        <w:rPr>
          <w:rFonts w:cs="Times New Roman"/>
        </w:rPr>
        <w:t>, at 54</w:t>
      </w:r>
      <w:r>
        <w:rPr>
          <w:rFonts w:cs="Times New Roman"/>
        </w:rPr>
        <w:t>.</w:t>
      </w:r>
    </w:p>
  </w:footnote>
  <w:footnote w:id="39">
    <w:p w14:paraId="651AC52C" w14:textId="77777777" w:rsidR="00AC3C1E" w:rsidRDefault="00AC3C1E">
      <w:pPr>
        <w:pStyle w:val="FootnoteText"/>
      </w:pPr>
      <w:r>
        <w:rPr>
          <w:rStyle w:val="FootnoteReference"/>
        </w:rPr>
        <w:footnoteRef/>
      </w:r>
      <w:r>
        <w:t xml:space="preserve"> </w:t>
      </w:r>
      <w:r w:rsidR="00AE414F" w:rsidRPr="00AE414F">
        <w:rPr>
          <w:i/>
        </w:rPr>
        <w:t>Street v Mountford</w:t>
      </w:r>
      <w:r w:rsidR="00AE414F">
        <w:t xml:space="preserve"> </w:t>
      </w:r>
      <w:r>
        <w:t>[1985] AC 809.</w:t>
      </w:r>
    </w:p>
  </w:footnote>
  <w:footnote w:id="40">
    <w:p w14:paraId="4F0B1F4C" w14:textId="77777777" w:rsidR="00AC3C1E" w:rsidRPr="00694B45" w:rsidRDefault="00AC3C1E" w:rsidP="00AC3C1E">
      <w:pPr>
        <w:pStyle w:val="FootnoteText"/>
      </w:pPr>
      <w:r>
        <w:rPr>
          <w:rStyle w:val="FootnoteReference"/>
        </w:rPr>
        <w:footnoteRef/>
      </w:r>
      <w:r>
        <w:t xml:space="preserve"> </w:t>
      </w:r>
      <w:r w:rsidRPr="00694B45">
        <w:rPr>
          <w:rFonts w:cs="Times New Roman"/>
          <w:i/>
        </w:rPr>
        <w:t>Hammersmith &amp; Fulham LBC v Alexander-David</w:t>
      </w:r>
      <w:r>
        <w:rPr>
          <w:rFonts w:cs="Times New Roman"/>
        </w:rPr>
        <w:t xml:space="preserve"> [2009] EWCA Civ 259; [2010] Ch 272, at [37].</w:t>
      </w:r>
    </w:p>
    <w:p w14:paraId="78BC792D" w14:textId="77777777" w:rsidR="00AC3C1E" w:rsidRDefault="00AC3C1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8907" w14:textId="77777777" w:rsidR="005F6242" w:rsidRDefault="005F6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0C19" w14:textId="77777777" w:rsidR="005F6242" w:rsidRDefault="005F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95B8" w14:textId="77777777" w:rsidR="005F6242" w:rsidRDefault="005F6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771E"/>
    <w:multiLevelType w:val="hybridMultilevel"/>
    <w:tmpl w:val="33EA1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2116D7"/>
    <w:multiLevelType w:val="hybridMultilevel"/>
    <w:tmpl w:val="F222C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FE1298"/>
    <w:multiLevelType w:val="hybridMultilevel"/>
    <w:tmpl w:val="C4CC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918059">
    <w:abstractNumId w:val="2"/>
  </w:num>
  <w:num w:numId="2" w16cid:durableId="467209138">
    <w:abstractNumId w:val="1"/>
  </w:num>
  <w:num w:numId="3" w16cid:durableId="97625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1BDA"/>
    <w:rsid w:val="000030F9"/>
    <w:rsid w:val="00007ACB"/>
    <w:rsid w:val="000211F4"/>
    <w:rsid w:val="00057046"/>
    <w:rsid w:val="00063360"/>
    <w:rsid w:val="00083BFE"/>
    <w:rsid w:val="00092686"/>
    <w:rsid w:val="00093251"/>
    <w:rsid w:val="000A6C1B"/>
    <w:rsid w:val="000B49E9"/>
    <w:rsid w:val="000C4750"/>
    <w:rsid w:val="000C6A23"/>
    <w:rsid w:val="000E7211"/>
    <w:rsid w:val="000E74F1"/>
    <w:rsid w:val="00154B9A"/>
    <w:rsid w:val="00154C05"/>
    <w:rsid w:val="00161148"/>
    <w:rsid w:val="00164489"/>
    <w:rsid w:val="00166B36"/>
    <w:rsid w:val="00166CBD"/>
    <w:rsid w:val="0017153E"/>
    <w:rsid w:val="0019351E"/>
    <w:rsid w:val="001A7CA0"/>
    <w:rsid w:val="001B20F8"/>
    <w:rsid w:val="001C459F"/>
    <w:rsid w:val="001E0E78"/>
    <w:rsid w:val="001E1BDA"/>
    <w:rsid w:val="001E452F"/>
    <w:rsid w:val="001F1983"/>
    <w:rsid w:val="001F6208"/>
    <w:rsid w:val="00205112"/>
    <w:rsid w:val="0021566A"/>
    <w:rsid w:val="002460EA"/>
    <w:rsid w:val="00250040"/>
    <w:rsid w:val="00254D88"/>
    <w:rsid w:val="002630C0"/>
    <w:rsid w:val="00272A00"/>
    <w:rsid w:val="002A2487"/>
    <w:rsid w:val="002B274A"/>
    <w:rsid w:val="002B6DFA"/>
    <w:rsid w:val="002B7B40"/>
    <w:rsid w:val="002C7163"/>
    <w:rsid w:val="002D5F8D"/>
    <w:rsid w:val="00300271"/>
    <w:rsid w:val="00305847"/>
    <w:rsid w:val="00322116"/>
    <w:rsid w:val="00335A82"/>
    <w:rsid w:val="00354687"/>
    <w:rsid w:val="00373128"/>
    <w:rsid w:val="003803C2"/>
    <w:rsid w:val="00390208"/>
    <w:rsid w:val="003921AA"/>
    <w:rsid w:val="00396481"/>
    <w:rsid w:val="003A4B4D"/>
    <w:rsid w:val="003A5441"/>
    <w:rsid w:val="003A7E5A"/>
    <w:rsid w:val="003B6D5D"/>
    <w:rsid w:val="003C1EF2"/>
    <w:rsid w:val="003D4865"/>
    <w:rsid w:val="003F04B0"/>
    <w:rsid w:val="003F18A6"/>
    <w:rsid w:val="0046199D"/>
    <w:rsid w:val="00471B50"/>
    <w:rsid w:val="004A44B6"/>
    <w:rsid w:val="004D68A7"/>
    <w:rsid w:val="00511DA3"/>
    <w:rsid w:val="00523E3C"/>
    <w:rsid w:val="00556F80"/>
    <w:rsid w:val="00562F08"/>
    <w:rsid w:val="00567BCC"/>
    <w:rsid w:val="00576682"/>
    <w:rsid w:val="005819D4"/>
    <w:rsid w:val="00587F7B"/>
    <w:rsid w:val="005902E2"/>
    <w:rsid w:val="005A6BAB"/>
    <w:rsid w:val="005B2477"/>
    <w:rsid w:val="005B2736"/>
    <w:rsid w:val="005C0B70"/>
    <w:rsid w:val="005E1743"/>
    <w:rsid w:val="005E42BC"/>
    <w:rsid w:val="005F6242"/>
    <w:rsid w:val="00612FD6"/>
    <w:rsid w:val="00641653"/>
    <w:rsid w:val="0064537D"/>
    <w:rsid w:val="0067095D"/>
    <w:rsid w:val="00694B45"/>
    <w:rsid w:val="006A7D10"/>
    <w:rsid w:val="006B1B91"/>
    <w:rsid w:val="006B29BD"/>
    <w:rsid w:val="006C42FF"/>
    <w:rsid w:val="00716C00"/>
    <w:rsid w:val="00727E19"/>
    <w:rsid w:val="007422C3"/>
    <w:rsid w:val="00751166"/>
    <w:rsid w:val="00754AD4"/>
    <w:rsid w:val="007854CE"/>
    <w:rsid w:val="00797C49"/>
    <w:rsid w:val="007C0775"/>
    <w:rsid w:val="007C2D33"/>
    <w:rsid w:val="007D1240"/>
    <w:rsid w:val="00807D45"/>
    <w:rsid w:val="00832212"/>
    <w:rsid w:val="00846426"/>
    <w:rsid w:val="0087121D"/>
    <w:rsid w:val="008756ED"/>
    <w:rsid w:val="00877DC9"/>
    <w:rsid w:val="008C2751"/>
    <w:rsid w:val="008E6B3F"/>
    <w:rsid w:val="00925708"/>
    <w:rsid w:val="00931CA6"/>
    <w:rsid w:val="009322DC"/>
    <w:rsid w:val="00955A5D"/>
    <w:rsid w:val="009A467E"/>
    <w:rsid w:val="009B1E86"/>
    <w:rsid w:val="009E43B5"/>
    <w:rsid w:val="00A03A58"/>
    <w:rsid w:val="00A22FCF"/>
    <w:rsid w:val="00A302D6"/>
    <w:rsid w:val="00A46DCB"/>
    <w:rsid w:val="00A51437"/>
    <w:rsid w:val="00A549B8"/>
    <w:rsid w:val="00A62B9E"/>
    <w:rsid w:val="00A80C55"/>
    <w:rsid w:val="00A90910"/>
    <w:rsid w:val="00AC0347"/>
    <w:rsid w:val="00AC359E"/>
    <w:rsid w:val="00AC3C1E"/>
    <w:rsid w:val="00AE414F"/>
    <w:rsid w:val="00AE63FD"/>
    <w:rsid w:val="00B05F52"/>
    <w:rsid w:val="00B060FD"/>
    <w:rsid w:val="00B16349"/>
    <w:rsid w:val="00B21763"/>
    <w:rsid w:val="00B43FBB"/>
    <w:rsid w:val="00B528DA"/>
    <w:rsid w:val="00B551F6"/>
    <w:rsid w:val="00B62E39"/>
    <w:rsid w:val="00B81EC5"/>
    <w:rsid w:val="00B8414E"/>
    <w:rsid w:val="00BB79D3"/>
    <w:rsid w:val="00BC4282"/>
    <w:rsid w:val="00BE05C8"/>
    <w:rsid w:val="00BE07F4"/>
    <w:rsid w:val="00BE3532"/>
    <w:rsid w:val="00BF36EA"/>
    <w:rsid w:val="00C11292"/>
    <w:rsid w:val="00C128B1"/>
    <w:rsid w:val="00C129B3"/>
    <w:rsid w:val="00C16584"/>
    <w:rsid w:val="00C433A1"/>
    <w:rsid w:val="00C50326"/>
    <w:rsid w:val="00C56DB8"/>
    <w:rsid w:val="00C663A9"/>
    <w:rsid w:val="00C83DCE"/>
    <w:rsid w:val="00C87B92"/>
    <w:rsid w:val="00CA111C"/>
    <w:rsid w:val="00CA3EFF"/>
    <w:rsid w:val="00CA77F6"/>
    <w:rsid w:val="00CB7D7B"/>
    <w:rsid w:val="00CD2A6E"/>
    <w:rsid w:val="00CE22B1"/>
    <w:rsid w:val="00CF2034"/>
    <w:rsid w:val="00D45F42"/>
    <w:rsid w:val="00D670D8"/>
    <w:rsid w:val="00D826E5"/>
    <w:rsid w:val="00D85991"/>
    <w:rsid w:val="00DA33D2"/>
    <w:rsid w:val="00DD01D2"/>
    <w:rsid w:val="00E226BF"/>
    <w:rsid w:val="00E240E4"/>
    <w:rsid w:val="00E2660A"/>
    <w:rsid w:val="00E41A72"/>
    <w:rsid w:val="00E42A1B"/>
    <w:rsid w:val="00E87238"/>
    <w:rsid w:val="00E91CDA"/>
    <w:rsid w:val="00E92C09"/>
    <w:rsid w:val="00E93F7B"/>
    <w:rsid w:val="00EA0343"/>
    <w:rsid w:val="00EB183A"/>
    <w:rsid w:val="00EB3EE9"/>
    <w:rsid w:val="00EB5432"/>
    <w:rsid w:val="00EB6E4A"/>
    <w:rsid w:val="00EC3385"/>
    <w:rsid w:val="00ED6737"/>
    <w:rsid w:val="00EF0A70"/>
    <w:rsid w:val="00F07384"/>
    <w:rsid w:val="00F30B8E"/>
    <w:rsid w:val="00F45B40"/>
    <w:rsid w:val="00F45E6C"/>
    <w:rsid w:val="00F73EDB"/>
    <w:rsid w:val="00F7688B"/>
    <w:rsid w:val="00F83F27"/>
    <w:rsid w:val="00F842C7"/>
    <w:rsid w:val="00FB791D"/>
    <w:rsid w:val="00FC215B"/>
    <w:rsid w:val="00FD2422"/>
    <w:rsid w:val="00FE2F8A"/>
    <w:rsid w:val="00FE3A8E"/>
    <w:rsid w:val="00FE3C6D"/>
    <w:rsid w:val="00FE61DF"/>
    <w:rsid w:val="00FF3320"/>
    <w:rsid w:val="00FF4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121F"/>
  <w15:docId w15:val="{20A7FA5E-FE6C-4FD0-AB56-33297FA3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3C2"/>
  </w:style>
  <w:style w:type="paragraph" w:styleId="Heading3">
    <w:name w:val="heading 3"/>
    <w:basedOn w:val="Normal"/>
    <w:link w:val="Heading3Char"/>
    <w:uiPriority w:val="9"/>
    <w:qFormat/>
    <w:rsid w:val="000633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74A"/>
    <w:pPr>
      <w:ind w:left="720"/>
      <w:contextualSpacing/>
    </w:pPr>
  </w:style>
  <w:style w:type="character" w:styleId="Hyperlink">
    <w:name w:val="Hyperlink"/>
    <w:basedOn w:val="DefaultParagraphFont"/>
    <w:uiPriority w:val="99"/>
    <w:semiHidden/>
    <w:unhideWhenUsed/>
    <w:rsid w:val="00A51437"/>
    <w:rPr>
      <w:color w:val="0000FF"/>
      <w:u w:val="single"/>
    </w:rPr>
  </w:style>
  <w:style w:type="paragraph" w:styleId="Header">
    <w:name w:val="header"/>
    <w:basedOn w:val="Normal"/>
    <w:link w:val="HeaderChar"/>
    <w:uiPriority w:val="99"/>
    <w:semiHidden/>
    <w:unhideWhenUsed/>
    <w:rsid w:val="00754A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4AD4"/>
  </w:style>
  <w:style w:type="paragraph" w:styleId="Footer">
    <w:name w:val="footer"/>
    <w:basedOn w:val="Normal"/>
    <w:link w:val="FooterChar"/>
    <w:uiPriority w:val="99"/>
    <w:unhideWhenUsed/>
    <w:rsid w:val="00754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AD4"/>
  </w:style>
  <w:style w:type="character" w:customStyle="1" w:styleId="Heading3Char">
    <w:name w:val="Heading 3 Char"/>
    <w:basedOn w:val="DefaultParagraphFont"/>
    <w:link w:val="Heading3"/>
    <w:uiPriority w:val="9"/>
    <w:rsid w:val="00063360"/>
    <w:rPr>
      <w:rFonts w:ascii="Times New Roman" w:eastAsia="Times New Roman" w:hAnsi="Times New Roman" w:cs="Times New Roman"/>
      <w:b/>
      <w:bCs/>
      <w:sz w:val="27"/>
      <w:szCs w:val="27"/>
      <w:lang w:eastAsia="en-GB"/>
    </w:rPr>
  </w:style>
  <w:style w:type="paragraph" w:customStyle="1" w:styleId="stylesparagraph-sc-b5g0sm-0">
    <w:name w:val="styles__paragraph-sc-b5g0sm-0"/>
    <w:basedOn w:val="Normal"/>
    <w:rsid w:val="000633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0C4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750"/>
    <w:rPr>
      <w:sz w:val="20"/>
      <w:szCs w:val="20"/>
    </w:rPr>
  </w:style>
  <w:style w:type="character" w:styleId="FootnoteReference">
    <w:name w:val="footnote reference"/>
    <w:basedOn w:val="DefaultParagraphFont"/>
    <w:uiPriority w:val="99"/>
    <w:semiHidden/>
    <w:unhideWhenUsed/>
    <w:rsid w:val="000C4750"/>
    <w:rPr>
      <w:vertAlign w:val="superscript"/>
    </w:rPr>
  </w:style>
  <w:style w:type="character" w:customStyle="1" w:styleId="e24kjd">
    <w:name w:val="e24kjd"/>
    <w:basedOn w:val="DefaultParagraphFont"/>
    <w:rsid w:val="00AE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7110">
      <w:bodyDiv w:val="1"/>
      <w:marLeft w:val="0"/>
      <w:marRight w:val="0"/>
      <w:marTop w:val="0"/>
      <w:marBottom w:val="0"/>
      <w:divBdr>
        <w:top w:val="none" w:sz="0" w:space="0" w:color="auto"/>
        <w:left w:val="none" w:sz="0" w:space="0" w:color="auto"/>
        <w:bottom w:val="none" w:sz="0" w:space="0" w:color="auto"/>
        <w:right w:val="none" w:sz="0" w:space="0" w:color="auto"/>
      </w:divBdr>
    </w:div>
    <w:div w:id="424616463">
      <w:bodyDiv w:val="1"/>
      <w:marLeft w:val="0"/>
      <w:marRight w:val="0"/>
      <w:marTop w:val="0"/>
      <w:marBottom w:val="0"/>
      <w:divBdr>
        <w:top w:val="none" w:sz="0" w:space="0" w:color="auto"/>
        <w:left w:val="none" w:sz="0" w:space="0" w:color="auto"/>
        <w:bottom w:val="none" w:sz="0" w:space="0" w:color="auto"/>
        <w:right w:val="none" w:sz="0" w:space="0" w:color="auto"/>
      </w:divBdr>
      <w:divsChild>
        <w:div w:id="74668250">
          <w:marLeft w:val="0"/>
          <w:marRight w:val="0"/>
          <w:marTop w:val="0"/>
          <w:marBottom w:val="0"/>
          <w:divBdr>
            <w:top w:val="none" w:sz="0" w:space="0" w:color="auto"/>
            <w:left w:val="none" w:sz="0" w:space="0" w:color="auto"/>
            <w:bottom w:val="none" w:sz="0" w:space="0" w:color="auto"/>
            <w:right w:val="none" w:sz="0" w:space="0" w:color="auto"/>
          </w:divBdr>
        </w:div>
        <w:div w:id="108823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FCC7A-1C85-4D67-8ACF-60DD0282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James Brown</cp:lastModifiedBy>
  <cp:revision>2</cp:revision>
  <cp:lastPrinted>2023-10-05T13:40:00Z</cp:lastPrinted>
  <dcterms:created xsi:type="dcterms:W3CDTF">2024-01-08T14:10:00Z</dcterms:created>
  <dcterms:modified xsi:type="dcterms:W3CDTF">2024-01-08T14:10:00Z</dcterms:modified>
</cp:coreProperties>
</file>