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41EE4" w14:textId="77777777" w:rsidR="00444200" w:rsidRPr="00E04C2B" w:rsidRDefault="00444200" w:rsidP="00444200">
      <w:pPr>
        <w:rPr>
          <w:b/>
          <w:bCs/>
          <w:sz w:val="24"/>
          <w:szCs w:val="24"/>
          <w:lang w:val="en-US"/>
        </w:rPr>
      </w:pPr>
      <w:r w:rsidRPr="00E04C2B">
        <w:rPr>
          <w:b/>
          <w:bCs/>
          <w:sz w:val="24"/>
          <w:szCs w:val="24"/>
          <w:lang w:val="en-US"/>
        </w:rPr>
        <w:t xml:space="preserve">Title: </w:t>
      </w:r>
    </w:p>
    <w:p w14:paraId="0231A428" w14:textId="77777777" w:rsidR="00444200" w:rsidRDefault="00444200" w:rsidP="00885D4E">
      <w:pPr>
        <w:spacing w:line="360" w:lineRule="auto"/>
        <w:rPr>
          <w:b/>
          <w:bCs/>
          <w:color w:val="000000" w:themeColor="text1"/>
          <w:sz w:val="20"/>
          <w:szCs w:val="20"/>
        </w:rPr>
      </w:pPr>
    </w:p>
    <w:p w14:paraId="6A1502EE" w14:textId="1E3C1656" w:rsidR="00885D4E" w:rsidRPr="00444200" w:rsidRDefault="003427B3" w:rsidP="00885D4E">
      <w:pPr>
        <w:spacing w:line="360" w:lineRule="auto"/>
        <w:rPr>
          <w:color w:val="000000" w:themeColor="text1"/>
        </w:rPr>
      </w:pPr>
      <w:r w:rsidRPr="00444200">
        <w:rPr>
          <w:color w:val="000000" w:themeColor="text1"/>
        </w:rPr>
        <w:t>Evidence for commonly used t</w:t>
      </w:r>
      <w:r w:rsidR="00253902" w:rsidRPr="00444200">
        <w:rPr>
          <w:color w:val="000000" w:themeColor="text1"/>
        </w:rPr>
        <w:t xml:space="preserve">eaching, learning and assessment </w:t>
      </w:r>
      <w:r w:rsidRPr="00444200">
        <w:rPr>
          <w:color w:val="000000" w:themeColor="text1"/>
        </w:rPr>
        <w:t xml:space="preserve">methods </w:t>
      </w:r>
      <w:r w:rsidR="00253902" w:rsidRPr="00444200">
        <w:rPr>
          <w:color w:val="000000" w:themeColor="text1"/>
        </w:rPr>
        <w:t>in contact lens clinical skills education</w:t>
      </w:r>
    </w:p>
    <w:p w14:paraId="361BB079" w14:textId="77777777" w:rsidR="00C344E0" w:rsidRPr="00CD3C9A" w:rsidRDefault="00C344E0" w:rsidP="00885D4E">
      <w:pPr>
        <w:spacing w:line="360" w:lineRule="auto"/>
        <w:rPr>
          <w:color w:val="000000" w:themeColor="text1"/>
          <w:sz w:val="20"/>
          <w:szCs w:val="20"/>
        </w:rPr>
      </w:pPr>
    </w:p>
    <w:p w14:paraId="17FCDA6C" w14:textId="77777777" w:rsidR="00444200" w:rsidRPr="00E04C2B" w:rsidRDefault="00444200" w:rsidP="00444200">
      <w:pPr>
        <w:spacing w:line="240" w:lineRule="auto"/>
        <w:rPr>
          <w:b/>
          <w:bCs/>
          <w:sz w:val="24"/>
          <w:szCs w:val="24"/>
        </w:rPr>
      </w:pPr>
      <w:r w:rsidRPr="00E04C2B">
        <w:rPr>
          <w:b/>
          <w:bCs/>
          <w:sz w:val="24"/>
          <w:szCs w:val="24"/>
        </w:rPr>
        <w:t>Authors:</w:t>
      </w:r>
    </w:p>
    <w:p w14:paraId="31862158" w14:textId="77777777" w:rsidR="0062175C" w:rsidRDefault="0062175C">
      <w:pPr>
        <w:rPr>
          <w:b/>
          <w:bCs/>
          <w:color w:val="000000" w:themeColor="text1"/>
          <w:sz w:val="20"/>
          <w:szCs w:val="20"/>
        </w:rPr>
      </w:pPr>
    </w:p>
    <w:p w14:paraId="05407DBA" w14:textId="77777777" w:rsidR="003F189D" w:rsidRDefault="003F189D" w:rsidP="003F189D">
      <w:r>
        <w:t>Craig Woods PhD, FBCLA (1, 11)</w:t>
      </w:r>
    </w:p>
    <w:p w14:paraId="1623F8D4" w14:textId="77777777" w:rsidR="003F189D" w:rsidRDefault="003F189D" w:rsidP="003F189D">
      <w:r>
        <w:t>Shehzad Naroo PhD, FIACLE (2, 11)</w:t>
      </w:r>
    </w:p>
    <w:p w14:paraId="7D0D8F97" w14:textId="77777777" w:rsidR="003F189D" w:rsidRDefault="003F189D" w:rsidP="003F189D">
      <w:r>
        <w:t>Fabrizio Zeri PhD, FIACLE (2, 3, 11)</w:t>
      </w:r>
    </w:p>
    <w:p w14:paraId="0C4A8500" w14:textId="77777777" w:rsidR="003F189D" w:rsidRDefault="003F189D" w:rsidP="003F189D">
      <w:r>
        <w:t>May Bakkar PhD, FIACLE (4)</w:t>
      </w:r>
    </w:p>
    <w:p w14:paraId="21DD0F45" w14:textId="77777777" w:rsidR="003F189D" w:rsidRDefault="003F189D" w:rsidP="003F189D">
      <w:r>
        <w:t xml:space="preserve">Fakhruddin </w:t>
      </w:r>
      <w:proofErr w:type="spellStart"/>
      <w:r>
        <w:t>Barodawala</w:t>
      </w:r>
      <w:proofErr w:type="spellEnd"/>
      <w:r>
        <w:t xml:space="preserve"> </w:t>
      </w:r>
      <w:proofErr w:type="spellStart"/>
      <w:r>
        <w:t>MOptom</w:t>
      </w:r>
      <w:proofErr w:type="spellEnd"/>
      <w:r>
        <w:t>, FIACLE (5, 11)</w:t>
      </w:r>
    </w:p>
    <w:p w14:paraId="389F7B5F" w14:textId="25DA4269" w:rsidR="003F189D" w:rsidRDefault="003F189D" w:rsidP="003F189D">
      <w:pPr>
        <w:rPr>
          <w:lang w:val="en-AU" w:eastAsia="en-AU"/>
        </w:rPr>
      </w:pPr>
      <w:r>
        <w:rPr>
          <w:lang w:val="en-AU" w:eastAsia="en-AU"/>
        </w:rPr>
        <w:t>Vicki Evans PhD, FIACLE (6</w:t>
      </w:r>
      <w:r w:rsidR="00E91354">
        <w:rPr>
          <w:lang w:val="en-AU" w:eastAsia="en-AU"/>
        </w:rPr>
        <w:t>, 11</w:t>
      </w:r>
      <w:r>
        <w:rPr>
          <w:lang w:val="en-AU" w:eastAsia="en-AU"/>
        </w:rPr>
        <w:t>)</w:t>
      </w:r>
    </w:p>
    <w:p w14:paraId="594CB2EB" w14:textId="77777777" w:rsidR="003F189D" w:rsidRDefault="003F189D" w:rsidP="003F189D">
      <w:proofErr w:type="spellStart"/>
      <w:r>
        <w:t>Daddi</w:t>
      </w:r>
      <w:proofErr w:type="spellEnd"/>
      <w:r>
        <w:t xml:space="preserve"> Fadel </w:t>
      </w:r>
      <w:proofErr w:type="spellStart"/>
      <w:r>
        <w:t>Doptom</w:t>
      </w:r>
      <w:proofErr w:type="spellEnd"/>
      <w:r>
        <w:t>, FIACLE (7)</w:t>
      </w:r>
    </w:p>
    <w:p w14:paraId="6E78BF2E" w14:textId="77777777" w:rsidR="003F189D" w:rsidRPr="00351E6D" w:rsidRDefault="003F189D" w:rsidP="003F189D">
      <w:pPr>
        <w:rPr>
          <w:lang w:val="it-IT"/>
        </w:rPr>
      </w:pPr>
      <w:r w:rsidRPr="00351E6D">
        <w:rPr>
          <w:lang w:val="it-IT"/>
        </w:rPr>
        <w:t>Lavanya Kalikivayi MOpt, FIACLE (8)</w:t>
      </w:r>
    </w:p>
    <w:p w14:paraId="294B3170" w14:textId="4BB8EBFC" w:rsidR="003F189D" w:rsidRPr="00351E6D" w:rsidRDefault="003F189D" w:rsidP="003F189D">
      <w:pPr>
        <w:rPr>
          <w:lang w:val="it-IT"/>
        </w:rPr>
      </w:pPr>
      <w:r w:rsidRPr="00351E6D">
        <w:rPr>
          <w:lang w:val="it-IT"/>
        </w:rPr>
        <w:t>Madalena Lira PhD (9</w:t>
      </w:r>
      <w:r w:rsidR="00E91354">
        <w:rPr>
          <w:lang w:val="it-IT"/>
        </w:rPr>
        <w:t>, 11</w:t>
      </w:r>
      <w:r w:rsidRPr="00351E6D">
        <w:rPr>
          <w:lang w:val="it-IT"/>
        </w:rPr>
        <w:t>)</w:t>
      </w:r>
    </w:p>
    <w:p w14:paraId="44B4548D" w14:textId="77777777" w:rsidR="003F189D" w:rsidRDefault="003F189D" w:rsidP="003F189D">
      <w:r>
        <w:t xml:space="preserve">Vinod </w:t>
      </w:r>
      <w:proofErr w:type="spellStart"/>
      <w:r>
        <w:t>Maseedupally</w:t>
      </w:r>
      <w:proofErr w:type="spellEnd"/>
      <w:r>
        <w:t xml:space="preserve"> PhD, FBCLA (1)</w:t>
      </w:r>
    </w:p>
    <w:p w14:paraId="551C8E45" w14:textId="77777777" w:rsidR="003F189D" w:rsidRDefault="003F189D" w:rsidP="003F189D">
      <w:r>
        <w:t>Sonia Trave Huarte MSc, PhD (2)</w:t>
      </w:r>
    </w:p>
    <w:p w14:paraId="438AE03B" w14:textId="77777777" w:rsidR="003F189D" w:rsidRDefault="003F189D" w:rsidP="003F189D">
      <w:r>
        <w:t>Frank Eperjesi MBA, PhD (10) *</w:t>
      </w:r>
    </w:p>
    <w:p w14:paraId="41C9183E" w14:textId="2415ACF4" w:rsidR="003F189D" w:rsidRDefault="003F189D" w:rsidP="003F189D"/>
    <w:p w14:paraId="6E98C0DD" w14:textId="77777777" w:rsidR="003F189D" w:rsidRDefault="003F189D" w:rsidP="003F189D"/>
    <w:p w14:paraId="5AB3D013" w14:textId="075D5955" w:rsidR="003F189D" w:rsidRDefault="003F189D" w:rsidP="003F189D">
      <w:pPr>
        <w:pStyle w:val="NoSpacing"/>
      </w:pPr>
      <w:r>
        <w:t>*Corresponding author</w:t>
      </w:r>
    </w:p>
    <w:p w14:paraId="3BCC34E3" w14:textId="5DEFA5F4" w:rsidR="003F189D" w:rsidRDefault="003F189D" w:rsidP="003F189D">
      <w:pPr>
        <w:pStyle w:val="NoSpacing"/>
      </w:pPr>
      <w:r>
        <w:t>Dr Frank Eperjesi</w:t>
      </w:r>
    </w:p>
    <w:p w14:paraId="56A14714" w14:textId="73191F6E" w:rsidR="003F189D" w:rsidRDefault="003F189D" w:rsidP="003F189D">
      <w:pPr>
        <w:pStyle w:val="NoSpacing"/>
      </w:pPr>
      <w:r w:rsidRPr="003F189D">
        <w:t>H &amp; F Consultancy Ltd, Sutton Coldfield, UK</w:t>
      </w:r>
    </w:p>
    <w:p w14:paraId="25D7BAF8" w14:textId="728DC75B" w:rsidR="003F189D" w:rsidRPr="003F189D" w:rsidRDefault="00000000" w:rsidP="003F189D">
      <w:pPr>
        <w:pStyle w:val="NoSpacing"/>
      </w:pPr>
      <w:hyperlink r:id="rId7" w:history="1">
        <w:r w:rsidR="003F189D">
          <w:rPr>
            <w:rStyle w:val="Hyperlink"/>
          </w:rPr>
          <w:t>f.eperjesi@gmail.com</w:t>
        </w:r>
      </w:hyperlink>
    </w:p>
    <w:p w14:paraId="2338D71D" w14:textId="77777777" w:rsidR="003F189D" w:rsidRDefault="003F189D" w:rsidP="003F189D"/>
    <w:p w14:paraId="3F4242AB" w14:textId="77777777" w:rsidR="003F189D" w:rsidRDefault="003F189D" w:rsidP="003F189D"/>
    <w:p w14:paraId="6C0464D2" w14:textId="77777777" w:rsidR="003F189D" w:rsidRDefault="003F189D" w:rsidP="003F189D">
      <w:pPr>
        <w:pStyle w:val="ListParagraph"/>
        <w:numPr>
          <w:ilvl w:val="0"/>
          <w:numId w:val="9"/>
        </w:numPr>
        <w:spacing w:before="100" w:beforeAutospacing="1" w:after="100" w:afterAutospacing="1" w:line="240" w:lineRule="auto"/>
        <w:contextualSpacing w:val="0"/>
      </w:pPr>
      <w:r w:rsidRPr="00AB0EE3">
        <w:t>School of Optometry and Vision Science, University of New South Wales, Australia</w:t>
      </w:r>
    </w:p>
    <w:p w14:paraId="7F9CD029" w14:textId="77777777" w:rsidR="003F189D" w:rsidRDefault="003F189D" w:rsidP="003F189D">
      <w:pPr>
        <w:pStyle w:val="ListParagraph"/>
        <w:numPr>
          <w:ilvl w:val="0"/>
          <w:numId w:val="9"/>
        </w:numPr>
        <w:spacing w:before="100" w:beforeAutospacing="1" w:after="100" w:afterAutospacing="1" w:line="240" w:lineRule="auto"/>
        <w:contextualSpacing w:val="0"/>
      </w:pPr>
      <w:r w:rsidRPr="00C55B86">
        <w:t>College of Health and Life Sciences, Aston University, UK</w:t>
      </w:r>
    </w:p>
    <w:p w14:paraId="4EAB169C" w14:textId="32124D93" w:rsidR="00F14120" w:rsidRDefault="00F14120" w:rsidP="00F14120">
      <w:pPr>
        <w:pStyle w:val="ListParagraph"/>
        <w:numPr>
          <w:ilvl w:val="0"/>
          <w:numId w:val="9"/>
        </w:numPr>
        <w:spacing w:before="100" w:beforeAutospacing="1" w:after="100" w:afterAutospacing="1" w:line="240" w:lineRule="auto"/>
        <w:contextualSpacing w:val="0"/>
      </w:pPr>
      <w:r w:rsidRPr="001132F9">
        <w:t>University of Milano-Bicocca, Department of Materials Science, Milan, Italy</w:t>
      </w:r>
    </w:p>
    <w:p w14:paraId="6E666685" w14:textId="77777777" w:rsidR="003F189D" w:rsidRPr="008A1B45" w:rsidRDefault="003F189D" w:rsidP="003F189D">
      <w:pPr>
        <w:pStyle w:val="ListParagraph"/>
        <w:numPr>
          <w:ilvl w:val="0"/>
          <w:numId w:val="9"/>
        </w:numPr>
        <w:spacing w:before="100" w:beforeAutospacing="1" w:after="100" w:afterAutospacing="1" w:line="240" w:lineRule="auto"/>
        <w:contextualSpacing w:val="0"/>
        <w:rPr>
          <w:rStyle w:val="fluidplugincopy"/>
          <w:rFonts w:eastAsia="Times New Roman"/>
          <w:color w:val="222222"/>
          <w:shd w:val="clear" w:color="auto" w:fill="FFFFFF"/>
        </w:rPr>
      </w:pPr>
      <w:r w:rsidRPr="008A1B45">
        <w:rPr>
          <w:rStyle w:val="fluidplugincopy"/>
          <w:rFonts w:eastAsia="Times New Roman"/>
          <w:color w:val="222222"/>
          <w:shd w:val="clear" w:color="auto" w:fill="FFFFFF"/>
        </w:rPr>
        <w:t>Faculty of Applied Medical Sciences, Jordan University of Science and Technology/Jordan</w:t>
      </w:r>
    </w:p>
    <w:p w14:paraId="6977E3DD" w14:textId="77777777" w:rsidR="003F189D" w:rsidRDefault="003F189D" w:rsidP="003F189D">
      <w:pPr>
        <w:pStyle w:val="ListParagraph"/>
        <w:numPr>
          <w:ilvl w:val="0"/>
          <w:numId w:val="9"/>
        </w:numPr>
        <w:spacing w:before="100" w:beforeAutospacing="1" w:after="100" w:afterAutospacing="1" w:line="240" w:lineRule="auto"/>
        <w:contextualSpacing w:val="0"/>
      </w:pPr>
      <w:r w:rsidRPr="00C55B86">
        <w:t xml:space="preserve">Faculty of Optometry and Vision Sciences, </w:t>
      </w:r>
      <w:proofErr w:type="spellStart"/>
      <w:r w:rsidRPr="00C55B86">
        <w:t>SEGi</w:t>
      </w:r>
      <w:proofErr w:type="spellEnd"/>
      <w:r w:rsidRPr="00C55B86">
        <w:t xml:space="preserve"> University, Malaysia</w:t>
      </w:r>
    </w:p>
    <w:p w14:paraId="376D96B0" w14:textId="77777777" w:rsidR="003F189D" w:rsidRDefault="003F189D" w:rsidP="003F189D">
      <w:pPr>
        <w:pStyle w:val="ListParagraph"/>
        <w:numPr>
          <w:ilvl w:val="0"/>
          <w:numId w:val="9"/>
        </w:numPr>
        <w:spacing w:line="240" w:lineRule="auto"/>
        <w:contextualSpacing w:val="0"/>
        <w:rPr>
          <w:rFonts w:eastAsia="Times New Roman"/>
        </w:rPr>
      </w:pPr>
      <w:r>
        <w:rPr>
          <w:rFonts w:eastAsia="Times New Roman"/>
        </w:rPr>
        <w:t>Faculty of Health, University of Canberra, Australia</w:t>
      </w:r>
    </w:p>
    <w:p w14:paraId="023AAC04" w14:textId="77777777" w:rsidR="003F189D" w:rsidRPr="003F189D" w:rsidRDefault="003F189D" w:rsidP="003F189D">
      <w:pPr>
        <w:pStyle w:val="ListParagraph"/>
        <w:numPr>
          <w:ilvl w:val="0"/>
          <w:numId w:val="9"/>
        </w:numPr>
        <w:spacing w:before="100" w:beforeAutospacing="1" w:after="100" w:afterAutospacing="1" w:line="240" w:lineRule="auto"/>
        <w:contextualSpacing w:val="0"/>
      </w:pPr>
      <w:proofErr w:type="spellStart"/>
      <w:r w:rsidRPr="00D901A0">
        <w:rPr>
          <w:rFonts w:eastAsia="Times New Roman"/>
        </w:rPr>
        <w:t>Center</w:t>
      </w:r>
      <w:proofErr w:type="spellEnd"/>
      <w:r w:rsidRPr="00D901A0">
        <w:rPr>
          <w:rFonts w:eastAsia="Times New Roman"/>
        </w:rPr>
        <w:t xml:space="preserve"> for Ocular Research &amp; Education (CORE), School of Optometry &amp; Vision Science, </w:t>
      </w:r>
      <w:r w:rsidRPr="003F189D">
        <w:rPr>
          <w:rFonts w:eastAsia="Times New Roman"/>
        </w:rPr>
        <w:t>University of Waterloo, Waterloo, Canada</w:t>
      </w:r>
    </w:p>
    <w:p w14:paraId="1FE5D345" w14:textId="2F2724CD" w:rsidR="003F189D" w:rsidRPr="003F189D" w:rsidRDefault="003F189D" w:rsidP="003F189D">
      <w:pPr>
        <w:pStyle w:val="ListParagraph"/>
        <w:numPr>
          <w:ilvl w:val="0"/>
          <w:numId w:val="9"/>
        </w:numPr>
        <w:spacing w:before="100" w:beforeAutospacing="1" w:after="100" w:afterAutospacing="1" w:line="240" w:lineRule="auto"/>
        <w:contextualSpacing w:val="0"/>
      </w:pPr>
      <w:proofErr w:type="spellStart"/>
      <w:r w:rsidRPr="003F189D">
        <w:rPr>
          <w:rFonts w:eastAsia="Times New Roman"/>
        </w:rPr>
        <w:t>Ahalia</w:t>
      </w:r>
      <w:proofErr w:type="spellEnd"/>
      <w:r w:rsidRPr="003F189D">
        <w:rPr>
          <w:rFonts w:eastAsia="Times New Roman"/>
        </w:rPr>
        <w:t xml:space="preserve"> School of Optometry and Research</w:t>
      </w:r>
      <w:r w:rsidR="00BC543D" w:rsidRPr="00BC543D">
        <w:t xml:space="preserve"> </w:t>
      </w:r>
      <w:r w:rsidR="00BC543D" w:rsidRPr="00BC543D">
        <w:rPr>
          <w:rFonts w:eastAsia="Times New Roman"/>
        </w:rPr>
        <w:t>Centre</w:t>
      </w:r>
      <w:r w:rsidRPr="003F189D">
        <w:rPr>
          <w:rFonts w:eastAsia="Times New Roman"/>
        </w:rPr>
        <w:t>, Kerala, India</w:t>
      </w:r>
      <w:r w:rsidR="00BC543D">
        <w:rPr>
          <w:rFonts w:eastAsia="Times New Roman"/>
        </w:rPr>
        <w:t xml:space="preserve"> </w:t>
      </w:r>
    </w:p>
    <w:p w14:paraId="4EE6D24A" w14:textId="65721D8B" w:rsidR="003F189D" w:rsidRPr="003F189D" w:rsidRDefault="003F189D" w:rsidP="003F189D">
      <w:pPr>
        <w:pStyle w:val="ListParagraph"/>
        <w:numPr>
          <w:ilvl w:val="0"/>
          <w:numId w:val="9"/>
        </w:numPr>
        <w:spacing w:before="100" w:beforeAutospacing="1" w:after="100" w:afterAutospacing="1" w:line="240" w:lineRule="auto"/>
        <w:contextualSpacing w:val="0"/>
      </w:pPr>
      <w:r w:rsidRPr="003F189D">
        <w:rPr>
          <w:rStyle w:val="Strong"/>
          <w:b w:val="0"/>
          <w:bCs w:val="0"/>
          <w:color w:val="000000"/>
          <w:shd w:val="clear" w:color="auto" w:fill="FFFFFF"/>
          <w:lang w:val="en-US"/>
        </w:rPr>
        <w:t>Physics Center of Minho and Porto Universities (CF-UM-UP), School of Sciences, University of Minho, Portugal</w:t>
      </w:r>
    </w:p>
    <w:p w14:paraId="081E31A9" w14:textId="77777777" w:rsidR="003F189D" w:rsidRPr="003F189D" w:rsidRDefault="003F189D" w:rsidP="003F189D">
      <w:pPr>
        <w:pStyle w:val="ListParagraph"/>
        <w:numPr>
          <w:ilvl w:val="0"/>
          <w:numId w:val="9"/>
        </w:numPr>
        <w:spacing w:before="100" w:beforeAutospacing="1" w:after="100" w:afterAutospacing="1" w:line="240" w:lineRule="auto"/>
        <w:contextualSpacing w:val="0"/>
      </w:pPr>
      <w:r w:rsidRPr="003F189D">
        <w:t>H &amp; F Consultancy Ltd, Sutton Coldfield, UK</w:t>
      </w:r>
    </w:p>
    <w:p w14:paraId="0963CC88" w14:textId="77777777" w:rsidR="003F189D" w:rsidRDefault="003F189D" w:rsidP="003F189D">
      <w:pPr>
        <w:pStyle w:val="ListParagraph"/>
        <w:numPr>
          <w:ilvl w:val="0"/>
          <w:numId w:val="9"/>
        </w:numPr>
        <w:spacing w:before="100" w:beforeAutospacing="1" w:after="100" w:afterAutospacing="1" w:line="240" w:lineRule="auto"/>
        <w:contextualSpacing w:val="0"/>
      </w:pPr>
      <w:r w:rsidRPr="00C55B86">
        <w:t>International Association of Contact Lens Educators, Canada</w:t>
      </w:r>
    </w:p>
    <w:p w14:paraId="4CD91025" w14:textId="443E9FD2" w:rsidR="00C344E0" w:rsidRDefault="00C344E0">
      <w:pPr>
        <w:rPr>
          <w:b/>
          <w:bCs/>
          <w:color w:val="000000" w:themeColor="text1"/>
          <w:sz w:val="20"/>
          <w:szCs w:val="20"/>
        </w:rPr>
      </w:pPr>
      <w:r>
        <w:rPr>
          <w:b/>
          <w:bCs/>
          <w:color w:val="000000" w:themeColor="text1"/>
          <w:sz w:val="20"/>
          <w:szCs w:val="20"/>
        </w:rPr>
        <w:br w:type="page"/>
      </w:r>
    </w:p>
    <w:p w14:paraId="42A2F1DA" w14:textId="490B2D63" w:rsidR="002C6B61" w:rsidRDefault="00885D4E" w:rsidP="00885D4E">
      <w:pPr>
        <w:spacing w:line="360" w:lineRule="auto"/>
        <w:textAlignment w:val="baseline"/>
        <w:rPr>
          <w:b/>
          <w:bCs/>
          <w:color w:val="000000" w:themeColor="text1"/>
          <w:sz w:val="20"/>
          <w:szCs w:val="20"/>
        </w:rPr>
      </w:pPr>
      <w:r>
        <w:rPr>
          <w:b/>
          <w:bCs/>
          <w:color w:val="000000" w:themeColor="text1"/>
          <w:sz w:val="20"/>
          <w:szCs w:val="20"/>
        </w:rPr>
        <w:lastRenderedPageBreak/>
        <w:t>Abstract</w:t>
      </w:r>
    </w:p>
    <w:p w14:paraId="2A7E4152" w14:textId="7D303E06" w:rsidR="00885D4E" w:rsidRPr="00885D4E" w:rsidRDefault="00885D4E" w:rsidP="00885D4E">
      <w:pPr>
        <w:spacing w:line="360" w:lineRule="auto"/>
        <w:textAlignment w:val="baseline"/>
        <w:rPr>
          <w:color w:val="000000" w:themeColor="text1"/>
          <w:sz w:val="20"/>
          <w:szCs w:val="20"/>
        </w:rPr>
      </w:pPr>
      <w:r w:rsidRPr="00885D4E">
        <w:rPr>
          <w:color w:val="000000" w:themeColor="text1"/>
          <w:sz w:val="20"/>
          <w:szCs w:val="20"/>
        </w:rPr>
        <w:t>Introduction: Evidence based practice is now a</w:t>
      </w:r>
      <w:r w:rsidR="005A6426">
        <w:rPr>
          <w:color w:val="000000" w:themeColor="text1"/>
          <w:sz w:val="20"/>
          <w:szCs w:val="20"/>
        </w:rPr>
        <w:t xml:space="preserve">n important </w:t>
      </w:r>
      <w:r w:rsidRPr="00885D4E">
        <w:rPr>
          <w:color w:val="000000" w:themeColor="text1"/>
          <w:sz w:val="20"/>
          <w:szCs w:val="20"/>
        </w:rPr>
        <w:t xml:space="preserve">part of healthcare education. </w:t>
      </w:r>
      <w:r w:rsidR="00C15933">
        <w:rPr>
          <w:color w:val="000000" w:themeColor="text1"/>
          <w:sz w:val="20"/>
          <w:szCs w:val="20"/>
        </w:rPr>
        <w:t>The aim of this narrative literature review was to determine w</w:t>
      </w:r>
      <w:r w:rsidRPr="00885D4E">
        <w:rPr>
          <w:color w:val="000000" w:themeColor="text1"/>
          <w:sz w:val="20"/>
          <w:szCs w:val="20"/>
        </w:rPr>
        <w:t>hat evid</w:t>
      </w:r>
      <w:r w:rsidR="00C15933">
        <w:rPr>
          <w:color w:val="000000" w:themeColor="text1"/>
          <w:sz w:val="20"/>
          <w:szCs w:val="20"/>
        </w:rPr>
        <w:t>ence exists on the efficacy of commonly used teaching and learning and assessment methods in the realm of contact lens skills education in order to provide insights into best practice.</w:t>
      </w:r>
    </w:p>
    <w:p w14:paraId="35653198" w14:textId="729CE358" w:rsidR="004F2F16" w:rsidRPr="00885D4E" w:rsidRDefault="00885D4E" w:rsidP="004F2F16">
      <w:pPr>
        <w:spacing w:line="360" w:lineRule="auto"/>
        <w:textAlignment w:val="baseline"/>
        <w:rPr>
          <w:color w:val="000000" w:themeColor="text1"/>
          <w:sz w:val="20"/>
          <w:szCs w:val="20"/>
        </w:rPr>
      </w:pPr>
      <w:r w:rsidRPr="00885D4E">
        <w:rPr>
          <w:color w:val="000000" w:themeColor="text1"/>
          <w:sz w:val="20"/>
          <w:szCs w:val="20"/>
        </w:rPr>
        <w:t>Method: An expert panel of educators was recruited and</w:t>
      </w:r>
      <w:r w:rsidR="004F2F16">
        <w:rPr>
          <w:color w:val="000000" w:themeColor="text1"/>
          <w:sz w:val="20"/>
          <w:szCs w:val="20"/>
        </w:rPr>
        <w:t xml:space="preserve"> </w:t>
      </w:r>
      <w:r w:rsidRPr="00885D4E">
        <w:rPr>
          <w:color w:val="000000" w:themeColor="text1"/>
          <w:sz w:val="20"/>
          <w:szCs w:val="20"/>
        </w:rPr>
        <w:t xml:space="preserve">completed a literature review of current evidence of teaching </w:t>
      </w:r>
      <w:r w:rsidR="004F2F16">
        <w:rPr>
          <w:color w:val="000000" w:themeColor="text1"/>
          <w:sz w:val="20"/>
          <w:szCs w:val="20"/>
        </w:rPr>
        <w:t xml:space="preserve">and learning and assessment </w:t>
      </w:r>
      <w:r w:rsidRPr="00885D4E">
        <w:rPr>
          <w:color w:val="000000" w:themeColor="text1"/>
          <w:sz w:val="20"/>
          <w:szCs w:val="20"/>
        </w:rPr>
        <w:t>methods in healthcare training, with</w:t>
      </w:r>
      <w:r w:rsidR="004F2F16">
        <w:rPr>
          <w:color w:val="000000" w:themeColor="text1"/>
          <w:sz w:val="20"/>
          <w:szCs w:val="20"/>
        </w:rPr>
        <w:t xml:space="preserve"> an </w:t>
      </w:r>
      <w:r w:rsidRPr="00885D4E">
        <w:rPr>
          <w:color w:val="000000" w:themeColor="text1"/>
          <w:sz w:val="20"/>
          <w:szCs w:val="20"/>
        </w:rPr>
        <w:t xml:space="preserve">emphasis on </w:t>
      </w:r>
      <w:r w:rsidR="004F2F16">
        <w:rPr>
          <w:color w:val="000000" w:themeColor="text1"/>
          <w:sz w:val="20"/>
          <w:szCs w:val="20"/>
        </w:rPr>
        <w:t xml:space="preserve">health care, general optometry and </w:t>
      </w:r>
      <w:r w:rsidRPr="00885D4E">
        <w:rPr>
          <w:color w:val="000000" w:themeColor="text1"/>
          <w:sz w:val="20"/>
          <w:szCs w:val="20"/>
        </w:rPr>
        <w:t xml:space="preserve">contact lens </w:t>
      </w:r>
      <w:r w:rsidR="00C15933">
        <w:rPr>
          <w:color w:val="000000" w:themeColor="text1"/>
          <w:sz w:val="20"/>
          <w:szCs w:val="20"/>
        </w:rPr>
        <w:t xml:space="preserve">skills </w:t>
      </w:r>
      <w:r w:rsidR="004F2F16">
        <w:rPr>
          <w:color w:val="000000" w:themeColor="text1"/>
          <w:sz w:val="20"/>
          <w:szCs w:val="20"/>
        </w:rPr>
        <w:t>education</w:t>
      </w:r>
      <w:r w:rsidRPr="00885D4E">
        <w:rPr>
          <w:color w:val="000000" w:themeColor="text1"/>
          <w:sz w:val="20"/>
          <w:szCs w:val="20"/>
        </w:rPr>
        <w:t>.</w:t>
      </w:r>
    </w:p>
    <w:p w14:paraId="0F4671E3" w14:textId="27678503" w:rsidR="003427B3" w:rsidRDefault="00885D4E" w:rsidP="003427B3">
      <w:pPr>
        <w:spacing w:line="360" w:lineRule="auto"/>
        <w:rPr>
          <w:color w:val="0E101A"/>
          <w:sz w:val="20"/>
          <w:szCs w:val="20"/>
          <w:lang w:val="en-US"/>
        </w:rPr>
      </w:pPr>
      <w:r w:rsidRPr="00885D4E">
        <w:rPr>
          <w:color w:val="000000" w:themeColor="text1"/>
          <w:sz w:val="20"/>
          <w:szCs w:val="20"/>
        </w:rPr>
        <w:t>Results:</w:t>
      </w:r>
      <w:r w:rsidR="003427B3">
        <w:rPr>
          <w:color w:val="000000" w:themeColor="text1"/>
          <w:sz w:val="20"/>
          <w:szCs w:val="20"/>
        </w:rPr>
        <w:t xml:space="preserve"> </w:t>
      </w:r>
      <w:r w:rsidR="003427B3">
        <w:rPr>
          <w:color w:val="0E101A"/>
          <w:sz w:val="20"/>
          <w:szCs w:val="20"/>
          <w:lang w:val="en-US"/>
        </w:rPr>
        <w:t>N</w:t>
      </w:r>
      <w:r w:rsidR="003427B3" w:rsidRPr="00CD3C9A">
        <w:rPr>
          <w:color w:val="0E101A"/>
          <w:sz w:val="20"/>
          <w:szCs w:val="20"/>
          <w:lang w:val="en-US"/>
        </w:rPr>
        <w:t xml:space="preserve">o direct evidence of benefit of </w:t>
      </w:r>
      <w:r w:rsidR="003427B3">
        <w:rPr>
          <w:color w:val="0E101A"/>
          <w:sz w:val="20"/>
          <w:szCs w:val="20"/>
          <w:lang w:val="en-US"/>
        </w:rPr>
        <w:t xml:space="preserve">teaching and learning and assessment methods in </w:t>
      </w:r>
      <w:r w:rsidR="00C344E0">
        <w:rPr>
          <w:color w:val="0E101A"/>
          <w:sz w:val="20"/>
          <w:szCs w:val="20"/>
          <w:lang w:val="en-US"/>
        </w:rPr>
        <w:t>contact lens education (</w:t>
      </w:r>
      <w:r w:rsidR="003427B3">
        <w:rPr>
          <w:color w:val="0E101A"/>
          <w:sz w:val="20"/>
          <w:szCs w:val="20"/>
          <w:lang w:val="en-US"/>
        </w:rPr>
        <w:t>CLE</w:t>
      </w:r>
      <w:r w:rsidR="00C344E0">
        <w:rPr>
          <w:color w:val="0E101A"/>
          <w:sz w:val="20"/>
          <w:szCs w:val="20"/>
          <w:lang w:val="en-US"/>
        </w:rPr>
        <w:t>)</w:t>
      </w:r>
      <w:r w:rsidR="003427B3">
        <w:rPr>
          <w:color w:val="0E101A"/>
          <w:sz w:val="20"/>
          <w:szCs w:val="20"/>
          <w:lang w:val="en-US"/>
        </w:rPr>
        <w:t xml:space="preserve"> were found. There was evidence for the benefit of some teaching and learning and assessment methods </w:t>
      </w:r>
      <w:r w:rsidR="003427B3" w:rsidRPr="00CD3C9A">
        <w:rPr>
          <w:color w:val="0E101A"/>
          <w:sz w:val="20"/>
          <w:szCs w:val="20"/>
          <w:lang w:val="en-US"/>
        </w:rPr>
        <w:t xml:space="preserve">in other disciplines that </w:t>
      </w:r>
      <w:r w:rsidR="003427B3">
        <w:rPr>
          <w:color w:val="0E101A"/>
          <w:sz w:val="20"/>
          <w:szCs w:val="20"/>
          <w:lang w:val="en-US"/>
        </w:rPr>
        <w:t>could be</w:t>
      </w:r>
      <w:r w:rsidR="003427B3" w:rsidRPr="00CD3C9A">
        <w:rPr>
          <w:color w:val="0E101A"/>
          <w:sz w:val="20"/>
          <w:szCs w:val="20"/>
          <w:lang w:val="en-US"/>
        </w:rPr>
        <w:t xml:space="preserve"> transferable to CL</w:t>
      </w:r>
      <w:r w:rsidR="003427B3">
        <w:rPr>
          <w:color w:val="0E101A"/>
          <w:sz w:val="20"/>
          <w:szCs w:val="20"/>
          <w:lang w:val="en-US"/>
        </w:rPr>
        <w:t xml:space="preserve">E </w:t>
      </w:r>
      <w:r w:rsidR="003427B3" w:rsidRPr="00CD3C9A">
        <w:rPr>
          <w:color w:val="0E101A"/>
          <w:sz w:val="20"/>
          <w:szCs w:val="20"/>
          <w:lang w:val="en-US"/>
        </w:rPr>
        <w:t xml:space="preserve">and could help students meet the intended learning outcomes. </w:t>
      </w:r>
      <w:r w:rsidR="003427B3">
        <w:rPr>
          <w:color w:val="0E101A"/>
          <w:sz w:val="20"/>
          <w:szCs w:val="20"/>
          <w:lang w:val="en-US"/>
        </w:rPr>
        <w:t xml:space="preserve">There was evidence that the following teaching and learning methods helped </w:t>
      </w:r>
      <w:proofErr w:type="gramStart"/>
      <w:r w:rsidR="003427B3">
        <w:rPr>
          <w:color w:val="0E101A"/>
          <w:sz w:val="20"/>
          <w:szCs w:val="20"/>
          <w:lang w:val="en-US"/>
        </w:rPr>
        <w:t>health-care</w:t>
      </w:r>
      <w:proofErr w:type="gramEnd"/>
      <w:r w:rsidR="003427B3">
        <w:rPr>
          <w:color w:val="0E101A"/>
          <w:sz w:val="20"/>
          <w:szCs w:val="20"/>
          <w:lang w:val="en-US"/>
        </w:rPr>
        <w:t xml:space="preserve"> and general optometry students meet the intended learning outcomes; clinical teaching and learning, flipped classrooms, clinical skills videos and clerkships. For assessment these methods </w:t>
      </w:r>
      <w:proofErr w:type="gramStart"/>
      <w:r w:rsidR="003427B3">
        <w:rPr>
          <w:color w:val="0E101A"/>
          <w:sz w:val="20"/>
          <w:szCs w:val="20"/>
          <w:lang w:val="en-US"/>
        </w:rPr>
        <w:t>were;</w:t>
      </w:r>
      <w:proofErr w:type="gramEnd"/>
      <w:r w:rsidR="003427B3">
        <w:rPr>
          <w:color w:val="0E101A"/>
          <w:sz w:val="20"/>
          <w:szCs w:val="20"/>
          <w:lang w:val="en-US"/>
        </w:rPr>
        <w:t xml:space="preserve"> essays, case presentations, OSCEs, self-assessment and formative assessment. There was no evidence that the following teaching and learning methods helped </w:t>
      </w:r>
      <w:proofErr w:type="gramStart"/>
      <w:r w:rsidR="003427B3">
        <w:rPr>
          <w:color w:val="0E101A"/>
          <w:sz w:val="20"/>
          <w:szCs w:val="20"/>
          <w:lang w:val="en-US"/>
        </w:rPr>
        <w:t>health-care</w:t>
      </w:r>
      <w:proofErr w:type="gramEnd"/>
      <w:r w:rsidR="003427B3">
        <w:rPr>
          <w:color w:val="0E101A"/>
          <w:sz w:val="20"/>
          <w:szCs w:val="20"/>
          <w:lang w:val="en-US"/>
        </w:rPr>
        <w:t xml:space="preserve"> and general optometry students meet the intended learning outcomes; journal clubs and case discussions. Nor was any evidence found for the following assessment methods; MCQs, oral examinations, </w:t>
      </w:r>
      <w:r w:rsidR="00A40BBB">
        <w:rPr>
          <w:color w:val="0E101A"/>
          <w:sz w:val="20"/>
          <w:szCs w:val="20"/>
          <w:lang w:val="en-US"/>
        </w:rPr>
        <w:t>OSPEs</w:t>
      </w:r>
      <w:r w:rsidR="003427B3">
        <w:rPr>
          <w:color w:val="0E101A"/>
          <w:sz w:val="20"/>
          <w:szCs w:val="20"/>
          <w:lang w:val="en-US"/>
        </w:rPr>
        <w:t>, holistic assessment, and summative assessment.</w:t>
      </w:r>
    </w:p>
    <w:p w14:paraId="7A433E36" w14:textId="3619D7BA" w:rsidR="003427B3" w:rsidRPr="00CD3C9A" w:rsidRDefault="00885D4E" w:rsidP="003427B3">
      <w:pPr>
        <w:spacing w:line="360" w:lineRule="auto"/>
        <w:rPr>
          <w:sz w:val="20"/>
          <w:szCs w:val="20"/>
          <w:lang w:val="en-US"/>
        </w:rPr>
      </w:pPr>
      <w:r w:rsidRPr="00885D4E">
        <w:rPr>
          <w:color w:val="000000" w:themeColor="text1"/>
          <w:sz w:val="20"/>
          <w:szCs w:val="20"/>
        </w:rPr>
        <w:t xml:space="preserve">Conclusion: </w:t>
      </w:r>
      <w:r w:rsidR="003427B3">
        <w:rPr>
          <w:color w:val="0E101A"/>
          <w:sz w:val="20"/>
          <w:szCs w:val="20"/>
          <w:lang w:val="en-US"/>
        </w:rPr>
        <w:t>I</w:t>
      </w:r>
      <w:r w:rsidR="003427B3" w:rsidRPr="00CD3C9A">
        <w:rPr>
          <w:color w:val="0E101A"/>
          <w:sz w:val="20"/>
          <w:szCs w:val="20"/>
          <w:lang w:val="en-US"/>
        </w:rPr>
        <w:t xml:space="preserve">nvestigation into the efficacy of </w:t>
      </w:r>
      <w:r w:rsidR="003427B3">
        <w:rPr>
          <w:color w:val="0E101A"/>
          <w:sz w:val="20"/>
          <w:szCs w:val="20"/>
          <w:lang w:val="en-US"/>
        </w:rPr>
        <w:t>common teaching and learning and assessment methods in</w:t>
      </w:r>
      <w:r w:rsidR="003427B3" w:rsidRPr="00CD3C9A">
        <w:rPr>
          <w:color w:val="0E101A"/>
          <w:sz w:val="20"/>
          <w:szCs w:val="20"/>
          <w:lang w:val="en-US"/>
        </w:rPr>
        <w:t xml:space="preserve"> </w:t>
      </w:r>
      <w:r w:rsidR="003427B3">
        <w:rPr>
          <w:color w:val="0E101A"/>
          <w:sz w:val="20"/>
          <w:szCs w:val="20"/>
          <w:lang w:val="en-US"/>
        </w:rPr>
        <w:t>CLE</w:t>
      </w:r>
      <w:r w:rsidR="003427B3" w:rsidRPr="00CD3C9A">
        <w:rPr>
          <w:color w:val="0E101A"/>
          <w:sz w:val="20"/>
          <w:szCs w:val="20"/>
          <w:lang w:val="en-US"/>
        </w:rPr>
        <w:t xml:space="preserve"> </w:t>
      </w:r>
      <w:r w:rsidR="003427B3">
        <w:rPr>
          <w:color w:val="0E101A"/>
          <w:sz w:val="20"/>
          <w:szCs w:val="20"/>
          <w:lang w:val="en-US"/>
        </w:rPr>
        <w:t>are</w:t>
      </w:r>
      <w:r w:rsidR="003427B3" w:rsidRPr="00CD3C9A">
        <w:rPr>
          <w:color w:val="0E101A"/>
          <w:sz w:val="20"/>
          <w:szCs w:val="20"/>
          <w:lang w:val="en-US"/>
        </w:rPr>
        <w:t xml:space="preserve"> required and </w:t>
      </w:r>
      <w:r w:rsidR="003427B3">
        <w:rPr>
          <w:color w:val="0E101A"/>
          <w:sz w:val="20"/>
          <w:szCs w:val="20"/>
          <w:lang w:val="en-US"/>
        </w:rPr>
        <w:t xml:space="preserve">would be </w:t>
      </w:r>
      <w:r w:rsidR="003427B3" w:rsidRPr="00CD3C9A">
        <w:rPr>
          <w:color w:val="0E101A"/>
          <w:sz w:val="20"/>
          <w:szCs w:val="20"/>
          <w:lang w:val="en-US"/>
        </w:rPr>
        <w:t xml:space="preserve">beneficial for the entire community of CL educators, </w:t>
      </w:r>
      <w:r w:rsidR="003427B3">
        <w:rPr>
          <w:color w:val="0E101A"/>
          <w:sz w:val="20"/>
          <w:szCs w:val="20"/>
          <w:lang w:val="en-US"/>
        </w:rPr>
        <w:t>and</w:t>
      </w:r>
      <w:r w:rsidR="003427B3" w:rsidRPr="00CD3C9A">
        <w:rPr>
          <w:color w:val="0E101A"/>
          <w:sz w:val="20"/>
          <w:szCs w:val="20"/>
          <w:lang w:val="en-US"/>
        </w:rPr>
        <w:t xml:space="preserve"> other disciplines that wish to adapt this approach of evidence-based teaching.</w:t>
      </w:r>
    </w:p>
    <w:p w14:paraId="36CBB7EE" w14:textId="267E0D65" w:rsidR="009A7080" w:rsidRDefault="009A7080">
      <w:pPr>
        <w:rPr>
          <w:color w:val="000000" w:themeColor="text1"/>
          <w:sz w:val="20"/>
          <w:szCs w:val="20"/>
        </w:rPr>
      </w:pPr>
      <w:r>
        <w:rPr>
          <w:color w:val="000000" w:themeColor="text1"/>
          <w:sz w:val="20"/>
          <w:szCs w:val="20"/>
        </w:rPr>
        <w:br w:type="page"/>
      </w:r>
    </w:p>
    <w:p w14:paraId="4CD49277" w14:textId="77777777" w:rsidR="002C6B61" w:rsidRPr="00CD3C9A" w:rsidRDefault="002C6B61" w:rsidP="00CD3C9A">
      <w:pPr>
        <w:spacing w:line="360" w:lineRule="auto"/>
        <w:rPr>
          <w:color w:val="000000" w:themeColor="text1"/>
          <w:sz w:val="20"/>
          <w:szCs w:val="20"/>
        </w:rPr>
      </w:pPr>
    </w:p>
    <w:p w14:paraId="2E86EAB2" w14:textId="58F4D892" w:rsidR="00032C76" w:rsidRPr="00CD3C9A" w:rsidRDefault="00032C76" w:rsidP="00CD3C9A">
      <w:pPr>
        <w:pStyle w:val="Heading1"/>
        <w:spacing w:before="0" w:after="0" w:line="360" w:lineRule="auto"/>
        <w:rPr>
          <w:b/>
          <w:bCs/>
          <w:color w:val="000000" w:themeColor="text1"/>
          <w:sz w:val="20"/>
          <w:szCs w:val="20"/>
        </w:rPr>
      </w:pPr>
      <w:r w:rsidRPr="00CD3C9A">
        <w:rPr>
          <w:b/>
          <w:bCs/>
          <w:color w:val="000000" w:themeColor="text1"/>
          <w:sz w:val="20"/>
          <w:szCs w:val="20"/>
        </w:rPr>
        <w:t>Introduction</w:t>
      </w:r>
    </w:p>
    <w:p w14:paraId="1E5425A0" w14:textId="6FF091AD" w:rsidR="00032C76" w:rsidRPr="00CD3C9A" w:rsidRDefault="00253902" w:rsidP="00CD3C9A">
      <w:pPr>
        <w:spacing w:line="360" w:lineRule="auto"/>
        <w:rPr>
          <w:color w:val="000000" w:themeColor="text1"/>
          <w:sz w:val="20"/>
          <w:szCs w:val="20"/>
        </w:rPr>
      </w:pPr>
      <w:r w:rsidRPr="00CD3C9A">
        <w:rPr>
          <w:color w:val="000000" w:themeColor="text1"/>
          <w:sz w:val="20"/>
          <w:szCs w:val="20"/>
        </w:rPr>
        <w:t>Th</w:t>
      </w:r>
      <w:r w:rsidR="002675FF">
        <w:rPr>
          <w:color w:val="000000" w:themeColor="text1"/>
          <w:sz w:val="20"/>
          <w:szCs w:val="20"/>
        </w:rPr>
        <w:t xml:space="preserve">is </w:t>
      </w:r>
      <w:r w:rsidR="00032C76" w:rsidRPr="00CD3C9A">
        <w:rPr>
          <w:color w:val="000000" w:themeColor="text1"/>
          <w:sz w:val="20"/>
          <w:szCs w:val="20"/>
        </w:rPr>
        <w:t xml:space="preserve">review </w:t>
      </w:r>
      <w:r w:rsidR="002675FF">
        <w:rPr>
          <w:color w:val="000000" w:themeColor="text1"/>
          <w:sz w:val="20"/>
          <w:szCs w:val="20"/>
        </w:rPr>
        <w:t>aims to</w:t>
      </w:r>
      <w:r w:rsidR="002675FF" w:rsidRPr="00CD3C9A">
        <w:rPr>
          <w:color w:val="000000" w:themeColor="text1"/>
          <w:sz w:val="20"/>
          <w:szCs w:val="20"/>
        </w:rPr>
        <w:t xml:space="preserve"> </w:t>
      </w:r>
      <w:r w:rsidR="00440B92" w:rsidRPr="00CD3C9A">
        <w:rPr>
          <w:color w:val="000000" w:themeColor="text1"/>
          <w:sz w:val="20"/>
          <w:szCs w:val="20"/>
        </w:rPr>
        <w:t xml:space="preserve">firstly, </w:t>
      </w:r>
      <w:r w:rsidR="0032408D" w:rsidRPr="00CD3C9A">
        <w:rPr>
          <w:color w:val="000000" w:themeColor="text1"/>
          <w:sz w:val="20"/>
          <w:szCs w:val="20"/>
        </w:rPr>
        <w:t xml:space="preserve">determine best practice in teaching, learning and assessment (evidenced based teaching-EBT) in the realm of </w:t>
      </w:r>
      <w:r w:rsidR="00440B92" w:rsidRPr="00CD3C9A">
        <w:rPr>
          <w:color w:val="000000" w:themeColor="text1"/>
          <w:sz w:val="20"/>
          <w:szCs w:val="20"/>
        </w:rPr>
        <w:t>those</w:t>
      </w:r>
      <w:r w:rsidR="0032408D" w:rsidRPr="00CD3C9A">
        <w:rPr>
          <w:color w:val="000000" w:themeColor="text1"/>
          <w:sz w:val="20"/>
          <w:szCs w:val="20"/>
        </w:rPr>
        <w:t xml:space="preserve"> clinical skills involved in the fitting of contact lenses (CLs) and the management of </w:t>
      </w:r>
      <w:r w:rsidR="00440B92" w:rsidRPr="00CD3C9A">
        <w:rPr>
          <w:color w:val="000000" w:themeColor="text1"/>
          <w:sz w:val="20"/>
          <w:szCs w:val="20"/>
        </w:rPr>
        <w:t>contact lens</w:t>
      </w:r>
      <w:r w:rsidR="0032408D" w:rsidRPr="00CD3C9A">
        <w:rPr>
          <w:color w:val="000000" w:themeColor="text1"/>
          <w:sz w:val="20"/>
          <w:szCs w:val="20"/>
        </w:rPr>
        <w:t xml:space="preserve"> </w:t>
      </w:r>
      <w:r w:rsidR="00440B92" w:rsidRPr="00CD3C9A">
        <w:rPr>
          <w:color w:val="000000" w:themeColor="text1"/>
          <w:sz w:val="20"/>
          <w:szCs w:val="20"/>
        </w:rPr>
        <w:t xml:space="preserve">(CL) </w:t>
      </w:r>
      <w:r w:rsidR="0032408D" w:rsidRPr="00CD3C9A">
        <w:rPr>
          <w:color w:val="000000" w:themeColor="text1"/>
          <w:sz w:val="20"/>
          <w:szCs w:val="20"/>
        </w:rPr>
        <w:t>use</w:t>
      </w:r>
      <w:r w:rsidR="002675FF">
        <w:rPr>
          <w:color w:val="000000" w:themeColor="text1"/>
          <w:sz w:val="20"/>
          <w:szCs w:val="20"/>
        </w:rPr>
        <w:t>;</w:t>
      </w:r>
      <w:r w:rsidR="00440B92" w:rsidRPr="00CD3C9A">
        <w:rPr>
          <w:color w:val="000000" w:themeColor="text1"/>
          <w:sz w:val="20"/>
          <w:szCs w:val="20"/>
        </w:rPr>
        <w:t xml:space="preserve"> and secondly to bring good and best practice together into one resource</w:t>
      </w:r>
      <w:r w:rsidR="0032408D" w:rsidRPr="00CD3C9A">
        <w:rPr>
          <w:color w:val="000000" w:themeColor="text1"/>
          <w:sz w:val="20"/>
          <w:szCs w:val="20"/>
        </w:rPr>
        <w:t>.</w:t>
      </w:r>
      <w:r w:rsidR="003B1DA4">
        <w:rPr>
          <w:color w:val="000000" w:themeColor="text1"/>
          <w:sz w:val="20"/>
          <w:szCs w:val="20"/>
        </w:rPr>
        <w:t xml:space="preserve"> </w:t>
      </w:r>
      <w:r w:rsidR="009829C5">
        <w:rPr>
          <w:color w:val="000000" w:themeColor="text1"/>
          <w:sz w:val="20"/>
          <w:szCs w:val="20"/>
        </w:rPr>
        <w:t xml:space="preserve">The </w:t>
      </w:r>
      <w:r w:rsidR="0032408D" w:rsidRPr="00CD3C9A">
        <w:rPr>
          <w:color w:val="000000" w:themeColor="text1"/>
          <w:sz w:val="20"/>
          <w:szCs w:val="20"/>
        </w:rPr>
        <w:t xml:space="preserve">EBT </w:t>
      </w:r>
      <w:r w:rsidR="00567339" w:rsidRPr="00CD3C9A">
        <w:rPr>
          <w:color w:val="000000" w:themeColor="text1"/>
          <w:sz w:val="20"/>
          <w:szCs w:val="20"/>
        </w:rPr>
        <w:t>rel</w:t>
      </w:r>
      <w:r w:rsidRPr="00CD3C9A">
        <w:rPr>
          <w:color w:val="000000" w:themeColor="text1"/>
          <w:sz w:val="20"/>
          <w:szCs w:val="20"/>
        </w:rPr>
        <w:t>evant</w:t>
      </w:r>
      <w:r w:rsidR="00032C76" w:rsidRPr="00CD3C9A">
        <w:rPr>
          <w:color w:val="000000" w:themeColor="text1"/>
          <w:sz w:val="20"/>
          <w:szCs w:val="20"/>
        </w:rPr>
        <w:t xml:space="preserve"> to the teaching</w:t>
      </w:r>
      <w:r w:rsidRPr="00CD3C9A">
        <w:rPr>
          <w:color w:val="000000" w:themeColor="text1"/>
          <w:sz w:val="20"/>
          <w:szCs w:val="20"/>
        </w:rPr>
        <w:t xml:space="preserve">, </w:t>
      </w:r>
      <w:r w:rsidR="00032C76" w:rsidRPr="00CD3C9A">
        <w:rPr>
          <w:color w:val="000000" w:themeColor="text1"/>
          <w:sz w:val="20"/>
          <w:szCs w:val="20"/>
        </w:rPr>
        <w:t xml:space="preserve">learning </w:t>
      </w:r>
      <w:r w:rsidRPr="00CD3C9A">
        <w:rPr>
          <w:color w:val="000000" w:themeColor="text1"/>
          <w:sz w:val="20"/>
          <w:szCs w:val="20"/>
        </w:rPr>
        <w:t xml:space="preserve">and assessment </w:t>
      </w:r>
      <w:r w:rsidR="00032C76" w:rsidRPr="00CD3C9A">
        <w:rPr>
          <w:color w:val="000000" w:themeColor="text1"/>
          <w:sz w:val="20"/>
          <w:szCs w:val="20"/>
        </w:rPr>
        <w:t xml:space="preserve">of clinical skills </w:t>
      </w:r>
      <w:r w:rsidR="00567339" w:rsidRPr="00CD3C9A">
        <w:rPr>
          <w:color w:val="000000" w:themeColor="text1"/>
          <w:sz w:val="20"/>
          <w:szCs w:val="20"/>
        </w:rPr>
        <w:t>and in</w:t>
      </w:r>
      <w:r w:rsidR="003576DE" w:rsidRPr="00CD3C9A">
        <w:rPr>
          <w:color w:val="000000" w:themeColor="text1"/>
          <w:sz w:val="20"/>
          <w:szCs w:val="20"/>
        </w:rPr>
        <w:t xml:space="preserve"> </w:t>
      </w:r>
      <w:r w:rsidR="00567339" w:rsidRPr="00CD3C9A">
        <w:rPr>
          <w:color w:val="000000" w:themeColor="text1"/>
          <w:sz w:val="20"/>
          <w:szCs w:val="20"/>
        </w:rPr>
        <w:t xml:space="preserve">particular </w:t>
      </w:r>
      <w:r w:rsidR="0032408D" w:rsidRPr="00CD3C9A">
        <w:rPr>
          <w:color w:val="000000" w:themeColor="text1"/>
          <w:sz w:val="20"/>
          <w:szCs w:val="20"/>
        </w:rPr>
        <w:t>those</w:t>
      </w:r>
      <w:r w:rsidRPr="00CD3C9A">
        <w:rPr>
          <w:color w:val="000000" w:themeColor="text1"/>
          <w:sz w:val="20"/>
          <w:szCs w:val="20"/>
        </w:rPr>
        <w:t xml:space="preserve"> relating to </w:t>
      </w:r>
      <w:r w:rsidR="00C530A8">
        <w:rPr>
          <w:color w:val="000000" w:themeColor="text1"/>
          <w:sz w:val="20"/>
          <w:szCs w:val="20"/>
        </w:rPr>
        <w:t>CL</w:t>
      </w:r>
      <w:r w:rsidR="0032408D" w:rsidRPr="00CD3C9A">
        <w:rPr>
          <w:color w:val="000000" w:themeColor="text1"/>
          <w:sz w:val="20"/>
          <w:szCs w:val="20"/>
        </w:rPr>
        <w:t xml:space="preserve"> education (CLE)</w:t>
      </w:r>
      <w:r w:rsidR="002675FF">
        <w:rPr>
          <w:color w:val="000000" w:themeColor="text1"/>
          <w:sz w:val="20"/>
          <w:szCs w:val="20"/>
        </w:rPr>
        <w:t xml:space="preserve"> </w:t>
      </w:r>
      <w:r w:rsidR="009829C5">
        <w:rPr>
          <w:color w:val="000000" w:themeColor="text1"/>
          <w:sz w:val="20"/>
          <w:szCs w:val="20"/>
        </w:rPr>
        <w:t xml:space="preserve">have been highlighted. </w:t>
      </w:r>
      <w:r w:rsidR="00032C76" w:rsidRPr="00CD3C9A">
        <w:rPr>
          <w:color w:val="000000" w:themeColor="text1"/>
          <w:sz w:val="20"/>
          <w:szCs w:val="20"/>
        </w:rPr>
        <w:t xml:space="preserve">The definition </w:t>
      </w:r>
      <w:r w:rsidR="00A11CED" w:rsidRPr="00CD3C9A">
        <w:rPr>
          <w:color w:val="000000" w:themeColor="text1"/>
          <w:sz w:val="20"/>
          <w:szCs w:val="20"/>
        </w:rPr>
        <w:t xml:space="preserve">that outlines </w:t>
      </w:r>
      <w:r w:rsidRPr="00CD3C9A">
        <w:rPr>
          <w:color w:val="000000" w:themeColor="text1"/>
          <w:sz w:val="20"/>
          <w:szCs w:val="20"/>
        </w:rPr>
        <w:t>EBT</w:t>
      </w:r>
      <w:r w:rsidR="00A11CED" w:rsidRPr="00CD3C9A">
        <w:rPr>
          <w:color w:val="000000" w:themeColor="text1"/>
          <w:sz w:val="20"/>
          <w:szCs w:val="20"/>
        </w:rPr>
        <w:t xml:space="preserve"> </w:t>
      </w:r>
      <w:r w:rsidRPr="00CD3C9A">
        <w:rPr>
          <w:color w:val="000000" w:themeColor="text1"/>
          <w:sz w:val="20"/>
          <w:szCs w:val="20"/>
        </w:rPr>
        <w:t>in CL</w:t>
      </w:r>
      <w:r w:rsidR="0032408D" w:rsidRPr="00CD3C9A">
        <w:rPr>
          <w:color w:val="000000" w:themeColor="text1"/>
          <w:sz w:val="20"/>
          <w:szCs w:val="20"/>
        </w:rPr>
        <w:t>E</w:t>
      </w:r>
      <w:r w:rsidRPr="00CD3C9A">
        <w:rPr>
          <w:color w:val="000000" w:themeColor="text1"/>
          <w:sz w:val="20"/>
          <w:szCs w:val="20"/>
        </w:rPr>
        <w:t xml:space="preserve"> </w:t>
      </w:r>
      <w:r w:rsidR="00A11CED" w:rsidRPr="00CD3C9A">
        <w:rPr>
          <w:color w:val="000000" w:themeColor="text1"/>
          <w:sz w:val="20"/>
          <w:szCs w:val="20"/>
        </w:rPr>
        <w:t xml:space="preserve">has been reported </w:t>
      </w:r>
      <w:r w:rsidR="00A40BBB">
        <w:rPr>
          <w:color w:val="000000" w:themeColor="text1"/>
          <w:sz w:val="20"/>
          <w:szCs w:val="20"/>
        </w:rPr>
        <w:t xml:space="preserve">in the </w:t>
      </w:r>
      <w:r w:rsidR="001D0CDC">
        <w:rPr>
          <w:color w:val="000000" w:themeColor="text1"/>
          <w:sz w:val="20"/>
          <w:szCs w:val="20"/>
        </w:rPr>
        <w:t>companion</w:t>
      </w:r>
      <w:r w:rsidR="00A40BBB">
        <w:rPr>
          <w:color w:val="000000" w:themeColor="text1"/>
          <w:sz w:val="20"/>
          <w:szCs w:val="20"/>
        </w:rPr>
        <w:t xml:space="preserve"> paper associated with this one</w:t>
      </w:r>
      <w:r w:rsidR="00A11CED" w:rsidRPr="00CD3C9A">
        <w:rPr>
          <w:color w:val="000000" w:themeColor="text1"/>
          <w:sz w:val="20"/>
          <w:szCs w:val="20"/>
        </w:rPr>
        <w:t>,</w:t>
      </w:r>
      <w:r w:rsidR="00A74FC3">
        <w:rPr>
          <w:color w:val="000000" w:themeColor="text1"/>
          <w:sz w:val="20"/>
          <w:szCs w:val="20"/>
        </w:rPr>
        <w:fldChar w:fldCharType="begin" w:fldLock="1"/>
      </w:r>
      <w:r w:rsidR="00A74FC3">
        <w:rPr>
          <w:color w:val="000000" w:themeColor="text1"/>
          <w:sz w:val="20"/>
          <w:szCs w:val="20"/>
        </w:rPr>
        <w:instrText>ADDIN CSL_CITATION {"citationItems":[{"id":"ITEM-1","itemData":{"author":[{"dropping-particle":"","family":"Zeri","given":"F","non-dropping-particle":"","parse-names":false,"suffix":""},{"dropping-particle":"","family":"Eperjesi","given":"F","non-dropping-particle":"","parse-names":false,"suffix":""},{"dropping-particle":"","family":"Woods","given":"C","non-dropping-particle":"","parse-names":false,"suffix":""},{"dropping-particle":"","family":"Bandlitz","given":"S","non-dropping-particle":"","parse-names":false,"suffix":""},{"dropping-particle":"","family":"Bhootra","given":"A","non-dropping-particle":"","parse-names":false,"suffix":""},{"dropping-particle":"","family":"Joshi","given":"MR","non-dropping-particle":"","parse-names":false,"suffix":""},{"dropping-particle":"","family":"Nagra","given":"M","non-dropping-particle":"","parse-names":false,"suffix":""},{"dropping-particle":"","family":"Schweizer","given":"H","non-dropping-particle":"","parse-names":false,"suffix":""},{"dropping-particle":"","family":"Naroo","given":"SA","non-dropping-particle":"","parse-names":false,"suffix":""}],"container-title":"Contact lens &amp; anterior eye","id":"ITEM-1","issued":{"date-parts":[["2023"]]},"title":"Evidence-Based teaching in Contact Lenses Education: Teaching and Learning Strategies.","type":"article-journal"},"uris":["http://www.mendeley.com/documents/?uuid=70a1d3a9-7435-463a-a6f5-6f23f82b973c"]}],"mendeley":{"formattedCitation":"[1]","plainTextFormattedCitation":"[1]","previouslyFormattedCitation":"[1]"},"properties":{"noteIndex":0},"schema":"https://github.com/citation-style-language/schema/raw/master/csl-citation.json"}</w:instrText>
      </w:r>
      <w:r w:rsidR="00A74FC3">
        <w:rPr>
          <w:color w:val="000000" w:themeColor="text1"/>
          <w:sz w:val="20"/>
          <w:szCs w:val="20"/>
        </w:rPr>
        <w:fldChar w:fldCharType="separate"/>
      </w:r>
      <w:r w:rsidR="00A74FC3" w:rsidRPr="00A74FC3">
        <w:rPr>
          <w:noProof/>
          <w:color w:val="000000" w:themeColor="text1"/>
          <w:sz w:val="20"/>
          <w:szCs w:val="20"/>
        </w:rPr>
        <w:t>[1]</w:t>
      </w:r>
      <w:r w:rsidR="00A74FC3">
        <w:rPr>
          <w:color w:val="000000" w:themeColor="text1"/>
          <w:sz w:val="20"/>
          <w:szCs w:val="20"/>
        </w:rPr>
        <w:fldChar w:fldCharType="end"/>
      </w:r>
      <w:r w:rsidR="00A11CED" w:rsidRPr="00CD3C9A">
        <w:rPr>
          <w:color w:val="000000" w:themeColor="text1"/>
          <w:sz w:val="20"/>
          <w:szCs w:val="20"/>
        </w:rPr>
        <w:t xml:space="preserve"> </w:t>
      </w:r>
      <w:r w:rsidRPr="00CD3C9A">
        <w:rPr>
          <w:color w:val="000000" w:themeColor="text1"/>
          <w:sz w:val="20"/>
          <w:szCs w:val="20"/>
        </w:rPr>
        <w:t xml:space="preserve">but for ease of reference </w:t>
      </w:r>
      <w:r w:rsidR="0032408D" w:rsidRPr="00CD3C9A">
        <w:rPr>
          <w:color w:val="000000" w:themeColor="text1"/>
          <w:sz w:val="20"/>
          <w:szCs w:val="20"/>
        </w:rPr>
        <w:t xml:space="preserve">it </w:t>
      </w:r>
      <w:r w:rsidRPr="00CD3C9A">
        <w:rPr>
          <w:color w:val="000000" w:themeColor="text1"/>
          <w:sz w:val="20"/>
          <w:szCs w:val="20"/>
        </w:rPr>
        <w:t xml:space="preserve">is included here. </w:t>
      </w:r>
      <w:r w:rsidRPr="00CD3C9A">
        <w:rPr>
          <w:color w:val="0E101A"/>
          <w:sz w:val="20"/>
          <w:szCs w:val="20"/>
          <w:lang w:val="en-US"/>
        </w:rPr>
        <w:t>The International Association of Contact Lens Educators (IACLE) EBT panel has defined EBT in CL</w:t>
      </w:r>
      <w:r w:rsidR="0032408D" w:rsidRPr="00CD3C9A">
        <w:rPr>
          <w:color w:val="0E101A"/>
          <w:sz w:val="20"/>
          <w:szCs w:val="20"/>
          <w:lang w:val="en-US"/>
        </w:rPr>
        <w:t>E</w:t>
      </w:r>
      <w:r w:rsidRPr="00CD3C9A">
        <w:rPr>
          <w:color w:val="0E101A"/>
          <w:sz w:val="20"/>
          <w:szCs w:val="20"/>
          <w:lang w:val="en-US"/>
        </w:rPr>
        <w:t xml:space="preserve"> as, ‘the conscientious, explicit, and judicious integration of best available research in CL related science on teaching, learning and assessment techniques and expertise within the context of CL</w:t>
      </w:r>
      <w:r w:rsidR="0032408D" w:rsidRPr="00CD3C9A">
        <w:rPr>
          <w:color w:val="0E101A"/>
          <w:sz w:val="20"/>
          <w:szCs w:val="20"/>
          <w:lang w:val="en-US"/>
        </w:rPr>
        <w:t>E</w:t>
      </w:r>
      <w:r w:rsidRPr="00CD3C9A">
        <w:rPr>
          <w:color w:val="0E101A"/>
          <w:sz w:val="20"/>
          <w:szCs w:val="20"/>
          <w:lang w:val="en-US"/>
        </w:rPr>
        <w:t>.’</w:t>
      </w:r>
      <w:r w:rsidR="002675FF">
        <w:rPr>
          <w:color w:val="0E101A"/>
          <w:sz w:val="20"/>
          <w:szCs w:val="20"/>
          <w:lang w:val="en-US"/>
        </w:rPr>
        <w:t xml:space="preserve"> Abbreviations used in this review are common with the first paper too and can be found in that paper.</w:t>
      </w:r>
    </w:p>
    <w:p w14:paraId="71DDEBB2" w14:textId="21C0CFC4" w:rsidR="0022466C" w:rsidRPr="00CD3C9A" w:rsidRDefault="00032C76" w:rsidP="00CD3C9A">
      <w:pPr>
        <w:spacing w:line="360" w:lineRule="auto"/>
        <w:rPr>
          <w:color w:val="000000" w:themeColor="text1"/>
          <w:sz w:val="20"/>
          <w:szCs w:val="20"/>
        </w:rPr>
      </w:pPr>
      <w:r w:rsidRPr="00CD3C9A">
        <w:rPr>
          <w:color w:val="000000" w:themeColor="text1"/>
          <w:sz w:val="20"/>
          <w:szCs w:val="20"/>
        </w:rPr>
        <w:t xml:space="preserve">This </w:t>
      </w:r>
      <w:r w:rsidR="0032408D" w:rsidRPr="00CD3C9A">
        <w:rPr>
          <w:color w:val="000000" w:themeColor="text1"/>
          <w:sz w:val="20"/>
          <w:szCs w:val="20"/>
        </w:rPr>
        <w:t xml:space="preserve">narrative literature </w:t>
      </w:r>
      <w:r w:rsidRPr="00CD3C9A">
        <w:rPr>
          <w:color w:val="000000" w:themeColor="text1"/>
          <w:sz w:val="20"/>
          <w:szCs w:val="20"/>
        </w:rPr>
        <w:t xml:space="preserve">review has been divided into </w:t>
      </w:r>
      <w:r w:rsidR="0074646A">
        <w:rPr>
          <w:color w:val="000000" w:themeColor="text1"/>
          <w:sz w:val="20"/>
          <w:szCs w:val="20"/>
        </w:rPr>
        <w:t>three</w:t>
      </w:r>
      <w:r w:rsidR="0074646A" w:rsidRPr="00CD3C9A">
        <w:rPr>
          <w:color w:val="000000" w:themeColor="text1"/>
          <w:sz w:val="20"/>
          <w:szCs w:val="20"/>
        </w:rPr>
        <w:t xml:space="preserve"> </w:t>
      </w:r>
      <w:r w:rsidRPr="00CD3C9A">
        <w:rPr>
          <w:color w:val="000000" w:themeColor="text1"/>
          <w:sz w:val="20"/>
          <w:szCs w:val="20"/>
        </w:rPr>
        <w:t>sections</w:t>
      </w:r>
      <w:r w:rsidR="00FD1306" w:rsidRPr="00CD3C9A">
        <w:rPr>
          <w:color w:val="000000" w:themeColor="text1"/>
          <w:sz w:val="20"/>
          <w:szCs w:val="20"/>
        </w:rPr>
        <w:t>: teaching and learning clinical skills; clerkships</w:t>
      </w:r>
      <w:r w:rsidR="00567339" w:rsidRPr="00CD3C9A">
        <w:rPr>
          <w:color w:val="000000" w:themeColor="text1"/>
          <w:sz w:val="20"/>
          <w:szCs w:val="20"/>
        </w:rPr>
        <w:t xml:space="preserve">, </w:t>
      </w:r>
      <w:r w:rsidR="0074646A">
        <w:rPr>
          <w:color w:val="000000" w:themeColor="text1"/>
          <w:sz w:val="20"/>
          <w:szCs w:val="20"/>
        </w:rPr>
        <w:t xml:space="preserve">and </w:t>
      </w:r>
      <w:r w:rsidR="00FD1306" w:rsidRPr="00CD3C9A">
        <w:rPr>
          <w:color w:val="000000" w:themeColor="text1"/>
          <w:sz w:val="20"/>
          <w:szCs w:val="20"/>
        </w:rPr>
        <w:t>a</w:t>
      </w:r>
      <w:r w:rsidRPr="00CD3C9A">
        <w:rPr>
          <w:color w:val="000000" w:themeColor="text1"/>
          <w:sz w:val="20"/>
          <w:szCs w:val="20"/>
        </w:rPr>
        <w:t>ssessment</w:t>
      </w:r>
      <w:r w:rsidR="0074646A">
        <w:rPr>
          <w:color w:val="000000" w:themeColor="text1"/>
          <w:sz w:val="20"/>
          <w:szCs w:val="20"/>
        </w:rPr>
        <w:t>.</w:t>
      </w:r>
      <w:r w:rsidR="002675FF">
        <w:rPr>
          <w:color w:val="000000" w:themeColor="text1"/>
          <w:sz w:val="20"/>
          <w:szCs w:val="20"/>
        </w:rPr>
        <w:t xml:space="preserve"> </w:t>
      </w:r>
      <w:r w:rsidR="0032408D" w:rsidRPr="00CD3C9A">
        <w:rPr>
          <w:color w:val="000000" w:themeColor="text1"/>
          <w:sz w:val="20"/>
          <w:szCs w:val="20"/>
        </w:rPr>
        <w:t xml:space="preserve">These sections </w:t>
      </w:r>
      <w:r w:rsidR="0022466C" w:rsidRPr="00CD3C9A">
        <w:rPr>
          <w:color w:val="000000" w:themeColor="text1"/>
          <w:sz w:val="20"/>
          <w:szCs w:val="20"/>
        </w:rPr>
        <w:t xml:space="preserve">align </w:t>
      </w:r>
      <w:r w:rsidR="0032408D" w:rsidRPr="00CD3C9A">
        <w:rPr>
          <w:color w:val="000000" w:themeColor="text1"/>
          <w:sz w:val="20"/>
          <w:szCs w:val="20"/>
        </w:rPr>
        <w:t xml:space="preserve">to the </w:t>
      </w:r>
      <w:r w:rsidR="00FD1306" w:rsidRPr="00CD3C9A">
        <w:rPr>
          <w:color w:val="000000" w:themeColor="text1"/>
          <w:sz w:val="20"/>
          <w:szCs w:val="20"/>
        </w:rPr>
        <w:t xml:space="preserve">steps </w:t>
      </w:r>
      <w:r w:rsidR="0032408D" w:rsidRPr="00CD3C9A">
        <w:rPr>
          <w:color w:val="000000" w:themeColor="text1"/>
          <w:sz w:val="20"/>
          <w:szCs w:val="20"/>
        </w:rPr>
        <w:t xml:space="preserve">a </w:t>
      </w:r>
      <w:r w:rsidR="00FD1306" w:rsidRPr="00CD3C9A">
        <w:rPr>
          <w:color w:val="000000" w:themeColor="text1"/>
          <w:sz w:val="20"/>
          <w:szCs w:val="20"/>
        </w:rPr>
        <w:t>student</w:t>
      </w:r>
      <w:r w:rsidR="0032408D" w:rsidRPr="00CD3C9A">
        <w:rPr>
          <w:color w:val="000000" w:themeColor="text1"/>
          <w:sz w:val="20"/>
          <w:szCs w:val="20"/>
        </w:rPr>
        <w:t xml:space="preserve"> would go through when moving from being a novice to </w:t>
      </w:r>
      <w:r w:rsidR="0022466C" w:rsidRPr="00CD3C9A">
        <w:rPr>
          <w:color w:val="000000" w:themeColor="text1"/>
          <w:sz w:val="20"/>
          <w:szCs w:val="20"/>
        </w:rPr>
        <w:t>becoming</w:t>
      </w:r>
      <w:r w:rsidR="0032408D" w:rsidRPr="00CD3C9A">
        <w:rPr>
          <w:color w:val="000000" w:themeColor="text1"/>
          <w:sz w:val="20"/>
          <w:szCs w:val="20"/>
        </w:rPr>
        <w:t xml:space="preserve"> an expert. Those steps are the </w:t>
      </w:r>
      <w:r w:rsidR="00FD1306" w:rsidRPr="00CD3C9A">
        <w:rPr>
          <w:color w:val="000000" w:themeColor="text1"/>
          <w:sz w:val="20"/>
          <w:szCs w:val="20"/>
        </w:rPr>
        <w:t>acqui</w:t>
      </w:r>
      <w:r w:rsidR="0032408D" w:rsidRPr="00CD3C9A">
        <w:rPr>
          <w:color w:val="000000" w:themeColor="text1"/>
          <w:sz w:val="20"/>
          <w:szCs w:val="20"/>
        </w:rPr>
        <w:t>sition of</w:t>
      </w:r>
      <w:r w:rsidR="00FD1306" w:rsidRPr="00CD3C9A">
        <w:rPr>
          <w:color w:val="000000" w:themeColor="text1"/>
          <w:sz w:val="20"/>
          <w:szCs w:val="20"/>
        </w:rPr>
        <w:t xml:space="preserve"> knowledge, </w:t>
      </w:r>
      <w:r w:rsidR="0032408D" w:rsidRPr="00CD3C9A">
        <w:rPr>
          <w:color w:val="000000" w:themeColor="text1"/>
          <w:sz w:val="20"/>
          <w:szCs w:val="20"/>
        </w:rPr>
        <w:t xml:space="preserve">the </w:t>
      </w:r>
      <w:r w:rsidR="00FD1306" w:rsidRPr="00CD3C9A">
        <w:rPr>
          <w:color w:val="000000" w:themeColor="text1"/>
          <w:sz w:val="20"/>
          <w:szCs w:val="20"/>
        </w:rPr>
        <w:t>appl</w:t>
      </w:r>
      <w:r w:rsidR="0032408D" w:rsidRPr="00CD3C9A">
        <w:rPr>
          <w:color w:val="000000" w:themeColor="text1"/>
          <w:sz w:val="20"/>
          <w:szCs w:val="20"/>
        </w:rPr>
        <w:t>ication of</w:t>
      </w:r>
      <w:r w:rsidR="00FD1306" w:rsidRPr="00CD3C9A">
        <w:rPr>
          <w:color w:val="000000" w:themeColor="text1"/>
          <w:sz w:val="20"/>
          <w:szCs w:val="20"/>
        </w:rPr>
        <w:t xml:space="preserve"> knowledge </w:t>
      </w:r>
      <w:r w:rsidR="0022466C" w:rsidRPr="00CD3C9A">
        <w:rPr>
          <w:color w:val="000000" w:themeColor="text1"/>
          <w:sz w:val="20"/>
          <w:szCs w:val="20"/>
        </w:rPr>
        <w:t>in</w:t>
      </w:r>
      <w:r w:rsidR="00FD1306" w:rsidRPr="00CD3C9A">
        <w:rPr>
          <w:color w:val="000000" w:themeColor="text1"/>
          <w:sz w:val="20"/>
          <w:szCs w:val="20"/>
        </w:rPr>
        <w:t xml:space="preserve"> </w:t>
      </w:r>
      <w:r w:rsidR="0074646A">
        <w:rPr>
          <w:color w:val="000000" w:themeColor="text1"/>
          <w:sz w:val="20"/>
          <w:szCs w:val="20"/>
        </w:rPr>
        <w:t xml:space="preserve">and </w:t>
      </w:r>
      <w:r w:rsidR="00FD1306" w:rsidRPr="00CD3C9A">
        <w:rPr>
          <w:color w:val="000000" w:themeColor="text1"/>
          <w:sz w:val="20"/>
          <w:szCs w:val="20"/>
        </w:rPr>
        <w:t>the provision of competent clinical care</w:t>
      </w:r>
      <w:r w:rsidR="0074646A">
        <w:rPr>
          <w:color w:val="000000" w:themeColor="text1"/>
          <w:sz w:val="20"/>
          <w:szCs w:val="20"/>
        </w:rPr>
        <w:t>.</w:t>
      </w:r>
      <w:r w:rsidR="002675FF">
        <w:rPr>
          <w:color w:val="000000" w:themeColor="text1"/>
          <w:sz w:val="20"/>
          <w:szCs w:val="20"/>
        </w:rPr>
        <w:t xml:space="preserve"> </w:t>
      </w:r>
      <w:r w:rsidR="0022466C" w:rsidRPr="00CD3C9A">
        <w:rPr>
          <w:color w:val="000000" w:themeColor="text1"/>
          <w:sz w:val="20"/>
          <w:szCs w:val="20"/>
        </w:rPr>
        <w:t>W</w:t>
      </w:r>
      <w:r w:rsidR="009829C5">
        <w:rPr>
          <w:color w:val="000000" w:themeColor="text1"/>
          <w:sz w:val="20"/>
          <w:szCs w:val="20"/>
        </w:rPr>
        <w:t>her</w:t>
      </w:r>
      <w:r w:rsidR="0022466C" w:rsidRPr="00CD3C9A">
        <w:rPr>
          <w:color w:val="000000" w:themeColor="text1"/>
          <w:sz w:val="20"/>
          <w:szCs w:val="20"/>
        </w:rPr>
        <w:t xml:space="preserve">e </w:t>
      </w:r>
      <w:r w:rsidR="00440B92" w:rsidRPr="00CD3C9A">
        <w:rPr>
          <w:color w:val="000000" w:themeColor="text1"/>
          <w:sz w:val="20"/>
          <w:szCs w:val="20"/>
        </w:rPr>
        <w:t xml:space="preserve">available </w:t>
      </w:r>
      <w:r w:rsidR="0022466C" w:rsidRPr="00CD3C9A">
        <w:rPr>
          <w:color w:val="000000" w:themeColor="text1"/>
          <w:sz w:val="20"/>
          <w:szCs w:val="20"/>
        </w:rPr>
        <w:t xml:space="preserve">evidence that comes from the </w:t>
      </w:r>
      <w:r w:rsidR="00440B92" w:rsidRPr="00CD3C9A">
        <w:rPr>
          <w:color w:val="000000" w:themeColor="text1"/>
          <w:sz w:val="20"/>
          <w:szCs w:val="20"/>
        </w:rPr>
        <w:t>realm</w:t>
      </w:r>
      <w:r w:rsidR="0022466C" w:rsidRPr="00CD3C9A">
        <w:rPr>
          <w:color w:val="000000" w:themeColor="text1"/>
          <w:sz w:val="20"/>
          <w:szCs w:val="20"/>
        </w:rPr>
        <w:t xml:space="preserve"> of CLE </w:t>
      </w:r>
      <w:r w:rsidR="009829C5">
        <w:rPr>
          <w:color w:val="000000" w:themeColor="text1"/>
          <w:sz w:val="20"/>
          <w:szCs w:val="20"/>
        </w:rPr>
        <w:t xml:space="preserve">has been relied upon, </w:t>
      </w:r>
      <w:r w:rsidR="0022466C" w:rsidRPr="00CD3C9A">
        <w:rPr>
          <w:color w:val="000000" w:themeColor="text1"/>
          <w:sz w:val="20"/>
          <w:szCs w:val="20"/>
        </w:rPr>
        <w:t xml:space="preserve">but </w:t>
      </w:r>
      <w:r w:rsidR="00440B92" w:rsidRPr="00CD3C9A">
        <w:rPr>
          <w:color w:val="000000" w:themeColor="text1"/>
          <w:sz w:val="20"/>
          <w:szCs w:val="20"/>
        </w:rPr>
        <w:t xml:space="preserve">where this was absent </w:t>
      </w:r>
      <w:r w:rsidR="0022466C" w:rsidRPr="00CD3C9A">
        <w:rPr>
          <w:color w:val="000000" w:themeColor="text1"/>
          <w:sz w:val="20"/>
          <w:szCs w:val="20"/>
        </w:rPr>
        <w:t>more gen</w:t>
      </w:r>
      <w:r w:rsidR="008E3804" w:rsidRPr="00CD3C9A">
        <w:rPr>
          <w:color w:val="000000" w:themeColor="text1"/>
          <w:sz w:val="20"/>
          <w:szCs w:val="20"/>
        </w:rPr>
        <w:t>e</w:t>
      </w:r>
      <w:r w:rsidR="0022466C" w:rsidRPr="00CD3C9A">
        <w:rPr>
          <w:color w:val="000000" w:themeColor="text1"/>
          <w:sz w:val="20"/>
          <w:szCs w:val="20"/>
        </w:rPr>
        <w:t xml:space="preserve">ral evidence from other </w:t>
      </w:r>
      <w:r w:rsidR="00440B92" w:rsidRPr="00CD3C9A">
        <w:rPr>
          <w:color w:val="000000" w:themeColor="text1"/>
          <w:sz w:val="20"/>
          <w:szCs w:val="20"/>
        </w:rPr>
        <w:t xml:space="preserve">medical </w:t>
      </w:r>
      <w:r w:rsidR="0022466C" w:rsidRPr="00CD3C9A">
        <w:rPr>
          <w:color w:val="000000" w:themeColor="text1"/>
          <w:sz w:val="20"/>
          <w:szCs w:val="20"/>
        </w:rPr>
        <w:t xml:space="preserve">areas </w:t>
      </w:r>
      <w:r w:rsidR="009829C5">
        <w:rPr>
          <w:color w:val="000000" w:themeColor="text1"/>
          <w:sz w:val="20"/>
          <w:szCs w:val="20"/>
        </w:rPr>
        <w:t>that could be applicable</w:t>
      </w:r>
      <w:r w:rsidR="004162CA" w:rsidRPr="00CD3C9A">
        <w:rPr>
          <w:color w:val="000000" w:themeColor="text1"/>
          <w:sz w:val="20"/>
          <w:szCs w:val="20"/>
        </w:rPr>
        <w:t xml:space="preserve"> CLE</w:t>
      </w:r>
      <w:r w:rsidR="009829C5">
        <w:rPr>
          <w:color w:val="000000" w:themeColor="text1"/>
          <w:sz w:val="20"/>
          <w:szCs w:val="20"/>
        </w:rPr>
        <w:t xml:space="preserve"> were used</w:t>
      </w:r>
      <w:r w:rsidR="004162CA" w:rsidRPr="00CD3C9A">
        <w:rPr>
          <w:color w:val="000000" w:themeColor="text1"/>
          <w:sz w:val="20"/>
          <w:szCs w:val="20"/>
        </w:rPr>
        <w:t>.</w:t>
      </w:r>
    </w:p>
    <w:p w14:paraId="4178B93B" w14:textId="77777777" w:rsidR="007C1D74" w:rsidRPr="00CD3C9A" w:rsidRDefault="007C1D74" w:rsidP="00CD3C9A">
      <w:pPr>
        <w:pStyle w:val="Heading1"/>
        <w:spacing w:before="0" w:after="0" w:line="360" w:lineRule="auto"/>
        <w:rPr>
          <w:color w:val="000000" w:themeColor="text1"/>
          <w:sz w:val="20"/>
          <w:szCs w:val="20"/>
        </w:rPr>
      </w:pPr>
    </w:p>
    <w:p w14:paraId="77C29736" w14:textId="0C21A89E" w:rsidR="00C03656" w:rsidRPr="00CD3C9A" w:rsidRDefault="00BB302A" w:rsidP="00CD3C9A">
      <w:pPr>
        <w:pStyle w:val="Heading1"/>
        <w:spacing w:before="0" w:after="0" w:line="360" w:lineRule="auto"/>
        <w:rPr>
          <w:b/>
          <w:bCs/>
          <w:color w:val="000000" w:themeColor="text1"/>
          <w:sz w:val="20"/>
          <w:szCs w:val="20"/>
        </w:rPr>
      </w:pPr>
      <w:r w:rsidRPr="00CD3C9A">
        <w:rPr>
          <w:b/>
          <w:bCs/>
          <w:color w:val="000000" w:themeColor="text1"/>
          <w:sz w:val="20"/>
          <w:szCs w:val="20"/>
        </w:rPr>
        <w:t xml:space="preserve">Teaching </w:t>
      </w:r>
      <w:r w:rsidR="0022466C" w:rsidRPr="00CD3C9A">
        <w:rPr>
          <w:b/>
          <w:bCs/>
          <w:color w:val="000000" w:themeColor="text1"/>
          <w:sz w:val="20"/>
          <w:szCs w:val="20"/>
        </w:rPr>
        <w:t>and learning c</w:t>
      </w:r>
      <w:r w:rsidRPr="00CD3C9A">
        <w:rPr>
          <w:b/>
          <w:bCs/>
          <w:color w:val="000000" w:themeColor="text1"/>
          <w:sz w:val="20"/>
          <w:szCs w:val="20"/>
        </w:rPr>
        <w:t xml:space="preserve">linical </w:t>
      </w:r>
      <w:r w:rsidR="0022466C" w:rsidRPr="00CD3C9A">
        <w:rPr>
          <w:b/>
          <w:bCs/>
          <w:color w:val="000000" w:themeColor="text1"/>
          <w:sz w:val="20"/>
          <w:szCs w:val="20"/>
        </w:rPr>
        <w:t>s</w:t>
      </w:r>
      <w:r w:rsidRPr="00CD3C9A">
        <w:rPr>
          <w:b/>
          <w:bCs/>
          <w:color w:val="000000" w:themeColor="text1"/>
          <w:sz w:val="20"/>
          <w:szCs w:val="20"/>
        </w:rPr>
        <w:t>kills</w:t>
      </w:r>
    </w:p>
    <w:p w14:paraId="6B35FC42" w14:textId="38414E27" w:rsidR="00C03656" w:rsidRPr="00CD3C9A" w:rsidRDefault="00B16A98" w:rsidP="00CD3C9A">
      <w:pPr>
        <w:spacing w:line="360" w:lineRule="auto"/>
        <w:rPr>
          <w:rFonts w:eastAsia="Calibri"/>
          <w:color w:val="000000" w:themeColor="text1"/>
          <w:sz w:val="20"/>
          <w:szCs w:val="20"/>
        </w:rPr>
      </w:pPr>
      <w:r w:rsidRPr="00CD3C9A">
        <w:rPr>
          <w:rFonts w:eastAsia="Calibri"/>
          <w:color w:val="000000" w:themeColor="text1"/>
          <w:sz w:val="20"/>
          <w:szCs w:val="20"/>
        </w:rPr>
        <w:t>Evidence-based practice (EBP) involves integrating the best scientific evidence, the need to consider the patient’s preferences, and the health practitioner’s expertise</w:t>
      </w:r>
      <w:r w:rsidR="00A74FC3">
        <w:rPr>
          <w:rFonts w:eastAsia="Calibri"/>
          <w:color w:val="000000" w:themeColor="text1"/>
          <w:sz w:val="20"/>
          <w:szCs w:val="20"/>
        </w:rPr>
        <w:t xml:space="preserve"> </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DOI":"10.21037/aes.2019.08.05","ISSN":"25204122","author":[{"dropping-particle":"","family":"Fernández","given":"Joaquín","non-dropping-particle":"","parse-names":false,"suffix":""},{"dropping-particle":"","family":"Burguera-Gimenez","given":"Noemi","non-dropping-particle":"","parse-names":false,"suffix":""}],"container-title":"Annals of Eye Science","id":"ITEM-1","issue":"9","issued":{"date-parts":[["2019"]]},"title":"Teaching Evidence-Based Ophthalmology (EBO)","type":"article","volume":"4"},"uris":["http://www.mendeley.com/documents/?uuid=30f15d77-36db-3573-a0cf-cb2b52ba5fa6"]}],"mendeley":{"formattedCitation":"[2]","plainTextFormattedCitation":"[2]","previouslyFormattedCitation":"[2]"},"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[2]</w:t>
      </w:r>
      <w:r w:rsidR="00A74FC3">
        <w:rPr>
          <w:rFonts w:eastAsia="Calibri"/>
          <w:color w:val="000000" w:themeColor="text1"/>
          <w:sz w:val="20"/>
          <w:szCs w:val="20"/>
        </w:rPr>
        <w:fldChar w:fldCharType="end"/>
      </w:r>
      <w:r w:rsidRPr="00CD3C9A">
        <w:rPr>
          <w:rFonts w:eastAsia="Calibri"/>
          <w:color w:val="000000" w:themeColor="text1"/>
          <w:sz w:val="20"/>
          <w:szCs w:val="20"/>
        </w:rPr>
        <w:t xml:space="preserve"> to make improved, informed clinical decisions using the most relevant and valid evidence available</w:t>
      </w:r>
      <w:r w:rsidR="00A74FC3">
        <w:rPr>
          <w:rFonts w:eastAsia="Calibri"/>
          <w:color w:val="000000" w:themeColor="text1"/>
          <w:sz w:val="20"/>
          <w:szCs w:val="20"/>
        </w:rPr>
        <w:t>.</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{"citationItems":[{"id":"ITEM-1","itemData":{"DOI":"10.1186/1472-6920-9-53","ISSN":"14726920","PMID":"19656412","abstract":"Background. Evidence Based Practice (EBP) involves making clinical decisions informed by the most relevant and valid evidence available. Competence can broadly be defined as a concept that incorporates a variety of domains including knowledge, skills and attitudes. Adopting an evidence-based approach to practice requires differing competencies across various domains including literature searching, critical appraisal and communication. This paper examines the current tools available to assess EBP competence and compares their applicability to existing assessment techniques used in medicine, nursing and health sciences. Discussion. Only two validated assessment tools have been developed to specifically assess all aspects of EBP competence. Of the two tools (Berlin and Fresno tools), only the Fresno tool comprehensively assesses EBP competency across all relevant domains. However, both tools focus on assessing EBP competency in medical students; therefore neither can be used for assessing EBP competency across different health disciplines. The Objective Structured Clinical Exam (OSCE) has been demonstrated as a reliable and versatile tool to assess clinical competencies, practical and communication skills. The OSCE has scope as an alternate method for assessing EBP competency, since it combines assessment of cognitive skills including knowledge, reasoning and communication. However, further research is needed to develop the OSCE as a viable method for assessing EBP competency. Summary. Demonstrating EBP competence is a complex task - therefore no single assessment method can adequately provide all of the necessary data to assess complete EBP competence. There is a need for further research to explore how EBP competence is best assessed; be it in written formats, such as the Fresno tool, or another format, such as the OSCE. Future tools must also incorporate measures of assessing how EBP competence affects clinician behaviour and attitudes as well as clinical outcomes in real-time situations. This research should also be conducted across a variety of health disciplines to best inform practice. © 2009 Ilic; licensee BioMed Central Ltd.","author":[{"dropping-particle":"","family":"Ilic","given":"Dragan","non-dropping-particle":"","parse-names":false,"suffix":""}],"container-title":"BMC Medical Education","id":"ITEM-1","issue":"1","issued":{"date-parts":[["2009"]]},"page":"1-5","title":"Assessing competency in Evidence Based Practice: Strengths and limitations of current tools in practice","type":"article","volume":"9"},"uris":["http://www.mendeley.com/documents/?uuid=b072243e-a740-37e3-930e-0d68a166f4e8"]},{"id":"ITEM-2","itemData":{"DOI":"10.1016/j.clae.2021.02.008","ISSN":"14765411","abstract":"Evidence-based contact lens —&gt;practice involves finding, appraising and applying research findings as the basis for patient management decisions. These decisions should be informed by the strength of the research study designs that address the question, as well as by the experience of the practitioner and the preferences and environment of the patient. This reports reviews and summarises the published research evidence that is available to inform soft and rigid contact lens history and symptoms taking, anterior eye health examination (including the optimised use of ophthalmic dyes, grading scales, imaging techniques and lid eversion), considerations for contact lens selection (including the ocular surface measurements required to select the most appropriate lens parameter, lens modality and material selection), evaluation of lens fit, prescribing (teaching self-application and removal, adaptation, care regimen and cleaning instructions, as well as —&gt;minimising risks of lens wear through encouraging compliance) and an aftercare routine.","author":[{"dropping-particle":"","family":"Wolffsohn","given":"James S.","non-dropping-particle":"","parse-names":false,"suffix":""},{"dropping-particle":"","family":"Dumbleton","given":"Kathy","non-dropping-particle":"","parse-names":false,"suffix":""},{"dropping-particle":"","family":"Huntjens","given":"Byki","non-dropping-particle":"","parse-names":false,"suffix":""},{"dropping-particle":"","family":"Kandel","given":"Himal","non-dropping-particle":"","parse-names":false,"suffix":""},{"dropping-particle":"","family":"Koh","given":"Shizuka","non-dropping-particle":"","parse-names":false,"suffix":""},{"dropping-particle":"","family":"Kunnen","given":"Carolina M.E.","non-dropping-particle":"","parse-names":false,"suffix":""},{"dropping-particle":"","family":"Nagra","given":"Manbir","non-dropping-particle":"","parse-names":false,"suffix":""},{"dropping-particle":"","family":"Pult","given":"Heiko","non-dropping-particle":"","parse-names":false,"suffix":""},{"dropping-particle":"","family":"Sulley","given":"Anna L.","non-dropping-particle":"","parse-names":false,"suffix":""},{"dropping-particle":"","family":"Vianya-Estopa","given":"Marta","non-dropping-particle":"","parse-names":false,"suffix":""},{"dropping-particle":"","family":"Walsh","given":"Karen","non-dropping-particle":"","parse-names":false,"suffix":""},{"dropping-particle":"","family":"Wong","given":"Stephanie","non-dropping-particle":"","parse-names":false,"suffix":""},{"dropping-particle":"","family":"Stapleton","given":"Fiona","non-dropping-particle":"","parse-names":false,"suffix":""}],"container-title":"Contact Lens and Anterior Eye","id":"ITEM-2","issue":"2","issued":{"date-parts":[["2021"]]},"title":"CLEAR - Evidence-based contact lens practice","type":"article-journal","volume":"44"},"uris":["http://www.mendeley.com/documents/?uuid=afef1405-23a5-35af-abc6-28ef24941bc9"]}],"mendeley":{"formattedCitation":"[3,4]","plainTextFormattedCitation":"[3,4]","previouslyFormattedCitation":"[3,4]"},"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[3,4]</w:t>
      </w:r>
      <w:r w:rsidR="00A74FC3">
        <w:rPr>
          <w:rFonts w:eastAsia="Calibri"/>
          <w:color w:val="000000" w:themeColor="text1"/>
          <w:sz w:val="20"/>
          <w:szCs w:val="20"/>
        </w:rPr>
        <w:fldChar w:fldCharType="end"/>
      </w:r>
      <w:r w:rsidR="0022466C" w:rsidRPr="00CD3C9A">
        <w:rPr>
          <w:rFonts w:eastAsia="Calibri"/>
          <w:color w:val="000000" w:themeColor="text1"/>
          <w:sz w:val="20"/>
          <w:szCs w:val="20"/>
        </w:rPr>
        <w:t xml:space="preserve"> </w:t>
      </w:r>
      <w:r w:rsidR="00BB302A" w:rsidRPr="00CD3C9A">
        <w:rPr>
          <w:rFonts w:eastAsia="Calibri"/>
          <w:color w:val="000000" w:themeColor="text1"/>
          <w:sz w:val="20"/>
          <w:szCs w:val="20"/>
        </w:rPr>
        <w:t xml:space="preserve">During the </w:t>
      </w:r>
      <w:r w:rsidR="0022466C" w:rsidRPr="00CD3C9A">
        <w:rPr>
          <w:rFonts w:eastAsia="Calibri"/>
          <w:color w:val="000000" w:themeColor="text1"/>
          <w:sz w:val="20"/>
          <w:szCs w:val="20"/>
        </w:rPr>
        <w:t>CL</w:t>
      </w:r>
      <w:r w:rsidR="004162CA" w:rsidRPr="00CD3C9A">
        <w:rPr>
          <w:rFonts w:eastAsia="Calibri"/>
          <w:color w:val="000000" w:themeColor="text1"/>
          <w:sz w:val="20"/>
          <w:szCs w:val="20"/>
        </w:rPr>
        <w:t>E</w:t>
      </w:r>
      <w:r w:rsidR="0022466C" w:rsidRPr="00CD3C9A">
        <w:rPr>
          <w:rFonts w:eastAsia="Calibri"/>
          <w:color w:val="000000" w:themeColor="text1"/>
          <w:sz w:val="20"/>
          <w:szCs w:val="20"/>
        </w:rPr>
        <w:t xml:space="preserve"> </w:t>
      </w:r>
      <w:r w:rsidR="002837DB" w:rsidRPr="00CD3C9A">
        <w:rPr>
          <w:rFonts w:eastAsia="Calibri"/>
          <w:color w:val="000000" w:themeColor="text1"/>
          <w:sz w:val="20"/>
          <w:szCs w:val="20"/>
        </w:rPr>
        <w:t xml:space="preserve">of optometrists </w:t>
      </w:r>
      <w:r w:rsidR="007C1D74" w:rsidRPr="00CD3C9A">
        <w:rPr>
          <w:rFonts w:eastAsia="Calibri"/>
          <w:color w:val="000000" w:themeColor="text1"/>
          <w:sz w:val="20"/>
          <w:szCs w:val="20"/>
        </w:rPr>
        <w:t>and</w:t>
      </w:r>
      <w:r w:rsidR="002837DB" w:rsidRPr="00CD3C9A">
        <w:rPr>
          <w:rFonts w:eastAsia="Calibri"/>
          <w:color w:val="000000" w:themeColor="text1"/>
          <w:sz w:val="20"/>
          <w:szCs w:val="20"/>
        </w:rPr>
        <w:t xml:space="preserve"> </w:t>
      </w:r>
      <w:r w:rsidR="007C1D74" w:rsidRPr="00CD3C9A">
        <w:rPr>
          <w:rFonts w:eastAsia="Calibri"/>
          <w:color w:val="000000" w:themeColor="text1"/>
          <w:sz w:val="20"/>
          <w:szCs w:val="20"/>
        </w:rPr>
        <w:t>CL</w:t>
      </w:r>
      <w:r w:rsidR="002837DB" w:rsidRPr="00CD3C9A">
        <w:rPr>
          <w:rFonts w:eastAsia="Calibri"/>
          <w:color w:val="000000" w:themeColor="text1"/>
          <w:sz w:val="20"/>
          <w:szCs w:val="20"/>
        </w:rPr>
        <w:t xml:space="preserve"> opticians</w:t>
      </w:r>
      <w:r w:rsidR="00BB302A" w:rsidRPr="00CD3C9A">
        <w:rPr>
          <w:rFonts w:eastAsia="Calibri"/>
          <w:color w:val="000000" w:themeColor="text1"/>
          <w:sz w:val="20"/>
          <w:szCs w:val="20"/>
        </w:rPr>
        <w:t xml:space="preserve"> theoretical and practical knowledge of </w:t>
      </w:r>
      <w:r w:rsidR="007C1D74" w:rsidRPr="00CD3C9A">
        <w:rPr>
          <w:rFonts w:eastAsia="Calibri"/>
          <w:color w:val="000000" w:themeColor="text1"/>
          <w:sz w:val="20"/>
          <w:szCs w:val="20"/>
        </w:rPr>
        <w:t>CLs</w:t>
      </w:r>
      <w:r w:rsidR="00BB302A" w:rsidRPr="00CD3C9A">
        <w:rPr>
          <w:rFonts w:eastAsia="Calibri"/>
          <w:color w:val="000000" w:themeColor="text1"/>
          <w:sz w:val="20"/>
          <w:szCs w:val="20"/>
        </w:rPr>
        <w:t xml:space="preserve"> is taught</w:t>
      </w:r>
      <w:r w:rsidR="0022466C" w:rsidRPr="00CD3C9A">
        <w:rPr>
          <w:rFonts w:eastAsia="Calibri"/>
          <w:color w:val="000000" w:themeColor="text1"/>
          <w:sz w:val="20"/>
          <w:szCs w:val="20"/>
        </w:rPr>
        <w:t xml:space="preserve"> in order to gain competency in fitting CLs and in the management of CL use</w:t>
      </w:r>
      <w:r w:rsidR="00BB302A" w:rsidRPr="00CD3C9A">
        <w:rPr>
          <w:rFonts w:eastAsia="Calibri"/>
          <w:color w:val="000000" w:themeColor="text1"/>
          <w:sz w:val="20"/>
          <w:szCs w:val="20"/>
        </w:rPr>
        <w:t xml:space="preserve">. </w:t>
      </w:r>
      <w:r w:rsidR="004162CA" w:rsidRPr="00CD3C9A">
        <w:rPr>
          <w:rFonts w:eastAsia="Calibri"/>
          <w:color w:val="000000" w:themeColor="text1"/>
          <w:sz w:val="20"/>
          <w:szCs w:val="20"/>
        </w:rPr>
        <w:t>T</w:t>
      </w:r>
      <w:r w:rsidR="00BB302A" w:rsidRPr="00CD3C9A">
        <w:rPr>
          <w:rFonts w:eastAsia="Calibri"/>
          <w:color w:val="000000" w:themeColor="text1"/>
          <w:sz w:val="20"/>
          <w:szCs w:val="20"/>
        </w:rPr>
        <w:t>his field is in continuous development</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{"citationItems":[{"id":"ITEM-1","itemData":{"DOI":"10.1016/j.clae.2021.02.008","ISSN":"14765411","abstract":"Evidence-based contact lens —&gt;practice involves finding, appraising and applying research findings as the basis for patient management decisions. These decisions should be informed by the strength of the research study designs that address the question, as well as by the experience of the practitioner and the preferences and environment of the patient. This reports reviews and summarises the published research evidence that is available to inform soft and rigid contact lens history and symptoms taking, anterior eye health examination (including the optimised use of ophthalmic dyes, grading scales, imaging techniques and lid eversion), considerations for contact lens selection (including the ocular surface measurements required to select the most appropriate lens parameter, lens modality and material selection), evaluation of lens fit, prescribing (teaching self-application and removal, adaptation, care regimen and cleaning instructions, as well as —&gt;minimising risks of lens wear through encouraging compliance) and an aftercare routine.","author":[{"dropping-particle":"","family":"Wolffsohn","given":"James S.","non-dropping-particle":"","parse-names":false,"suffix":""},{"dropping-particle":"","family":"Dumbleton","given":"Kathy","non-dropping-particle":"","parse-names":false,"suffix":""},{"dropping-particle":"","family":"Huntjens","given":"Byki","non-dropping-particle":"","parse-names":false,"suffix":""},{"dropping-particle":"","family":"Kandel","given":"Himal","non-dropping-particle":"","parse-names":false,"suffix":""},{"dropping-particle":"","family":"Koh","given":"Shizuka","non-dropping-particle":"","parse-names":false,"suffix":""},{"dropping-particle":"","family":"Kunnen","given":"Carolina M.E.","non-dropping-particle":"","parse-names":false,"suffix":""},{"dropping-particle":"","family":"Nagra","given":"Manbir","non-dropping-particle":"","parse-names":false,"suffix":""},{"dropping-particle":"","family":"Pult","given":"Heiko","non-dropping-particle":"","parse-names":false,"suffix":""},{"dropping-particle":"","family":"Sulley","given":"Anna L.","non-dropping-particle":"","parse-names":false,"suffix":""},{"dropping-particle":"","family":"Vianya-Estopa","given":"Marta","non-dropping-particle":"","parse-names":false,"suffix":""},{"dropping-particle":"","family":"Walsh","given":"Karen","non-dropping-particle":"","parse-names":false,"suffix":""},{"dropping-particle":"","family":"Wong","given":"Stephanie","non-dropping-particle":"","parse-names":false,"suffix":""},{"dropping-particle":"","family":"Stapleton","given":"Fiona","non-dropping-particle":"","parse-names":false,"suffix":""}],"container-title":"Contact Lens and Anterior Eye","id":"ITEM-1","issue":"2","issued":{"date-parts":[["2021"]]},"title":"CLEAR - Evidence-based contact lens practice","type":"article-journal","volume":"44"},"uris":["http://www.mendeley.com/documents/?uuid=afef1405-23a5-35af-abc6-28ef24941bc9"]}],"mendeley":{"formattedCitation":"[4]","plainTextFormattedCitation":"[4]","previouslyFormattedCitation":"[4]"},"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[4]</w:t>
      </w:r>
      <w:r w:rsidR="00A74FC3">
        <w:rPr>
          <w:rFonts w:eastAsia="Calibri"/>
          <w:color w:val="000000" w:themeColor="text1"/>
          <w:sz w:val="20"/>
          <w:szCs w:val="20"/>
        </w:rPr>
        <w:fldChar w:fldCharType="end"/>
      </w:r>
      <w:r w:rsidR="00756070" w:rsidRPr="00CD3C9A">
        <w:rPr>
          <w:rFonts w:eastAsia="Calibri"/>
          <w:color w:val="000000" w:themeColor="text1"/>
          <w:sz w:val="20"/>
          <w:szCs w:val="20"/>
        </w:rPr>
        <w:t xml:space="preserve"> </w:t>
      </w:r>
      <w:r w:rsidR="004162CA" w:rsidRPr="00CD3C9A">
        <w:rPr>
          <w:rFonts w:eastAsia="Calibri"/>
          <w:color w:val="000000" w:themeColor="text1"/>
          <w:sz w:val="20"/>
          <w:szCs w:val="20"/>
        </w:rPr>
        <w:t>d</w:t>
      </w:r>
      <w:r w:rsidR="00BB302A" w:rsidRPr="00CD3C9A">
        <w:rPr>
          <w:rFonts w:eastAsia="Calibri"/>
          <w:color w:val="000000" w:themeColor="text1"/>
          <w:sz w:val="20"/>
          <w:szCs w:val="20"/>
        </w:rPr>
        <w:t>ue to the fast pace of knowledge progression and development o</w:t>
      </w:r>
      <w:r w:rsidR="007C1D74" w:rsidRPr="00CD3C9A">
        <w:rPr>
          <w:rFonts w:eastAsia="Calibri"/>
          <w:color w:val="000000" w:themeColor="text1"/>
          <w:sz w:val="20"/>
          <w:szCs w:val="20"/>
        </w:rPr>
        <w:t>f</w:t>
      </w:r>
      <w:r w:rsidR="00BB302A" w:rsidRPr="00CD3C9A">
        <w:rPr>
          <w:rFonts w:eastAsia="Calibri"/>
          <w:color w:val="000000" w:themeColor="text1"/>
          <w:sz w:val="20"/>
          <w:szCs w:val="20"/>
        </w:rPr>
        <w:t xml:space="preserve"> </w:t>
      </w:r>
      <w:r w:rsidR="007C1D74" w:rsidRPr="00CD3C9A">
        <w:rPr>
          <w:rFonts w:eastAsia="Calibri"/>
          <w:color w:val="000000" w:themeColor="text1"/>
          <w:sz w:val="20"/>
          <w:szCs w:val="20"/>
        </w:rPr>
        <w:t>CL</w:t>
      </w:r>
      <w:r w:rsidR="004162CA" w:rsidRPr="00CD3C9A">
        <w:rPr>
          <w:rFonts w:eastAsia="Calibri"/>
          <w:color w:val="000000" w:themeColor="text1"/>
          <w:sz w:val="20"/>
          <w:szCs w:val="20"/>
        </w:rPr>
        <w:t xml:space="preserve"> modes and materials</w:t>
      </w:r>
      <w:r w:rsidR="00A74FC3">
        <w:rPr>
          <w:rFonts w:eastAsia="Calibri"/>
          <w:color w:val="000000" w:themeColor="text1"/>
          <w:sz w:val="20"/>
          <w:szCs w:val="20"/>
        </w:rPr>
        <w:t>,</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{"citationItems":[{"id":"ITEM-1","itemData":{"DOI":"10.1016/j.jtos.2017.05.006","ISSN":"19375913","PMID":"28736343","abstract":"The members of the Management and Therapy Subcommittee undertook an evidence-based review of current dry eye therapies and management options. Management options reviewed in detail included treatments for tear insufficiency and lid abnormalities, as well as anti-inflammatory medications, surgical approaches, dietary modifications, environmental considerations and complementary therapies. Following this extensive review it became clear that many of the treatments available for the management of dry eye disease lack the necessary Level 1 evidence to support their recommendation, often due to a lack of appropriate masking, randomization or controls and in some cases due to issues with selection bias or inadequate sample size. Reflecting on all available evidence, a staged management algorithm was derived that presents a step-wise approach to implementing the various management and therapeutic options according to disease severity. While this exercise indicated that differentiating between aqueous-deficient and evaporative dry eye disease was critical in selecting the most appropriate management strategy, it also highlighted challenges, based on the limited evidence currently available, in predicting relative benefits of specific management options, in managing the two dry eye disease subtypes. Further evidence is required to support the introduction, and continued use, of many of the treatment options currently available to manage dry eye disease, as well as to inform appropriate treatment starting points and understand treatment specificity in relation to dry eye disease subtype.","author":[{"dropping-particle":"","family":"Jones","given":"Lyndon","non-dropping-particle":"","parse-names":false,"suffix":""},{"dropping-particle":"","family":"Downie","given":"Laura E.","non-dropping-particle":"","parse-names":false,"suffix":""},{"dropping-particle":"","family":"Korb","given":"Donald","non-dropping-particle":"","parse-names":false,"suffix":""},{"dropping-particle":"","family":"Benitez-del-Castillo","given":"Jose M.","non-dropping-particle":"","parse-names":false,"suffix":""},{"dropping-particle":"","family":"Dana","given":"Reza","non-dropping-particle":"","parse-names":false,"suffix":""},{"dropping-particle":"","family":"Deng","given":"Sophie X.","non-dropping-particle":"","parse-names":false,"suffix":""},{"dropping-particle":"","family":"Dong","given":"Pham N.","non-dropping-particle":"","parse-names":false,"suffix":""},{"dropping-particle":"","family":"Geerling","given":"Gerd","non-dropping-particle":"","parse-names":false,"suffix":""},{"dropping-particle":"","family":"Hida","given":"Richard Yudi","non-dropping-particle":"","parse-names":false,"suffix":""},{"dropping-particle":"","family":"Liu","given":"Yang","non-dropping-particle":"","parse-names":false,"suffix":""},{"dropping-particle":"","family":"Seo","given":"Kyoung Yul","non-dropping-particle":"","parse-names":false,"suffix":""},{"dropping-particle":"","family":"Tauber","given":"Joseph","non-dropping-particle":"","parse-names":false,"suffix":""},{"dropping-particle":"","family":"Wakamatsu","given":"Tais H.","non-dropping-particle":"","parse-names":false,"suffix":""},{"dropping-particle":"","family":"Xu","given":"Jianjiang","non-dropping-particle":"","parse-names":false,"suffix":""},{"dropping-particle":"","family":"Wolffsohn","given":"James S.","non-dropping-particle":"","parse-names":false,"suffix":""},{"dropping-particle":"","family":"Craig","given":"Jennifer P.","non-dropping-particle":"","parse-names":false,"suffix":""}],"container-title":"Ocular Surface","id":"ITEM-1","issue":"3","issued":{"date-parts":[["2017","7","1"]]},"page":"575-628","publisher":"Elsevier Inc.","title":"TFOS DEWS II Management and Therapy Report","type":"article","volume":"15"},"uris":["http://www.mendeley.com/documents/?uuid=6bafa1bf-d18a-3c3d-9a78-b8ad468413b7"]},{"id":"ITEM-2","itemData":{"DOI":"10.1016/j.clae.2021.02.002","ISSN":"14765411","PMID":"33775381","abstract":"The medical use of contact lenses is a solution for many complex ocular conditions, including high refractive error, irregular astigmatism, primary and secondary corneal ectasia, disfiguring disease, and ocular surface disease. The development of highly oxygen permeable soft and rigid materials has extended the suitability of contact lenses for such applications. There is consistent evidence that bandage soft contact lenses, particularly silicone hydrogel lenses, improve epithelial healing and reduce pain in persistent epithelial defects, after trauma or surgery, and in corneal dystrophies. Drug delivery applications of contact lens hold promise for improving topical therapy. Modern scleral lens practice has achieved great success for both visual rehabilitation and therapeutic applications, including those requiring retention of a tear reservoir or protection from an adverse environment. This report offers a practical and relevant summary of the current evidence for the medical use of contact lenses for all eye care professionals including optometrists, ophthalmologists, opticians, and orthoptists. Topics covered include indications for use in both acute and chronic conditions, lens selection, patient selection, wear and care regimens, and recommended aftercare schedules. Prevention, presentation, and management of complications of medical use are reviewed.","author":[{"dropping-particle":"","family":"Jacobs","given":"Deborah S.","non-dropping-particle":"","parse-names":false,"suffix":""},{"dropping-particle":"","family":"Carrasquillo","given":"Karen G.","non-dropping-particle":"","parse-names":false,"suffix":""},{"dropping-particle":"","family":"Cottrell","given":"Paul D.","non-dropping-particle":"","parse-names":false,"suffix":""},{"dropping-particle":"","family":"Fernández-Velázquez","given":"Fernando J.","non-dropping-particle":"","parse-names":false,"suffix":""},{"dropping-particle":"","family":"Gil-Cazorla","given":"Raquel","non-dropping-particle":"","parse-names":false,"suffix":""},{"dropping-particle":"","family":"Jalbert","given":"Isabelle","non-dropping-particle":"","parse-names":false,"suffix":""},{"dropping-particle":"","family":"Pucker","given":"Andrew D.","non-dropping-particle":"","parse-names":false,"suffix":""},{"dropping-particle":"","family":"Riccobono","given":"Kellen","non-dropping-particle":"","parse-names":false,"suffix":""},{"dropping-particle":"","family":"Robertson","given":"Danielle M.","non-dropping-particle":"","parse-names":false,"suffix":""},{"dropping-particle":"","family":"Szczotka-Flynn","given":"Loretta","non-dropping-particle":"","parse-names":false,"suffix":""},{"dropping-particle":"","family":"Speedwell","given":"Lynne","non-dropping-particle":"","parse-names":false,"suffix":""},{"dropping-particle":"","family":"Stapleton","given":"Fiona","non-dropping-particle":"","parse-names":false,"suffix":""}],"container-title":"Contact Lens and Anterior Eye","id":"ITEM-2","issue":"2","issued":{"date-parts":[["2021","4","1"]]},"page":"289-329","publisher":"Elsevier B.V.","title":"CLEAR – Medical use of contact lenses","type":"article-journal","volume":"44"},"uris":["http://www.mendeley.com/documents/?uuid=4d802915-45e2-3be8-8194-de3edb0eca2d"]}],"mendeley":{"formattedCitation":"[5,6]","plainTextFormattedCitation":"[5,6]","previouslyFormattedCitation":"[5,6]"},"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[5,6]</w:t>
      </w:r>
      <w:r w:rsidR="00A74FC3">
        <w:rPr>
          <w:rFonts w:eastAsia="Calibri"/>
          <w:color w:val="000000" w:themeColor="text1"/>
          <w:sz w:val="20"/>
          <w:szCs w:val="20"/>
        </w:rPr>
        <w:fldChar w:fldCharType="end"/>
      </w:r>
      <w:r w:rsidR="00BB302A" w:rsidRPr="00CD3C9A">
        <w:rPr>
          <w:rFonts w:eastAsia="Calibri"/>
          <w:color w:val="000000" w:themeColor="text1"/>
          <w:sz w:val="20"/>
          <w:szCs w:val="20"/>
        </w:rPr>
        <w:t xml:space="preserve"> </w:t>
      </w:r>
      <w:r w:rsidR="004162CA" w:rsidRPr="00CD3C9A">
        <w:rPr>
          <w:rFonts w:eastAsia="Calibri"/>
          <w:color w:val="000000" w:themeColor="text1"/>
          <w:sz w:val="20"/>
          <w:szCs w:val="20"/>
        </w:rPr>
        <w:t xml:space="preserve">and </w:t>
      </w:r>
      <w:r w:rsidR="00BB302A" w:rsidRPr="00CD3C9A">
        <w:rPr>
          <w:rFonts w:eastAsia="Calibri"/>
          <w:color w:val="000000" w:themeColor="text1"/>
          <w:sz w:val="20"/>
          <w:szCs w:val="20"/>
        </w:rPr>
        <w:t xml:space="preserve">there is a need to review best practice teaching </w:t>
      </w:r>
      <w:r w:rsidR="0022466C" w:rsidRPr="00CD3C9A">
        <w:rPr>
          <w:rFonts w:eastAsia="Calibri"/>
          <w:color w:val="000000" w:themeColor="text1"/>
          <w:sz w:val="20"/>
          <w:szCs w:val="20"/>
        </w:rPr>
        <w:t xml:space="preserve">and learning </w:t>
      </w:r>
      <w:r w:rsidR="00BB302A" w:rsidRPr="00CD3C9A">
        <w:rPr>
          <w:rFonts w:eastAsia="Calibri"/>
          <w:color w:val="000000" w:themeColor="text1"/>
          <w:sz w:val="20"/>
          <w:szCs w:val="20"/>
        </w:rPr>
        <w:t>method</w:t>
      </w:r>
      <w:r w:rsidR="007C1D74" w:rsidRPr="00CD3C9A">
        <w:rPr>
          <w:rFonts w:eastAsia="Calibri"/>
          <w:color w:val="000000" w:themeColor="text1"/>
          <w:sz w:val="20"/>
          <w:szCs w:val="20"/>
        </w:rPr>
        <w:t>s</w:t>
      </w:r>
      <w:r w:rsidR="00BB302A" w:rsidRPr="00CD3C9A">
        <w:rPr>
          <w:rFonts w:eastAsia="Calibri"/>
          <w:color w:val="000000" w:themeColor="text1"/>
          <w:sz w:val="20"/>
          <w:szCs w:val="20"/>
        </w:rPr>
        <w:t xml:space="preserve"> and how th</w:t>
      </w:r>
      <w:r w:rsidR="00630623" w:rsidRPr="00CD3C9A">
        <w:rPr>
          <w:rFonts w:eastAsia="Calibri"/>
          <w:color w:val="000000" w:themeColor="text1"/>
          <w:sz w:val="20"/>
          <w:szCs w:val="20"/>
        </w:rPr>
        <w:t>ey</w:t>
      </w:r>
      <w:r w:rsidR="00BB302A" w:rsidRPr="00CD3C9A">
        <w:rPr>
          <w:rFonts w:eastAsia="Calibri"/>
          <w:color w:val="000000" w:themeColor="text1"/>
          <w:sz w:val="20"/>
          <w:szCs w:val="20"/>
        </w:rPr>
        <w:t xml:space="preserve"> translate to </w:t>
      </w:r>
      <w:r w:rsidR="004162CA" w:rsidRPr="00CD3C9A">
        <w:rPr>
          <w:rFonts w:eastAsia="Calibri"/>
          <w:color w:val="000000" w:themeColor="text1"/>
          <w:sz w:val="20"/>
          <w:szCs w:val="20"/>
        </w:rPr>
        <w:t xml:space="preserve">clinical skills and </w:t>
      </w:r>
      <w:r w:rsidR="00BB302A" w:rsidRPr="00CD3C9A">
        <w:rPr>
          <w:rFonts w:eastAsia="Calibri"/>
          <w:color w:val="000000" w:themeColor="text1"/>
          <w:sz w:val="20"/>
          <w:szCs w:val="20"/>
        </w:rPr>
        <w:t>practical competencies.</w:t>
      </w:r>
      <w:r w:rsidR="00A11CED" w:rsidRPr="00CD3C9A">
        <w:rPr>
          <w:rFonts w:eastAsia="Calibri"/>
          <w:color w:val="000000" w:themeColor="text1"/>
          <w:sz w:val="20"/>
          <w:szCs w:val="20"/>
        </w:rPr>
        <w:t xml:space="preserve"> </w:t>
      </w:r>
      <w:r w:rsidR="004162CA" w:rsidRPr="00CD3C9A">
        <w:rPr>
          <w:rFonts w:eastAsia="Calibri"/>
          <w:color w:val="000000" w:themeColor="text1"/>
          <w:sz w:val="20"/>
          <w:szCs w:val="20"/>
        </w:rPr>
        <w:t>T</w:t>
      </w:r>
      <w:r w:rsidR="00A11CED" w:rsidRPr="00CD3C9A">
        <w:rPr>
          <w:rFonts w:eastAsia="Calibri"/>
          <w:color w:val="000000" w:themeColor="text1"/>
          <w:sz w:val="20"/>
          <w:szCs w:val="20"/>
        </w:rPr>
        <w:t xml:space="preserve">eaching </w:t>
      </w:r>
      <w:r w:rsidR="0022466C" w:rsidRPr="00CD3C9A">
        <w:rPr>
          <w:rFonts w:eastAsia="Calibri"/>
          <w:color w:val="000000" w:themeColor="text1"/>
          <w:sz w:val="20"/>
          <w:szCs w:val="20"/>
        </w:rPr>
        <w:t xml:space="preserve">and learning </w:t>
      </w:r>
      <w:r w:rsidR="00A11CED" w:rsidRPr="00CD3C9A">
        <w:rPr>
          <w:rFonts w:eastAsia="Calibri"/>
          <w:color w:val="000000" w:themeColor="text1"/>
          <w:sz w:val="20"/>
          <w:szCs w:val="20"/>
        </w:rPr>
        <w:t xml:space="preserve">methods </w:t>
      </w:r>
      <w:r w:rsidR="004162CA" w:rsidRPr="00CD3C9A">
        <w:rPr>
          <w:rFonts w:eastAsia="Calibri"/>
          <w:color w:val="000000" w:themeColor="text1"/>
          <w:sz w:val="20"/>
          <w:szCs w:val="20"/>
        </w:rPr>
        <w:t xml:space="preserve">that are </w:t>
      </w:r>
      <w:r w:rsidR="00A11CED" w:rsidRPr="00CD3C9A">
        <w:rPr>
          <w:rFonts w:eastAsia="Calibri"/>
          <w:color w:val="000000" w:themeColor="text1"/>
          <w:sz w:val="20"/>
          <w:szCs w:val="20"/>
        </w:rPr>
        <w:t>applicable to clinical skills are:</w:t>
      </w:r>
    </w:p>
    <w:p w14:paraId="592FED2B" w14:textId="77777777" w:rsidR="00F55084" w:rsidRPr="00CD3C9A" w:rsidRDefault="00F55084" w:rsidP="00CD3C9A">
      <w:pPr>
        <w:spacing w:line="360" w:lineRule="auto"/>
        <w:rPr>
          <w:rFonts w:eastAsia="Calibri"/>
          <w:color w:val="000000" w:themeColor="text1"/>
          <w:sz w:val="20"/>
          <w:szCs w:val="20"/>
        </w:rPr>
      </w:pPr>
    </w:p>
    <w:p w14:paraId="19C4A2A2" w14:textId="5F720075" w:rsidR="00A11CED" w:rsidRPr="00CD3C9A" w:rsidRDefault="00F55084" w:rsidP="00CD3C9A">
      <w:pPr>
        <w:pStyle w:val="ListParagraph"/>
        <w:numPr>
          <w:ilvl w:val="0"/>
          <w:numId w:val="2"/>
        </w:numPr>
        <w:spacing w:line="360" w:lineRule="auto"/>
        <w:rPr>
          <w:rFonts w:eastAsia="Calibri"/>
          <w:color w:val="000000" w:themeColor="text1"/>
          <w:sz w:val="20"/>
          <w:szCs w:val="20"/>
        </w:rPr>
      </w:pPr>
      <w:r w:rsidRPr="00CD3C9A">
        <w:rPr>
          <w:rFonts w:eastAsia="Calibri"/>
          <w:color w:val="000000" w:themeColor="text1"/>
          <w:sz w:val="20"/>
          <w:szCs w:val="20"/>
        </w:rPr>
        <w:t>C</w:t>
      </w:r>
      <w:r w:rsidR="00A11CED" w:rsidRPr="00CD3C9A">
        <w:rPr>
          <w:rFonts w:eastAsia="Calibri"/>
          <w:color w:val="000000" w:themeColor="text1"/>
          <w:sz w:val="20"/>
          <w:szCs w:val="20"/>
        </w:rPr>
        <w:t>linic</w:t>
      </w:r>
      <w:r w:rsidR="00CD3C9A">
        <w:rPr>
          <w:rFonts w:eastAsia="Calibri"/>
          <w:color w:val="000000" w:themeColor="text1"/>
          <w:sz w:val="20"/>
          <w:szCs w:val="20"/>
        </w:rPr>
        <w:t xml:space="preserve">al </w:t>
      </w:r>
      <w:r w:rsidR="00813F81" w:rsidRPr="00CD3C9A">
        <w:rPr>
          <w:rFonts w:eastAsia="Calibri"/>
          <w:color w:val="000000" w:themeColor="text1"/>
          <w:sz w:val="20"/>
          <w:szCs w:val="20"/>
        </w:rPr>
        <w:t>teaching and learning</w:t>
      </w:r>
    </w:p>
    <w:p w14:paraId="0F9611BE" w14:textId="423E6A8A" w:rsidR="00A11CED" w:rsidRPr="00CD3C9A" w:rsidRDefault="00A11CED" w:rsidP="00CD3C9A">
      <w:pPr>
        <w:pStyle w:val="ListParagraph"/>
        <w:numPr>
          <w:ilvl w:val="0"/>
          <w:numId w:val="2"/>
        </w:numPr>
        <w:spacing w:line="360" w:lineRule="auto"/>
        <w:rPr>
          <w:rFonts w:eastAsia="Calibri"/>
          <w:color w:val="000000" w:themeColor="text1"/>
          <w:sz w:val="20"/>
          <w:szCs w:val="20"/>
        </w:rPr>
      </w:pPr>
      <w:r w:rsidRPr="00CD3C9A">
        <w:rPr>
          <w:rFonts w:eastAsia="Calibri"/>
          <w:color w:val="000000" w:themeColor="text1"/>
          <w:sz w:val="20"/>
          <w:szCs w:val="20"/>
        </w:rPr>
        <w:t>Journal clubs</w:t>
      </w:r>
    </w:p>
    <w:p w14:paraId="6F8A01A7" w14:textId="338871B4" w:rsidR="00A11CED" w:rsidRPr="00CD3C9A" w:rsidRDefault="00A11CED" w:rsidP="00CD3C9A">
      <w:pPr>
        <w:pStyle w:val="ListParagraph"/>
        <w:numPr>
          <w:ilvl w:val="0"/>
          <w:numId w:val="2"/>
        </w:numPr>
        <w:spacing w:line="360" w:lineRule="auto"/>
        <w:rPr>
          <w:rFonts w:eastAsia="Calibri"/>
          <w:color w:val="000000" w:themeColor="text1"/>
          <w:sz w:val="20"/>
          <w:szCs w:val="20"/>
        </w:rPr>
      </w:pPr>
      <w:r w:rsidRPr="00CD3C9A">
        <w:rPr>
          <w:rFonts w:eastAsia="Calibri"/>
          <w:color w:val="000000" w:themeColor="text1"/>
          <w:sz w:val="20"/>
          <w:szCs w:val="20"/>
        </w:rPr>
        <w:t>Flipped classes</w:t>
      </w:r>
    </w:p>
    <w:p w14:paraId="22BE4231" w14:textId="375020E3" w:rsidR="00A11CED" w:rsidRPr="00CD3C9A" w:rsidRDefault="00A11CED" w:rsidP="00CD3C9A">
      <w:pPr>
        <w:pStyle w:val="ListParagraph"/>
        <w:numPr>
          <w:ilvl w:val="0"/>
          <w:numId w:val="2"/>
        </w:numPr>
        <w:spacing w:line="360" w:lineRule="auto"/>
        <w:rPr>
          <w:rFonts w:eastAsia="Calibri"/>
          <w:color w:val="000000" w:themeColor="text1"/>
          <w:sz w:val="20"/>
          <w:szCs w:val="20"/>
        </w:rPr>
      </w:pPr>
      <w:r w:rsidRPr="00CD3C9A">
        <w:rPr>
          <w:rFonts w:eastAsia="Calibri"/>
          <w:color w:val="000000" w:themeColor="text1"/>
          <w:sz w:val="20"/>
          <w:szCs w:val="20"/>
        </w:rPr>
        <w:t>Case discussions</w:t>
      </w:r>
    </w:p>
    <w:p w14:paraId="7B515ED1" w14:textId="648B344B" w:rsidR="00A11CED" w:rsidRPr="00CD3C9A" w:rsidRDefault="00186194" w:rsidP="00CD3C9A">
      <w:pPr>
        <w:pStyle w:val="ListParagraph"/>
        <w:numPr>
          <w:ilvl w:val="0"/>
          <w:numId w:val="2"/>
        </w:numPr>
        <w:spacing w:line="360" w:lineRule="auto"/>
        <w:rPr>
          <w:rFonts w:eastAsia="Calibri"/>
          <w:color w:val="000000" w:themeColor="text1"/>
          <w:sz w:val="20"/>
          <w:szCs w:val="20"/>
        </w:rPr>
      </w:pPr>
      <w:r w:rsidRPr="00CD3C9A">
        <w:rPr>
          <w:rFonts w:eastAsia="Calibri"/>
          <w:color w:val="000000" w:themeColor="text1"/>
          <w:sz w:val="20"/>
          <w:szCs w:val="20"/>
        </w:rPr>
        <w:t>C</w:t>
      </w:r>
      <w:r w:rsidR="00A11CED" w:rsidRPr="00CD3C9A">
        <w:rPr>
          <w:rFonts w:eastAsia="Calibri"/>
          <w:color w:val="000000" w:themeColor="text1"/>
          <w:sz w:val="20"/>
          <w:szCs w:val="20"/>
        </w:rPr>
        <w:t>linical skill videos</w:t>
      </w:r>
    </w:p>
    <w:p w14:paraId="459581E4" w14:textId="3952F541" w:rsidR="00A11CED" w:rsidRPr="00CD3C9A" w:rsidRDefault="00A11CED" w:rsidP="00CD3C9A">
      <w:pPr>
        <w:pStyle w:val="ListParagraph"/>
        <w:numPr>
          <w:ilvl w:val="0"/>
          <w:numId w:val="2"/>
        </w:numPr>
        <w:spacing w:line="360" w:lineRule="auto"/>
        <w:rPr>
          <w:rFonts w:eastAsia="Calibri"/>
          <w:color w:val="000000" w:themeColor="text1"/>
          <w:sz w:val="20"/>
          <w:szCs w:val="20"/>
        </w:rPr>
      </w:pPr>
      <w:r w:rsidRPr="00CD3C9A">
        <w:rPr>
          <w:rFonts w:eastAsia="Calibri"/>
          <w:color w:val="000000" w:themeColor="text1"/>
          <w:sz w:val="20"/>
          <w:szCs w:val="20"/>
        </w:rPr>
        <w:t>Online tools</w:t>
      </w:r>
    </w:p>
    <w:p w14:paraId="3E9783D9" w14:textId="1F2E2AC5" w:rsidR="00A11CED" w:rsidRPr="00CD3C9A" w:rsidRDefault="00A11CED" w:rsidP="00CD3C9A">
      <w:pPr>
        <w:pStyle w:val="ListParagraph"/>
        <w:numPr>
          <w:ilvl w:val="0"/>
          <w:numId w:val="2"/>
        </w:numPr>
        <w:spacing w:line="360" w:lineRule="auto"/>
        <w:rPr>
          <w:rFonts w:eastAsia="Calibri"/>
          <w:color w:val="000000" w:themeColor="text1"/>
          <w:sz w:val="20"/>
          <w:szCs w:val="20"/>
        </w:rPr>
      </w:pPr>
      <w:r w:rsidRPr="00CD3C9A">
        <w:rPr>
          <w:rFonts w:eastAsia="Calibri"/>
          <w:color w:val="000000" w:themeColor="text1"/>
          <w:sz w:val="20"/>
          <w:szCs w:val="20"/>
        </w:rPr>
        <w:t>New technologies</w:t>
      </w:r>
    </w:p>
    <w:p w14:paraId="492B866E" w14:textId="1F7E003A" w:rsidR="00A11CED" w:rsidRPr="00CD3C9A" w:rsidRDefault="00A11CED" w:rsidP="00CD3C9A">
      <w:pPr>
        <w:pStyle w:val="ListParagraph"/>
        <w:numPr>
          <w:ilvl w:val="0"/>
          <w:numId w:val="2"/>
        </w:numPr>
        <w:spacing w:line="360" w:lineRule="auto"/>
        <w:rPr>
          <w:rFonts w:eastAsia="Calibri"/>
          <w:color w:val="000000" w:themeColor="text1"/>
          <w:sz w:val="20"/>
          <w:szCs w:val="20"/>
        </w:rPr>
      </w:pPr>
      <w:r w:rsidRPr="00CD3C9A">
        <w:rPr>
          <w:rFonts w:eastAsia="Calibri"/>
          <w:color w:val="000000" w:themeColor="text1"/>
          <w:sz w:val="20"/>
          <w:szCs w:val="20"/>
        </w:rPr>
        <w:t xml:space="preserve">Learning </w:t>
      </w:r>
      <w:r w:rsidR="00F55084" w:rsidRPr="00CD3C9A">
        <w:rPr>
          <w:rFonts w:eastAsia="Calibri"/>
          <w:color w:val="000000" w:themeColor="text1"/>
          <w:sz w:val="20"/>
          <w:szCs w:val="20"/>
        </w:rPr>
        <w:t>m</w:t>
      </w:r>
      <w:r w:rsidRPr="00CD3C9A">
        <w:rPr>
          <w:rFonts w:eastAsia="Calibri"/>
          <w:color w:val="000000" w:themeColor="text1"/>
          <w:sz w:val="20"/>
          <w:szCs w:val="20"/>
        </w:rPr>
        <w:t xml:space="preserve">anagement </w:t>
      </w:r>
      <w:r w:rsidR="00F55084" w:rsidRPr="00CD3C9A">
        <w:rPr>
          <w:rFonts w:eastAsia="Calibri"/>
          <w:color w:val="000000" w:themeColor="text1"/>
          <w:sz w:val="20"/>
          <w:szCs w:val="20"/>
        </w:rPr>
        <w:t>s</w:t>
      </w:r>
      <w:r w:rsidRPr="00CD3C9A">
        <w:rPr>
          <w:rFonts w:eastAsia="Calibri"/>
          <w:color w:val="000000" w:themeColor="text1"/>
          <w:sz w:val="20"/>
          <w:szCs w:val="20"/>
        </w:rPr>
        <w:t>ystems</w:t>
      </w:r>
    </w:p>
    <w:p w14:paraId="0649EC79" w14:textId="77777777" w:rsidR="00A11CED" w:rsidRPr="00CD3C9A" w:rsidRDefault="00A11CED" w:rsidP="00CD3C9A">
      <w:pPr>
        <w:spacing w:line="360" w:lineRule="auto"/>
        <w:rPr>
          <w:rFonts w:eastAsia="Calibri"/>
          <w:color w:val="000000" w:themeColor="text1"/>
          <w:sz w:val="20"/>
          <w:szCs w:val="20"/>
        </w:rPr>
      </w:pPr>
    </w:p>
    <w:p w14:paraId="111B5A74" w14:textId="1CE5571B" w:rsidR="00C03656" w:rsidRPr="00CD3C9A" w:rsidRDefault="00BB302A" w:rsidP="00CD3C9A">
      <w:pPr>
        <w:pStyle w:val="Heading2"/>
        <w:spacing w:before="0" w:after="0" w:line="360" w:lineRule="auto"/>
        <w:rPr>
          <w:color w:val="000000" w:themeColor="text1"/>
          <w:sz w:val="20"/>
          <w:szCs w:val="20"/>
          <w:u w:val="single"/>
        </w:rPr>
      </w:pPr>
      <w:r w:rsidRPr="00CD3C9A">
        <w:rPr>
          <w:color w:val="000000" w:themeColor="text1"/>
          <w:sz w:val="20"/>
          <w:szCs w:val="20"/>
          <w:u w:val="single"/>
        </w:rPr>
        <w:lastRenderedPageBreak/>
        <w:t>Clinic</w:t>
      </w:r>
      <w:r w:rsidR="00CD3C9A">
        <w:rPr>
          <w:color w:val="000000" w:themeColor="text1"/>
          <w:sz w:val="20"/>
          <w:szCs w:val="20"/>
          <w:u w:val="single"/>
        </w:rPr>
        <w:t>al</w:t>
      </w:r>
      <w:r w:rsidRPr="00CD3C9A">
        <w:rPr>
          <w:color w:val="000000" w:themeColor="text1"/>
          <w:sz w:val="20"/>
          <w:szCs w:val="20"/>
          <w:u w:val="single"/>
        </w:rPr>
        <w:t xml:space="preserve"> </w:t>
      </w:r>
      <w:r w:rsidR="00813F81" w:rsidRPr="00CD3C9A">
        <w:rPr>
          <w:color w:val="000000" w:themeColor="text1"/>
          <w:sz w:val="20"/>
          <w:szCs w:val="20"/>
          <w:u w:val="single"/>
        </w:rPr>
        <w:t>teaching and learning</w:t>
      </w:r>
    </w:p>
    <w:p w14:paraId="3AF3D1DF" w14:textId="649B97BB" w:rsidR="00186194" w:rsidRPr="00CD3C9A" w:rsidRDefault="00BB302A" w:rsidP="00CD3C9A">
      <w:pPr>
        <w:spacing w:line="360" w:lineRule="auto"/>
        <w:rPr>
          <w:rFonts w:eastAsia="Calibri"/>
          <w:color w:val="000000" w:themeColor="text1"/>
          <w:sz w:val="20"/>
          <w:szCs w:val="20"/>
        </w:rPr>
      </w:pPr>
      <w:r w:rsidRPr="00CD3C9A">
        <w:rPr>
          <w:rFonts w:eastAsia="Calibri"/>
          <w:color w:val="000000" w:themeColor="text1"/>
          <w:sz w:val="20"/>
          <w:szCs w:val="20"/>
        </w:rPr>
        <w:t xml:space="preserve">Clinical lectures </w:t>
      </w:r>
      <w:r w:rsidR="001F4420" w:rsidRPr="00CD3C9A">
        <w:rPr>
          <w:rFonts w:eastAsia="Calibri"/>
          <w:color w:val="000000" w:themeColor="text1"/>
          <w:sz w:val="20"/>
          <w:szCs w:val="20"/>
        </w:rPr>
        <w:t>enable knowledge delivery including general concepts and processes.</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{"citationItems":[{"id":"ITEM-1","itemData":{"abstract":"(OCULUS,2020) OCULUS., Teaching Methods for Evidence-based Practice in Optometry., Optom. Curric. Lifelong Learn. through Erasmus. (2020). https://www.oculuserasmus.org/wp-content/uploads/2020/04/OCULUS_Teaching-Manual-for-Evidence-Based-Practice-in-Optometry.pdf.","author":[{"dropping-particle":"","family":"OCULUS.","given":"","non-dropping-particle":"","parse-names":false,"suffix":""}],"container-title":"Optometry Curriculum for Lifelong Learning through Erasmus","id":"ITEM-1","issued":{"date-parts":[["2020","4"]]},"title":"Teaching Methods for Evidence-based Practice in Optometry.","type":"article-journal"},"uris":["http://www.mendeley.com/documents/?uuid=a6cb5394-7daa-34f4-aa55-6d50066a39d7"]}],"mendeley":{"formattedCitation":"[7]","plainTextFormattedCitation":"[7]","previouslyFormattedCitation":"[7]"},"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[7]</w:t>
      </w:r>
      <w:r w:rsidR="00A74FC3">
        <w:rPr>
          <w:rFonts w:eastAsia="Calibri"/>
          <w:color w:val="000000" w:themeColor="text1"/>
          <w:sz w:val="20"/>
          <w:szCs w:val="20"/>
        </w:rPr>
        <w:fldChar w:fldCharType="end"/>
      </w:r>
      <w:r w:rsidRPr="00CD3C9A">
        <w:rPr>
          <w:rFonts w:eastAsia="Calibri"/>
          <w:color w:val="000000" w:themeColor="text1"/>
          <w:sz w:val="20"/>
          <w:szCs w:val="20"/>
        </w:rPr>
        <w:t xml:space="preserve"> </w:t>
      </w:r>
      <w:r w:rsidR="001F4420" w:rsidRPr="00CD3C9A">
        <w:rPr>
          <w:rFonts w:eastAsia="Calibri"/>
          <w:color w:val="000000" w:themeColor="text1"/>
          <w:sz w:val="20"/>
          <w:szCs w:val="20"/>
        </w:rPr>
        <w:t>H</w:t>
      </w:r>
      <w:r w:rsidR="002837DB" w:rsidRPr="00CD3C9A">
        <w:rPr>
          <w:rFonts w:eastAsia="Calibri"/>
          <w:color w:val="000000" w:themeColor="text1"/>
          <w:sz w:val="20"/>
          <w:szCs w:val="20"/>
        </w:rPr>
        <w:t>owever</w:t>
      </w:r>
      <w:r w:rsidR="001F4420" w:rsidRPr="00CD3C9A">
        <w:rPr>
          <w:rFonts w:eastAsia="Calibri"/>
          <w:color w:val="000000" w:themeColor="text1"/>
          <w:sz w:val="20"/>
          <w:szCs w:val="20"/>
        </w:rPr>
        <w:t>,</w:t>
      </w:r>
      <w:r w:rsidR="002837DB" w:rsidRPr="00CD3C9A">
        <w:rPr>
          <w:rFonts w:eastAsia="Calibri"/>
          <w:color w:val="000000" w:themeColor="text1"/>
          <w:sz w:val="20"/>
          <w:szCs w:val="20"/>
        </w:rPr>
        <w:t xml:space="preserve"> </w:t>
      </w:r>
      <w:r w:rsidRPr="00CD3C9A">
        <w:rPr>
          <w:rFonts w:eastAsia="Calibri"/>
          <w:color w:val="000000" w:themeColor="text1"/>
          <w:sz w:val="20"/>
          <w:szCs w:val="20"/>
        </w:rPr>
        <w:t>other learning environments are more likely to be effective in the development of clinical skills</w:t>
      </w:r>
      <w:r w:rsidR="001F4420" w:rsidRPr="00CD3C9A">
        <w:rPr>
          <w:rFonts w:eastAsia="Calibri"/>
          <w:color w:val="000000" w:themeColor="text1"/>
          <w:sz w:val="20"/>
          <w:szCs w:val="20"/>
        </w:rPr>
        <w:t xml:space="preserve"> and reasoning</w:t>
      </w:r>
      <w:r w:rsidRPr="00CD3C9A">
        <w:rPr>
          <w:rFonts w:eastAsia="Calibri"/>
          <w:color w:val="000000" w:themeColor="text1"/>
          <w:sz w:val="20"/>
          <w:szCs w:val="20"/>
        </w:rPr>
        <w:t>, such as clinic-based sessions</w:t>
      </w:r>
      <w:r w:rsidR="00F55084" w:rsidRPr="00CD3C9A">
        <w:rPr>
          <w:rFonts w:eastAsia="Calibri"/>
          <w:color w:val="000000" w:themeColor="text1"/>
          <w:sz w:val="20"/>
          <w:szCs w:val="20"/>
        </w:rPr>
        <w:t>. Th</w:t>
      </w:r>
      <w:r w:rsidR="00813F81" w:rsidRPr="00CD3C9A">
        <w:rPr>
          <w:rFonts w:eastAsia="Calibri"/>
          <w:color w:val="000000" w:themeColor="text1"/>
          <w:sz w:val="20"/>
          <w:szCs w:val="20"/>
        </w:rPr>
        <w:t>ese</w:t>
      </w:r>
      <w:r w:rsidR="00F55084" w:rsidRPr="00CD3C9A">
        <w:rPr>
          <w:rFonts w:eastAsia="Calibri"/>
          <w:color w:val="000000" w:themeColor="text1"/>
          <w:sz w:val="20"/>
          <w:szCs w:val="20"/>
        </w:rPr>
        <w:t xml:space="preserve"> can include </w:t>
      </w:r>
      <w:r w:rsidRPr="00CD3C9A">
        <w:rPr>
          <w:rFonts w:eastAsia="Calibri"/>
          <w:color w:val="000000" w:themeColor="text1"/>
          <w:sz w:val="20"/>
          <w:szCs w:val="20"/>
        </w:rPr>
        <w:t>care delivery with simulated patient</w:t>
      </w:r>
      <w:r w:rsidR="00813F81" w:rsidRPr="00CD3C9A">
        <w:rPr>
          <w:rFonts w:eastAsia="Calibri"/>
          <w:color w:val="000000" w:themeColor="text1"/>
          <w:sz w:val="20"/>
          <w:szCs w:val="20"/>
        </w:rPr>
        <w:t>s</w:t>
      </w:r>
      <w:r w:rsidRPr="00CD3C9A">
        <w:rPr>
          <w:rFonts w:eastAsia="Calibri"/>
          <w:color w:val="000000" w:themeColor="text1"/>
          <w:sz w:val="20"/>
          <w:szCs w:val="20"/>
        </w:rPr>
        <w:t>, student</w:t>
      </w:r>
      <w:r w:rsidR="001F4420" w:rsidRPr="00CD3C9A">
        <w:rPr>
          <w:rFonts w:eastAsia="Calibri"/>
          <w:color w:val="000000" w:themeColor="text1"/>
          <w:sz w:val="20"/>
          <w:szCs w:val="20"/>
        </w:rPr>
        <w:t>s</w:t>
      </w:r>
      <w:r w:rsidRPr="00CD3C9A">
        <w:rPr>
          <w:rFonts w:eastAsia="Calibri"/>
          <w:color w:val="000000" w:themeColor="text1"/>
          <w:sz w:val="20"/>
          <w:szCs w:val="20"/>
        </w:rPr>
        <w:t xml:space="preserve"> observing qualified </w:t>
      </w:r>
      <w:r w:rsidR="00F55084" w:rsidRPr="00CD3C9A">
        <w:rPr>
          <w:rFonts w:eastAsia="Calibri"/>
          <w:color w:val="000000" w:themeColor="text1"/>
          <w:sz w:val="20"/>
          <w:szCs w:val="20"/>
        </w:rPr>
        <w:t>clinician</w:t>
      </w:r>
      <w:r w:rsidR="00813F81" w:rsidRPr="00CD3C9A">
        <w:rPr>
          <w:rFonts w:eastAsia="Calibri"/>
          <w:color w:val="000000" w:themeColor="text1"/>
          <w:sz w:val="20"/>
          <w:szCs w:val="20"/>
        </w:rPr>
        <w:t>s</w:t>
      </w:r>
      <w:r w:rsidR="00F55084" w:rsidRPr="00CD3C9A">
        <w:rPr>
          <w:rFonts w:eastAsia="Calibri"/>
          <w:color w:val="000000" w:themeColor="text1"/>
          <w:sz w:val="20"/>
          <w:szCs w:val="20"/>
        </w:rPr>
        <w:t xml:space="preserve"> </w:t>
      </w:r>
      <w:r w:rsidRPr="00CD3C9A">
        <w:rPr>
          <w:rFonts w:eastAsia="Calibri"/>
          <w:color w:val="000000" w:themeColor="text1"/>
          <w:sz w:val="20"/>
          <w:szCs w:val="20"/>
        </w:rPr>
        <w:t>or</w:t>
      </w:r>
      <w:r w:rsidR="00813F81" w:rsidRPr="00CD3C9A">
        <w:rPr>
          <w:rFonts w:eastAsia="Calibri"/>
          <w:color w:val="000000" w:themeColor="text1"/>
          <w:sz w:val="20"/>
          <w:szCs w:val="20"/>
        </w:rPr>
        <w:t xml:space="preserve"> </w:t>
      </w:r>
      <w:r w:rsidRPr="00CD3C9A">
        <w:rPr>
          <w:rFonts w:eastAsia="Calibri"/>
          <w:color w:val="000000" w:themeColor="text1"/>
          <w:sz w:val="20"/>
          <w:szCs w:val="20"/>
        </w:rPr>
        <w:t xml:space="preserve">delivering the care themselves and practising technical skills on </w:t>
      </w:r>
      <w:r w:rsidR="00F55084" w:rsidRPr="00CD3C9A">
        <w:rPr>
          <w:rFonts w:eastAsia="Calibri"/>
          <w:color w:val="000000" w:themeColor="text1"/>
          <w:sz w:val="20"/>
          <w:szCs w:val="20"/>
        </w:rPr>
        <w:t>peers</w:t>
      </w:r>
      <w:r w:rsidRPr="00CD3C9A">
        <w:rPr>
          <w:rFonts w:eastAsia="Calibri"/>
          <w:color w:val="000000" w:themeColor="text1"/>
          <w:sz w:val="20"/>
          <w:szCs w:val="20"/>
        </w:rPr>
        <w:t xml:space="preserve">, before progressing to </w:t>
      </w:r>
      <w:r w:rsidR="00571E59" w:rsidRPr="00CD3C9A">
        <w:rPr>
          <w:rFonts w:eastAsia="Calibri"/>
          <w:color w:val="000000" w:themeColor="text1"/>
          <w:sz w:val="20"/>
          <w:szCs w:val="20"/>
        </w:rPr>
        <w:t>provid</w:t>
      </w:r>
      <w:r w:rsidR="00F55084" w:rsidRPr="00CD3C9A">
        <w:rPr>
          <w:rFonts w:eastAsia="Calibri"/>
          <w:color w:val="000000" w:themeColor="text1"/>
          <w:sz w:val="20"/>
          <w:szCs w:val="20"/>
        </w:rPr>
        <w:t>e</w:t>
      </w:r>
      <w:r w:rsidR="00571E59" w:rsidRPr="00CD3C9A">
        <w:rPr>
          <w:rFonts w:eastAsia="Calibri"/>
          <w:color w:val="000000" w:themeColor="text1"/>
          <w:sz w:val="20"/>
          <w:szCs w:val="20"/>
        </w:rPr>
        <w:t xml:space="preserve"> care</w:t>
      </w:r>
      <w:r w:rsidRPr="00CD3C9A">
        <w:rPr>
          <w:rFonts w:eastAsia="Calibri"/>
          <w:color w:val="000000" w:themeColor="text1"/>
          <w:sz w:val="20"/>
          <w:szCs w:val="20"/>
        </w:rPr>
        <w:t xml:space="preserve"> </w:t>
      </w:r>
      <w:r w:rsidR="00F55084" w:rsidRPr="00CD3C9A">
        <w:rPr>
          <w:rFonts w:eastAsia="Calibri"/>
          <w:color w:val="000000" w:themeColor="text1"/>
          <w:sz w:val="20"/>
          <w:szCs w:val="20"/>
        </w:rPr>
        <w:t xml:space="preserve">to </w:t>
      </w:r>
      <w:r w:rsidRPr="00CD3C9A">
        <w:rPr>
          <w:rFonts w:eastAsia="Calibri"/>
          <w:color w:val="000000" w:themeColor="text1"/>
          <w:sz w:val="20"/>
          <w:szCs w:val="20"/>
        </w:rPr>
        <w:t>patients under supervision.</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{"citationItems":[{"id":"ITEM-1","itemData":{"ISSN":"14440938","PMID":"27001687","abstract":"Background: Optometry students are taught the process of subjective refraction through lectures and laboratory-based practicals before progressing to supervised clinical practice. Simulated leaning environments (SLEs) form part of an emerging technology used in a range of health disciplines; however, there is limited evidence regarding the effectiveness of clinical simulators as educational tools. Methods: Forty optometry students (20 fourth year and 20 fifth year) were assessed twice by a qualified optometrist (two examinations separated by four to eight weeks), while completing a monocular non-cycloplegic subjective refraction on the same patient with an unknown refractive error, simulated using contact lenses. Half of the students were granted access to an online simulated learning environment, The Brien Holden Vision Institute (BHVI) Virtual Refractor, and the remaining students formed a control group. The primary outcome measures at each visit were; accuracy of the clinical refraction compared to a qualified optometrist and relative to the Optometry Council of Australia and New Zealand (OCANZ) subjective refraction examination criteria. Secondary measures of interest included descriptors of student SLE engagement, student self-reported confidence levels and correlations between performance in the simulated and real-world clinical environment. Results: Eighty per cent of students in the intervention group interacted with the simulated learning environment (for an average of 100 minutes); however, there was no correlation between measures of student engagement with the BHVI Virtual Refractor and speed or accuracy of clinical subjective refractions. Fifth year students were typically more confident and refracted more accurately and more quickly than fourth year students. A year group by experimental group interaction (p = 0.03) was observed for accuracy of the spherical component of refraction and post hoc analysis revealed that less experienced students exhibited greater gains in clinical accuracy following exposure to the SLE intervention. Conclusions: Short-term exposure to a SLE can positively influence clinical subjective refraction outcomes for less experienced optometry students and may be of benefit in increasing the skills of novice refractionists to levels appropriate for commencing supervised clinical interactions.","author":[{"dropping-particle":"","family":"Woodman-Pieterse","given":"Emily C.","non-dropping-particle":"","parse-names":false,"suffix":""},{"dropping-particle":"","family":"Souza","given":"Neilsen J.","non-dropping-particle":"De","parse-names":false,"suffix":""},{"dropping-particle":"","family":"Vincent","given":"Stephen J.","non-dropping-particle":"","parse-names":false,"suffix":""}],"container-title":"Clinical and Experimental Optometry","id":"ITEM-1","issue":"4","issued":{"date-parts":[["2016","7","1"]]},"note":"doi: 10.1111/cxo.12374","page":"342-349","publisher":"Blackwell Publishing Ltd","title":"The influence of a novel simulated learning environment upon student clinical subjective refraction performance: A pilot study","type":"article-journal","volume":"99"},"uris":["http://www.mendeley.com/documents/?uuid=9065def9-1ad9-3a45-b8b3-e49acc2c0b87"]}],"mendeley":{"formattedCitation":"[8]","plainTextFormattedCitation":"[8]","previouslyFormattedCitation":"[8]"},"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[8]</w:t>
      </w:r>
      <w:r w:rsidR="00A74FC3">
        <w:rPr>
          <w:rFonts w:eastAsia="Calibri"/>
          <w:color w:val="000000" w:themeColor="text1"/>
          <w:sz w:val="20"/>
          <w:szCs w:val="20"/>
        </w:rPr>
        <w:fldChar w:fldCharType="end"/>
      </w:r>
      <w:r w:rsidR="00813F81" w:rsidRPr="00CD3C9A">
        <w:rPr>
          <w:rFonts w:eastAsia="Calibri"/>
          <w:color w:val="000000" w:themeColor="text1"/>
          <w:sz w:val="20"/>
          <w:szCs w:val="20"/>
        </w:rPr>
        <w:t xml:space="preserve"> </w:t>
      </w:r>
      <w:r w:rsidR="00470919" w:rsidRPr="00CD3C9A">
        <w:rPr>
          <w:rFonts w:eastAsia="Calibri"/>
          <w:color w:val="000000" w:themeColor="text1"/>
          <w:sz w:val="20"/>
          <w:szCs w:val="20"/>
        </w:rPr>
        <w:t xml:space="preserve"> </w:t>
      </w:r>
    </w:p>
    <w:p w14:paraId="4796C68D" w14:textId="2301AB96" w:rsidR="0074646A" w:rsidRDefault="00186194" w:rsidP="00CD3C9A">
      <w:pPr>
        <w:spacing w:line="360" w:lineRule="auto"/>
        <w:rPr>
          <w:color w:val="222222"/>
          <w:sz w:val="20"/>
          <w:szCs w:val="20"/>
          <w:shd w:val="clear" w:color="auto" w:fill="FFFFFF"/>
        </w:rPr>
      </w:pPr>
      <w:r w:rsidRPr="00CD3C9A">
        <w:rPr>
          <w:rFonts w:eastAsia="Calibri"/>
          <w:color w:val="000000" w:themeColor="text1"/>
          <w:sz w:val="20"/>
          <w:szCs w:val="20"/>
        </w:rPr>
        <w:t>To attain clinical competency, multifaceted teaching (combining more than one teaching approach) combined with clinically integrated teaching is more effective than when used alone.</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{"citationItems":[{"id":"ITEM-1","itemData":{"DOI":"10.1371/journal.pone.0086706","ISSN":"19326203","PMID":"24489771","abstract":"Background: An evidence-based approach to health care is recognized internationally as a key competency for healthcare practitioners. This overview systematically evaluated and organized evidence from systematic reviews on teaching evidence-based health care (EBHC). Methods/Findings: We searched for systematic reviews evaluating interventions for teaching EBHC to health professionals compared to no intervention or different strategies. Outcomes covered EBHC knowledge, skills, attitudes, practices and health outcomes. Comprehensive searches were conducted in April 2013. Two reviewers independently selected eligible reviews, extracted data and evaluated methodological quality. We included 16 systematic reviews, published between 1993 and 2013. There was considerable overlap across reviews. We found that 171 source studies included in the reviews related to 81 separate studies, of which 37 are in more than one review. Studies used various methodologies to evaluate educational interventions of varying content, format and duration in undergraduates, interns, residents and practicing health professionals. The evidence in the reviews showed that multifaceted, clinically integrated interventions, with assessment, led to improvements in knowledge, skills and attitudes. Interventions improved critical appraisal skills and integration of results into decisions, and improved knowledge, skills, attitudes and behaviour amongst practicing health professionals. Considering single interventions, EBHC knowledge and attitude were similar for lecture-based versus online teaching. Journal clubs appeared to increase clinical epidemiology and biostatistics knowledge and reading behavior, but not appraisal skills. EBHC courses improved appraisal skills and knowledge. Amongst practicing health professionals, interactive online courses with guided critical appraisal showed significant increase in knowledge and appraisal skills. A short workshop using problem-based approaches, compared to no intervention, increased knowledge but not appraisal skills. Conclusions: EBHC teaching and learning strategies should focus on implementing multifaceted, clinically integrated approaches with assessment. Future rigorous research should evaluate minimum components for multifaceted interventions, assessment of medium to long-term outcomes, and implementation of these interventions. © 2014 Young et al.","author":[{"dropping-particle":"","family":"Young","given":"Taryn","non-dropping-particle":"","parse-names":false,"suffix":""},{"dropping-particle":"","family":"Rohwer","given":"Anke","non-dropping-particle":"","parse-names":false,"suffix":""},{"dropping-particle":"","family":"Volmink","given":"Jimmy","non-dropping-particle":"","parse-names":false,"suffix":""},{"dropping-particle":"","family":"Clarke","given":"Mike","non-dropping-particle":"","parse-names":false,"suffix":""}],"container-title":"PLoS ONE","id":"ITEM-1","issue":"1","issued":{"date-parts":[["2014","1","28"]]},"page":"e86706","title":"What are the effects of teaching evidence-based health care (EBHC)? Overview of systematic reviews","type":"article","volume":"9"},"uris":["http://www.mendeley.com/documents/?uuid=4325b3c7-374f-35f9-a086-2c8a22766ac9"]}],"mendeley":{"formattedCitation":"[9]","plainTextFormattedCitation":"[9]","previouslyFormattedCitation":"[9]"},"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[9]</w:t>
      </w:r>
      <w:r w:rsidR="00A74FC3">
        <w:rPr>
          <w:rFonts w:eastAsia="Calibri"/>
          <w:color w:val="000000" w:themeColor="text1"/>
          <w:sz w:val="20"/>
          <w:szCs w:val="20"/>
        </w:rPr>
        <w:fldChar w:fldCharType="end"/>
      </w:r>
      <w:r w:rsidRPr="00CD3C9A">
        <w:rPr>
          <w:rFonts w:eastAsia="Calibri"/>
          <w:color w:val="000000" w:themeColor="text1"/>
          <w:sz w:val="20"/>
          <w:szCs w:val="20"/>
        </w:rPr>
        <w:t xml:space="preserve"> An example is the teaching of critical appraisal, which is more effective in a clinic setting when compared to a classroom.</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DOI":"10.21037/aes.2019.08.05","ISSN":"25204122","author":[{"dropping-particle":"","family":"Fernández","given":"Joaquín","non-dropping-particle":"","parse-names":false,"suffix":""},{"dropping-particle":"","family":"Burguera-Gimenez","given":"Noemi","non-dropping-particle":"","parse-names":false,"suffix":""}],"container-title":"Annals of Eye Science","id":"ITEM-1","issue":"9","issued":{"date-parts":[["2019"]]},"title":"Teaching Evidence-Based Ophthalmology (EBO)","type":"article","volume":"4"},"uris":["http://www.mendeley.com/documents/?uuid=0fea7303-32e6-4907-bae3-24b33256bec6"]}],"mendeley":{"formattedCitation":"[2]","plainTextFormattedCitation":"[2]","previouslyFormattedCitation":"[2]"},"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[2]</w:t>
      </w:r>
      <w:r w:rsidR="00A74FC3">
        <w:rPr>
          <w:rFonts w:eastAsia="Calibri"/>
          <w:color w:val="000000" w:themeColor="text1"/>
          <w:sz w:val="20"/>
          <w:szCs w:val="20"/>
        </w:rPr>
        <w:fldChar w:fldCharType="end"/>
      </w:r>
      <w:r w:rsidRPr="00CD3C9A">
        <w:rPr>
          <w:rFonts w:eastAsia="Calibri"/>
          <w:color w:val="000000" w:themeColor="text1"/>
          <w:sz w:val="20"/>
          <w:szCs w:val="20"/>
        </w:rPr>
        <w:t xml:space="preserve"> All clinical teaching methods should include student interaction, so clinical lectures should involve discussion and reflection on decisions made, with the teacher.</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{"citationItems":[{"id":"ITEM-1","itemData":{"DOI":"10.1016/j.nedt.2015.08.025","ISSN":"02606917","author":[{"dropping-particle":"","family":"Aglen","given":"B.","non-dropping-particle":"","parse-names":false,"suffix":""}],"container-title":"Nurse Education Today","id":"ITEM-1","issued":{"date-parts":[["2016","1"]]},"page":"255-263","title":"Pedagogical strategies to teach bachelor students evidence-based practice: A systematic review","type":"article-journal","volume":"36"},"uris":["http://www.mendeley.com/documents/?uuid=a9dc9fdc-c312-30d4-b281-2b07e0cc0cfc"]}],"mendeley":{"formattedCitation":"[10]","plainTextFormattedCitation":"[10]","previouslyFormattedCitation":"[10]"},"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[10]</w:t>
      </w:r>
      <w:r w:rsidR="00A74FC3">
        <w:rPr>
          <w:rFonts w:eastAsia="Calibri"/>
          <w:color w:val="000000" w:themeColor="text1"/>
          <w:sz w:val="20"/>
          <w:szCs w:val="20"/>
        </w:rPr>
        <w:fldChar w:fldCharType="end"/>
      </w:r>
      <w:r w:rsidRPr="00CD3C9A">
        <w:rPr>
          <w:rFonts w:eastAsia="Calibri"/>
          <w:color w:val="000000" w:themeColor="text1"/>
          <w:sz w:val="20"/>
          <w:szCs w:val="20"/>
        </w:rPr>
        <w:t xml:space="preserve"> </w:t>
      </w:r>
    </w:p>
    <w:p w14:paraId="6169CBF6" w14:textId="3F4EA82E" w:rsidR="00C03656" w:rsidRPr="00CD3C9A" w:rsidRDefault="00470919" w:rsidP="00CD3C9A">
      <w:pPr>
        <w:spacing w:line="360" w:lineRule="auto"/>
        <w:rPr>
          <w:rFonts w:eastAsia="Calibri"/>
          <w:color w:val="000000" w:themeColor="text1"/>
          <w:sz w:val="20"/>
          <w:szCs w:val="20"/>
        </w:rPr>
      </w:pPr>
      <w:r w:rsidRPr="00CD3C9A">
        <w:rPr>
          <w:color w:val="222222"/>
          <w:sz w:val="20"/>
          <w:szCs w:val="20"/>
          <w:shd w:val="clear" w:color="auto" w:fill="FFFFFF"/>
        </w:rPr>
        <w:t>Although this method is a traditional teaching tool it lacks an evidence base in the realm of CLE. Intuitively, improvement in clinical skills would be expected from practising them but it would be useful to know if there is an optimum form and length of practice.</w:t>
      </w:r>
    </w:p>
    <w:p w14:paraId="194A239C" w14:textId="77777777" w:rsidR="00F55084" w:rsidRPr="00CD3C9A" w:rsidRDefault="00F55084" w:rsidP="00CD3C9A">
      <w:pPr>
        <w:pStyle w:val="Heading2"/>
        <w:spacing w:before="0" w:after="0" w:line="360" w:lineRule="auto"/>
        <w:rPr>
          <w:color w:val="000000" w:themeColor="text1"/>
          <w:sz w:val="20"/>
          <w:szCs w:val="20"/>
        </w:rPr>
      </w:pPr>
    </w:p>
    <w:p w14:paraId="32C28292" w14:textId="2E5C32D2" w:rsidR="00C03656" w:rsidRPr="00CD3C9A" w:rsidRDefault="00BB302A" w:rsidP="00CD3C9A">
      <w:pPr>
        <w:pStyle w:val="Heading2"/>
        <w:spacing w:before="0" w:after="0" w:line="360" w:lineRule="auto"/>
        <w:rPr>
          <w:color w:val="000000" w:themeColor="text1"/>
          <w:sz w:val="20"/>
          <w:szCs w:val="20"/>
          <w:u w:val="single"/>
        </w:rPr>
      </w:pPr>
      <w:r w:rsidRPr="00CD3C9A">
        <w:rPr>
          <w:color w:val="000000" w:themeColor="text1"/>
          <w:sz w:val="20"/>
          <w:szCs w:val="20"/>
          <w:u w:val="single"/>
        </w:rPr>
        <w:t xml:space="preserve">Journal </w:t>
      </w:r>
      <w:r w:rsidR="00F55084" w:rsidRPr="00CD3C9A">
        <w:rPr>
          <w:color w:val="000000" w:themeColor="text1"/>
          <w:sz w:val="20"/>
          <w:szCs w:val="20"/>
          <w:u w:val="single"/>
        </w:rPr>
        <w:t>c</w:t>
      </w:r>
      <w:r w:rsidRPr="00CD3C9A">
        <w:rPr>
          <w:color w:val="000000" w:themeColor="text1"/>
          <w:sz w:val="20"/>
          <w:szCs w:val="20"/>
          <w:u w:val="single"/>
        </w:rPr>
        <w:t>lubs</w:t>
      </w:r>
    </w:p>
    <w:p w14:paraId="12A10811" w14:textId="684BAA28" w:rsidR="00AC390E" w:rsidRPr="00CD3C9A" w:rsidRDefault="00AC390E" w:rsidP="00CD3C9A">
      <w:pPr>
        <w:spacing w:line="360" w:lineRule="auto"/>
        <w:rPr>
          <w:rFonts w:eastAsia="Calibri"/>
          <w:color w:val="000000" w:themeColor="text1"/>
          <w:sz w:val="20"/>
          <w:szCs w:val="20"/>
        </w:rPr>
      </w:pPr>
      <w:r w:rsidRPr="00CD3C9A">
        <w:rPr>
          <w:rFonts w:eastAsia="Calibri"/>
          <w:color w:val="000000" w:themeColor="text1"/>
          <w:sz w:val="20"/>
          <w:szCs w:val="20"/>
        </w:rPr>
        <w:t>J</w:t>
      </w:r>
      <w:r w:rsidR="00BB302A" w:rsidRPr="00CD3C9A">
        <w:rPr>
          <w:rFonts w:eastAsia="Calibri"/>
          <w:color w:val="000000" w:themeColor="text1"/>
          <w:sz w:val="20"/>
          <w:szCs w:val="20"/>
        </w:rPr>
        <w:t>ournal club</w:t>
      </w:r>
      <w:r w:rsidRPr="00CD3C9A">
        <w:rPr>
          <w:rFonts w:eastAsia="Calibri"/>
          <w:color w:val="000000" w:themeColor="text1"/>
          <w:sz w:val="20"/>
          <w:szCs w:val="20"/>
        </w:rPr>
        <w:t>s</w:t>
      </w:r>
      <w:r w:rsidR="00571E59" w:rsidRPr="00CD3C9A">
        <w:rPr>
          <w:rFonts w:eastAsia="Calibri"/>
          <w:color w:val="000000" w:themeColor="text1"/>
          <w:sz w:val="20"/>
          <w:szCs w:val="20"/>
        </w:rPr>
        <w:t xml:space="preserve"> </w:t>
      </w:r>
      <w:r w:rsidRPr="00CD3C9A">
        <w:rPr>
          <w:rFonts w:eastAsia="Calibri"/>
          <w:color w:val="000000" w:themeColor="text1"/>
          <w:sz w:val="20"/>
          <w:szCs w:val="20"/>
        </w:rPr>
        <w:t xml:space="preserve">are </w:t>
      </w:r>
      <w:r w:rsidR="00571E59" w:rsidRPr="00CD3C9A">
        <w:rPr>
          <w:rFonts w:eastAsia="Calibri"/>
          <w:color w:val="000000" w:themeColor="text1"/>
          <w:sz w:val="20"/>
          <w:szCs w:val="20"/>
        </w:rPr>
        <w:t xml:space="preserve">a </w:t>
      </w:r>
      <w:r w:rsidR="00D01201" w:rsidRPr="00CD3C9A">
        <w:rPr>
          <w:rFonts w:eastAsia="Calibri"/>
          <w:color w:val="000000" w:themeColor="text1"/>
          <w:sz w:val="20"/>
          <w:szCs w:val="20"/>
        </w:rPr>
        <w:t>face-to-face</w:t>
      </w:r>
      <w:r w:rsidR="00571E59" w:rsidRPr="00CD3C9A">
        <w:rPr>
          <w:rFonts w:eastAsia="Calibri"/>
          <w:color w:val="000000" w:themeColor="text1"/>
          <w:sz w:val="20"/>
          <w:szCs w:val="20"/>
        </w:rPr>
        <w:t xml:space="preserve"> teaching </w:t>
      </w:r>
      <w:r w:rsidRPr="00CD3C9A">
        <w:rPr>
          <w:rFonts w:eastAsia="Calibri"/>
          <w:color w:val="000000" w:themeColor="text1"/>
          <w:sz w:val="20"/>
          <w:szCs w:val="20"/>
        </w:rPr>
        <w:t xml:space="preserve">and learning </w:t>
      </w:r>
      <w:r w:rsidR="00571E59" w:rsidRPr="00CD3C9A">
        <w:rPr>
          <w:rFonts w:eastAsia="Calibri"/>
          <w:color w:val="000000" w:themeColor="text1"/>
          <w:sz w:val="20"/>
          <w:szCs w:val="20"/>
        </w:rPr>
        <w:t>activity where student</w:t>
      </w:r>
      <w:r w:rsidR="00F55084" w:rsidRPr="00CD3C9A">
        <w:rPr>
          <w:rFonts w:eastAsia="Calibri"/>
          <w:color w:val="000000" w:themeColor="text1"/>
          <w:sz w:val="20"/>
          <w:szCs w:val="20"/>
        </w:rPr>
        <w:t>s</w:t>
      </w:r>
      <w:r w:rsidR="00571E59" w:rsidRPr="00CD3C9A">
        <w:rPr>
          <w:rFonts w:eastAsia="Calibri"/>
          <w:color w:val="000000" w:themeColor="text1"/>
          <w:sz w:val="20"/>
          <w:szCs w:val="20"/>
        </w:rPr>
        <w:t xml:space="preserve"> </w:t>
      </w:r>
      <w:r w:rsidRPr="00CD3C9A">
        <w:rPr>
          <w:rFonts w:eastAsia="Calibri"/>
          <w:color w:val="000000" w:themeColor="text1"/>
          <w:sz w:val="20"/>
          <w:szCs w:val="20"/>
        </w:rPr>
        <w:t>meet to critique and discuss research articles</w:t>
      </w:r>
      <w:r w:rsidR="00571E59" w:rsidRPr="00CD3C9A">
        <w:rPr>
          <w:rFonts w:eastAsia="Calibri"/>
          <w:color w:val="000000" w:themeColor="text1"/>
          <w:sz w:val="20"/>
          <w:szCs w:val="20"/>
        </w:rPr>
        <w:t xml:space="preserve">. </w:t>
      </w:r>
      <w:r w:rsidRPr="00CD3C9A">
        <w:rPr>
          <w:rFonts w:eastAsia="Calibri"/>
          <w:color w:val="000000" w:themeColor="text1"/>
          <w:sz w:val="20"/>
          <w:szCs w:val="20"/>
        </w:rPr>
        <w:t>The</w:t>
      </w:r>
      <w:r w:rsidR="00351E6D">
        <w:rPr>
          <w:rFonts w:eastAsia="Calibri"/>
          <w:color w:val="000000" w:themeColor="text1"/>
          <w:sz w:val="20"/>
          <w:szCs w:val="20"/>
        </w:rPr>
        <w:t>y</w:t>
      </w:r>
      <w:r w:rsidRPr="00CD3C9A">
        <w:rPr>
          <w:rFonts w:eastAsia="Calibri"/>
          <w:color w:val="000000" w:themeColor="text1"/>
          <w:sz w:val="20"/>
          <w:szCs w:val="20"/>
        </w:rPr>
        <w:t xml:space="preserve"> are a part of medical education and are thought to be a way to improve knowledge. They are frequently used to help novices understand the structure of research papers. </w:t>
      </w:r>
      <w:r w:rsidR="00D01201" w:rsidRPr="00CD3C9A">
        <w:rPr>
          <w:rFonts w:eastAsia="Calibri"/>
          <w:color w:val="000000" w:themeColor="text1"/>
          <w:sz w:val="20"/>
          <w:szCs w:val="20"/>
        </w:rPr>
        <w:t>Usually,</w:t>
      </w:r>
      <w:r w:rsidR="00571E59" w:rsidRPr="00CD3C9A">
        <w:rPr>
          <w:rFonts w:eastAsia="Calibri"/>
          <w:color w:val="000000" w:themeColor="text1"/>
          <w:sz w:val="20"/>
          <w:szCs w:val="20"/>
        </w:rPr>
        <w:t xml:space="preserve"> one or two students present and lead the discussion. This</w:t>
      </w:r>
      <w:r w:rsidR="00BB302A" w:rsidRPr="00CD3C9A">
        <w:rPr>
          <w:rFonts w:eastAsia="Calibri"/>
          <w:color w:val="000000" w:themeColor="text1"/>
          <w:sz w:val="20"/>
          <w:szCs w:val="20"/>
        </w:rPr>
        <w:t xml:space="preserve"> could be a supplement to </w:t>
      </w:r>
      <w:r w:rsidR="00571E59" w:rsidRPr="00CD3C9A">
        <w:rPr>
          <w:rFonts w:eastAsia="Calibri"/>
          <w:color w:val="000000" w:themeColor="text1"/>
          <w:sz w:val="20"/>
          <w:szCs w:val="20"/>
        </w:rPr>
        <w:t>clin</w:t>
      </w:r>
      <w:r w:rsidR="00F55084" w:rsidRPr="00CD3C9A">
        <w:rPr>
          <w:rFonts w:eastAsia="Calibri"/>
          <w:color w:val="000000" w:themeColor="text1"/>
          <w:sz w:val="20"/>
          <w:szCs w:val="20"/>
        </w:rPr>
        <w:t>i</w:t>
      </w:r>
      <w:r w:rsidR="00571E59" w:rsidRPr="00CD3C9A">
        <w:rPr>
          <w:rFonts w:eastAsia="Calibri"/>
          <w:color w:val="000000" w:themeColor="text1"/>
          <w:sz w:val="20"/>
          <w:szCs w:val="20"/>
        </w:rPr>
        <w:t xml:space="preserve">cal </w:t>
      </w:r>
      <w:r w:rsidR="00BB302A" w:rsidRPr="00CD3C9A">
        <w:rPr>
          <w:rFonts w:eastAsia="Calibri"/>
          <w:color w:val="000000" w:themeColor="text1"/>
          <w:sz w:val="20"/>
          <w:szCs w:val="20"/>
        </w:rPr>
        <w:t>lectures or as part of a collaboration with clinical practice</w:t>
      </w:r>
      <w:r w:rsidR="00571E59" w:rsidRPr="00CD3C9A">
        <w:rPr>
          <w:rFonts w:eastAsia="Calibri"/>
          <w:color w:val="000000" w:themeColor="text1"/>
          <w:sz w:val="20"/>
          <w:szCs w:val="20"/>
        </w:rPr>
        <w:t xml:space="preserve"> acting as a good demonstration of</w:t>
      </w:r>
      <w:r w:rsidR="00BB302A" w:rsidRPr="00CD3C9A">
        <w:rPr>
          <w:rFonts w:eastAsia="Calibri"/>
          <w:color w:val="000000" w:themeColor="text1"/>
          <w:sz w:val="20"/>
          <w:szCs w:val="20"/>
        </w:rPr>
        <w:t xml:space="preserve"> </w:t>
      </w:r>
      <w:r w:rsidR="001F4420" w:rsidRPr="00CD3C9A">
        <w:rPr>
          <w:rFonts w:eastAsia="Calibri"/>
          <w:color w:val="000000" w:themeColor="text1"/>
          <w:sz w:val="20"/>
          <w:szCs w:val="20"/>
        </w:rPr>
        <w:t>EBP</w:t>
      </w:r>
      <w:r w:rsidR="00571E59" w:rsidRPr="00CD3C9A">
        <w:rPr>
          <w:rFonts w:eastAsia="Calibri"/>
          <w:color w:val="000000" w:themeColor="text1"/>
          <w:sz w:val="20"/>
          <w:szCs w:val="20"/>
        </w:rPr>
        <w:t>,</w:t>
      </w:r>
      <w:r w:rsidR="00BB302A" w:rsidRPr="00CD3C9A">
        <w:rPr>
          <w:rFonts w:eastAsia="Calibri"/>
          <w:color w:val="000000" w:themeColor="text1"/>
          <w:sz w:val="20"/>
          <w:szCs w:val="20"/>
        </w:rPr>
        <w:t xml:space="preserve"> critical appraisal skills and decision-making.</w:t>
      </w:r>
      <w:r w:rsidR="00A74FC3">
        <w:rPr>
          <w:rFonts w:eastAsia="Calibri"/>
          <w:color w:val="000000" w:themeColor="text1"/>
          <w:sz w:val="20"/>
          <w:szCs w:val="20"/>
        </w:rPr>
        <w:fldChar w:fldCharType="begin" w:fldLock="1"/>
      </w:r>
      <w:r w:rsidR="00A74FC3">
        <w:rPr>
          <w:rFonts w:eastAsia="Calibri"/>
          <w:color w:val="000000" w:themeColor="text1"/>
          <w:sz w:val="20"/>
          <w:szCs w:val="20"/>
        </w:rPr>
        <w:instrText>ADDIN CSL_CITATION {"citationItems":[{"id":"ITEM-1","itemData":{"DOI":"10.1097/OPX.0000000000000550","ISSN":"15389235","PMID":"25785532","abstract":"Purpose. Evidence-based practice (EBP) is an essential component of good quality, patient-centered health care. This requires practitioners to acquire EBP skills and knowledge during undergraduate and continuing education. Evidence-based practice education exists in a range of health care disciplines, including optometry. Evidence-based practice education, however, depends on relevant skills and knowledge in educators. Courses and workshops exist for the development of EBP teaching skills in some areas of health care but not in optometry. Here, we describe a pilot workshop designed to enhance the teaching of EBP and to investigate the perspectives of optometric educators on EBP including their attitudes and perceived barriers to EBP and its teaching. Methods. Twenty-seven optometric educators including 8 facilitators participated. Of these, 14 were academics (including the 8 facilitators) and 13 were practitioners. Evidence-based practice attitudes were assessed using the Evidence-Based Practice Attitude Scale-50 with appropriate modifications for optometry. Workshop design incorporated strategies to trigger discussionamong participants.Anominal group techniquewas used to identify, prioritize, and reach consensus on barriers to EBP. Results. Although some participants expressed reservations about EBP, a common understanding of the contemporary definition of EBP emerged in educators. Thirty-five barriers to EBP were identified; ''time'' was selected in the top five barriers by most participants and attracted the highest total score, well above any other barrier (negative attitude to EBP, volume of evidence, integration with clinical practice, and lack of lifelong learning mind-set). Attitudes toward EBP were generally positive and negatively correlated with age and time since graduation, respectively. Conclusions. A group of optometrists and academics new to implementing education in EBP displayed positive attitudes to EBP but considered that its application and teaching could be significantly hindered by a lack of time to access and appraise the large volume of available research evidence in the field of eye care.","author":[{"dropping-particle":"","family":"Suttle","given":"Catherine M.","non-dropping-particle":"","parse-names":false,"suffix":""},{"dropping-particle":"","family":"Challinor","given":"Kirsten L.","non-dropping-particle":"","parse-names":false,"suffix":""},{"dropping-particle":"","family":"Thompson","given":"Rachel E.","non-dropping-particle":"","parse-names":false,"suffix":""},{"dropping-particle":"","family":"Pesudovs","given":"Konrad","non-dropping-particle":"","parse-names":false,"suffix":""},{"dropping-particle":"","family":"Togher","given":"Leanne","non-dropping-particle":"","parse-names":false,"suffix":""},{"dropping-particle":"","family":"Chiavaroli","given":"Neville","non-dropping-particle":"","parse-names":false,"suffix":""},{"dropping-particle":"","family":"Lee","given":"Adrian","non-dropping-particle":"","parse-names":false,"suffix":""},{"dropping-particle":"","family":"Junghans","given":"Barbara","non-dropping-particle":"","parse-names":false,"suffix":""},{"dropping-particle":"","family":"Stapleton","given":"Fiona","non-dropping-particle":"","parse-names":false,"suffix":""},{"dropping-particle":"","family":"Watt","given":"Kathleen","non-dropping-particle":"","parse-names":false,"suffix":""},{"dropping-particle":"","family":"Jalbert","given":"Isabelle","non-dropping-particle":"","parse-names":false,"suffix":""}],"container-title":"Optometry and Vision Science","id":"ITEM-1","issue":"4","issued":{"date-parts":[["2015"]]},"page":"514-523","title":"Attitudes and barriers to evidence-based practice in optometry educators","type":"article-journal","volume":"92"},"uris":["http://www.mendeley.com/documents/?uuid=1e0d42c8-c26f-4266-b7e4-0c4755933604"]}],"mendeley":{"formattedCitation":"[11]","plainTextFormattedCitation":"[11]","previouslyFormattedCitation":"[11]"},"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[11]</w:t>
      </w:r>
      <w:r w:rsidR="00A74FC3">
        <w:rPr>
          <w:rFonts w:eastAsia="Calibri"/>
          <w:color w:val="000000" w:themeColor="text1"/>
          <w:sz w:val="20"/>
          <w:szCs w:val="20"/>
        </w:rPr>
        <w:fldChar w:fldCharType="end"/>
      </w:r>
      <w:r w:rsidR="00F55084" w:rsidRPr="00CD3C9A">
        <w:rPr>
          <w:rFonts w:eastAsia="Calibri"/>
          <w:color w:val="000000" w:themeColor="text1"/>
          <w:sz w:val="20"/>
          <w:szCs w:val="20"/>
        </w:rPr>
        <w:t xml:space="preserve"> These are </w:t>
      </w:r>
      <w:r w:rsidR="00D01201" w:rsidRPr="00CD3C9A">
        <w:rPr>
          <w:rFonts w:eastAsia="Calibri"/>
          <w:color w:val="000000" w:themeColor="text1"/>
          <w:sz w:val="20"/>
          <w:szCs w:val="20"/>
        </w:rPr>
        <w:t xml:space="preserve">all important aspects of </w:t>
      </w:r>
      <w:r w:rsidR="00F55084" w:rsidRPr="00CD3C9A">
        <w:rPr>
          <w:rFonts w:eastAsia="Calibri"/>
          <w:color w:val="000000" w:themeColor="text1"/>
          <w:sz w:val="20"/>
          <w:szCs w:val="20"/>
        </w:rPr>
        <w:t xml:space="preserve">becoming and </w:t>
      </w:r>
      <w:r w:rsidR="00BB302A" w:rsidRPr="00CD3C9A">
        <w:rPr>
          <w:rFonts w:eastAsia="Calibri"/>
          <w:color w:val="000000" w:themeColor="text1"/>
          <w:sz w:val="20"/>
          <w:szCs w:val="20"/>
        </w:rPr>
        <w:t>being a competent clinician</w:t>
      </w:r>
      <w:r w:rsidR="00A74FC3">
        <w:rPr>
          <w:rFonts w:eastAsia="Calibri"/>
          <w:color w:val="000000" w:themeColor="text1"/>
          <w:sz w:val="20"/>
          <w:szCs w:val="20"/>
        </w:rPr>
        <w:t>.</w:t>
      </w:r>
      <w:r w:rsidR="00A74FC3">
        <w:rPr>
          <w:rFonts w:eastAsia="Calibri"/>
          <w:color w:val="000000" w:themeColor="text1"/>
          <w:sz w:val="20"/>
          <w:szCs w:val="20"/>
        </w:rPr>
        <w:fldChar w:fldCharType="begin" w:fldLock="1"/>
      </w:r>
      <w:r w:rsidR="003E0117">
        <w:rPr>
          <w:rFonts w:eastAsia="Calibri"/>
          <w:color w:val="000000" w:themeColor="text1"/>
          <w:sz w:val="20"/>
          <w:szCs w:val="20"/>
        </w:rPr>
        <w:instrText>ADDIN CSL_CITATION {"citationItems":[{"id":"ITEM-1","itemData":{"DOI":"10.1136/ebmed-2017-110861","ISSN":"14736810","author":[{"dropping-particle":"","family":"Aronson","given":"Jeffrey K.","non-dropping-particle":"","parse-names":false,"suffix":""}],"container-title":"Evidence-Based Medicine","id":"ITEM-1","issue":"6","issued":{"date-parts":[["2017"]]},"page":"232-234","title":"Journal Clubs: 2. Why and how to run them and how to publish them","type":"article","volume":"22"},"uris":["http://www.mendeley.com/documents/?uuid=4ca8f4ea-15c1-4016-84fe-7cee0945d9a4"]}],"mendeley":{"formattedCitation":"[12]","plainTextFormattedCitation":"[12]","previouslyFormattedCitation":"[12]"},"properties":{"noteIndex":0},"schema":"https://github.com/citation-style-language/schema/raw/master/csl-citation.json"}</w:instrText>
      </w:r>
      <w:r w:rsidR="00A74FC3">
        <w:rPr>
          <w:rFonts w:eastAsia="Calibri"/>
          <w:color w:val="000000" w:themeColor="text1"/>
          <w:sz w:val="20"/>
          <w:szCs w:val="20"/>
        </w:rPr>
        <w:fldChar w:fldCharType="separate"/>
      </w:r>
      <w:r w:rsidR="00A74FC3" w:rsidRPr="00A74FC3">
        <w:rPr>
          <w:rFonts w:eastAsia="Calibri"/>
          <w:noProof/>
          <w:color w:val="000000" w:themeColor="text1"/>
          <w:sz w:val="20"/>
          <w:szCs w:val="20"/>
        </w:rPr>
        <w:t>[12]</w:t>
      </w:r>
      <w:r w:rsidR="00A74FC3">
        <w:rPr>
          <w:rFonts w:eastAsia="Calibri"/>
          <w:color w:val="000000" w:themeColor="text1"/>
          <w:sz w:val="20"/>
          <w:szCs w:val="20"/>
        </w:rPr>
        <w:fldChar w:fldCharType="end"/>
      </w:r>
      <w:r w:rsidR="00BB302A" w:rsidRPr="00CD3C9A">
        <w:rPr>
          <w:rFonts w:eastAsia="Calibri"/>
          <w:color w:val="000000" w:themeColor="text1"/>
          <w:sz w:val="20"/>
          <w:szCs w:val="20"/>
        </w:rPr>
        <w:t xml:space="preserve"> </w:t>
      </w:r>
      <w:r w:rsidR="00D01201" w:rsidRPr="00CD3C9A">
        <w:rPr>
          <w:rFonts w:eastAsia="Calibri"/>
          <w:color w:val="000000" w:themeColor="text1"/>
          <w:sz w:val="20"/>
          <w:szCs w:val="20"/>
        </w:rPr>
        <w:t xml:space="preserve"> </w:t>
      </w:r>
      <w:r w:rsidRPr="00CD3C9A">
        <w:rPr>
          <w:rFonts w:eastAsia="Calibri"/>
          <w:color w:val="000000" w:themeColor="text1"/>
          <w:sz w:val="20"/>
          <w:szCs w:val="20"/>
        </w:rPr>
        <w:t xml:space="preserve">In terms of teaching and learning clinical skills, </w:t>
      </w:r>
      <w:r w:rsidRPr="00CD3C9A">
        <w:rPr>
          <w:color w:val="333333"/>
          <w:sz w:val="20"/>
          <w:szCs w:val="20"/>
          <w:shd w:val="clear" w:color="auto" w:fill="FFFFFF"/>
        </w:rPr>
        <w:t>linking journal club activities with routine clinical practice is important.</w:t>
      </w:r>
      <w:r w:rsidRPr="00F8338D">
        <w:rPr>
          <w:color w:val="333333"/>
          <w:sz w:val="20"/>
          <w:szCs w:val="20"/>
          <w:shd w:val="clear" w:color="auto" w:fill="FFFFFF"/>
        </w:rPr>
        <w:t xml:space="preserve"> </w:t>
      </w:r>
      <w:r w:rsidRPr="00CD3C9A">
        <w:rPr>
          <w:rFonts w:eastAsia="Calibri"/>
          <w:color w:val="000000" w:themeColor="text1"/>
          <w:sz w:val="20"/>
          <w:szCs w:val="20"/>
        </w:rPr>
        <w:t xml:space="preserve">However, a systematic review found that </w:t>
      </w:r>
      <w:r w:rsidRPr="00CD3C9A">
        <w:rPr>
          <w:color w:val="1C1D1E"/>
          <w:sz w:val="20"/>
          <w:szCs w:val="20"/>
          <w:shd w:val="clear" w:color="auto" w:fill="FFFFFF"/>
        </w:rPr>
        <w:t xml:space="preserve">there is insufficient evidence to support the effectiveness of journal clubs in improving the knowledge, attitudes, and implementation of evidence-based skills by health professionals in clinical practice. </w:t>
      </w:r>
      <w:r w:rsidRPr="00CD3C9A">
        <w:rPr>
          <w:color w:val="222222"/>
          <w:sz w:val="20"/>
          <w:szCs w:val="20"/>
          <w:shd w:val="clear" w:color="auto" w:fill="FFFFFF"/>
        </w:rPr>
        <w:t xml:space="preserve">Although this method is a teaching tool used in some optometry schools it lacks an evidence base in the realm of CLE. It would be useful to know if there is an optimum format and the type of the content required to help develop clinical skills. </w:t>
      </w:r>
    </w:p>
    <w:p w14:paraId="7586939E" w14:textId="77777777" w:rsidR="00F55084" w:rsidRPr="00CD3C9A" w:rsidRDefault="00F55084" w:rsidP="00CD3C9A">
      <w:pPr>
        <w:spacing w:line="360" w:lineRule="auto"/>
        <w:rPr>
          <w:rFonts w:eastAsia="Calibri"/>
          <w:color w:val="000000" w:themeColor="text1"/>
          <w:sz w:val="20"/>
          <w:szCs w:val="20"/>
        </w:rPr>
      </w:pPr>
    </w:p>
    <w:p w14:paraId="0FB5BD73" w14:textId="116FE8D5" w:rsidR="00C03656" w:rsidRPr="00CD3C9A" w:rsidRDefault="00BB302A" w:rsidP="00CD3C9A">
      <w:pPr>
        <w:pStyle w:val="Heading2"/>
        <w:spacing w:before="0" w:after="0" w:line="360" w:lineRule="auto"/>
        <w:rPr>
          <w:color w:val="000000" w:themeColor="text1"/>
          <w:sz w:val="20"/>
          <w:szCs w:val="20"/>
          <w:u w:val="single"/>
        </w:rPr>
      </w:pPr>
      <w:r w:rsidRPr="00CD3C9A">
        <w:rPr>
          <w:color w:val="000000" w:themeColor="text1"/>
          <w:sz w:val="20"/>
          <w:szCs w:val="20"/>
          <w:u w:val="single"/>
        </w:rPr>
        <w:t xml:space="preserve">Flipped </w:t>
      </w:r>
      <w:r w:rsidR="00F55084" w:rsidRPr="00CD3C9A">
        <w:rPr>
          <w:color w:val="000000" w:themeColor="text1"/>
          <w:sz w:val="20"/>
          <w:szCs w:val="20"/>
          <w:u w:val="single"/>
        </w:rPr>
        <w:t>c</w:t>
      </w:r>
      <w:r w:rsidRPr="00CD3C9A">
        <w:rPr>
          <w:color w:val="000000" w:themeColor="text1"/>
          <w:sz w:val="20"/>
          <w:szCs w:val="20"/>
          <w:u w:val="single"/>
        </w:rPr>
        <w:t>lasses</w:t>
      </w:r>
    </w:p>
    <w:p w14:paraId="4A31A43E" w14:textId="6AAD4D9F" w:rsidR="00C03656" w:rsidRPr="00CD3C9A" w:rsidRDefault="00BB302A" w:rsidP="00CD3C9A">
      <w:pPr>
        <w:spacing w:line="360" w:lineRule="auto"/>
        <w:rPr>
          <w:rFonts w:eastAsia="Calibri"/>
          <w:color w:val="000000" w:themeColor="text1"/>
          <w:sz w:val="20"/>
          <w:szCs w:val="20"/>
        </w:rPr>
      </w:pPr>
      <w:r w:rsidRPr="00CD3C9A">
        <w:rPr>
          <w:rFonts w:eastAsia="Calibri"/>
          <w:color w:val="000000" w:themeColor="text1"/>
          <w:sz w:val="20"/>
          <w:szCs w:val="20"/>
        </w:rPr>
        <w:t>Flipped classes can</w:t>
      </w:r>
      <w:r w:rsidR="00D01201" w:rsidRPr="00CD3C9A">
        <w:rPr>
          <w:rFonts w:eastAsia="Calibri"/>
          <w:color w:val="000000" w:themeColor="text1"/>
          <w:sz w:val="20"/>
          <w:szCs w:val="20"/>
        </w:rPr>
        <w:t xml:space="preserve"> be considered an active learning opportunity whereby students present prepared material while </w:t>
      </w:r>
      <w:r w:rsidRPr="00CD3C9A">
        <w:rPr>
          <w:rFonts w:eastAsia="Calibri"/>
          <w:color w:val="000000" w:themeColor="text1"/>
          <w:sz w:val="20"/>
          <w:szCs w:val="20"/>
        </w:rPr>
        <w:t>working in small groups</w:t>
      </w:r>
      <w:r w:rsidR="00F55084" w:rsidRPr="00CD3C9A">
        <w:rPr>
          <w:rFonts w:eastAsia="Calibri"/>
          <w:color w:val="000000" w:themeColor="text1"/>
          <w:sz w:val="20"/>
          <w:szCs w:val="20"/>
        </w:rPr>
        <w:t>. D</w:t>
      </w:r>
      <w:r w:rsidRPr="00CD3C9A">
        <w:rPr>
          <w:rFonts w:eastAsia="Calibri"/>
          <w:color w:val="000000" w:themeColor="text1"/>
          <w:sz w:val="20"/>
          <w:szCs w:val="20"/>
        </w:rPr>
        <w:t>iscuss</w:t>
      </w:r>
      <w:r w:rsidR="00D01201" w:rsidRPr="00CD3C9A">
        <w:rPr>
          <w:rFonts w:eastAsia="Calibri"/>
          <w:color w:val="000000" w:themeColor="text1"/>
          <w:sz w:val="20"/>
          <w:szCs w:val="20"/>
        </w:rPr>
        <w:t>ions</w:t>
      </w:r>
      <w:r w:rsidRPr="00CD3C9A">
        <w:rPr>
          <w:rFonts w:eastAsia="Calibri"/>
          <w:color w:val="000000" w:themeColor="text1"/>
          <w:sz w:val="20"/>
          <w:szCs w:val="20"/>
        </w:rPr>
        <w:t xml:space="preserve"> and question</w:t>
      </w:r>
      <w:r w:rsidR="00D01201" w:rsidRPr="00CD3C9A">
        <w:rPr>
          <w:rFonts w:eastAsia="Calibri"/>
          <w:color w:val="000000" w:themeColor="text1"/>
          <w:sz w:val="20"/>
          <w:szCs w:val="20"/>
        </w:rPr>
        <w:t xml:space="preserve">s </w:t>
      </w:r>
      <w:r w:rsidR="00F55084" w:rsidRPr="00CD3C9A">
        <w:rPr>
          <w:rFonts w:eastAsia="Calibri"/>
          <w:color w:val="000000" w:themeColor="text1"/>
          <w:sz w:val="20"/>
          <w:szCs w:val="20"/>
        </w:rPr>
        <w:t xml:space="preserve">are </w:t>
      </w:r>
      <w:r w:rsidR="00D01201" w:rsidRPr="00CD3C9A">
        <w:rPr>
          <w:rFonts w:eastAsia="Calibri"/>
          <w:color w:val="000000" w:themeColor="text1"/>
          <w:sz w:val="20"/>
          <w:szCs w:val="20"/>
        </w:rPr>
        <w:t xml:space="preserve">guided by the teacher. Generally, </w:t>
      </w:r>
      <w:r w:rsidR="00F55084" w:rsidRPr="00CD3C9A">
        <w:rPr>
          <w:rFonts w:eastAsia="Calibri"/>
          <w:color w:val="000000" w:themeColor="text1"/>
          <w:sz w:val="20"/>
          <w:szCs w:val="20"/>
        </w:rPr>
        <w:t xml:space="preserve">they are </w:t>
      </w:r>
      <w:r w:rsidRPr="00CD3C9A">
        <w:rPr>
          <w:rFonts w:eastAsia="Calibri"/>
          <w:color w:val="000000" w:themeColor="text1"/>
          <w:sz w:val="20"/>
          <w:szCs w:val="20"/>
        </w:rPr>
        <w:t>used to reinforce understanding of EBP</w:t>
      </w:r>
      <w:r w:rsidR="00F55084" w:rsidRPr="00CD3C9A">
        <w:rPr>
          <w:rFonts w:eastAsia="Calibri"/>
          <w:color w:val="000000" w:themeColor="text1"/>
          <w:sz w:val="20"/>
          <w:szCs w:val="20"/>
        </w:rPr>
        <w:t xml:space="preserve">, </w:t>
      </w:r>
      <w:r w:rsidRPr="00CD3C9A">
        <w:rPr>
          <w:rFonts w:eastAsia="Calibri"/>
          <w:color w:val="000000" w:themeColor="text1"/>
          <w:sz w:val="20"/>
          <w:szCs w:val="20"/>
        </w:rPr>
        <w:t xml:space="preserve">to begin the development of </w:t>
      </w:r>
      <w:r w:rsidR="00D01201" w:rsidRPr="00CD3C9A">
        <w:rPr>
          <w:rFonts w:eastAsia="Calibri"/>
          <w:color w:val="000000" w:themeColor="text1"/>
          <w:sz w:val="20"/>
          <w:szCs w:val="20"/>
        </w:rPr>
        <w:t xml:space="preserve">professional </w:t>
      </w:r>
      <w:r w:rsidRPr="00CD3C9A">
        <w:rPr>
          <w:rFonts w:eastAsia="Calibri"/>
          <w:color w:val="000000" w:themeColor="text1"/>
          <w:sz w:val="20"/>
          <w:szCs w:val="20"/>
        </w:rPr>
        <w:t>attitude</w:t>
      </w:r>
      <w:r w:rsidR="00D01201" w:rsidRPr="00CD3C9A">
        <w:rPr>
          <w:rFonts w:eastAsia="Calibri"/>
          <w:color w:val="000000" w:themeColor="text1"/>
          <w:sz w:val="20"/>
          <w:szCs w:val="20"/>
        </w:rPr>
        <w:t>s</w:t>
      </w:r>
      <w:r w:rsidRPr="00CD3C9A">
        <w:rPr>
          <w:rFonts w:eastAsia="Calibri"/>
          <w:color w:val="000000" w:themeColor="text1"/>
          <w:sz w:val="20"/>
          <w:szCs w:val="20"/>
        </w:rPr>
        <w:t xml:space="preserve">, </w:t>
      </w:r>
      <w:r w:rsidR="00D01201" w:rsidRPr="00CD3C9A">
        <w:rPr>
          <w:rFonts w:eastAsia="Calibri"/>
          <w:color w:val="000000" w:themeColor="text1"/>
          <w:sz w:val="20"/>
          <w:szCs w:val="20"/>
        </w:rPr>
        <w:t xml:space="preserve">and the understanding of the </w:t>
      </w:r>
      <w:r w:rsidRPr="00CD3C9A">
        <w:rPr>
          <w:rFonts w:eastAsia="Calibri"/>
          <w:color w:val="000000" w:themeColor="text1"/>
          <w:sz w:val="20"/>
          <w:szCs w:val="20"/>
        </w:rPr>
        <w:t>consequences of the lack of an evidence-based approach to clinical decision-making.</w:t>
      </w:r>
      <w:r w:rsidR="003E0117">
        <w:rPr>
          <w:rFonts w:eastAsia="Calibri"/>
          <w:color w:val="000000" w:themeColor="text1"/>
          <w:sz w:val="20"/>
          <w:szCs w:val="20"/>
        </w:rPr>
        <w:fldChar w:fldCharType="begin" w:fldLock="1"/>
      </w:r>
      <w:r w:rsidR="003E0117">
        <w:rPr>
          <w:rFonts w:eastAsia="Calibri"/>
          <w:color w:val="000000" w:themeColor="text1"/>
          <w:sz w:val="20"/>
          <w:szCs w:val="20"/>
        </w:rPr>
        <w:instrText>ADDIN CSL_CITATION {"citationItems":[{"id":"ITEM-1","itemData":{"abstract":"(OCULUS,2020) OCULUS., Teaching Methods for Evidence-based Practice in Optometry., Optom. Curric. Lifelong Learn. through Erasmus. (2020). https://www.oculuserasmus.org/wp-content/uploads/2020/04/OCULUS_Teaching-Manual-for-Evidence-Based-Practice-in-Optometry.pdf.","author":[{"dropping-particle":"","family":"OCULUS.","given":"","non-dropping-particle":"","parse-names":false,"suffix":""}],"container-title":"Optometry Curriculum for Lifelong Learning through Erasmus","id":"ITEM-1","issued":{"date-parts":[["2020","4"]]},"title":"Teaching Methods for Evidence-based Practice in Optometry.","type":"article-journal"},"uris":["http://www.mendeley.com/documents/?uuid=a6cb5394-7daa-34f4-aa55-6d50066a39d7"]}],"mendeley":{"formattedCitation":"[7]","plainTextFormattedCitation":"[7]","previouslyFormattedCitation":"[7]"},"properties":{"noteIndex":0},"schema":"https://github.com/citation-style-language/schema/raw/master/csl-citation.json"}</w:instrText>
      </w:r>
      <w:r w:rsidR="003E0117">
        <w:rPr>
          <w:rFonts w:eastAsia="Calibri"/>
          <w:color w:val="000000" w:themeColor="text1"/>
          <w:sz w:val="20"/>
          <w:szCs w:val="20"/>
        </w:rPr>
        <w:fldChar w:fldCharType="separate"/>
      </w:r>
      <w:r w:rsidR="003E0117" w:rsidRPr="003E0117">
        <w:rPr>
          <w:rFonts w:eastAsia="Calibri"/>
          <w:noProof/>
          <w:color w:val="000000" w:themeColor="text1"/>
          <w:sz w:val="20"/>
          <w:szCs w:val="20"/>
        </w:rPr>
        <w:t>[7]</w:t>
      </w:r>
      <w:r w:rsidR="003E0117">
        <w:rPr>
          <w:rFonts w:eastAsia="Calibri"/>
          <w:color w:val="000000" w:themeColor="text1"/>
          <w:sz w:val="20"/>
          <w:szCs w:val="20"/>
        </w:rPr>
        <w:fldChar w:fldCharType="end"/>
      </w:r>
      <w:r w:rsidR="003E0117">
        <w:rPr>
          <w:rFonts w:eastAsia="Calibri"/>
          <w:color w:val="000000" w:themeColor="text1"/>
          <w:sz w:val="20"/>
          <w:szCs w:val="20"/>
        </w:rPr>
        <w:t xml:space="preserve"> </w:t>
      </w:r>
      <w:r w:rsidRPr="00CD3C9A">
        <w:rPr>
          <w:rFonts w:eastAsia="Calibri"/>
          <w:color w:val="000000" w:themeColor="text1"/>
          <w:sz w:val="20"/>
          <w:szCs w:val="20"/>
        </w:rPr>
        <w:t xml:space="preserve">The combination with clinical practice is an effective and frequently used method for teaching EBP </w:t>
      </w:r>
      <w:r w:rsidR="00D01201" w:rsidRPr="00CD3C9A">
        <w:rPr>
          <w:rFonts w:eastAsia="Calibri"/>
          <w:color w:val="000000" w:themeColor="text1"/>
          <w:sz w:val="20"/>
          <w:szCs w:val="20"/>
        </w:rPr>
        <w:t>to</w:t>
      </w:r>
      <w:r w:rsidRPr="00CD3C9A">
        <w:rPr>
          <w:rFonts w:eastAsia="Calibri"/>
          <w:color w:val="000000" w:themeColor="text1"/>
          <w:sz w:val="20"/>
          <w:szCs w:val="20"/>
        </w:rPr>
        <w:t xml:space="preserve"> healthcare students.</w:t>
      </w:r>
      <w:r w:rsidR="003E0117">
        <w:rPr>
          <w:rFonts w:eastAsia="Calibri"/>
          <w:color w:val="000000" w:themeColor="text1"/>
          <w:sz w:val="20"/>
          <w:szCs w:val="20"/>
        </w:rPr>
        <w:fldChar w:fldCharType="begin" w:fldLock="1"/>
      </w:r>
      <w:r w:rsidR="003E0117">
        <w:rPr>
          <w:rFonts w:eastAsia="Calibri"/>
          <w:color w:val="000000" w:themeColor="text1"/>
          <w:sz w:val="20"/>
          <w:szCs w:val="20"/>
        </w:rPr>
        <w:instrText>ADDIN CSL_CITATION {"citationItems":[{"id":"ITEM-1","itemData":{"DOI":"10.1186/s12909-019-1681-0","ISSN":"1472-6920","author":[{"dropping-particle":"","family":"Larsen","given":"Camilla Marie","non-dropping-particle":"","parse-names":false,"suffix":""},{"dropping-particle":"","family":"Terkelsen","given":"Anne Seneca","non-dropping-particle":"","parse-names":false,"suffix":""},{"dropping-particle":"","family":"Carlsen","given":"Anne-Marie Fiala","non-dropping-particle":"","parse-names":false,"suffix":""},{"dropping-particle":"","family":"Kristensen","given":"Hanne Kaae","non-dropping-particle":"","parse-names":false,"suffix":""}],"container-title":"BMC Medical Education","id":"ITEM-1","issue":"1","issued":{"date-parts":[["2019","12","11"]]},"page":"259","title":"Methods for teaching evidence-based practice: a scoping review","type":"article-journal","volume":"19"},"uris":["http://www.mendeley.com/documents/?uuid=8170dd9f-0f2d-3812-83ca-2e0310f85ab9"]}],"mendeley":{"formattedCitation":"[13]","plainTextFormattedCitation":"[13]","previouslyFormattedCitation":"[13]"},"properties":{"noteIndex":0},"schema":"https://github.com/citation-style-language/schema/raw/master/csl-citation.json"}</w:instrText>
      </w:r>
      <w:r w:rsidR="003E0117">
        <w:rPr>
          <w:rFonts w:eastAsia="Calibri"/>
          <w:color w:val="000000" w:themeColor="text1"/>
          <w:sz w:val="20"/>
          <w:szCs w:val="20"/>
        </w:rPr>
        <w:fldChar w:fldCharType="separate"/>
      </w:r>
      <w:r w:rsidR="003E0117" w:rsidRPr="003E0117">
        <w:rPr>
          <w:rFonts w:eastAsia="Calibri"/>
          <w:noProof/>
          <w:color w:val="000000" w:themeColor="text1"/>
          <w:sz w:val="20"/>
          <w:szCs w:val="20"/>
        </w:rPr>
        <w:t>[13]</w:t>
      </w:r>
      <w:r w:rsidR="003E0117">
        <w:rPr>
          <w:rFonts w:eastAsia="Calibri"/>
          <w:color w:val="000000" w:themeColor="text1"/>
          <w:sz w:val="20"/>
          <w:szCs w:val="20"/>
        </w:rPr>
        <w:fldChar w:fldCharType="end"/>
      </w:r>
      <w:r w:rsidR="003E0117">
        <w:rPr>
          <w:rFonts w:eastAsia="Calibri"/>
          <w:color w:val="000000" w:themeColor="text1"/>
          <w:sz w:val="20"/>
          <w:szCs w:val="20"/>
        </w:rPr>
        <w:t xml:space="preserve"> </w:t>
      </w:r>
      <w:r w:rsidR="00AC390E" w:rsidRPr="00CD3C9A">
        <w:rPr>
          <w:rFonts w:eastAsia="Calibri"/>
          <w:color w:val="000000" w:themeColor="text1"/>
          <w:sz w:val="20"/>
          <w:szCs w:val="20"/>
        </w:rPr>
        <w:t xml:space="preserve">A study of ophthalmology residents who took a clinical optics exam found that those who were taught using a flipped class method scored around 7% (statistically significant) more in the end of module exam compared to those who were taught using </w:t>
      </w:r>
      <w:r w:rsidR="00AC390E" w:rsidRPr="00CD3C9A">
        <w:rPr>
          <w:rFonts w:eastAsia="Calibri"/>
          <w:color w:val="000000" w:themeColor="text1"/>
          <w:sz w:val="20"/>
          <w:szCs w:val="20"/>
        </w:rPr>
        <w:lastRenderedPageBreak/>
        <w:t>standard lectures</w:t>
      </w:r>
      <w:r w:rsidR="003E0117">
        <w:rPr>
          <w:rFonts w:eastAsia="Calibri"/>
          <w:color w:val="000000" w:themeColor="text1"/>
          <w:sz w:val="20"/>
          <w:szCs w:val="20"/>
        </w:rPr>
        <w:t>.</w:t>
      </w:r>
      <w:r w:rsidR="003E0117">
        <w:rPr>
          <w:rFonts w:eastAsia="Calibri"/>
          <w:color w:val="000000" w:themeColor="text1"/>
          <w:sz w:val="20"/>
          <w:szCs w:val="20"/>
        </w:rPr>
        <w:fldChar w:fldCharType="begin" w:fldLock="1"/>
      </w:r>
      <w:r w:rsidR="003E0117">
        <w:rPr>
          <w:rFonts w:eastAsia="Calibri"/>
          <w:color w:val="000000" w:themeColor="text1"/>
          <w:sz w:val="20"/>
          <w:szCs w:val="20"/>
        </w:rPr>
        <w:instrText>ADDIN CSL_CITATION {"citationItems":[{"id":"ITEM-1","itemData":{"DOI":"10.1055/s-0039-1683369","abstract":"Background Clinical optics is an essential part of ophthalmology resident education that can be challenging for both learners and teachers when taught using a lecture format. The effectiveness of a flipped classroom approach in this context has not been formally evaluated.Objective The main purpose of this article is to compare the effectiveness of flipped classroom versus lecture-based clinical optics curricula in a graduate medical education setting.Design Retrospective, nonrandomized, pre- and post-interventional study from 2009 to 2016.Setting, Participants Ophthalmology residency program at the Casey Eye Institute, Oregon Health &amp; Science University, an academic medical center in the United States. Participants included all ophthalmology residents able to take at least one Ophthalmic Knowledge Assessment Program (OKAP) examination during the years 2009 to 2016.Methods The clinical optics curriculum was changed from a lecture-based series to a flipped classroom curriculum and moved from the fall to winter during the 2012 to 2013 academic year. No major changes were made to the curriculum in other subject areas during the study period. Resident performance on the OKAP annual national in-service examination for the 4 years before and after the optics curriculum change was compared. Specifically, the scaled subtest scores from the Optics, Refraction, and Contact Lens subsection were examined, while scores from the 10 nonoptics subsections served as controls.Results Scores from 57 resident test administrations before the optics curriculum change and 59 after the optic curriculum change were available for comparison. The Optics, Refraction, and Contact Lens subsection mean scores were 50.37 ± 2.31 and 57.27 ± 2.47 before and after the optics curriculum change, respectively (mean ± 95% confidence interval). This was the only subsection score to show a statistically significant difference after the optics curriculum change (p = 0.00008).Conclusions and Relevance In comparison to a lecture-based curriculum, a flipped classroom approach to clinical optics education was found to be associated with higher ophthalmology resident performance on the optics subsection of the OKAP examination. Our study suggests that a flipped classroom format may be more effective than traditional lectures for teaching clinical optics in a graduate medical education setting.","author":[{"dropping-particle":"","family":"Tu","given":"Daniel","non-dropping-particle":"","parse-names":false,"suffix":""},{"dropping-particle":"","family":"Park","given":"Dong-Wouk","non-dropping-particle":"","parse-names":false,"suffix":""},{"dropping-particle":"","family":"Krisciunas","given":"Tammie","non-dropping-particle":"","parse-names":false,"suffix":""},{"dropping-particle":"","family":"Hwang","given":"Thomas","non-dropping-particle":"","parse-names":false,"suffix":""}],"container-title":"Journal of Academic Ophthalmology","id":"ITEM-1","issue":"01","issued":{"date-parts":[["2019"]]},"title":"Teaching Ophthalmology Residents Clinical Optics Via a Flipped Classroom Curriculum","type":"article-journal","volume":"11"},"uris":["http://www.mendeley.com/documents/?uuid=8c8f29df-4f50-3e34-8f8b-a6c69b925f54"]}],"mendeley":{"formattedCitation":"[14]","plainTextFormattedCitation":"[14]","previouslyFormattedCitation":"[14]"},"properties":{"noteIndex":0},"schema":"https://github.com/citation-style-language/schema/raw/master/csl-citation.json"}</w:instrText>
      </w:r>
      <w:r w:rsidR="003E0117">
        <w:rPr>
          <w:rFonts w:eastAsia="Calibri"/>
          <w:color w:val="000000" w:themeColor="text1"/>
          <w:sz w:val="20"/>
          <w:szCs w:val="20"/>
        </w:rPr>
        <w:fldChar w:fldCharType="separate"/>
      </w:r>
      <w:r w:rsidR="003E0117" w:rsidRPr="003E0117">
        <w:rPr>
          <w:rFonts w:eastAsia="Calibri"/>
          <w:noProof/>
          <w:color w:val="000000" w:themeColor="text1"/>
          <w:sz w:val="20"/>
          <w:szCs w:val="20"/>
        </w:rPr>
        <w:t>[14]</w:t>
      </w:r>
      <w:r w:rsidR="003E0117">
        <w:rPr>
          <w:rFonts w:eastAsia="Calibri"/>
          <w:color w:val="000000" w:themeColor="text1"/>
          <w:sz w:val="20"/>
          <w:szCs w:val="20"/>
        </w:rPr>
        <w:fldChar w:fldCharType="end"/>
      </w:r>
      <w:r w:rsidR="003E0117">
        <w:rPr>
          <w:rFonts w:eastAsia="Calibri"/>
          <w:color w:val="000000" w:themeColor="text1"/>
          <w:sz w:val="20"/>
          <w:szCs w:val="20"/>
        </w:rPr>
        <w:t xml:space="preserve"> </w:t>
      </w:r>
      <w:r w:rsidR="00466E7D" w:rsidRPr="00CD3C9A">
        <w:rPr>
          <w:rFonts w:eastAsia="Calibri"/>
          <w:color w:val="000000" w:themeColor="text1"/>
          <w:sz w:val="20"/>
          <w:szCs w:val="20"/>
        </w:rPr>
        <w:t xml:space="preserve"> </w:t>
      </w:r>
      <w:r w:rsidR="00AC390E" w:rsidRPr="00CD3C9A">
        <w:rPr>
          <w:rFonts w:eastAsia="Calibri"/>
          <w:color w:val="000000" w:themeColor="text1"/>
          <w:sz w:val="20"/>
          <w:szCs w:val="20"/>
        </w:rPr>
        <w:t xml:space="preserve">Flipped class teaching and learning is used in CLE but has not been </w:t>
      </w:r>
      <w:r w:rsidR="0074646A">
        <w:rPr>
          <w:rFonts w:eastAsia="Calibri"/>
          <w:color w:val="000000" w:themeColor="text1"/>
          <w:sz w:val="20"/>
          <w:szCs w:val="20"/>
        </w:rPr>
        <w:t>evaluated</w:t>
      </w:r>
      <w:r w:rsidR="009829C5">
        <w:rPr>
          <w:rFonts w:eastAsia="Calibri"/>
          <w:color w:val="000000" w:themeColor="text1"/>
          <w:sz w:val="20"/>
          <w:szCs w:val="20"/>
        </w:rPr>
        <w:t xml:space="preserve"> as it is detailed in the </w:t>
      </w:r>
      <w:r w:rsidR="00A40BBB">
        <w:rPr>
          <w:rFonts w:eastAsia="Calibri"/>
          <w:color w:val="000000" w:themeColor="text1"/>
          <w:sz w:val="20"/>
          <w:szCs w:val="20"/>
        </w:rPr>
        <w:t>first</w:t>
      </w:r>
      <w:r w:rsidR="009829C5">
        <w:rPr>
          <w:rFonts w:eastAsia="Calibri"/>
          <w:color w:val="000000" w:themeColor="text1"/>
          <w:sz w:val="20"/>
          <w:szCs w:val="20"/>
        </w:rPr>
        <w:t xml:space="preserve"> paper</w:t>
      </w:r>
      <w:r w:rsidR="00A40BBB">
        <w:rPr>
          <w:rFonts w:eastAsia="Calibri"/>
          <w:color w:val="000000" w:themeColor="text1"/>
          <w:sz w:val="20"/>
          <w:szCs w:val="20"/>
        </w:rPr>
        <w:t xml:space="preserve"> associated</w:t>
      </w:r>
      <w:r w:rsidR="009829C5">
        <w:rPr>
          <w:rFonts w:eastAsia="Calibri"/>
          <w:color w:val="000000" w:themeColor="text1"/>
          <w:sz w:val="20"/>
          <w:szCs w:val="20"/>
        </w:rPr>
        <w:t xml:space="preserve"> to this one</w:t>
      </w:r>
      <w:r w:rsidR="00E55AE6">
        <w:rPr>
          <w:rFonts w:eastAsia="Calibri"/>
          <w:color w:val="000000" w:themeColor="text1"/>
          <w:sz w:val="20"/>
          <w:szCs w:val="20"/>
        </w:rPr>
        <w:t>.</w:t>
      </w:r>
      <w:r w:rsidR="003E0117">
        <w:rPr>
          <w:rFonts w:eastAsia="Calibri"/>
          <w:color w:val="000000" w:themeColor="text1"/>
          <w:sz w:val="20"/>
          <w:szCs w:val="20"/>
        </w:rPr>
        <w:fldChar w:fldCharType="begin" w:fldLock="1"/>
      </w:r>
      <w:r w:rsidR="003E0117">
        <w:rPr>
          <w:rFonts w:eastAsia="Calibri"/>
          <w:color w:val="000000" w:themeColor="text1"/>
          <w:sz w:val="20"/>
          <w:szCs w:val="20"/>
        </w:rPr>
        <w:instrText>ADDIN CSL_CITATION {"citationItems":[{"id":"ITEM-1","itemData":{"author":[{"dropping-particle":"","family":"Zeri","given":"F","non-dropping-particle":"","parse-names":false,"suffix":""},{"dropping-particle":"","family":"Eperjesi","given":"F","non-dropping-particle":"","parse-names":false,"suffix":""},{"dropping-particle":"","family":"Woods","given":"C","non-dropping-particle":"","parse-names":false,"suffix":""},{"dropping-particle":"","family":"Bandlitz","given":"S","non-dropping-particle":"","parse-names":false,"suffix":""},{"dropping-particle":"","family":"Bhootra","given":"A","non-dropping-particle":"","parse-names":false,"suffix":""},{"dropping-particle":"","family":"Joshi","given":"MR","non-dropping-particle":"","parse-names":false,"suffix":""},{"dropping-particle":"","family":"Nagra","given":"M","non-dropping-particle":"","parse-names":false,"suffix":""},{"dropping-particle":"","family":"Schweizer","given":"H","non-dropping-particle":"","parse-names":false,"suffix":""},{"dropping-particle":"","family":"Naroo","given":"SA","non-dropping-particle":"","parse-names":false,"suffix":""}],"container-title":"Contact lens &amp; anterior eye","id":"ITEM-1","issued":{"date-parts":[["2023"]]},"title":"Evidence-Based teaching in Contact Lenses Education: Teaching and Learning Strategies.","type":"article-journal"},"uris":["http://www.mendeley.com/documents/?uuid=70a1d3a9-7435-463a-a6f5-6f23f82b973c"]}],"mendeley":{"formattedCitation":"[1]","plainTextFormattedCitation":"[1]","previouslyFormattedCitation":"[1]"},"properties":{"noteIndex":0},"schema":"https://github.com/citation-style-language/schema/raw/master/csl-citation.json"}</w:instrText>
      </w:r>
      <w:r w:rsidR="003E0117">
        <w:rPr>
          <w:rFonts w:eastAsia="Calibri"/>
          <w:color w:val="000000" w:themeColor="text1"/>
          <w:sz w:val="20"/>
          <w:szCs w:val="20"/>
        </w:rPr>
        <w:fldChar w:fldCharType="separate"/>
      </w:r>
      <w:r w:rsidR="003E0117" w:rsidRPr="003E0117">
        <w:rPr>
          <w:rFonts w:eastAsia="Calibri"/>
          <w:noProof/>
          <w:color w:val="000000" w:themeColor="text1"/>
          <w:sz w:val="20"/>
          <w:szCs w:val="20"/>
        </w:rPr>
        <w:t>[1]</w:t>
      </w:r>
      <w:r w:rsidR="003E0117">
        <w:rPr>
          <w:rFonts w:eastAsia="Calibri"/>
          <w:color w:val="000000" w:themeColor="text1"/>
          <w:sz w:val="20"/>
          <w:szCs w:val="20"/>
        </w:rPr>
        <w:fldChar w:fldCharType="end"/>
      </w:r>
      <w:r w:rsidR="009829C5">
        <w:rPr>
          <w:rFonts w:eastAsia="Calibri"/>
          <w:color w:val="000000" w:themeColor="text1"/>
          <w:sz w:val="20"/>
          <w:szCs w:val="20"/>
        </w:rPr>
        <w:t xml:space="preserve"> </w:t>
      </w:r>
    </w:p>
    <w:p w14:paraId="6D76B297" w14:textId="77777777" w:rsidR="00C03656" w:rsidRPr="00CD3C9A" w:rsidRDefault="00C03656" w:rsidP="00CD3C9A">
      <w:pPr>
        <w:spacing w:line="360" w:lineRule="auto"/>
        <w:rPr>
          <w:rFonts w:eastAsia="DINOT-Bold"/>
          <w:b/>
          <w:color w:val="000000" w:themeColor="text1"/>
          <w:sz w:val="20"/>
          <w:szCs w:val="20"/>
        </w:rPr>
      </w:pPr>
    </w:p>
    <w:p w14:paraId="7DAE4369" w14:textId="0764C31B" w:rsidR="00C03656" w:rsidRPr="00CD3C9A" w:rsidRDefault="00BB302A" w:rsidP="00CD3C9A">
      <w:pPr>
        <w:pStyle w:val="Heading2"/>
        <w:spacing w:before="0" w:after="0" w:line="360" w:lineRule="auto"/>
        <w:rPr>
          <w:color w:val="000000" w:themeColor="text1"/>
          <w:sz w:val="20"/>
          <w:szCs w:val="20"/>
          <w:u w:val="single"/>
        </w:rPr>
      </w:pPr>
      <w:bookmarkStart w:id="0" w:name="_heading=h.eycruvepi7po" w:colFirst="0" w:colLast="0"/>
      <w:bookmarkEnd w:id="0"/>
      <w:r w:rsidRPr="00CD3C9A">
        <w:rPr>
          <w:color w:val="000000" w:themeColor="text1"/>
          <w:sz w:val="20"/>
          <w:szCs w:val="20"/>
          <w:u w:val="single"/>
        </w:rPr>
        <w:t xml:space="preserve">Case </w:t>
      </w:r>
      <w:r w:rsidR="00F55084" w:rsidRPr="00CD3C9A">
        <w:rPr>
          <w:color w:val="000000" w:themeColor="text1"/>
          <w:sz w:val="20"/>
          <w:szCs w:val="20"/>
          <w:u w:val="single"/>
        </w:rPr>
        <w:t>d</w:t>
      </w:r>
      <w:r w:rsidRPr="00CD3C9A">
        <w:rPr>
          <w:color w:val="000000" w:themeColor="text1"/>
          <w:sz w:val="20"/>
          <w:szCs w:val="20"/>
          <w:u w:val="single"/>
        </w:rPr>
        <w:t>iscussions</w:t>
      </w:r>
      <w:r w:rsidR="00F55084" w:rsidRPr="00CD3C9A">
        <w:rPr>
          <w:color w:val="000000" w:themeColor="text1"/>
          <w:sz w:val="20"/>
          <w:szCs w:val="20"/>
          <w:u w:val="single"/>
        </w:rPr>
        <w:t xml:space="preserve"> </w:t>
      </w:r>
    </w:p>
    <w:p w14:paraId="28C08BF4" w14:textId="6118264C" w:rsidR="00F55084" w:rsidRPr="00F8338D" w:rsidRDefault="00BB302A" w:rsidP="00CD3C9A">
      <w:pPr>
        <w:spacing w:line="360" w:lineRule="auto"/>
        <w:rPr>
          <w:sz w:val="20"/>
          <w:szCs w:val="20"/>
        </w:rPr>
      </w:pPr>
      <w:r w:rsidRPr="00CD3C9A">
        <w:rPr>
          <w:rFonts w:eastAsia="Calibri"/>
          <w:color w:val="000000" w:themeColor="text1"/>
          <w:sz w:val="20"/>
          <w:szCs w:val="20"/>
        </w:rPr>
        <w:t xml:space="preserve">Case discussions, </w:t>
      </w:r>
      <w:r w:rsidR="00AC390E" w:rsidRPr="00CD3C9A">
        <w:rPr>
          <w:rFonts w:eastAsia="Calibri"/>
          <w:color w:val="000000" w:themeColor="text1"/>
          <w:sz w:val="20"/>
          <w:szCs w:val="20"/>
        </w:rPr>
        <w:t xml:space="preserve">also known as </w:t>
      </w:r>
      <w:r w:rsidR="00AC390E" w:rsidRPr="00CD3C9A">
        <w:rPr>
          <w:color w:val="000000" w:themeColor="text1"/>
          <w:sz w:val="20"/>
          <w:szCs w:val="20"/>
          <w:u w:val="single"/>
        </w:rPr>
        <w:t>case-based analysis,</w:t>
      </w:r>
      <w:r w:rsidR="00AC390E" w:rsidRPr="00CD3C9A">
        <w:rPr>
          <w:rFonts w:eastAsia="Calibri"/>
          <w:color w:val="000000" w:themeColor="text1"/>
          <w:sz w:val="20"/>
          <w:szCs w:val="20"/>
        </w:rPr>
        <w:t xml:space="preserve"> are </w:t>
      </w:r>
      <w:r w:rsidR="00D01201" w:rsidRPr="00CD3C9A">
        <w:rPr>
          <w:rFonts w:eastAsia="Calibri"/>
          <w:color w:val="000000" w:themeColor="text1"/>
          <w:sz w:val="20"/>
          <w:szCs w:val="20"/>
        </w:rPr>
        <w:t>where</w:t>
      </w:r>
      <w:r w:rsidRPr="00CD3C9A">
        <w:rPr>
          <w:rFonts w:eastAsia="Calibri"/>
          <w:color w:val="000000" w:themeColor="text1"/>
          <w:sz w:val="20"/>
          <w:szCs w:val="20"/>
        </w:rPr>
        <w:t xml:space="preserve"> a group of </w:t>
      </w:r>
      <w:r w:rsidR="00AC390E" w:rsidRPr="00CD3C9A">
        <w:rPr>
          <w:rFonts w:eastAsia="Calibri"/>
          <w:color w:val="000000" w:themeColor="text1"/>
          <w:sz w:val="20"/>
          <w:szCs w:val="20"/>
        </w:rPr>
        <w:t xml:space="preserve">individuals </w:t>
      </w:r>
      <w:r w:rsidRPr="00CD3C9A">
        <w:rPr>
          <w:rFonts w:eastAsia="Calibri"/>
          <w:color w:val="000000" w:themeColor="text1"/>
          <w:sz w:val="20"/>
          <w:szCs w:val="20"/>
        </w:rPr>
        <w:t xml:space="preserve">share details of a </w:t>
      </w:r>
      <w:r w:rsidR="001F4420" w:rsidRPr="00CD3C9A">
        <w:rPr>
          <w:rFonts w:eastAsia="Calibri"/>
          <w:color w:val="000000" w:themeColor="text1"/>
          <w:sz w:val="20"/>
          <w:szCs w:val="20"/>
        </w:rPr>
        <w:t xml:space="preserve">recent </w:t>
      </w:r>
      <w:r w:rsidRPr="00CD3C9A">
        <w:rPr>
          <w:rFonts w:eastAsia="Calibri"/>
          <w:color w:val="000000" w:themeColor="text1"/>
          <w:sz w:val="20"/>
          <w:szCs w:val="20"/>
        </w:rPr>
        <w:t>clinical case</w:t>
      </w:r>
      <w:r w:rsidR="00F55084" w:rsidRPr="00CD3C9A">
        <w:rPr>
          <w:rFonts w:eastAsia="Calibri"/>
          <w:color w:val="000000" w:themeColor="text1"/>
          <w:sz w:val="20"/>
          <w:szCs w:val="20"/>
        </w:rPr>
        <w:t xml:space="preserve"> to gain clinical experience and develop critical thinking</w:t>
      </w:r>
      <w:r w:rsidR="009E2B04" w:rsidRPr="00CD3C9A">
        <w:rPr>
          <w:rFonts w:eastAsia="Calibri"/>
          <w:color w:val="000000" w:themeColor="text1"/>
          <w:sz w:val="20"/>
          <w:szCs w:val="20"/>
        </w:rPr>
        <w:t xml:space="preserve">. </w:t>
      </w:r>
      <w:r w:rsidR="00AC390E" w:rsidRPr="00CD3C9A">
        <w:rPr>
          <w:color w:val="333333"/>
          <w:sz w:val="20"/>
          <w:szCs w:val="20"/>
          <w:shd w:val="clear" w:color="auto" w:fill="FFFFFF"/>
        </w:rPr>
        <w:t>Their main aims are to cause discussion and interaction between staff and students</w:t>
      </w:r>
      <w:r w:rsidR="00AC390E" w:rsidRPr="00F8338D">
        <w:rPr>
          <w:color w:val="333333"/>
          <w:sz w:val="20"/>
          <w:szCs w:val="20"/>
          <w:shd w:val="clear" w:color="auto" w:fill="FFFFFF"/>
        </w:rPr>
        <w:t xml:space="preserve">. </w:t>
      </w:r>
      <w:r w:rsidRPr="00CD3C9A">
        <w:rPr>
          <w:rFonts w:eastAsia="Calibri"/>
          <w:color w:val="000000" w:themeColor="text1"/>
          <w:sz w:val="20"/>
          <w:szCs w:val="20"/>
        </w:rPr>
        <w:t xml:space="preserve">The group is expected to </w:t>
      </w:r>
      <w:r w:rsidR="00D01201" w:rsidRPr="00CD3C9A">
        <w:rPr>
          <w:rFonts w:eastAsia="Calibri"/>
          <w:color w:val="000000" w:themeColor="text1"/>
          <w:sz w:val="20"/>
          <w:szCs w:val="20"/>
        </w:rPr>
        <w:t xml:space="preserve">challenge </w:t>
      </w:r>
      <w:r w:rsidRPr="00CD3C9A">
        <w:rPr>
          <w:rFonts w:eastAsia="Calibri"/>
          <w:color w:val="000000" w:themeColor="text1"/>
          <w:sz w:val="20"/>
          <w:szCs w:val="20"/>
        </w:rPr>
        <w:t>clinical decision</w:t>
      </w:r>
      <w:r w:rsidR="001F4420" w:rsidRPr="00CD3C9A">
        <w:rPr>
          <w:rFonts w:eastAsia="Calibri"/>
          <w:color w:val="000000" w:themeColor="text1"/>
          <w:sz w:val="20"/>
          <w:szCs w:val="20"/>
        </w:rPr>
        <w:t xml:space="preserve"> making,</w:t>
      </w:r>
      <w:r w:rsidRPr="00CD3C9A">
        <w:rPr>
          <w:rFonts w:eastAsia="Calibri"/>
          <w:color w:val="000000" w:themeColor="text1"/>
          <w:sz w:val="20"/>
          <w:szCs w:val="20"/>
        </w:rPr>
        <w:t xml:space="preserve"> including what </w:t>
      </w:r>
      <w:r w:rsidR="00AC390E" w:rsidRPr="00F8338D">
        <w:rPr>
          <w:rFonts w:eastAsia="Calibri"/>
          <w:color w:val="000000" w:themeColor="text1"/>
          <w:sz w:val="20"/>
          <w:szCs w:val="20"/>
        </w:rPr>
        <w:t xml:space="preserve">the </w:t>
      </w:r>
      <w:r w:rsidRPr="00CD3C9A">
        <w:rPr>
          <w:rFonts w:eastAsia="Calibri"/>
          <w:color w:val="000000" w:themeColor="text1"/>
          <w:sz w:val="20"/>
          <w:szCs w:val="20"/>
        </w:rPr>
        <w:t xml:space="preserve">evidence, and how the decision combined evidence, expertise, and patient preferences. Students </w:t>
      </w:r>
      <w:r w:rsidR="00D01201" w:rsidRPr="00CD3C9A">
        <w:rPr>
          <w:rFonts w:eastAsia="Calibri"/>
          <w:color w:val="000000" w:themeColor="text1"/>
          <w:sz w:val="20"/>
          <w:szCs w:val="20"/>
        </w:rPr>
        <w:t xml:space="preserve">reflect on </w:t>
      </w:r>
      <w:r w:rsidRPr="00CD3C9A">
        <w:rPr>
          <w:rFonts w:eastAsia="Calibri"/>
          <w:color w:val="000000" w:themeColor="text1"/>
          <w:sz w:val="20"/>
          <w:szCs w:val="20"/>
        </w:rPr>
        <w:t xml:space="preserve">whether </w:t>
      </w:r>
      <w:r w:rsidR="00D01201" w:rsidRPr="00CD3C9A">
        <w:rPr>
          <w:rFonts w:eastAsia="Calibri"/>
          <w:color w:val="000000" w:themeColor="text1"/>
          <w:sz w:val="20"/>
          <w:szCs w:val="20"/>
        </w:rPr>
        <w:t xml:space="preserve">care </w:t>
      </w:r>
      <w:r w:rsidRPr="00CD3C9A">
        <w:rPr>
          <w:rFonts w:eastAsia="Calibri"/>
          <w:color w:val="000000" w:themeColor="text1"/>
          <w:sz w:val="20"/>
          <w:szCs w:val="20"/>
        </w:rPr>
        <w:t xml:space="preserve">could be improved and whether </w:t>
      </w:r>
      <w:r w:rsidR="00D01201" w:rsidRPr="00CD3C9A">
        <w:rPr>
          <w:rFonts w:eastAsia="Calibri"/>
          <w:color w:val="000000" w:themeColor="text1"/>
          <w:sz w:val="20"/>
          <w:szCs w:val="20"/>
        </w:rPr>
        <w:t>the best outcome for the patient was achieved</w:t>
      </w:r>
      <w:r w:rsidRPr="00CD3C9A">
        <w:rPr>
          <w:rFonts w:eastAsia="Calibri"/>
          <w:color w:val="000000" w:themeColor="text1"/>
          <w:sz w:val="20"/>
          <w:szCs w:val="20"/>
        </w:rPr>
        <w:t xml:space="preserve">. </w:t>
      </w:r>
      <w:r w:rsidR="00AC390E" w:rsidRPr="00F8338D">
        <w:rPr>
          <w:rFonts w:eastAsia="Calibri"/>
          <w:color w:val="000000" w:themeColor="text1"/>
          <w:sz w:val="20"/>
          <w:szCs w:val="20"/>
        </w:rPr>
        <w:t>S</w:t>
      </w:r>
      <w:r w:rsidRPr="00CD3C9A">
        <w:rPr>
          <w:rFonts w:eastAsia="Calibri"/>
          <w:color w:val="000000" w:themeColor="text1"/>
          <w:sz w:val="20"/>
          <w:szCs w:val="20"/>
        </w:rPr>
        <w:t xml:space="preserve">tudents </w:t>
      </w:r>
      <w:r w:rsidR="00AC390E" w:rsidRPr="00F8338D">
        <w:rPr>
          <w:rFonts w:eastAsia="Calibri"/>
          <w:color w:val="000000" w:themeColor="text1"/>
          <w:sz w:val="20"/>
          <w:szCs w:val="20"/>
        </w:rPr>
        <w:t xml:space="preserve">can </w:t>
      </w:r>
      <w:r w:rsidRPr="00CD3C9A">
        <w:rPr>
          <w:rFonts w:eastAsia="Calibri"/>
          <w:color w:val="000000" w:themeColor="text1"/>
          <w:sz w:val="20"/>
          <w:szCs w:val="20"/>
        </w:rPr>
        <w:t>develop triaging</w:t>
      </w:r>
      <w:r w:rsidR="00AC390E" w:rsidRPr="00F8338D">
        <w:rPr>
          <w:rFonts w:eastAsia="Calibri"/>
          <w:color w:val="000000" w:themeColor="text1"/>
          <w:sz w:val="20"/>
          <w:szCs w:val="20"/>
        </w:rPr>
        <w:t xml:space="preserve"> and </w:t>
      </w:r>
      <w:r w:rsidRPr="00CD3C9A">
        <w:rPr>
          <w:rFonts w:eastAsia="Calibri"/>
          <w:color w:val="000000" w:themeColor="text1"/>
          <w:sz w:val="20"/>
          <w:szCs w:val="20"/>
        </w:rPr>
        <w:t xml:space="preserve">communication skills, </w:t>
      </w:r>
      <w:r w:rsidR="00D01201" w:rsidRPr="00CD3C9A">
        <w:rPr>
          <w:rFonts w:eastAsia="Calibri"/>
          <w:color w:val="000000" w:themeColor="text1"/>
          <w:sz w:val="20"/>
          <w:szCs w:val="20"/>
        </w:rPr>
        <w:t>and self</w:t>
      </w:r>
      <w:r w:rsidR="007B3280" w:rsidRPr="00F8338D">
        <w:rPr>
          <w:rFonts w:eastAsia="Calibri"/>
          <w:color w:val="000000" w:themeColor="text1"/>
          <w:sz w:val="20"/>
          <w:szCs w:val="20"/>
        </w:rPr>
        <w:t>-</w:t>
      </w:r>
      <w:r w:rsidRPr="00CD3C9A">
        <w:rPr>
          <w:rFonts w:eastAsia="Calibri"/>
          <w:color w:val="000000" w:themeColor="text1"/>
          <w:sz w:val="20"/>
          <w:szCs w:val="20"/>
        </w:rPr>
        <w:t>reflect</w:t>
      </w:r>
      <w:r w:rsidR="00D01201" w:rsidRPr="00CD3C9A">
        <w:rPr>
          <w:rFonts w:eastAsia="Calibri"/>
          <w:color w:val="000000" w:themeColor="text1"/>
          <w:sz w:val="20"/>
          <w:szCs w:val="20"/>
        </w:rPr>
        <w:t>ion</w:t>
      </w:r>
      <w:r w:rsidRPr="00CD3C9A">
        <w:rPr>
          <w:rFonts w:eastAsia="Calibri"/>
          <w:color w:val="000000" w:themeColor="text1"/>
          <w:sz w:val="20"/>
          <w:szCs w:val="20"/>
        </w:rPr>
        <w:t>.</w:t>
      </w:r>
      <w:r w:rsidR="003E0117">
        <w:rPr>
          <w:rFonts w:eastAsia="Calibri"/>
          <w:color w:val="000000" w:themeColor="text1"/>
          <w:sz w:val="20"/>
          <w:szCs w:val="20"/>
        </w:rPr>
        <w:fldChar w:fldCharType="begin" w:fldLock="1"/>
      </w:r>
      <w:r w:rsidR="003E0117">
        <w:rPr>
          <w:rFonts w:eastAsia="Calibri"/>
          <w:color w:val="000000" w:themeColor="text1"/>
          <w:sz w:val="20"/>
          <w:szCs w:val="20"/>
        </w:rPr>
        <w:instrText>ADDIN CSL_CITATION {"citationItems":[{"id":"ITEM-1","itemData":{"abstract":"(OCULUS,2020) OCULUS., Teaching Methods for Evidence-based Practice in Optometry., Optom. Curric. Lifelong Learn. through Erasmus. (2020). https://www.oculuserasmus.org/wp-content/uploads/2020/04/OCULUS_Teaching-Manual-for-Evidence-Based-Practice-in-Optometry.pdf.","author":[{"dropping-particle":"","family":"OCULUS.","given":"","non-dropping-particle":"","parse-names":false,"suffix":""}],"container-title":"Optometry Curriculum for Lifelong Learning through Erasmus","id":"ITEM-1","issued":{"date-parts":[["2020","4"]]},"title":"Teaching Methods for Evidence-based Practice in Optometry.","type":"article-journal"},"uris":["http://www.mendeley.com/documents/?uuid=a6cb5394-7daa-34f4-aa55-6d50066a39d7"]}],"mendeley":{"formattedCitation":"[7]","plainTextFormattedCitation":"[7]","previouslyFormattedCitation":"[7]"},"properties":{"noteIndex":0},"schema":"https://github.com/citation-style-language/schema/raw/master/csl-citation.json"}</w:instrText>
      </w:r>
      <w:r w:rsidR="003E0117">
        <w:rPr>
          <w:rFonts w:eastAsia="Calibri"/>
          <w:color w:val="000000" w:themeColor="text1"/>
          <w:sz w:val="20"/>
          <w:szCs w:val="20"/>
        </w:rPr>
        <w:fldChar w:fldCharType="separate"/>
      </w:r>
      <w:r w:rsidR="003E0117" w:rsidRPr="003E0117">
        <w:rPr>
          <w:rFonts w:eastAsia="Calibri"/>
          <w:noProof/>
          <w:color w:val="000000" w:themeColor="text1"/>
          <w:sz w:val="20"/>
          <w:szCs w:val="20"/>
        </w:rPr>
        <w:t>[7]</w:t>
      </w:r>
      <w:r w:rsidR="003E0117">
        <w:rPr>
          <w:rFonts w:eastAsia="Calibri"/>
          <w:color w:val="000000" w:themeColor="text1"/>
          <w:sz w:val="20"/>
          <w:szCs w:val="20"/>
        </w:rPr>
        <w:fldChar w:fldCharType="end"/>
      </w:r>
      <w:r w:rsidR="00AC390E" w:rsidRPr="00F8338D">
        <w:rPr>
          <w:rFonts w:eastAsia="Calibri"/>
          <w:color w:val="000000" w:themeColor="text1"/>
          <w:sz w:val="20"/>
          <w:szCs w:val="20"/>
        </w:rPr>
        <w:t xml:space="preserve"> </w:t>
      </w:r>
      <w:r w:rsidR="00AC390E" w:rsidRPr="00CD3C9A">
        <w:rPr>
          <w:color w:val="222222"/>
          <w:sz w:val="20"/>
          <w:szCs w:val="20"/>
          <w:shd w:val="clear" w:color="auto" w:fill="FFFFFF"/>
        </w:rPr>
        <w:t>However, one study found that case discussions did not result in better clinical skills</w:t>
      </w:r>
      <w:r w:rsidR="003E0117">
        <w:rPr>
          <w:color w:val="222222"/>
          <w:sz w:val="20"/>
          <w:szCs w:val="20"/>
          <w:shd w:val="clear" w:color="auto" w:fill="FFFFFF"/>
        </w:rPr>
        <w:t>.</w:t>
      </w:r>
      <w:r w:rsidR="00063F5B">
        <w:rPr>
          <w:color w:val="222222"/>
          <w:sz w:val="20"/>
          <w:szCs w:val="20"/>
          <w:shd w:val="clear" w:color="auto" w:fill="FFFFFF"/>
        </w:rPr>
        <w:fldChar w:fldCharType="begin" w:fldLock="1"/>
      </w:r>
      <w:r w:rsidR="00063F5B">
        <w:rPr>
          <w:color w:val="222222"/>
          <w:sz w:val="20"/>
          <w:szCs w:val="20"/>
          <w:shd w:val="clear" w:color="auto" w:fill="FFFFFF"/>
        </w:rPr>
        <w:instrText>ADDIN CSL_CITATION {"citationItems":[{"id":"ITEM-1","itemData":{"DOI":"10.1016/S0749-3797(03)00030-8","ISSN":"07493797","abstract":"This article describes the pilot testing of the Case-Based Series in Population-Oriented Prevention (C-POP) and accompanying evaluation instruments in a problem-based medical curriculum at the University of Rochester Medical Center. Several of the cases were successfully taught in the curriculum, but the evaluation instruments revealed no change in population-oriented skills or orientation. Issues of implementation and evaluation of the C-POP curriculum are discussed. © 2003 American Journal of Preventive Medicine.","author":[{"dropping-particle":"","family":"Pearson","given":"Thomas A.","non-dropping-particle":"","parse-names":false,"suffix":""},{"dropping-particle":"","family":"Barker","given":"William H.","non-dropping-particle":"","parse-names":false,"suffix":""},{"dropping-particle":"","family":"Fisher","given":"Susan G.","non-dropping-particle":"","parse-names":false,"suffix":""},{"dropping-particle":"","family":"Trafton","given":"Sarah H.","non-dropping-particle":"","parse-names":false,"suffix":""}],"container-title":"American Journal of Preventive Medicine","id":"ITEM-1","issue":"4 SUPPL.","issued":{"date-parts":[["2003"]]},"page":"102-107","title":"Integration of the case-based series in population-oriented prevention into a problem-based medical curriculum","type":"article-journal","volume":"24"},"uris":["http://www.mendeley.com/documents/?uuid=31a25d59-848e-3526-be6a-15275e0c5442"]}],"mendeley":{"formattedCitation":"[15]","plainTextFormattedCitation":"[15]","previouslyFormattedCitation":"[15]"},"properties":{"noteIndex":0},"schema":"https://github.com/citation-style-language/schema/raw/master/csl-citation.json"}</w:instrText>
      </w:r>
      <w:r w:rsidR="00063F5B">
        <w:rPr>
          <w:color w:val="222222"/>
          <w:sz w:val="20"/>
          <w:szCs w:val="20"/>
          <w:shd w:val="clear" w:color="auto" w:fill="FFFFFF"/>
        </w:rPr>
        <w:fldChar w:fldCharType="separate"/>
      </w:r>
      <w:r w:rsidR="00063F5B" w:rsidRPr="00063F5B">
        <w:rPr>
          <w:noProof/>
          <w:color w:val="222222"/>
          <w:sz w:val="20"/>
          <w:szCs w:val="20"/>
          <w:shd w:val="clear" w:color="auto" w:fill="FFFFFF"/>
        </w:rPr>
        <w:t>[15]</w:t>
      </w:r>
      <w:r w:rsidR="00063F5B">
        <w:rPr>
          <w:color w:val="222222"/>
          <w:sz w:val="20"/>
          <w:szCs w:val="20"/>
          <w:shd w:val="clear" w:color="auto" w:fill="FFFFFF"/>
        </w:rPr>
        <w:fldChar w:fldCharType="end"/>
      </w:r>
      <w:r w:rsidR="00AC390E" w:rsidRPr="00CD3C9A">
        <w:rPr>
          <w:color w:val="222222"/>
          <w:sz w:val="20"/>
          <w:szCs w:val="20"/>
          <w:shd w:val="clear" w:color="auto" w:fill="FFFFFF"/>
        </w:rPr>
        <w:t xml:space="preserve"> Whether they can improve clinical skills in CLE has not been determined.</w:t>
      </w:r>
    </w:p>
    <w:p w14:paraId="1553292E" w14:textId="77777777" w:rsidR="00B16A98" w:rsidRPr="00CD3C9A" w:rsidRDefault="00B16A98" w:rsidP="00CD3C9A">
      <w:pPr>
        <w:spacing w:line="360" w:lineRule="auto"/>
        <w:rPr>
          <w:rFonts w:eastAsia="Libre Baskerville"/>
          <w:color w:val="000000" w:themeColor="text1"/>
          <w:sz w:val="20"/>
          <w:szCs w:val="20"/>
        </w:rPr>
      </w:pPr>
    </w:p>
    <w:p w14:paraId="05209DA3" w14:textId="52D35568" w:rsidR="00C03656" w:rsidRPr="00CD3C9A" w:rsidRDefault="00186194" w:rsidP="00CD3C9A">
      <w:pPr>
        <w:pStyle w:val="Heading2"/>
        <w:spacing w:before="0" w:after="0" w:line="360" w:lineRule="auto"/>
        <w:rPr>
          <w:color w:val="000000" w:themeColor="text1"/>
          <w:sz w:val="20"/>
          <w:szCs w:val="20"/>
          <w:u w:val="single"/>
        </w:rPr>
      </w:pPr>
      <w:bookmarkStart w:id="1" w:name="_heading=h.um8wb5al7h2g" w:colFirst="0" w:colLast="0"/>
      <w:bookmarkEnd w:id="1"/>
      <w:r w:rsidRPr="00CD3C9A">
        <w:rPr>
          <w:color w:val="000000" w:themeColor="text1"/>
          <w:sz w:val="20"/>
          <w:szCs w:val="20"/>
          <w:u w:val="single"/>
        </w:rPr>
        <w:t>C</w:t>
      </w:r>
      <w:r w:rsidR="00BB302A" w:rsidRPr="00CD3C9A">
        <w:rPr>
          <w:color w:val="000000" w:themeColor="text1"/>
          <w:sz w:val="20"/>
          <w:szCs w:val="20"/>
          <w:u w:val="single"/>
        </w:rPr>
        <w:t xml:space="preserve">linical </w:t>
      </w:r>
      <w:r w:rsidR="007B3280" w:rsidRPr="00CD3C9A">
        <w:rPr>
          <w:color w:val="000000" w:themeColor="text1"/>
          <w:sz w:val="20"/>
          <w:szCs w:val="20"/>
          <w:u w:val="single"/>
        </w:rPr>
        <w:t>s</w:t>
      </w:r>
      <w:r w:rsidR="00BB302A" w:rsidRPr="00CD3C9A">
        <w:rPr>
          <w:color w:val="000000" w:themeColor="text1"/>
          <w:sz w:val="20"/>
          <w:szCs w:val="20"/>
          <w:u w:val="single"/>
        </w:rPr>
        <w:t xml:space="preserve">kills </w:t>
      </w:r>
      <w:r w:rsidR="007B3280" w:rsidRPr="00CD3C9A">
        <w:rPr>
          <w:color w:val="000000" w:themeColor="text1"/>
          <w:sz w:val="20"/>
          <w:szCs w:val="20"/>
          <w:u w:val="single"/>
        </w:rPr>
        <w:t>v</w:t>
      </w:r>
      <w:r w:rsidR="00BB302A" w:rsidRPr="00CD3C9A">
        <w:rPr>
          <w:color w:val="000000" w:themeColor="text1"/>
          <w:sz w:val="20"/>
          <w:szCs w:val="20"/>
          <w:u w:val="single"/>
        </w:rPr>
        <w:t>ideos</w:t>
      </w:r>
    </w:p>
    <w:p w14:paraId="6D956E6E" w14:textId="0BC72062" w:rsidR="00186194" w:rsidRPr="00CD3C9A" w:rsidRDefault="00BB302A" w:rsidP="00CD3C9A">
      <w:pPr>
        <w:spacing w:line="360" w:lineRule="auto"/>
        <w:rPr>
          <w:rFonts w:eastAsia="Calibri"/>
          <w:color w:val="000000" w:themeColor="text1"/>
          <w:sz w:val="20"/>
          <w:szCs w:val="20"/>
        </w:rPr>
      </w:pPr>
      <w:r w:rsidRPr="00CD3C9A">
        <w:rPr>
          <w:rFonts w:eastAsia="Calibri"/>
          <w:color w:val="000000" w:themeColor="text1"/>
          <w:sz w:val="20"/>
          <w:szCs w:val="20"/>
        </w:rPr>
        <w:t>Evidence-based instructional videos prove</w:t>
      </w:r>
      <w:r w:rsidR="007B3280" w:rsidRPr="00CD3C9A">
        <w:rPr>
          <w:rFonts w:eastAsia="Calibri"/>
          <w:color w:val="000000" w:themeColor="text1"/>
          <w:sz w:val="20"/>
          <w:szCs w:val="20"/>
        </w:rPr>
        <w:t>d</w:t>
      </w:r>
      <w:r w:rsidRPr="00CD3C9A">
        <w:rPr>
          <w:rFonts w:eastAsia="Calibri"/>
          <w:color w:val="000000" w:themeColor="text1"/>
          <w:sz w:val="20"/>
          <w:szCs w:val="20"/>
        </w:rPr>
        <w:t xml:space="preserve"> to be helpful in medical teaching for following clinical protocols</w:t>
      </w:r>
      <w:r w:rsidR="003E0117">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10.3109/0142159X.2012.644835","author":[{"dropping-particle":"","family":"Malik","given":"U","non-dropping-particle":"","parse-names":false,"suffix":""},{"dropping-particle":"","family":"Kirkby","given":"E","non-dropping-particle":"","parse-names":false,"suffix":""},{"dropping-particle":"","family":"Tah","given":"V","non-dropping-particle":"","parse-names":false,"suffix":""},{"dropping-particle":"","family":"Okhravi","given":"N","non-dropping-particle":"","parse-names":false,"suffix":""}],"container-title":"Medical Teacher","id":"ITEM-1","issue":"2","issued":{"date-parts":[["2012"]]},"page":"178","publisher":"Informa Healthcare","title":"Effectiveness and acceptability of a cataract surgery teaching video for medical students","type":"article","volume":"34"},"uris":["http://www.mendeley.com/documents/?uuid=6782c17d-dde8-39b3-9e2a-238e61323d52"]}],"mendeley":{"formattedCitation":"[16]","plainTextFormattedCitation":"[16]","previouslyFormattedCitation":"[16]"},"properties":{"noteIndex":0},"schema":"https://github.com/citation-style-language/schema/raw/master/csl-citation.json"}</w:instrText>
      </w:r>
      <w:r w:rsidR="003E0117">
        <w:rPr>
          <w:rFonts w:eastAsia="Calibri"/>
          <w:color w:val="000000" w:themeColor="text1"/>
          <w:sz w:val="20"/>
          <w:szCs w:val="20"/>
        </w:rPr>
        <w:fldChar w:fldCharType="separate"/>
      </w:r>
      <w:r w:rsidR="00063F5B" w:rsidRPr="00063F5B">
        <w:rPr>
          <w:rFonts w:eastAsia="Calibri"/>
          <w:noProof/>
          <w:color w:val="000000" w:themeColor="text1"/>
          <w:sz w:val="20"/>
          <w:szCs w:val="20"/>
        </w:rPr>
        <w:t>[16]</w:t>
      </w:r>
      <w:r w:rsidR="003E0117">
        <w:rPr>
          <w:rFonts w:eastAsia="Calibri"/>
          <w:color w:val="000000" w:themeColor="text1"/>
          <w:sz w:val="20"/>
          <w:szCs w:val="20"/>
        </w:rPr>
        <w:fldChar w:fldCharType="end"/>
      </w:r>
      <w:r w:rsidRPr="00CD3C9A">
        <w:rPr>
          <w:rFonts w:eastAsia="Calibri"/>
          <w:color w:val="000000" w:themeColor="text1"/>
          <w:sz w:val="20"/>
          <w:szCs w:val="20"/>
        </w:rPr>
        <w:t xml:space="preserve"> </w:t>
      </w:r>
      <w:r w:rsidR="00B2787B" w:rsidRPr="00CD3C9A">
        <w:rPr>
          <w:rFonts w:eastAsia="Calibri"/>
          <w:color w:val="000000" w:themeColor="text1"/>
          <w:sz w:val="20"/>
          <w:szCs w:val="20"/>
        </w:rPr>
        <w:t xml:space="preserve">and resulted in </w:t>
      </w:r>
      <w:r w:rsidRPr="00CD3C9A">
        <w:rPr>
          <w:rFonts w:eastAsia="Calibri"/>
          <w:color w:val="000000" w:themeColor="text1"/>
          <w:sz w:val="20"/>
          <w:szCs w:val="20"/>
        </w:rPr>
        <w:t xml:space="preserve">improved </w:t>
      </w:r>
      <w:r w:rsidR="00B2787B" w:rsidRPr="00CD3C9A">
        <w:rPr>
          <w:rFonts w:eastAsia="Calibri"/>
          <w:color w:val="000000" w:themeColor="text1"/>
          <w:sz w:val="20"/>
          <w:szCs w:val="20"/>
        </w:rPr>
        <w:t xml:space="preserve">student </w:t>
      </w:r>
      <w:r w:rsidRPr="00CD3C9A">
        <w:rPr>
          <w:rFonts w:eastAsia="Calibri"/>
          <w:color w:val="000000" w:themeColor="text1"/>
          <w:sz w:val="20"/>
          <w:szCs w:val="20"/>
        </w:rPr>
        <w:t>assessment scores</w:t>
      </w:r>
      <w:r w:rsidR="007B3280" w:rsidRPr="00CD3C9A">
        <w:rPr>
          <w:rFonts w:eastAsia="Calibri"/>
          <w:color w:val="000000" w:themeColor="text1"/>
          <w:sz w:val="20"/>
          <w:szCs w:val="20"/>
        </w:rPr>
        <w:t>.</w:t>
      </w:r>
      <w:r w:rsidR="003E0117">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{"citationItems":[{"id":"ITEM-1","itemData":{"DOI":"10.1080/02713683.2019.1676910","ISSN":"14602202","PMID":"32105504","abstract":"Purpose: Corneal culturing requires understanding of aseptic non-touch technique and avoidance of possible contaminants. Currently, there is no formal training in the technique and registrars are typically taught by another registrar in the emergency setting. The aim of the study was to develop an evidence-based instructional video for the corneal scrape procedure in microbial keratitis. The study then aims to assess the effect of the instructional video on clinician performance of the corneal scrape procedure. Method: An instructional video for corneal scraping was developed by identifying key steps for the procedure based on available evidence from a review of the literature and clinical practice. A prospective observational comparative case series that included clinicians at the Sydney Hospital/Sydney Eye Hospital, NSW Australia was conducted. Clinicians performing corneal scrapes had their performance of the procedure assessed prior to and after viewing the instructional video. Results: Sixteen key steps to follow in performing the corneal scrape procedure were found and demonstrated in the instructional video. Fourteen clinicians were observed performing 24 corneal scrapes in 24 patients with a median age of 56 years (IQR 34–65 years) and 45% male. Pre-video 11 scrapes were observed vs 13 scrapes post-video. Descriptive data were summarised and non-parametric categorical data analyzed using IBM SPSS (version 1.0.0.800) to perform chi-square and Wilcoxon signed-rank tests. Statistical significance was defined as p &lt;.05. The steps of the corneal scrape procedure were performed correctly by a greater number of clinicians post-video compared to pre-video (p =.003). There was a significant improvement in inoculation of agar plates with cross-hatched streaks (92% post- vs 55% pre-video) and the maintenance of an intact agar surface (92% post vs 55% pre-video) (p =.033). Conclusion: An instructional video optimized the performance of corneal scraping, by ophthalmology trainees, in patients with microbial keratitis.","author":[{"dropping-particle":"","family":"Ngo","given":"Jessica","non-dropping-particle":"","parse-names":false,"suffix":""},{"dropping-particle":"","family":"Khoo","given":"Pauline","non-dropping-particle":"","parse-names":false,"suffix":""},{"dropping-particle":"","family":"Watson","given":"Stephanie L.","non-dropping-particle":"","parse-names":false,"suffix":""}],"container-title":"Current Eye Research","id":"ITEM-1","issue":"5","issued":{"date-parts":[["2020","5","3"]]},"page":"529-534","publisher":"Taylor and Francis Ltd","title":"Improving the Efficiency and the Technique of the Corneal Scrape Procedure via an Evidence Based Instructional Video at a Quaternary Referral Eye Hospital","type":"article-journal","volume":"45"},"uris":["http://www.mendeley.com/documents/?uuid=0ae4a7b7-3579-33fd-b8fa-d3835d8783c1"]}],"mendeley":{"formattedCitation":"[17]","plainTextFormattedCitation":"[17]","previouslyFormattedCitation":"[17]"},"properties":{"noteIndex":0},"schema":"https://github.com/citation-style-language/schema/raw/master/csl-citation.json"}</w:instrText>
      </w:r>
      <w:r w:rsidR="003E0117">
        <w:rPr>
          <w:rFonts w:eastAsia="Calibri"/>
          <w:color w:val="000000" w:themeColor="text1"/>
          <w:sz w:val="20"/>
          <w:szCs w:val="20"/>
        </w:rPr>
        <w:fldChar w:fldCharType="separate"/>
      </w:r>
      <w:r w:rsidR="00063F5B" w:rsidRPr="00063F5B">
        <w:rPr>
          <w:rFonts w:eastAsia="Calibri"/>
          <w:noProof/>
          <w:color w:val="000000" w:themeColor="text1"/>
          <w:sz w:val="20"/>
          <w:szCs w:val="20"/>
        </w:rPr>
        <w:t>[17]</w:t>
      </w:r>
      <w:r w:rsidR="003E0117">
        <w:rPr>
          <w:rFonts w:eastAsia="Calibri"/>
          <w:color w:val="000000" w:themeColor="text1"/>
          <w:sz w:val="20"/>
          <w:szCs w:val="20"/>
        </w:rPr>
        <w:fldChar w:fldCharType="end"/>
      </w:r>
      <w:r w:rsidR="00B2787B" w:rsidRPr="00CD3C9A">
        <w:rPr>
          <w:rFonts w:eastAsia="Calibri"/>
          <w:color w:val="000000" w:themeColor="text1"/>
          <w:sz w:val="20"/>
          <w:szCs w:val="20"/>
        </w:rPr>
        <w:t xml:space="preserve"> </w:t>
      </w:r>
      <w:r w:rsidR="00186194" w:rsidRPr="00CD3C9A">
        <w:rPr>
          <w:rFonts w:eastAsia="Calibri"/>
          <w:color w:val="000000" w:themeColor="text1"/>
          <w:sz w:val="20"/>
          <w:szCs w:val="20"/>
        </w:rPr>
        <w:t xml:space="preserve">Use of videos </w:t>
      </w:r>
      <w:r w:rsidRPr="00CD3C9A">
        <w:rPr>
          <w:rFonts w:eastAsia="Calibri"/>
          <w:color w:val="000000" w:themeColor="text1"/>
          <w:sz w:val="20"/>
          <w:szCs w:val="20"/>
        </w:rPr>
        <w:t xml:space="preserve">to enhance clinical skills </w:t>
      </w:r>
      <w:r w:rsidR="00351E6D">
        <w:rPr>
          <w:rFonts w:eastAsia="Calibri"/>
          <w:color w:val="000000" w:themeColor="text1"/>
          <w:sz w:val="20"/>
          <w:szCs w:val="20"/>
        </w:rPr>
        <w:t xml:space="preserve">in </w:t>
      </w:r>
      <w:r w:rsidR="007B3280" w:rsidRPr="00CD3C9A">
        <w:rPr>
          <w:rFonts w:eastAsia="Calibri"/>
          <w:color w:val="000000" w:themeColor="text1"/>
          <w:sz w:val="20"/>
          <w:szCs w:val="20"/>
        </w:rPr>
        <w:t>CL</w:t>
      </w:r>
      <w:r w:rsidR="00186194" w:rsidRPr="00CD3C9A">
        <w:rPr>
          <w:rFonts w:eastAsia="Calibri"/>
          <w:color w:val="000000" w:themeColor="text1"/>
          <w:sz w:val="20"/>
          <w:szCs w:val="20"/>
        </w:rPr>
        <w:t>E</w:t>
      </w:r>
      <w:r w:rsidRPr="00CD3C9A">
        <w:rPr>
          <w:rFonts w:eastAsia="Calibri"/>
          <w:color w:val="000000" w:themeColor="text1"/>
          <w:sz w:val="20"/>
          <w:szCs w:val="20"/>
        </w:rPr>
        <w:t xml:space="preserve"> would </w:t>
      </w:r>
      <w:r w:rsidR="00B2787B" w:rsidRPr="00CD3C9A">
        <w:rPr>
          <w:rFonts w:eastAsia="Calibri"/>
          <w:color w:val="000000" w:themeColor="text1"/>
          <w:sz w:val="20"/>
          <w:szCs w:val="20"/>
        </w:rPr>
        <w:t xml:space="preserve">require slit lamps with </w:t>
      </w:r>
      <w:r w:rsidRPr="00CD3C9A">
        <w:rPr>
          <w:rFonts w:eastAsia="Calibri"/>
          <w:color w:val="000000" w:themeColor="text1"/>
          <w:sz w:val="20"/>
          <w:szCs w:val="20"/>
        </w:rPr>
        <w:t>camera/smartphone attach</w:t>
      </w:r>
      <w:r w:rsidR="00B2787B" w:rsidRPr="00CD3C9A">
        <w:rPr>
          <w:rFonts w:eastAsia="Calibri"/>
          <w:color w:val="000000" w:themeColor="text1"/>
          <w:sz w:val="20"/>
          <w:szCs w:val="20"/>
        </w:rPr>
        <w:t>ments</w:t>
      </w:r>
      <w:r w:rsidRPr="00CD3C9A">
        <w:rPr>
          <w:rFonts w:eastAsia="Calibri"/>
          <w:color w:val="000000" w:themeColor="text1"/>
          <w:sz w:val="20"/>
          <w:szCs w:val="20"/>
        </w:rPr>
        <w:t xml:space="preserve"> </w:t>
      </w:r>
      <w:r w:rsidR="008D2FAE" w:rsidRPr="00CD3C9A">
        <w:rPr>
          <w:rFonts w:eastAsia="Calibri"/>
          <w:color w:val="000000" w:themeColor="text1"/>
          <w:sz w:val="20"/>
          <w:szCs w:val="20"/>
        </w:rPr>
        <w:t>and</w:t>
      </w:r>
      <w:r w:rsidRPr="00CD3C9A">
        <w:rPr>
          <w:rFonts w:eastAsia="Calibri"/>
          <w:color w:val="000000" w:themeColor="text1"/>
          <w:sz w:val="20"/>
          <w:szCs w:val="20"/>
        </w:rPr>
        <w:t xml:space="preserve"> computerised imaging systems, </w:t>
      </w:r>
      <w:r w:rsidR="00186194" w:rsidRPr="00CD3C9A">
        <w:rPr>
          <w:rFonts w:eastAsia="Calibri"/>
          <w:color w:val="000000" w:themeColor="text1"/>
          <w:sz w:val="20"/>
          <w:szCs w:val="20"/>
        </w:rPr>
        <w:t xml:space="preserve">which may </w:t>
      </w:r>
      <w:r w:rsidRPr="00CD3C9A">
        <w:rPr>
          <w:rFonts w:eastAsia="Calibri"/>
          <w:color w:val="000000" w:themeColor="text1"/>
          <w:sz w:val="20"/>
          <w:szCs w:val="20"/>
        </w:rPr>
        <w:t xml:space="preserve">lead to benefits in </w:t>
      </w:r>
      <w:r w:rsidR="008D2FAE" w:rsidRPr="00CD3C9A">
        <w:rPr>
          <w:rFonts w:eastAsia="Calibri"/>
          <w:color w:val="000000" w:themeColor="text1"/>
          <w:sz w:val="20"/>
          <w:szCs w:val="20"/>
        </w:rPr>
        <w:t xml:space="preserve">the assessment </w:t>
      </w:r>
      <w:r w:rsidR="007B3280" w:rsidRPr="00CD3C9A">
        <w:rPr>
          <w:rFonts w:eastAsia="Calibri"/>
          <w:color w:val="000000" w:themeColor="text1"/>
          <w:sz w:val="20"/>
          <w:szCs w:val="20"/>
        </w:rPr>
        <w:t>of CL</w:t>
      </w:r>
      <w:r w:rsidRPr="00CD3C9A">
        <w:rPr>
          <w:rFonts w:eastAsia="Calibri"/>
          <w:color w:val="000000" w:themeColor="text1"/>
          <w:sz w:val="20"/>
          <w:szCs w:val="20"/>
        </w:rPr>
        <w:t xml:space="preserve"> fitting and anterior eye grading</w:t>
      </w:r>
      <w:r w:rsidR="003E0117">
        <w:rPr>
          <w:rFonts w:eastAsia="Calibri"/>
          <w:color w:val="000000" w:themeColor="text1"/>
          <w:sz w:val="20"/>
          <w:szCs w:val="20"/>
        </w:rPr>
        <w:t>.</w:t>
      </w:r>
      <w:r w:rsidR="003E0117">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10.1117/12.2063656","ISBN":"9781628413618","ISSN":"1996756X","author":[{"dropping-particle":"","family":"Gargallo","given":"Ana","non-dropping-particle":"","parse-names":false,"suffix":""},{"dropping-particle":"","family":"Arines","given":"Justo","non-dropping-particle":"","parse-names":false,"suffix":""}],"container-title":"Second International Conference on Applications of Optics and Photonics","id":"ITEM-1","issued":{"date-parts":[["2014","8","22"]]},"page":"928629","publisher":"SPIE","title":"Contact lenses fitting teaching: learning improvement with monitor visualization of webcam video recordings","type":"paper-conference","volume":"9286"},"uris":["http://www.mendeley.com/documents/?uuid=cd17722a-de37-3ccb-9056-524bd728bfd2"]}],"mendeley":{"formattedCitation":"[18]","plainTextFormattedCitation":"[18]","previouslyFormattedCitation":"[18]"},"properties":{"noteIndex":0},"schema":"https://github.com/citation-style-language/schema/raw/master/csl-citation.json"}</w:instrText>
      </w:r>
      <w:r w:rsidR="003E0117">
        <w:rPr>
          <w:rFonts w:eastAsia="Calibri"/>
          <w:color w:val="000000" w:themeColor="text1"/>
          <w:sz w:val="20"/>
          <w:szCs w:val="20"/>
        </w:rPr>
        <w:fldChar w:fldCharType="separate"/>
      </w:r>
      <w:r w:rsidR="00063F5B" w:rsidRPr="00063F5B">
        <w:rPr>
          <w:rFonts w:eastAsia="Calibri"/>
          <w:noProof/>
          <w:color w:val="000000" w:themeColor="text1"/>
          <w:sz w:val="20"/>
          <w:szCs w:val="20"/>
        </w:rPr>
        <w:t>[18]</w:t>
      </w:r>
      <w:r w:rsidR="003E0117">
        <w:rPr>
          <w:rFonts w:eastAsia="Calibri"/>
          <w:color w:val="000000" w:themeColor="text1"/>
          <w:sz w:val="20"/>
          <w:szCs w:val="20"/>
        </w:rPr>
        <w:fldChar w:fldCharType="end"/>
      </w:r>
      <w:r w:rsidR="00647297">
        <w:rPr>
          <w:rFonts w:eastAsia="Calibri"/>
          <w:color w:val="000000" w:themeColor="text1"/>
          <w:sz w:val="20"/>
          <w:szCs w:val="20"/>
        </w:rPr>
        <w:t xml:space="preserve"> </w:t>
      </w:r>
      <w:r w:rsidR="00186194" w:rsidRPr="009A7080">
        <w:rPr>
          <w:color w:val="222222"/>
          <w:sz w:val="20"/>
          <w:szCs w:val="20"/>
          <w:shd w:val="clear" w:color="auto" w:fill="FFFFFF"/>
        </w:rPr>
        <w:t>Although</w:t>
      </w:r>
      <w:r w:rsidR="00186194" w:rsidRPr="00CD3C9A">
        <w:rPr>
          <w:color w:val="222222"/>
          <w:sz w:val="20"/>
          <w:szCs w:val="20"/>
          <w:shd w:val="clear" w:color="auto" w:fill="FFFFFF"/>
        </w:rPr>
        <w:t xml:space="preserve"> this method is a common teaching tool it lacks an evidence base in the realm of CLE. Intuitively, improvement in clinical skills would be expected from viewing videos and then practising but this has not been formally assessed.</w:t>
      </w:r>
    </w:p>
    <w:p w14:paraId="14A4943B" w14:textId="77777777" w:rsidR="007B3280" w:rsidRPr="00CD3C9A" w:rsidRDefault="007B3280" w:rsidP="00CD3C9A">
      <w:pPr>
        <w:pStyle w:val="Heading2"/>
        <w:spacing w:before="0" w:after="0" w:line="360" w:lineRule="auto"/>
        <w:rPr>
          <w:color w:val="000000" w:themeColor="text1"/>
          <w:sz w:val="20"/>
          <w:szCs w:val="20"/>
        </w:rPr>
      </w:pPr>
      <w:bookmarkStart w:id="2" w:name="_heading=h.waaugbkk042c" w:colFirst="0" w:colLast="0"/>
      <w:bookmarkEnd w:id="2"/>
    </w:p>
    <w:p w14:paraId="3A8E9E74" w14:textId="61624D5C" w:rsidR="00C03656" w:rsidRPr="00CD3C9A" w:rsidRDefault="007B10B4" w:rsidP="00CD3C9A">
      <w:pPr>
        <w:pStyle w:val="Heading2"/>
        <w:spacing w:before="0" w:after="0" w:line="360" w:lineRule="auto"/>
        <w:rPr>
          <w:color w:val="000000" w:themeColor="text1"/>
          <w:sz w:val="20"/>
          <w:szCs w:val="20"/>
          <w:u w:val="single"/>
        </w:rPr>
      </w:pPr>
      <w:r w:rsidRPr="00CD3C9A">
        <w:rPr>
          <w:color w:val="000000" w:themeColor="text1"/>
          <w:sz w:val="20"/>
          <w:szCs w:val="20"/>
          <w:u w:val="single"/>
        </w:rPr>
        <w:t>New technologies</w:t>
      </w:r>
    </w:p>
    <w:p w14:paraId="1F79461F" w14:textId="4D4CC0CC" w:rsidR="00466E7D" w:rsidRPr="00CD3C9A" w:rsidRDefault="00BB302A" w:rsidP="00F8338D">
      <w:pPr>
        <w:pStyle w:val="NormalWeb"/>
        <w:spacing w:before="0" w:beforeAutospacing="0" w:after="0" w:afterAutospacing="0" w:line="360" w:lineRule="auto"/>
        <w:rPr>
          <w:rFonts w:eastAsia="Calibri"/>
          <w:sz w:val="20"/>
          <w:szCs w:val="20"/>
        </w:rPr>
      </w:pPr>
      <w:r w:rsidRPr="00CD3C9A">
        <w:rPr>
          <w:rFonts w:ascii="Arial" w:eastAsia="Calibri" w:hAnsi="Arial" w:cs="Arial"/>
          <w:color w:val="000000" w:themeColor="text1"/>
          <w:sz w:val="20"/>
          <w:szCs w:val="20"/>
        </w:rPr>
        <w:t>Alternative educational approaches such as simulated learning environments have proven to positively impact the learning experience prior to real patient-facing exposures</w:t>
      </w:r>
      <w:r w:rsidR="00BE018C">
        <w:rPr>
          <w:rFonts w:ascii="Arial" w:eastAsia="Calibri" w:hAnsi="Arial" w:cs="Arial"/>
          <w:color w:val="000000" w:themeColor="text1"/>
          <w:sz w:val="20"/>
          <w:szCs w:val="20"/>
        </w:rPr>
        <w:fldChar w:fldCharType="begin" w:fldLock="1"/>
      </w:r>
      <w:r w:rsidR="00BE018C">
        <w:rPr>
          <w:rFonts w:ascii="Arial" w:eastAsia="Calibri" w:hAnsi="Arial" w:cs="Arial"/>
          <w:color w:val="000000" w:themeColor="text1"/>
          <w:sz w:val="20"/>
          <w:szCs w:val="20"/>
        </w:rPr>
        <w:instrText>ADDIN CSL_CITATION {"citationItems":[{"id":"ITEM-1","itemData":{"ISSN":"14440938","PMID":"27001687","abstract":"Background: Optometry students are taught the process of subjective refraction through lectures and laboratory-based practicals before progressing to supervised clinical practice. Simulated leaning environments (SLEs) form part of an emerging technology used in a range of health disciplines; however, there is limited evidence regarding the effectiveness of clinical simulators as educational tools. Methods: Forty optometry students (20 fourth year and 20 fifth year) were assessed twice by a qualified optometrist (two examinations separated by four to eight weeks), while completing a monocular non-cycloplegic subjective refraction on the same patient with an unknown refractive error, simulated using contact lenses. Half of the students were granted access to an online simulated learning environment, The Brien Holden Vision Institute (BHVI) Virtual Refractor, and the remaining students formed a control group. The primary outcome measures at each visit were; accuracy of the clinical refraction compared to a qualified optometrist and relative to the Optometry Council of Australia and New Zealand (OCANZ) subjective refraction examination criteria. Secondary measures of interest included descriptors of student SLE engagement, student self-reported confidence levels and correlations between performance in the simulated and real-world clinical environment. Results: Eighty per cent of students in the intervention group interacted with the simulated learning environment (for an average of 100 minutes); however, there was no correlation between measures of student engagement with the BHVI Virtual Refractor and speed or accuracy of clinical subjective refractions. Fifth year students were typically more confident and refracted more accurately and more quickly than fourth year students. A year group by experimental group interaction (p = 0.03) was observed for accuracy of the spherical component of refraction and post hoc analysis revealed that less experienced students exhibited greater gains in clinical accuracy following exposure to the SLE intervention. Conclusions: Short-term exposure to a SLE can positively influence clinical subjective refraction outcomes for less experienced optometry students and may be of benefit in increasing the skills of novice refractionists to levels appropriate for commencing supervised clinical interactions.","author":[{"dropping-particle":"","family":"Woodman-Pieterse","given":"Emily C.","non-dropping-particle":"","parse-names":false,"suffix":""},{"dropping-particle":"","family":"Souza","given":"Neilsen J.","non-dropping-particle":"De","parse-names":false,"suffix":""},{"dropping-particle":"","family":"Vincent","given":"Stephen J.","non-dropping-particle":"","parse-names":false,"suffix":""}],"container-title":"Clinical and Experimental Optometry","id":"ITEM-1","issue":"4","issued":{"date-parts":[["2016","7","1"]]},"note":"doi: 10.1111/cxo.12374","page":"342-349","publisher":"Blackwell Publishing Ltd","title":"The influence of a novel simulated learning environment upon student clinical subjective refraction performance: A pilot study","type":"article-journal","volume":"99"},"uris":["http://www.mendeley.com/documents/?uuid=9065def9-1ad9-3a45-b8b3-e49acc2c0b87"]}],"mendeley":{"formattedCitation":"[8]","plainTextFormattedCitation":"[8]","previouslyFormattedCitation":"[8]"},"properties":{"noteIndex":0},"schema":"https://github.com/citation-style-language/schema/raw/master/csl-citation.json"}</w:instrText>
      </w:r>
      <w:r w:rsidR="00BE018C">
        <w:rPr>
          <w:rFonts w:ascii="Arial" w:eastAsia="Calibri" w:hAnsi="Arial" w:cs="Arial"/>
          <w:color w:val="000000" w:themeColor="text1"/>
          <w:sz w:val="20"/>
          <w:szCs w:val="20"/>
        </w:rPr>
        <w:fldChar w:fldCharType="separate"/>
      </w:r>
      <w:r w:rsidR="00BE018C" w:rsidRPr="00BE018C">
        <w:rPr>
          <w:rFonts w:ascii="Arial" w:eastAsia="Calibri" w:hAnsi="Arial" w:cs="Arial"/>
          <w:noProof/>
          <w:color w:val="000000" w:themeColor="text1"/>
          <w:sz w:val="20"/>
          <w:szCs w:val="20"/>
        </w:rPr>
        <w:t>[8]</w:t>
      </w:r>
      <w:r w:rsidR="00BE018C">
        <w:rPr>
          <w:rFonts w:ascii="Arial" w:eastAsia="Calibri" w:hAnsi="Arial" w:cs="Arial"/>
          <w:color w:val="000000" w:themeColor="text1"/>
          <w:sz w:val="20"/>
          <w:szCs w:val="20"/>
        </w:rPr>
        <w:fldChar w:fldCharType="end"/>
      </w:r>
      <w:r w:rsidRPr="00CD3C9A">
        <w:rPr>
          <w:rFonts w:ascii="Arial" w:eastAsia="Calibri" w:hAnsi="Arial" w:cs="Arial"/>
          <w:color w:val="000000" w:themeColor="text1"/>
          <w:sz w:val="20"/>
          <w:szCs w:val="20"/>
        </w:rPr>
        <w:t xml:space="preserve"> Having virtual-simulation clinics with scenarios has been validated as a favourable asset for learning</w:t>
      </w:r>
      <w:r w:rsidR="0074646A">
        <w:rPr>
          <w:rFonts w:ascii="Arial" w:eastAsia="Calibri" w:hAnsi="Arial" w:cs="Arial"/>
          <w:color w:val="000000" w:themeColor="text1"/>
          <w:sz w:val="20"/>
          <w:szCs w:val="20"/>
        </w:rPr>
        <w:t xml:space="preserve"> by medical students</w:t>
      </w:r>
      <w:r w:rsidRPr="00CD3C9A">
        <w:rPr>
          <w:rFonts w:ascii="Arial" w:eastAsia="Calibri" w:hAnsi="Arial" w:cs="Arial"/>
          <w:color w:val="000000" w:themeColor="text1"/>
          <w:sz w:val="20"/>
          <w:szCs w:val="20"/>
        </w:rPr>
        <w:t>, enabling higher assessment scores in comparison to students not us</w:t>
      </w:r>
      <w:r w:rsidR="008D2FAE" w:rsidRPr="00CD3C9A">
        <w:rPr>
          <w:rFonts w:ascii="Arial" w:eastAsia="Calibri" w:hAnsi="Arial" w:cs="Arial"/>
          <w:color w:val="000000" w:themeColor="text1"/>
          <w:sz w:val="20"/>
          <w:szCs w:val="20"/>
        </w:rPr>
        <w:t>ing</w:t>
      </w:r>
      <w:r w:rsidRPr="00CD3C9A">
        <w:rPr>
          <w:rFonts w:ascii="Arial" w:eastAsia="Calibri" w:hAnsi="Arial" w:cs="Arial"/>
          <w:color w:val="000000" w:themeColor="text1"/>
          <w:sz w:val="20"/>
          <w:szCs w:val="20"/>
        </w:rPr>
        <w:t xml:space="preserve"> these tools</w:t>
      </w:r>
      <w:r w:rsidR="00351E6D">
        <w:rPr>
          <w:rFonts w:ascii="Arial" w:eastAsia="Calibri" w:hAnsi="Arial" w:cs="Arial"/>
          <w:color w:val="000000" w:themeColor="text1"/>
          <w:sz w:val="20"/>
          <w:szCs w:val="20"/>
        </w:rPr>
        <w:t>.</w:t>
      </w:r>
      <w:r w:rsidR="00351E6D">
        <w:rPr>
          <w:rFonts w:ascii="Arial" w:eastAsia="Calibri" w:hAnsi="Arial" w:cs="Arial"/>
          <w:color w:val="000000" w:themeColor="text1"/>
          <w:sz w:val="20"/>
          <w:szCs w:val="20"/>
        </w:rPr>
        <w:fldChar w:fldCharType="begin" w:fldLock="1"/>
      </w:r>
      <w:r w:rsidR="00E91354">
        <w:rPr>
          <w:rFonts w:ascii="Arial" w:eastAsia="Calibri" w:hAnsi="Arial" w:cs="Arial"/>
          <w:color w:val="000000" w:themeColor="text1"/>
          <w:sz w:val="20"/>
          <w:szCs w:val="20"/>
        </w:rPr>
        <w:instrText>ADDIN CSL_CITATION {"citationItems":[{"id":"ITEM-1","itemData":{"DOI":"10.1038/eye.2013.143","ISSN":"14765454","PMID":"23867718","abstract":"AimThe Virtual Ophthalmology Clinic (VOC) is an interactive web-based teaching module, with special emphasis on history taking and clinical reasoning skills. The purpose of this study was to determine the impact of VOC on medical students' learning.MethodsA randomised controlled trial (RCT) was conducted with medical students from the University of Sydney (n=188) who were randomly assigned into either an experimental (n=93) or a control group (n=95). A pre-and post-test and student satisfaction questionnaire were administered. Twelve months later a follow-up test was conducted to determine the long-term retention rate of graduates.ResultsThere was a statistically significant (P&lt;0.001) within-subject improvement pre-to post rotation in the number of correctly answered questions for both the control and experimental groups (mean improvement for control 10%, 95% CI 1.3-2.6, and for experimental 17.5%, 95% CI 3.0-4.0). The improvement was significantly greater in the experimental group (mean difference in improvement between groups 7.5%, 95% CI 0.8-2.3, P&lt;0.001). At 12 months follow-up testing, the experimental group scored on average 1.6 (8%) (95%CI 0.4 to 2.7, P=0.007) higher than the controls.ConclusionOn the basis of a statistically significant improvement in academic performance and highly positive student feedback, the implementation of VOC may provide a means to address challenges to ophthalmic learning outcomes in an already crowded medical curriculum. © 2013 Macmillan Publishers Limited. All rights reserved.","author":[{"dropping-particle":"","family":"Succar","given":"T.","non-dropping-particle":"","parse-names":false,"suffix":""},{"dropping-particle":"","family":"Zebington","given":"G.","non-dropping-particle":"","parse-names":false,"suffix":""},{"dropping-particle":"","family":"Billson","given":"F.","non-dropping-particle":"","parse-names":false,"suffix":""},{"dropping-particle":"","family":"Byth","given":"K.","non-dropping-particle":"","parse-names":false,"suffix":""},{"dropping-particle":"","family":"Barrie","given":"S.","non-dropping-particle":"","parse-names":false,"suffix":""},{"dropping-particle":"","family":"McCluskey","given":"P.","non-dropping-particle":"","parse-names":false,"suffix":""},{"dropping-particle":"","family":"Grigg","given":"J.","non-dropping-particle":"","parse-names":false,"suffix":""}],"container-title":"Eye (Basingstoke)","id":"ITEM-1","issue":"10","issued":{"date-parts":[["2013"]]},"page":"1151-1157","publisher":"Nature Publishing Group","title":"The impact of the Virtual Ophthalmology Clinic on medical students' learning: A randomised controlled trial","type":"article-journal","volume":"27"},"uris":["http://www.mendeley.com/documents/?uuid=8cbe8172-ed89-3eca-b389-b559fae23e91"]}],"mendeley":{"formattedCitation":"[19]","plainTextFormattedCitation":"[19]","previouslyFormattedCitation":"[19]"},"properties":{"noteIndex":0},"schema":"https://github.com/citation-style-language/schema/raw/master/csl-citation.json"}</w:instrText>
      </w:r>
      <w:r w:rsidR="00351E6D">
        <w:rPr>
          <w:rFonts w:ascii="Arial" w:eastAsia="Calibri" w:hAnsi="Arial" w:cs="Arial"/>
          <w:color w:val="000000" w:themeColor="text1"/>
          <w:sz w:val="20"/>
          <w:szCs w:val="20"/>
        </w:rPr>
        <w:fldChar w:fldCharType="separate"/>
      </w:r>
      <w:r w:rsidR="00351E6D" w:rsidRPr="00351E6D">
        <w:rPr>
          <w:rFonts w:ascii="Arial" w:eastAsia="Calibri" w:hAnsi="Arial" w:cs="Arial"/>
          <w:noProof/>
          <w:color w:val="000000" w:themeColor="text1"/>
          <w:sz w:val="20"/>
          <w:szCs w:val="20"/>
        </w:rPr>
        <w:t>[19]</w:t>
      </w:r>
      <w:r w:rsidR="00351E6D">
        <w:rPr>
          <w:rFonts w:ascii="Arial" w:eastAsia="Calibri" w:hAnsi="Arial" w:cs="Arial"/>
          <w:color w:val="000000" w:themeColor="text1"/>
          <w:sz w:val="20"/>
          <w:szCs w:val="20"/>
        </w:rPr>
        <w:fldChar w:fldCharType="end"/>
      </w:r>
      <w:r w:rsidR="00351E6D">
        <w:rPr>
          <w:rFonts w:ascii="Arial" w:eastAsia="Calibri" w:hAnsi="Arial" w:cs="Arial"/>
          <w:color w:val="000000" w:themeColor="text1"/>
          <w:sz w:val="20"/>
          <w:szCs w:val="20"/>
        </w:rPr>
        <w:t xml:space="preserve"> Higher</w:t>
      </w:r>
      <w:r w:rsidR="0074646A">
        <w:rPr>
          <w:rFonts w:ascii="Arial" w:eastAsia="Calibri" w:hAnsi="Arial" w:cs="Arial"/>
          <w:color w:val="000000" w:themeColor="text1"/>
          <w:sz w:val="20"/>
          <w:szCs w:val="20"/>
        </w:rPr>
        <w:t xml:space="preserve"> </w:t>
      </w:r>
      <w:r w:rsidR="008D2FAE" w:rsidRPr="00CD3C9A">
        <w:rPr>
          <w:rFonts w:ascii="Arial" w:eastAsia="Calibri" w:hAnsi="Arial" w:cs="Arial"/>
          <w:color w:val="000000" w:themeColor="text1"/>
          <w:sz w:val="20"/>
          <w:szCs w:val="20"/>
        </w:rPr>
        <w:t xml:space="preserve">knowledge </w:t>
      </w:r>
      <w:r w:rsidRPr="00CD3C9A">
        <w:rPr>
          <w:rFonts w:ascii="Arial" w:eastAsia="Calibri" w:hAnsi="Arial" w:cs="Arial"/>
          <w:color w:val="000000" w:themeColor="text1"/>
          <w:sz w:val="20"/>
          <w:szCs w:val="20"/>
        </w:rPr>
        <w:t>retain</w:t>
      </w:r>
      <w:r w:rsidR="008D2FAE" w:rsidRPr="00CD3C9A">
        <w:rPr>
          <w:rFonts w:ascii="Arial" w:eastAsia="Calibri" w:hAnsi="Arial" w:cs="Arial"/>
          <w:color w:val="000000" w:themeColor="text1"/>
          <w:sz w:val="20"/>
          <w:szCs w:val="20"/>
        </w:rPr>
        <w:t>ment</w:t>
      </w:r>
      <w:r w:rsidRPr="00CD3C9A">
        <w:rPr>
          <w:rFonts w:ascii="Arial" w:eastAsia="Calibri" w:hAnsi="Arial" w:cs="Arial"/>
          <w:color w:val="000000" w:themeColor="text1"/>
          <w:sz w:val="20"/>
          <w:szCs w:val="20"/>
        </w:rPr>
        <w:t xml:space="preserve"> </w:t>
      </w:r>
      <w:r w:rsidR="00351E6D">
        <w:rPr>
          <w:rFonts w:ascii="Arial" w:eastAsia="Calibri" w:hAnsi="Arial" w:cs="Arial"/>
          <w:color w:val="000000" w:themeColor="text1"/>
          <w:sz w:val="20"/>
          <w:szCs w:val="20"/>
        </w:rPr>
        <w:t xml:space="preserve">was seen in </w:t>
      </w:r>
      <w:r w:rsidRPr="00CD3C9A">
        <w:rPr>
          <w:rFonts w:ascii="Arial" w:eastAsia="Calibri" w:hAnsi="Arial" w:cs="Arial"/>
          <w:color w:val="000000" w:themeColor="text1"/>
          <w:sz w:val="20"/>
          <w:szCs w:val="20"/>
        </w:rPr>
        <w:t>students that use</w:t>
      </w:r>
      <w:r w:rsidR="008D2FAE" w:rsidRPr="00CD3C9A">
        <w:rPr>
          <w:rFonts w:ascii="Arial" w:eastAsia="Calibri" w:hAnsi="Arial" w:cs="Arial"/>
          <w:color w:val="000000" w:themeColor="text1"/>
          <w:sz w:val="20"/>
          <w:szCs w:val="20"/>
        </w:rPr>
        <w:t>d</w:t>
      </w:r>
      <w:r w:rsidRPr="00CD3C9A">
        <w:rPr>
          <w:rFonts w:ascii="Arial" w:eastAsia="Calibri" w:hAnsi="Arial" w:cs="Arial"/>
          <w:color w:val="000000" w:themeColor="text1"/>
          <w:sz w:val="20"/>
          <w:szCs w:val="20"/>
        </w:rPr>
        <w:t xml:space="preserve"> </w:t>
      </w:r>
      <w:r w:rsidR="0074646A">
        <w:rPr>
          <w:rFonts w:ascii="Arial" w:eastAsia="Calibri" w:hAnsi="Arial" w:cs="Arial"/>
          <w:color w:val="000000" w:themeColor="text1"/>
          <w:sz w:val="20"/>
          <w:szCs w:val="20"/>
        </w:rPr>
        <w:t>the</w:t>
      </w:r>
      <w:r w:rsidR="0074646A" w:rsidRPr="00CD3C9A">
        <w:rPr>
          <w:rFonts w:ascii="Arial" w:eastAsia="Calibri" w:hAnsi="Arial" w:cs="Arial"/>
          <w:color w:val="000000" w:themeColor="text1"/>
          <w:sz w:val="20"/>
          <w:szCs w:val="20"/>
        </w:rPr>
        <w:t xml:space="preserve"> </w:t>
      </w:r>
      <w:r w:rsidRPr="00CD3C9A">
        <w:rPr>
          <w:rFonts w:ascii="Arial" w:eastAsia="Calibri" w:hAnsi="Arial" w:cs="Arial"/>
          <w:color w:val="000000" w:themeColor="text1"/>
          <w:sz w:val="20"/>
          <w:szCs w:val="20"/>
        </w:rPr>
        <w:t xml:space="preserve">online tool prior to an assessment even after 12-months, </w:t>
      </w:r>
      <w:r w:rsidR="008D2FAE" w:rsidRPr="00CD3C9A">
        <w:rPr>
          <w:rFonts w:ascii="Arial" w:eastAsia="Calibri" w:hAnsi="Arial" w:cs="Arial"/>
          <w:color w:val="000000" w:themeColor="text1"/>
          <w:sz w:val="20"/>
          <w:szCs w:val="20"/>
        </w:rPr>
        <w:t xml:space="preserve">compared to </w:t>
      </w:r>
      <w:r w:rsidRPr="00CD3C9A">
        <w:rPr>
          <w:rFonts w:ascii="Arial" w:eastAsia="Calibri" w:hAnsi="Arial" w:cs="Arial"/>
          <w:color w:val="000000" w:themeColor="text1"/>
          <w:sz w:val="20"/>
          <w:szCs w:val="20"/>
        </w:rPr>
        <w:t>students</w:t>
      </w:r>
      <w:r w:rsidR="008D2FAE" w:rsidRPr="00CD3C9A">
        <w:rPr>
          <w:rFonts w:ascii="Arial" w:eastAsia="Calibri" w:hAnsi="Arial" w:cs="Arial"/>
          <w:color w:val="000000" w:themeColor="text1"/>
          <w:sz w:val="20"/>
          <w:szCs w:val="20"/>
        </w:rPr>
        <w:t xml:space="preserve"> </w:t>
      </w:r>
      <w:r w:rsidR="00351E6D">
        <w:rPr>
          <w:rFonts w:ascii="Arial" w:eastAsia="Calibri" w:hAnsi="Arial" w:cs="Arial"/>
          <w:color w:val="000000" w:themeColor="text1"/>
          <w:sz w:val="20"/>
          <w:szCs w:val="20"/>
        </w:rPr>
        <w:t xml:space="preserve">whose </w:t>
      </w:r>
      <w:r w:rsidR="008D2FAE" w:rsidRPr="00CD3C9A">
        <w:rPr>
          <w:rFonts w:ascii="Arial" w:eastAsia="Calibri" w:hAnsi="Arial" w:cs="Arial"/>
          <w:color w:val="000000" w:themeColor="text1"/>
          <w:sz w:val="20"/>
          <w:szCs w:val="20"/>
        </w:rPr>
        <w:t xml:space="preserve">use of </w:t>
      </w:r>
      <w:r w:rsidRPr="00CD3C9A">
        <w:rPr>
          <w:rFonts w:ascii="Arial" w:eastAsia="Calibri" w:hAnsi="Arial" w:cs="Arial"/>
          <w:color w:val="000000" w:themeColor="text1"/>
          <w:sz w:val="20"/>
          <w:szCs w:val="20"/>
        </w:rPr>
        <w:t>same online learning tool was not compulsory</w:t>
      </w:r>
      <w:r w:rsidR="00BE018C">
        <w:rPr>
          <w:rFonts w:ascii="Arial" w:eastAsia="Calibri" w:hAnsi="Arial" w:cs="Arial"/>
          <w:color w:val="000000" w:themeColor="text1"/>
          <w:sz w:val="20"/>
          <w:szCs w:val="20"/>
        </w:rPr>
        <w:t>.</w:t>
      </w:r>
      <w:r w:rsidR="00BE018C">
        <w:rPr>
          <w:rFonts w:ascii="Arial" w:eastAsia="Calibri" w:hAnsi="Arial" w:cs="Arial"/>
          <w:color w:val="000000" w:themeColor="text1"/>
          <w:sz w:val="20"/>
          <w:szCs w:val="20"/>
        </w:rPr>
        <w:fldChar w:fldCharType="begin" w:fldLock="1"/>
      </w:r>
      <w:r w:rsidR="00063F5B">
        <w:rPr>
          <w:rFonts w:ascii="Arial" w:eastAsia="Calibri" w:hAnsi="Arial" w:cs="Arial"/>
          <w:color w:val="000000" w:themeColor="text1"/>
          <w:sz w:val="20"/>
          <w:szCs w:val="20"/>
        </w:rPr>
        <w:instrText>ADDIN CSL_CITATION {"citationItems":[{"id":"ITEM-1","itemData":{"DOI":"10.1038/eye.2013.143","ISSN":"14765454","PMID":"23867718","abstract":"AimThe Virtual Ophthalmology Clinic (VOC) is an interactive web-based teaching module, with special emphasis on history taking and clinical reasoning skills. The purpose of this study was to determine the impact of VOC on medical students' learning.MethodsA randomised controlled trial (RCT) was conducted with medical students from the University of Sydney (n=188) who were randomly assigned into either an experimental (n=93) or a control group (n=95). A pre-and post-test and student satisfaction questionnaire were administered. Twelve months later a follow-up test was conducted to determine the long-term retention rate of graduates.ResultsThere was a statistically significant (P&lt;0.001) within-subject improvement pre-to post rotation in the number of correctly answered questions for both the control and experimental groups (mean improvement for control 10%, 95% CI 1.3-2.6, and for experimental 17.5%, 95% CI 3.0-4.0). The improvement was significantly greater in the experimental group (mean difference in improvement between groups 7.5%, 95% CI 0.8-2.3, P&lt;0.001). At 12 months follow-up testing, the experimental group scored on average 1.6 (8%) (95%CI 0.4 to 2.7, P=0.007) higher than the controls.ConclusionOn the basis of a statistically significant improvement in academic performance and highly positive student feedback, the implementation of VOC may provide a means to address challenges to ophthalmic learning outcomes in an already crowded medical curriculum. © 2013 Macmillan Publishers Limited. All rights reserved.","author":[{"dropping-particle":"","family":"Succar","given":"T.","non-dropping-particle":"","parse-names":false,"suffix":""},{"dropping-particle":"","family":"Zebington","given":"G.","non-dropping-particle":"","parse-names":false,"suffix":""},{"dropping-particle":"","family":"Billson","given":"F.","non-dropping-particle":"","parse-names":false,"suffix":""},{"dropping-particle":"","family":"Byth","given":"K.","non-dropping-particle":"","parse-names":false,"suffix":""},{"dropping-particle":"","family":"Barrie","given":"S.","non-dropping-particle":"","parse-names":false,"suffix":""},{"dropping-particle":"","family":"McCluskey","given":"P.","non-dropping-particle":"","parse-names":false,"suffix":""},{"dropping-particle":"","family":"Grigg","given":"J.","non-dropping-particle":"","parse-names":false,"suffix":""}],"container-title":"Eye (Basingstoke)","id":"ITEM-1","issue":"10","issued":{"date-parts":[["2013"]]},"page":"1151-1157","publisher":"Nature Publishing Group","title":"The impact of the Virtual Ophthalmology Clinic on medical students' learning: A randomised controlled trial","type":"article-journal","volume":"27"},"uris":["http://www.mendeley.com/documents/?uuid=8cbe8172-ed89-3eca-b389-b559fae23e91"]}],"mendeley":{"formattedCitation":"[19]","plainTextFormattedCitation":"[19]","previouslyFormattedCitation":"[19]"},"properties":{"noteIndex":0},"schema":"https://github.com/citation-style-language/schema/raw/master/csl-citation.json"}</w:instrText>
      </w:r>
      <w:r w:rsidR="00BE018C">
        <w:rPr>
          <w:rFonts w:ascii="Arial" w:eastAsia="Calibri" w:hAnsi="Arial" w:cs="Arial"/>
          <w:color w:val="000000" w:themeColor="text1"/>
          <w:sz w:val="20"/>
          <w:szCs w:val="20"/>
        </w:rPr>
        <w:fldChar w:fldCharType="separate"/>
      </w:r>
      <w:r w:rsidR="00063F5B" w:rsidRPr="00063F5B">
        <w:rPr>
          <w:rFonts w:ascii="Arial" w:eastAsia="Calibri" w:hAnsi="Arial" w:cs="Arial"/>
          <w:noProof/>
          <w:color w:val="000000" w:themeColor="text1"/>
          <w:sz w:val="20"/>
          <w:szCs w:val="20"/>
        </w:rPr>
        <w:t>[19]</w:t>
      </w:r>
      <w:r w:rsidR="00BE018C">
        <w:rPr>
          <w:rFonts w:ascii="Arial" w:eastAsia="Calibri" w:hAnsi="Arial" w:cs="Arial"/>
          <w:color w:val="000000" w:themeColor="text1"/>
          <w:sz w:val="20"/>
          <w:szCs w:val="20"/>
        </w:rPr>
        <w:fldChar w:fldCharType="end"/>
      </w:r>
    </w:p>
    <w:p w14:paraId="452F1A49" w14:textId="0284E903" w:rsidR="00C03656" w:rsidRPr="00CD3C9A" w:rsidRDefault="00BB302A" w:rsidP="00CD3C9A">
      <w:pPr>
        <w:spacing w:line="360" w:lineRule="auto"/>
        <w:rPr>
          <w:rFonts w:eastAsia="Calibri"/>
          <w:color w:val="000000" w:themeColor="text1"/>
          <w:sz w:val="20"/>
          <w:szCs w:val="20"/>
        </w:rPr>
      </w:pPr>
      <w:r w:rsidRPr="00CD3C9A">
        <w:rPr>
          <w:rFonts w:eastAsia="Calibri"/>
          <w:color w:val="000000" w:themeColor="text1"/>
          <w:sz w:val="20"/>
          <w:szCs w:val="20"/>
        </w:rPr>
        <w:t xml:space="preserve">In clinical practice, </w:t>
      </w:r>
      <w:r w:rsidR="00466E7D" w:rsidRPr="00CD3C9A">
        <w:rPr>
          <w:rFonts w:eastAsia="Calibri"/>
          <w:color w:val="000000" w:themeColor="text1"/>
          <w:sz w:val="20"/>
          <w:szCs w:val="20"/>
        </w:rPr>
        <w:t>online tools</w:t>
      </w:r>
      <w:r w:rsidRPr="00CD3C9A">
        <w:rPr>
          <w:rFonts w:eastAsia="Calibri"/>
          <w:color w:val="000000" w:themeColor="text1"/>
          <w:sz w:val="20"/>
          <w:szCs w:val="20"/>
        </w:rPr>
        <w:t xml:space="preserve"> </w:t>
      </w:r>
      <w:r w:rsidR="007B3280" w:rsidRPr="00CD3C9A">
        <w:rPr>
          <w:rFonts w:eastAsia="Calibri"/>
          <w:color w:val="000000" w:themeColor="text1"/>
          <w:sz w:val="20"/>
          <w:szCs w:val="20"/>
        </w:rPr>
        <w:t>can be</w:t>
      </w:r>
      <w:r w:rsidR="008D2FAE" w:rsidRPr="00CD3C9A">
        <w:rPr>
          <w:rFonts w:eastAsia="Calibri"/>
          <w:color w:val="000000" w:themeColor="text1"/>
          <w:sz w:val="20"/>
          <w:szCs w:val="20"/>
        </w:rPr>
        <w:t xml:space="preserve"> </w:t>
      </w:r>
      <w:r w:rsidRPr="00CD3C9A">
        <w:rPr>
          <w:rFonts w:eastAsia="Calibri"/>
          <w:color w:val="000000" w:themeColor="text1"/>
          <w:sz w:val="20"/>
          <w:szCs w:val="20"/>
        </w:rPr>
        <w:t xml:space="preserve">used to </w:t>
      </w:r>
      <w:r w:rsidR="008D2FAE" w:rsidRPr="00CD3C9A">
        <w:rPr>
          <w:rFonts w:eastAsia="Calibri"/>
          <w:color w:val="000000" w:themeColor="text1"/>
          <w:sz w:val="20"/>
          <w:szCs w:val="20"/>
        </w:rPr>
        <w:t xml:space="preserve">search for </w:t>
      </w:r>
      <w:r w:rsidRPr="00CD3C9A">
        <w:rPr>
          <w:rFonts w:eastAsia="Calibri"/>
          <w:color w:val="000000" w:themeColor="text1"/>
          <w:sz w:val="20"/>
          <w:szCs w:val="20"/>
        </w:rPr>
        <w:t>information regarding EBP</w:t>
      </w:r>
      <w:r w:rsidR="007B3280" w:rsidRPr="00CD3C9A">
        <w:rPr>
          <w:rFonts w:eastAsia="Calibri"/>
          <w:color w:val="000000" w:themeColor="text1"/>
          <w:sz w:val="20"/>
          <w:szCs w:val="20"/>
        </w:rPr>
        <w:t>, the</w:t>
      </w:r>
      <w:r w:rsidR="008D2FAE" w:rsidRPr="00CD3C9A">
        <w:rPr>
          <w:rFonts w:eastAsia="Calibri"/>
          <w:color w:val="000000" w:themeColor="text1"/>
          <w:sz w:val="20"/>
          <w:szCs w:val="20"/>
        </w:rPr>
        <w:t xml:space="preserve"> </w:t>
      </w:r>
      <w:r w:rsidRPr="00CD3C9A">
        <w:rPr>
          <w:rFonts w:eastAsia="Calibri"/>
          <w:color w:val="000000" w:themeColor="text1"/>
          <w:sz w:val="20"/>
          <w:szCs w:val="20"/>
        </w:rPr>
        <w:t>critical appraisal of clinical guidelines</w:t>
      </w:r>
      <w:r w:rsidR="00BE018C">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{"citationItems":[{"id":"ITEM-1","itemData":{"DOI":"10.1111/j.1741-6787.2009.00171.x","ISSN":"1545102X","PMID":"19804588","abstract":"Aim: To test the feasibility and acceptability of the use of a mobile device to access evidence-based practice (EBP) resources in the clinical setting. Methods: A pretest/posttest design was used with a convenience sample of 2nd- and 3rd-year preregistration undergraduate health care students in the United Kingdom. Questionnaires were used to measure (1) feasibility and acceptability of the mobile device and (2) perceptions of the development of EBP knowledge and skills. The study took place during the students' clinical practice and involved two meetings at the beginning and end of the placement period. A Web page was developed to support the process and provide links to key EBP resources. Results: Nineteen undergraduate physiotherapy and nursing students took part in the study. The main findings indicated a generally low level of utilisation of the mobile device in the clinical setting, primarily due to practical difficulties associated with accessing the Internet and the small size of the screen. Consequently, the majority of the students used personal computers (PCs) to access EBP resources. Through the process, students reported improvements in their knowledge and skills in relation to EBP and the appraisal of clinical guidelines. Conclusions: Students were able to complete the EBP activity using either the mobile device or PC and reported improvements in their knowledge and skills in relation to EBP and the appraisal of clinical guidelines. Findings suggest that for undergraduate health care students, rapid access to online evidence in the clinical environment is not necessarily essential for the integration of the EBP process into practice, or for the development of EBP knowledge and skills, provided there is easy access to such evidence at some point during the placement period. © 2009 Sigma Theta Tau International.","author":[{"dropping-particle":"","family":"Morris","given":"Jenny","non-dropping-particle":"","parse-names":false,"suffix":""},{"dropping-particle":"","family":"Maynard","given":"Veronica","non-dropping-particle":"","parse-names":false,"suffix":""}],"container-title":"Worldviews on Evidence-Based Nursing","id":"ITEM-1","issue":"4","issued":{"date-parts":[["2010"]]},"page":"205-213","title":"Pilot study to test the use of a mobile device in the clinical setting to access evidence-based practice resources","type":"article-journal","volume":"7"},"uris":["http://www.mendeley.com/documents/?uuid=cee06fe9-7a92-4648-9427-d47b6457092b"]}],"mendeley":{"formattedCitation":"[20]","plainTextFormattedCitation":"[20]","previouslyFormattedCitation":"[20]"},"properties":{"noteIndex":0},"schema":"https://github.com/citation-style-language/schema/raw/master/csl-citation.json"}</w:instrText>
      </w:r>
      <w:r w:rsidR="00BE018C">
        <w:rPr>
          <w:rFonts w:eastAsia="Calibri"/>
          <w:color w:val="000000" w:themeColor="text1"/>
          <w:sz w:val="20"/>
          <w:szCs w:val="20"/>
        </w:rPr>
        <w:fldChar w:fldCharType="separate"/>
      </w:r>
      <w:r w:rsidR="00063F5B" w:rsidRPr="00063F5B">
        <w:rPr>
          <w:rFonts w:eastAsia="Calibri"/>
          <w:noProof/>
          <w:color w:val="000000" w:themeColor="text1"/>
          <w:sz w:val="20"/>
          <w:szCs w:val="20"/>
        </w:rPr>
        <w:t>[20]</w:t>
      </w:r>
      <w:r w:rsidR="00BE018C">
        <w:rPr>
          <w:rFonts w:eastAsia="Calibri"/>
          <w:color w:val="000000" w:themeColor="text1"/>
          <w:sz w:val="20"/>
          <w:szCs w:val="20"/>
        </w:rPr>
        <w:fldChar w:fldCharType="end"/>
      </w:r>
      <w:r w:rsidRPr="00CD3C9A">
        <w:rPr>
          <w:rFonts w:eastAsia="Calibri"/>
          <w:color w:val="000000" w:themeColor="text1"/>
          <w:sz w:val="20"/>
          <w:szCs w:val="20"/>
        </w:rPr>
        <w:t xml:space="preserve"> and specific task-oriented information </w:t>
      </w:r>
      <w:r w:rsidR="008D2FAE" w:rsidRPr="00CD3C9A">
        <w:rPr>
          <w:rFonts w:eastAsia="Calibri"/>
          <w:color w:val="000000" w:themeColor="text1"/>
          <w:sz w:val="20"/>
          <w:szCs w:val="20"/>
        </w:rPr>
        <w:t xml:space="preserve">relating to </w:t>
      </w:r>
      <w:r w:rsidRPr="00CD3C9A">
        <w:rPr>
          <w:rFonts w:eastAsia="Calibri"/>
          <w:color w:val="000000" w:themeColor="text1"/>
          <w:sz w:val="20"/>
          <w:szCs w:val="20"/>
        </w:rPr>
        <w:t>clinical practice.</w:t>
      </w:r>
      <w:r w:rsidR="00BE018C">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{"citationItems":[{"id":"ITEM-1","itemData":{"ISSN":"1879-8365","PMID":"27332210","abstract":"Recent entry-to-practice nursing informatics competencies for Registered Nurses in Canada mean nurse educators need educational strategies to promote student competency within the rapidly evolving informatics field. A collaborative research team from three Canadian nursing programs completed a mixed method survey to describe how nursing students used mobile nursing information support and the extent of this support for learning. The Mobile Information Support Evaluation Tool (MISET) assessed Usefulness/Helpfulness, Information Literacy Support, and Use of Evidence-Based Sources. The quantitative and qualitative data were analyzed to describe students' perspectives and the ways they used mobile resources in learning situations. Findings suggest nursing students mainly accessed mobile resources to support clinical learning, and specifically for task-oriented information such as drug medication or patient conditions/diagnoses. Researchers recommend a paradigm shift whereby educators emphasize information literacy in a way that supports evidence-based quality care.","author":[{"dropping-particle":"","family":"Doyle","given":"Glynda J","non-dropping-particle":"","parse-names":false,"suffix":""},{"dropping-particle":"","family":"Furlong","given":"Karen E","non-dropping-particle":"","parse-names":false,"suffix":""},{"dropping-particle":"","family":"Secco","given":"Loretta","non-dropping-particle":"","parse-names":false,"suffix":""}],"container-title":"Studies in health technology and informatics","id":"ITEM-1","issued":{"date-parts":[["2016"]]},"page":"297-301","title":"Information Literacy in a Digital Era: Understanding the Impact of Mobile Information for Undergraduate Nursing Students.","type":"article-journal","volume":"225"},"uris":["http://www.mendeley.com/documents/?uuid=9751db9e-845f-3860-8c75-bfe232f75244"]}],"mendeley":{"formattedCitation":"[21]","plainTextFormattedCitation":"[21]","previouslyFormattedCitation":"[21]"},"properties":{"noteIndex":0},"schema":"https://github.com/citation-style-language/schema/raw/master/csl-citation.json"}</w:instrText>
      </w:r>
      <w:r w:rsidR="00BE018C">
        <w:rPr>
          <w:rFonts w:eastAsia="Calibri"/>
          <w:color w:val="000000" w:themeColor="text1"/>
          <w:sz w:val="20"/>
          <w:szCs w:val="20"/>
        </w:rPr>
        <w:fldChar w:fldCharType="separate"/>
      </w:r>
      <w:r w:rsidR="00063F5B" w:rsidRPr="00063F5B">
        <w:rPr>
          <w:rFonts w:eastAsia="Calibri"/>
          <w:noProof/>
          <w:color w:val="000000" w:themeColor="text1"/>
          <w:sz w:val="20"/>
          <w:szCs w:val="20"/>
        </w:rPr>
        <w:t>[21]</w:t>
      </w:r>
      <w:r w:rsidR="00BE018C">
        <w:rPr>
          <w:rFonts w:eastAsia="Calibri"/>
          <w:color w:val="000000" w:themeColor="text1"/>
          <w:sz w:val="20"/>
          <w:szCs w:val="20"/>
        </w:rPr>
        <w:fldChar w:fldCharType="end"/>
      </w:r>
    </w:p>
    <w:p w14:paraId="70CBEA14" w14:textId="1B6B7868" w:rsidR="00B165C0" w:rsidRPr="00CD3C9A" w:rsidRDefault="00A242A6" w:rsidP="00CD3C9A">
      <w:pPr>
        <w:spacing w:line="360" w:lineRule="auto"/>
        <w:rPr>
          <w:rFonts w:eastAsia="Calibri"/>
          <w:color w:val="000000" w:themeColor="text1"/>
          <w:sz w:val="20"/>
          <w:szCs w:val="20"/>
        </w:rPr>
      </w:pPr>
      <w:bookmarkStart w:id="3" w:name="_heading=h.yt55xiohfkk2" w:colFirst="0" w:colLast="0"/>
      <w:bookmarkEnd w:id="3"/>
      <w:r w:rsidRPr="00CD3C9A">
        <w:rPr>
          <w:rFonts w:eastAsia="Calibri"/>
          <w:color w:val="000000" w:themeColor="text1"/>
          <w:sz w:val="20"/>
          <w:szCs w:val="20"/>
        </w:rPr>
        <w:t xml:space="preserve">The </w:t>
      </w:r>
      <w:r w:rsidR="007B3280" w:rsidRPr="00CD3C9A">
        <w:rPr>
          <w:rFonts w:eastAsia="Calibri"/>
          <w:color w:val="000000" w:themeColor="text1"/>
          <w:sz w:val="20"/>
          <w:szCs w:val="20"/>
        </w:rPr>
        <w:t xml:space="preserve">Coronavirus </w:t>
      </w:r>
      <w:r w:rsidRPr="00CD3C9A">
        <w:rPr>
          <w:rFonts w:eastAsia="Calibri"/>
          <w:color w:val="000000" w:themeColor="text1"/>
          <w:sz w:val="20"/>
          <w:szCs w:val="20"/>
        </w:rPr>
        <w:t>changed</w:t>
      </w:r>
      <w:r w:rsidR="007B3280" w:rsidRPr="00CD3C9A">
        <w:rPr>
          <w:rFonts w:eastAsia="Calibri"/>
          <w:color w:val="000000" w:themeColor="text1"/>
          <w:sz w:val="20"/>
          <w:szCs w:val="20"/>
        </w:rPr>
        <w:t xml:space="preserve"> CL</w:t>
      </w:r>
      <w:r w:rsidRPr="00CD3C9A">
        <w:rPr>
          <w:rFonts w:eastAsia="Calibri"/>
          <w:color w:val="000000" w:themeColor="text1"/>
          <w:sz w:val="20"/>
          <w:szCs w:val="20"/>
        </w:rPr>
        <w:t xml:space="preserve"> education to mostly online</w:t>
      </w:r>
      <w:r w:rsidR="00BE018C">
        <w:rPr>
          <w:rFonts w:eastAsia="Calibri"/>
          <w:color w:val="000000" w:themeColor="text1"/>
          <w:sz w:val="20"/>
          <w:szCs w:val="20"/>
        </w:rPr>
        <w:t>.</w:t>
      </w:r>
      <w:r w:rsidR="00BE018C">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{"citationItems":[{"id":"ITEM-1","itemData":{"DOI":"10.1111/opo.12791","ISSN":"14751313","PMID":"33609327","abstract":"The World Health Organization has identified a shortage of trained human resources as one of the greatest challenges to increasing the availability of eye care services and reducing preventable visual impairment around the world. Increased prevalence of myopia and new strategies for myopia management have raised the prospect of various interventions, including contact lenses for therapeutic use as well as for refractive correction. More personnel skilled in contact lens fitting will be needed to address potential worldwide demand for these interventions. This review investigates the current status and future requirements of global contact lens education in light of these developments. The COVD-19 pandemic led educational institutions worldwide to move towards online delivery. An online survey among 546 educators, conducted in May 2020, investigated changes to contact lens education delivery before and after the onset of the pandemic. A total of 214 responses were received from 32 countries. Prior to COVID-19 restrictions, 23% of educators had conducted more than 50% of their total teaching online; however, 69% expected to conduct more than half of their teaching online by the end of 2020 and 12% anticipated 90% or more of their teaching would be online. Some 76% of educators expected to provide more online lectures after the pandemic and 63% anticipated new methods to deliver practical education. Around half were planning to introduce new teaching online platforms (54%) and more online assessment methods (53%). The global need for increasing numbers of skilled personnel points to a crucial role for educators in teaching the contact lens practitioners of the future. Contact lens education delivery was already evolving prior to COVID-19, and changes that are currently occurring may lead to permanent differences in the way contact lenses are taught in future. The International Association of Contact Lens Educators (IACLE) provides educators with a standardised global curriculum, online resources and teaching technology that could also serve as a model for wider ophthalmic education in future.","author":[{"dropping-particle":"","family":"Naroo","given":"Shehzad A.","non-dropping-particle":"","parse-names":false,"suffix":""},{"dropping-particle":"","family":"Morgan","given":"Philip B.","non-dropping-particle":"","parse-names":false,"suffix":""},{"dropping-particle":"","family":"Shinde","given":"Lakshmi","non-dropping-particle":"","parse-names":false,"suffix":""},{"dropping-particle":"","family":"Lee","given":"Cheni","non-dropping-particle":"","parse-names":false,"suffix":""},{"dropping-particle":"","family":"Ewbank","given":"Alison","non-dropping-particle":"","parse-names":false,"suffix":""}],"container-title":"Ophthalmic and Physiological Optics","id":"ITEM-1","issue":"3","issued":{"date-parts":[["2021","5","1"]]},"page":"603-609","publisher":"Blackwell Publishing Ltd","title":"Contact lens education for the practitioners of the future","type":"article-journal","volume":"41"},"uris":["http://www.mendeley.com/documents/?uuid=ed66cf8a-ac81-3b2a-b391-3d0732057d67"]}],"mendeley":{"formattedCitation":"[22]","plainTextFormattedCitation":"[22]","previouslyFormattedCitation":"[22]"},"properties":{"noteIndex":0},"schema":"https://github.com/citation-style-language/schema/raw/master/csl-citation.json"}</w:instrText>
      </w:r>
      <w:r w:rsidR="00BE018C">
        <w:rPr>
          <w:rFonts w:eastAsia="Calibri"/>
          <w:color w:val="000000" w:themeColor="text1"/>
          <w:sz w:val="20"/>
          <w:szCs w:val="20"/>
        </w:rPr>
        <w:fldChar w:fldCharType="separate"/>
      </w:r>
      <w:r w:rsidR="00063F5B" w:rsidRPr="00063F5B">
        <w:rPr>
          <w:rFonts w:eastAsia="Calibri"/>
          <w:noProof/>
          <w:color w:val="000000" w:themeColor="text1"/>
          <w:sz w:val="20"/>
          <w:szCs w:val="20"/>
        </w:rPr>
        <w:t>[22]</w:t>
      </w:r>
      <w:r w:rsidR="00BE018C">
        <w:rPr>
          <w:rFonts w:eastAsia="Calibri"/>
          <w:color w:val="000000" w:themeColor="text1"/>
          <w:sz w:val="20"/>
          <w:szCs w:val="20"/>
        </w:rPr>
        <w:fldChar w:fldCharType="end"/>
      </w:r>
      <w:r w:rsidRPr="00CD3C9A">
        <w:rPr>
          <w:rFonts w:eastAsia="Calibri"/>
          <w:color w:val="000000" w:themeColor="text1"/>
          <w:sz w:val="20"/>
          <w:szCs w:val="20"/>
        </w:rPr>
        <w:t xml:space="preserve"> </w:t>
      </w:r>
      <w:r w:rsidR="00D549E3" w:rsidRPr="00CD3C9A">
        <w:rPr>
          <w:rFonts w:eastAsia="Calibri"/>
          <w:color w:val="000000" w:themeColor="text1"/>
          <w:sz w:val="20"/>
          <w:szCs w:val="20"/>
        </w:rPr>
        <w:t>However,</w:t>
      </w:r>
      <w:r w:rsidRPr="00CD3C9A">
        <w:rPr>
          <w:rFonts w:eastAsia="Calibri"/>
          <w:color w:val="000000" w:themeColor="text1"/>
          <w:sz w:val="20"/>
          <w:szCs w:val="20"/>
        </w:rPr>
        <w:t xml:space="preserve"> the origin of new virtual teaching methods </w:t>
      </w:r>
      <w:r w:rsidR="007B3280" w:rsidRPr="00CD3C9A">
        <w:rPr>
          <w:rFonts w:eastAsia="Calibri"/>
          <w:color w:val="000000" w:themeColor="text1"/>
          <w:sz w:val="20"/>
          <w:szCs w:val="20"/>
        </w:rPr>
        <w:t xml:space="preserve">had </w:t>
      </w:r>
      <w:r w:rsidRPr="00CD3C9A">
        <w:rPr>
          <w:rFonts w:eastAsia="Calibri"/>
          <w:color w:val="000000" w:themeColor="text1"/>
          <w:sz w:val="20"/>
          <w:szCs w:val="20"/>
        </w:rPr>
        <w:t>started before the pandemic, with 50% of the educators already delivering some clinical content online</w:t>
      </w:r>
      <w:r w:rsidR="00BE018C">
        <w:rPr>
          <w:rFonts w:eastAsia="Calibri"/>
          <w:color w:val="000000" w:themeColor="text1"/>
          <w:sz w:val="20"/>
          <w:szCs w:val="20"/>
        </w:rPr>
        <w:t>.</w:t>
      </w:r>
      <w:r w:rsidR="00BE018C">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{"citationItems":[{"id":"ITEM-1","itemData":{"DOI":"10.1016/j.optom.2020.11.002","ISSN":"19891342","PMID":"33685846","abstract":"Purpose: To investigate the effects of the global COVID-19 pandemic on contact lens education around the world. Methods: An online survey among contact lens educators (educator members of the International Association of Contact Lens Educators), conducted in May 2020. Results: A total of 214 responses were received from 32 countries (representing a 39% response rate). Overall, 71% of respondents’ institutions were closed to students to attend at that time. A majority (58%) were delivering more online education than they would normally provide. Live online lectures and discussion was the most commonly used method (68%). Zoom was the most common videoconferencing technology (56%) and the most popular social media platform for communicating with students was WhatsApp (48%). About half (54%) were running online exams or assessments, 24% holding these for students to attend in person, and 27% were conducting practical sessions. Two in three (68%) said they would conduct more than 50% of their total teaching online by the end of 2020, and 12% anticipated 90% or more of their teaching would be online. Of all respondents, 74% expressed interest in an online platform delivering educational resources. Conclusion: The COVID-19 pandemic has had a major impact on the teaching of contact lenses, as educational institutions worldwide move to online delivery. Major challenges remain with online contact lens education, with respect to teaching practical skills, student assessment and interaction. More support will be needed for educators to meet these challenges as the recovery from the pandemic continues.","author":[{"dropping-particle":"","family":"Naroo","given":"Shehzad A.","non-dropping-particle":"","parse-names":false,"suffix":""},{"dropping-particle":"","family":"Morgan","given":"Philip B.","non-dropping-particle":"","parse-names":false,"suffix":""},{"dropping-particle":"","family":"Shinde","given":"Lakshmi","non-dropping-particle":"","parse-names":false,"suffix":""},{"dropping-particle":"","family":"Ewbank","given":"Alison","non-dropping-particle":"","parse-names":false,"suffix":""}],"container-title":"Journal of Optometry","id":"ITEM-1","issue":"1","issued":{"date-parts":[["2022","1","1"]]},"page":"60-68","publisher":"Spanish Council of Optometry","title":"The impact of COVID-19 on global contact lens education","type":"article-journal","volume":"15"},"uris":["http://www.mendeley.com/documents/?uuid=2870fe70-c614-35fc-8a35-304d99e3cd0c"]}],"mendeley":{"formattedCitation":"[23]","plainTextFormattedCitation":"[23]","previouslyFormattedCitation":"[23]"},"properties":{"noteIndex":0},"schema":"https://github.com/citation-style-language/schema/raw/master/csl-citation.json"}</w:instrText>
      </w:r>
      <w:r w:rsidR="00BE018C">
        <w:rPr>
          <w:rFonts w:eastAsia="Calibri"/>
          <w:color w:val="000000" w:themeColor="text1"/>
          <w:sz w:val="20"/>
          <w:szCs w:val="20"/>
        </w:rPr>
        <w:fldChar w:fldCharType="separate"/>
      </w:r>
      <w:r w:rsidR="00063F5B" w:rsidRPr="00063F5B">
        <w:rPr>
          <w:rFonts w:eastAsia="Calibri"/>
          <w:noProof/>
          <w:color w:val="000000" w:themeColor="text1"/>
          <w:sz w:val="20"/>
          <w:szCs w:val="20"/>
        </w:rPr>
        <w:t>[23]</w:t>
      </w:r>
      <w:r w:rsidR="00BE018C">
        <w:rPr>
          <w:rFonts w:eastAsia="Calibri"/>
          <w:color w:val="000000" w:themeColor="text1"/>
          <w:sz w:val="20"/>
          <w:szCs w:val="20"/>
        </w:rPr>
        <w:fldChar w:fldCharType="end"/>
      </w:r>
      <w:r w:rsidR="00D549E3" w:rsidRPr="00CD3C9A">
        <w:rPr>
          <w:rFonts w:eastAsia="Calibri"/>
          <w:color w:val="000000" w:themeColor="text1"/>
          <w:sz w:val="20"/>
          <w:szCs w:val="20"/>
        </w:rPr>
        <w:t xml:space="preserve"> </w:t>
      </w:r>
      <w:r w:rsidRPr="00CD3C9A">
        <w:rPr>
          <w:rFonts w:eastAsia="Calibri"/>
          <w:color w:val="000000" w:themeColor="text1"/>
          <w:sz w:val="20"/>
          <w:szCs w:val="20"/>
        </w:rPr>
        <w:t xml:space="preserve">The pandemic accelerated new </w:t>
      </w:r>
      <w:proofErr w:type="spellStart"/>
      <w:r w:rsidRPr="00CD3C9A">
        <w:rPr>
          <w:rFonts w:eastAsia="Calibri"/>
          <w:color w:val="000000" w:themeColor="text1"/>
          <w:sz w:val="20"/>
          <w:szCs w:val="20"/>
        </w:rPr>
        <w:t>software</w:t>
      </w:r>
      <w:r w:rsidR="00351E6D">
        <w:rPr>
          <w:rFonts w:eastAsia="Calibri"/>
          <w:color w:val="000000" w:themeColor="text1"/>
          <w:sz w:val="20"/>
          <w:szCs w:val="20"/>
        </w:rPr>
        <w:t>s</w:t>
      </w:r>
      <w:proofErr w:type="spellEnd"/>
      <w:r w:rsidR="00D549E3" w:rsidRPr="00CD3C9A">
        <w:rPr>
          <w:rFonts w:eastAsia="Calibri"/>
          <w:color w:val="000000" w:themeColor="text1"/>
          <w:sz w:val="20"/>
          <w:szCs w:val="20"/>
        </w:rPr>
        <w:t xml:space="preserve">, </w:t>
      </w:r>
      <w:r w:rsidR="00351E6D" w:rsidRPr="00CD3C9A">
        <w:rPr>
          <w:rFonts w:eastAsia="Calibri"/>
          <w:color w:val="000000" w:themeColor="text1"/>
          <w:sz w:val="20"/>
          <w:szCs w:val="20"/>
        </w:rPr>
        <w:t xml:space="preserve">artificial Intelligence </w:t>
      </w:r>
      <w:r w:rsidR="00351E6D">
        <w:rPr>
          <w:rFonts w:eastAsia="Calibri"/>
          <w:color w:val="000000" w:themeColor="text1"/>
          <w:sz w:val="20"/>
          <w:szCs w:val="20"/>
        </w:rPr>
        <w:t>(</w:t>
      </w:r>
      <w:r w:rsidRPr="00CD3C9A">
        <w:rPr>
          <w:rFonts w:eastAsia="Calibri"/>
          <w:color w:val="000000" w:themeColor="text1"/>
          <w:sz w:val="20"/>
          <w:szCs w:val="20"/>
        </w:rPr>
        <w:t>AI</w:t>
      </w:r>
      <w:r w:rsidR="00351E6D">
        <w:rPr>
          <w:rFonts w:eastAsia="Calibri"/>
          <w:color w:val="000000" w:themeColor="text1"/>
          <w:sz w:val="20"/>
          <w:szCs w:val="20"/>
        </w:rPr>
        <w:t>)</w:t>
      </w:r>
      <w:r w:rsidRPr="00CD3C9A">
        <w:rPr>
          <w:rFonts w:eastAsia="Calibri"/>
          <w:color w:val="000000" w:themeColor="text1"/>
          <w:sz w:val="20"/>
          <w:szCs w:val="20"/>
        </w:rPr>
        <w:t xml:space="preserve"> learning algorithm</w:t>
      </w:r>
      <w:r w:rsidR="00D549E3" w:rsidRPr="00CD3C9A">
        <w:rPr>
          <w:rFonts w:eastAsia="Calibri"/>
          <w:color w:val="000000" w:themeColor="text1"/>
          <w:sz w:val="20"/>
          <w:szCs w:val="20"/>
        </w:rPr>
        <w:t xml:space="preserve"> development</w:t>
      </w:r>
      <w:r w:rsidRPr="00CD3C9A">
        <w:rPr>
          <w:rFonts w:eastAsia="Calibri"/>
          <w:color w:val="000000" w:themeColor="text1"/>
          <w:sz w:val="20"/>
          <w:szCs w:val="20"/>
        </w:rPr>
        <w:t xml:space="preserve"> </w:t>
      </w:r>
      <w:r w:rsidR="00D549E3" w:rsidRPr="00CD3C9A">
        <w:rPr>
          <w:rFonts w:eastAsia="Calibri"/>
          <w:color w:val="000000" w:themeColor="text1"/>
          <w:sz w:val="20"/>
          <w:szCs w:val="20"/>
        </w:rPr>
        <w:t>and a</w:t>
      </w:r>
      <w:r w:rsidRPr="00CD3C9A">
        <w:rPr>
          <w:rFonts w:eastAsia="Calibri"/>
          <w:color w:val="000000" w:themeColor="text1"/>
          <w:sz w:val="20"/>
          <w:szCs w:val="20"/>
        </w:rPr>
        <w:t>dapt</w:t>
      </w:r>
      <w:r w:rsidR="00D549E3" w:rsidRPr="00CD3C9A">
        <w:rPr>
          <w:rFonts w:eastAsia="Calibri"/>
          <w:color w:val="000000" w:themeColor="text1"/>
          <w:sz w:val="20"/>
          <w:szCs w:val="20"/>
        </w:rPr>
        <w:t>ation in</w:t>
      </w:r>
      <w:r w:rsidRPr="00CD3C9A">
        <w:rPr>
          <w:rFonts w:eastAsia="Calibri"/>
          <w:color w:val="000000" w:themeColor="text1"/>
          <w:sz w:val="20"/>
          <w:szCs w:val="20"/>
        </w:rPr>
        <w:t xml:space="preserve"> healthcare</w:t>
      </w:r>
      <w:r w:rsidR="00BE018C">
        <w:rPr>
          <w:rFonts w:eastAsia="Calibri"/>
          <w:color w:val="000000" w:themeColor="text1"/>
          <w:sz w:val="20"/>
          <w:szCs w:val="20"/>
        </w:rPr>
        <w:t>.</w:t>
      </w:r>
      <w:r w:rsidR="00BE018C">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{"citationItems":[{"id":"ITEM-1","itemData":{"DOI":"10.1016/j.ijcard.2019.05.070","ISSN":"18741754","PMID":"31230937","abstract":"The connection between health literacy and health outcomes includes access and utilization of healthcare services, patient/provider interaction and self-care. Digital approaches can be designed to simplify or expand on a concept, test for understanding, and do not have a time constraint. New technologies, such as artificial intelligence and machine learning, virtual and augmented reality, and blockchain can move the role of technology beyond data collection to a more integrated system. Rather than being a passive participant, digital solutions provide the opportunity for the individual to be an active participant in their health. These solutions can be delivered in a way that builds or enhances the individual's belief that the plan will be successful and more confidence that they can stick with it. Digital solutions allow for the delivery of multi-media education, such as videos, voice, and print, at different reading levels, in multiple languages, using formal and informal teaching methods. By giving the patient a greater voice and empowering them to be active participants in their care, they can develop their decision making and shared decision making skills. The first step in our health literacy instructional model is to address the emotional state of the person. Once the emotional state has been addressed, and an engagement strategy has been deployed the final phase is the delivery of an educational solution. While a clear definition of health literacy and an instructional model are important, further research must be done to continually determine more effective ways to incorporate health technology in the process of improving health outcomes.","author":[{"dropping-particle":"","family":"Conard","given":"Scott","non-dropping-particle":"","parse-names":false,"suffix":""}],"container-title":"International Journal of Cardiology","id":"ITEM-1","issued":{"date-parts":[["2019","10","1"]]},"page":"277-279","publisher":"Elsevier Ireland Ltd","title":"Best practices in digital health literacy","type":"article-journal","volume":"292"},"uris":["http://www.mendeley.com/documents/?uuid=8fded0ba-a85d-38ef-b212-9484094c280d"]}],"mendeley":{"formattedCitation":"[24]","plainTextFormattedCitation":"[24]","previouslyFormattedCitation":"[24]"},"properties":{"noteIndex":0},"schema":"https://github.com/citation-style-language/schema/raw/master/csl-citation.json"}</w:instrText>
      </w:r>
      <w:r w:rsidR="00BE018C">
        <w:rPr>
          <w:rFonts w:eastAsia="Calibri"/>
          <w:color w:val="000000" w:themeColor="text1"/>
          <w:sz w:val="20"/>
          <w:szCs w:val="20"/>
        </w:rPr>
        <w:fldChar w:fldCharType="separate"/>
      </w:r>
      <w:r w:rsidR="00063F5B" w:rsidRPr="00063F5B">
        <w:rPr>
          <w:rFonts w:eastAsia="Calibri"/>
          <w:noProof/>
          <w:color w:val="000000" w:themeColor="text1"/>
          <w:sz w:val="20"/>
          <w:szCs w:val="20"/>
        </w:rPr>
        <w:t>[24]</w:t>
      </w:r>
      <w:r w:rsidR="00BE018C">
        <w:rPr>
          <w:rFonts w:eastAsia="Calibri"/>
          <w:color w:val="000000" w:themeColor="text1"/>
          <w:sz w:val="20"/>
          <w:szCs w:val="20"/>
        </w:rPr>
        <w:fldChar w:fldCharType="end"/>
      </w:r>
      <w:r w:rsidRPr="00CD3C9A">
        <w:rPr>
          <w:rFonts w:eastAsia="Calibri"/>
          <w:color w:val="000000" w:themeColor="text1"/>
          <w:sz w:val="20"/>
          <w:szCs w:val="20"/>
        </w:rPr>
        <w:t xml:space="preserve"> </w:t>
      </w:r>
      <w:r w:rsidR="00DD7704" w:rsidRPr="00CD3C9A">
        <w:rPr>
          <w:rFonts w:eastAsia="Calibri"/>
          <w:color w:val="000000" w:themeColor="text1"/>
          <w:sz w:val="20"/>
          <w:szCs w:val="20"/>
        </w:rPr>
        <w:t>V</w:t>
      </w:r>
      <w:r w:rsidR="00BB302A" w:rsidRPr="00CD3C9A">
        <w:rPr>
          <w:rFonts w:eastAsia="Calibri"/>
          <w:color w:val="000000" w:themeColor="text1"/>
          <w:sz w:val="20"/>
          <w:szCs w:val="20"/>
        </w:rPr>
        <w:t xml:space="preserve">irtual telehealth platforms </w:t>
      </w:r>
      <w:r w:rsidR="00F7687C" w:rsidRPr="00CD3C9A">
        <w:rPr>
          <w:rFonts w:eastAsia="Calibri"/>
          <w:color w:val="000000" w:themeColor="text1"/>
          <w:sz w:val="20"/>
          <w:szCs w:val="20"/>
        </w:rPr>
        <w:t xml:space="preserve">improve </w:t>
      </w:r>
      <w:r w:rsidR="00BB302A" w:rsidRPr="00CD3C9A">
        <w:rPr>
          <w:rFonts w:eastAsia="Calibri"/>
          <w:color w:val="000000" w:themeColor="text1"/>
          <w:sz w:val="20"/>
          <w:szCs w:val="20"/>
        </w:rPr>
        <w:t>repeatability with clinical assessments, such as anterior surface grading</w:t>
      </w:r>
      <w:r w:rsidR="00BE018C">
        <w:rPr>
          <w:rFonts w:eastAsia="Calibri"/>
          <w:color w:val="000000" w:themeColor="text1"/>
          <w:sz w:val="20"/>
          <w:szCs w:val="20"/>
        </w:rPr>
        <w:t>,</w:t>
      </w:r>
      <w:r w:rsidR="00BE018C">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{"citationItems":[{"id":"ITEM-1","itemData":{"DOI":"10.1016/j.clae.2019.07.003","ISSN":"14765411","PMID":"31326277","abstract":"Background/ Aims: Standardised numeric grading scales are used in ophthalmic practice to improve consistency between clinicians in recording the severity of ocular conditions and to facilitate the monitoring of such changes. We investigated the intra- and inter-observer grading reliability and the agreement between subjective Cornea and Contact Lens Research Unit (CCLRU) and Efron grading scales as well as a new Advanced Ophthalmic Systems (AOS) software which uses an objective approach to grading conjunctival hyperaemia. Methods: One experienced observer graded n = 30 bulbar and n = 26 palpebral conjunctival hyperaemia images to 0.1 increments. Masked grading of randomised images was undertaken for all three methods, on two separate occasions. The agreement within and between the grading methods was assessed between sessions, and compared to the results of a novice observer. Results: There were no statistically significant differences (P &gt; 0.05) between test and retest values. However, repeatability in the grading estimates of both bulbar and palpebral conjunctival hyperaemia was improved using the AOS grading method (R2 = 0.998; Coefficient of Repeatability CoR 0.10–0.13), compared to Efron (R2 = 0.926; CoR 0.62) and CCLRU (R2 = 0.885–0.911; CoR 0.50–0.78). Intraclass coefficient correlations (ICC) improved inter-observer agreement using objective (&gt; 0.995) versus subjective methods (0.853–0.959). Conclusion: These subjective and objective grading methods are not interchangeable. Due to the excellent repeatability and improved agreement between experienced and novice observers, the objective grading method provides a more consistent approach when grading ocular abnormalities and may achieve greater reliability in record keeping and clinical monitoring in the future.","author":[{"dropping-particle":"","family":"Huntjens","given":"Byki","non-dropping-particle":"","parse-names":false,"suffix":""},{"dropping-particle":"","family":"Basi","given":"Mandeep","non-dropping-particle":"","parse-names":false,"suffix":""},{"dropping-particle":"","family":"Nagra","given":"Manbir","non-dropping-particle":"","parse-names":false,"suffix":""}],"container-title":"Contact Lens and Anterior Eye","id":"ITEM-1","issue":"2","issued":{"date-parts":[["2020","4","1"]]},"page":"137-143","publisher":"Elsevier B.V.","title":"Evaluating a new objective grading software for conjunctival hyperaemia","type":"article-journal","volume":"43"},"uris":["http://www.mendeley.com/documents/?uuid=7d872a02-3e26-3795-8500-aa9387044458"]}],"mendeley":{"formattedCitation":"[25]","plainTextFormattedCitation":"[25]","previouslyFormattedCitation":"[25]"},"properties":{"noteIndex":0},"schema":"https://github.com/citation-style-language/schema/raw/master/csl-citation.json"}</w:instrText>
      </w:r>
      <w:r w:rsidR="00BE018C">
        <w:rPr>
          <w:rFonts w:eastAsia="Calibri"/>
          <w:color w:val="000000" w:themeColor="text1"/>
          <w:sz w:val="20"/>
          <w:szCs w:val="20"/>
        </w:rPr>
        <w:fldChar w:fldCharType="separate"/>
      </w:r>
      <w:r w:rsidR="00063F5B" w:rsidRPr="00063F5B">
        <w:rPr>
          <w:rFonts w:eastAsia="Calibri"/>
          <w:noProof/>
          <w:color w:val="000000" w:themeColor="text1"/>
          <w:sz w:val="20"/>
          <w:szCs w:val="20"/>
        </w:rPr>
        <w:t>[25]</w:t>
      </w:r>
      <w:r w:rsidR="00BE018C">
        <w:rPr>
          <w:rFonts w:eastAsia="Calibri"/>
          <w:color w:val="000000" w:themeColor="text1"/>
          <w:sz w:val="20"/>
          <w:szCs w:val="20"/>
        </w:rPr>
        <w:fldChar w:fldCharType="end"/>
      </w:r>
      <w:r w:rsidR="00BB302A" w:rsidRPr="00CD3C9A">
        <w:rPr>
          <w:rFonts w:eastAsia="Calibri"/>
          <w:color w:val="000000" w:themeColor="text1"/>
          <w:sz w:val="20"/>
          <w:szCs w:val="20"/>
        </w:rPr>
        <w:t xml:space="preserve"> </w:t>
      </w:r>
      <w:r w:rsidR="00DD7704" w:rsidRPr="00CD3C9A">
        <w:rPr>
          <w:rFonts w:eastAsia="Calibri"/>
          <w:color w:val="000000" w:themeColor="text1"/>
          <w:sz w:val="20"/>
          <w:szCs w:val="20"/>
        </w:rPr>
        <w:t xml:space="preserve">and can </w:t>
      </w:r>
      <w:r w:rsidR="00BB302A" w:rsidRPr="00CD3C9A">
        <w:rPr>
          <w:rFonts w:eastAsia="Calibri"/>
          <w:color w:val="000000" w:themeColor="text1"/>
          <w:sz w:val="20"/>
          <w:szCs w:val="20"/>
        </w:rPr>
        <w:t xml:space="preserve">also help as a learning asset </w:t>
      </w:r>
      <w:r w:rsidR="00DD7704" w:rsidRPr="00CD3C9A">
        <w:rPr>
          <w:rFonts w:eastAsia="Calibri"/>
          <w:color w:val="000000" w:themeColor="text1"/>
          <w:sz w:val="20"/>
          <w:szCs w:val="20"/>
        </w:rPr>
        <w:t>for</w:t>
      </w:r>
      <w:r w:rsidR="00BB302A" w:rsidRPr="00CD3C9A">
        <w:rPr>
          <w:rFonts w:eastAsia="Calibri"/>
          <w:color w:val="000000" w:themeColor="text1"/>
          <w:sz w:val="20"/>
          <w:szCs w:val="20"/>
        </w:rPr>
        <w:t xml:space="preserve"> comparing the students' results. </w:t>
      </w:r>
      <w:r w:rsidR="00DD7704" w:rsidRPr="00CD3C9A">
        <w:rPr>
          <w:rFonts w:eastAsia="Calibri"/>
          <w:color w:val="000000" w:themeColor="text1"/>
          <w:sz w:val="20"/>
          <w:szCs w:val="20"/>
        </w:rPr>
        <w:t>T</w:t>
      </w:r>
      <w:r w:rsidR="00BB302A" w:rsidRPr="00CD3C9A">
        <w:rPr>
          <w:rFonts w:eastAsia="Calibri"/>
          <w:color w:val="000000" w:themeColor="text1"/>
          <w:sz w:val="20"/>
          <w:szCs w:val="20"/>
        </w:rPr>
        <w:t xml:space="preserve">here are </w:t>
      </w:r>
      <w:r w:rsidR="00DD7704" w:rsidRPr="00CD3C9A">
        <w:rPr>
          <w:rFonts w:eastAsia="Calibri"/>
          <w:color w:val="000000" w:themeColor="text1"/>
          <w:sz w:val="20"/>
          <w:szCs w:val="20"/>
        </w:rPr>
        <w:t xml:space="preserve">also </w:t>
      </w:r>
      <w:r w:rsidR="00BB302A" w:rsidRPr="00CD3C9A">
        <w:rPr>
          <w:rFonts w:eastAsia="Calibri"/>
          <w:color w:val="000000" w:themeColor="text1"/>
          <w:sz w:val="20"/>
          <w:szCs w:val="20"/>
        </w:rPr>
        <w:t xml:space="preserve">physical simulators, such as </w:t>
      </w:r>
      <w:proofErr w:type="gramStart"/>
      <w:r w:rsidR="00BB302A" w:rsidRPr="00CD3C9A">
        <w:rPr>
          <w:rFonts w:eastAsia="Calibri"/>
          <w:color w:val="000000" w:themeColor="text1"/>
          <w:sz w:val="20"/>
          <w:szCs w:val="20"/>
        </w:rPr>
        <w:t>slit-lamp</w:t>
      </w:r>
      <w:proofErr w:type="gramEnd"/>
      <w:r w:rsidR="00BB302A" w:rsidRPr="00CD3C9A">
        <w:rPr>
          <w:rFonts w:eastAsia="Calibri"/>
          <w:color w:val="000000" w:themeColor="text1"/>
          <w:sz w:val="20"/>
          <w:szCs w:val="20"/>
        </w:rPr>
        <w:t xml:space="preserve"> based anatomical models with built-in anterior and posterior conditions for diagnostic learning </w:t>
      </w:r>
      <w:r w:rsidR="00BB302A" w:rsidRPr="00CD3C9A">
        <w:rPr>
          <w:rFonts w:eastAsia="Calibri"/>
          <w:color w:val="000000" w:themeColor="text1"/>
          <w:sz w:val="20"/>
          <w:szCs w:val="20"/>
        </w:rPr>
        <w:lastRenderedPageBreak/>
        <w:t xml:space="preserve">and clinical assessment delivery. </w:t>
      </w:r>
      <w:r w:rsidR="00DD7704" w:rsidRPr="00CD3C9A">
        <w:rPr>
          <w:rFonts w:eastAsia="Calibri"/>
          <w:color w:val="000000" w:themeColor="text1"/>
          <w:sz w:val="20"/>
          <w:szCs w:val="20"/>
        </w:rPr>
        <w:t>O</w:t>
      </w:r>
      <w:r w:rsidR="00BB302A" w:rsidRPr="00CD3C9A">
        <w:rPr>
          <w:rFonts w:eastAsia="Calibri"/>
          <w:color w:val="000000" w:themeColor="text1"/>
          <w:sz w:val="20"/>
          <w:szCs w:val="20"/>
        </w:rPr>
        <w:t xml:space="preserve">ther suggested software applications that support learning include 3D printing of corneal models with different horizontal and vertical diameters to enable the fitting of multiple rigid corneal </w:t>
      </w:r>
      <w:r w:rsidR="00F7687C" w:rsidRPr="00CD3C9A">
        <w:rPr>
          <w:rFonts w:eastAsia="Calibri"/>
          <w:color w:val="000000" w:themeColor="text1"/>
          <w:sz w:val="20"/>
          <w:szCs w:val="20"/>
        </w:rPr>
        <w:t>CL</w:t>
      </w:r>
      <w:r w:rsidR="0074646A">
        <w:rPr>
          <w:rFonts w:eastAsia="Calibri"/>
          <w:color w:val="000000" w:themeColor="text1"/>
          <w:sz w:val="20"/>
          <w:szCs w:val="20"/>
        </w:rPr>
        <w:t>s</w:t>
      </w:r>
      <w:r w:rsidR="00F7687C" w:rsidRPr="00CD3C9A">
        <w:rPr>
          <w:rFonts w:eastAsia="Calibri"/>
          <w:color w:val="000000" w:themeColor="text1"/>
          <w:sz w:val="20"/>
          <w:szCs w:val="20"/>
        </w:rPr>
        <w:t xml:space="preserve">. This helps </w:t>
      </w:r>
      <w:r w:rsidR="00BB302A" w:rsidRPr="00CD3C9A">
        <w:rPr>
          <w:rFonts w:eastAsia="Calibri"/>
          <w:color w:val="000000" w:themeColor="text1"/>
          <w:sz w:val="20"/>
          <w:szCs w:val="20"/>
        </w:rPr>
        <w:t>visualise fluorescein stain</w:t>
      </w:r>
      <w:r w:rsidR="002675FF">
        <w:rPr>
          <w:rFonts w:eastAsia="Calibri"/>
          <w:color w:val="000000" w:themeColor="text1"/>
          <w:sz w:val="20"/>
          <w:szCs w:val="20"/>
        </w:rPr>
        <w:t>ing seen in</w:t>
      </w:r>
      <w:r w:rsidR="00BB302A" w:rsidRPr="00CD3C9A">
        <w:rPr>
          <w:rFonts w:eastAsia="Calibri"/>
          <w:color w:val="000000" w:themeColor="text1"/>
          <w:sz w:val="20"/>
          <w:szCs w:val="20"/>
        </w:rPr>
        <w:t xml:space="preserve"> tear film patterns</w:t>
      </w:r>
      <w:r w:rsidR="00BE018C">
        <w:rPr>
          <w:rFonts w:eastAsia="Calibri"/>
          <w:color w:val="000000" w:themeColor="text1"/>
          <w:sz w:val="20"/>
          <w:szCs w:val="20"/>
        </w:rPr>
        <w:t>.</w:t>
      </w:r>
      <w:r w:rsidR="00BE018C">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{"citationItems":[{"id":"ITEM-1","itemData":{"ISSN":"14765411","PMID":"30337143","abstract":"Objective: To introduce a new approach to simulatethe fitting process of rigid gas-permeable (RGP) contact lenses using 3D printing technology. Methods: A hemispherical or parabolic 3D model was created using 3D Builder or Tinkercad software. The horizontal and vertical diameters and the hemispherical or ellipsoid height were adjusted to simulate different morphologies of the corneal anterior surface. After exporting the file in stereo lithography (STL) format, a solid model was printed using a 3D printer and was used to simulate RGP contact lens fitting. Results: Limited by the precision of the entry-level 3D printer which was used in this study, the print-outs of the corneal models were crude, but the models were tested for their ability to simulate common corneal morphologies with no corneal astigmatism and different axial corneal astigmatism. Compared with some built-in simulation programs for corneal topography, the solid models generated by 3D printing could well simulate the positioning of the lens under the influence of gravity and the eyelid, as well as lens eccentricity or the bubbles under lenses caused by an improper wearing method. Conclusion: 3D printing technology can be well applied in the simulation of RGP contact lens fitting, which may become a new teaching method in optometry.","author":[{"dropping-particle":"","family":"Zhao","given":"Feng","non-dropping-particle":"","parse-names":false,"suffix":""},{"dropping-particle":"","family":"Wang","given":"Jing","non-dropping-particle":"","parse-names":false,"suffix":""},{"dropping-particle":"","family":"Wang","given":"Linnong","non-dropping-particle":"","parse-names":false,"suffix":""},{"dropping-particle":"","family":"Chen","given":"Lixun","non-dropping-particle":"","parse-names":false,"suffix":""}],"container-title":"Contact Lens and Anterior Eye","id":"ITEM-1","issue":"2","issued":{"date-parts":[["2019","4","1"]]},"note":"doi:10.1016/j.clae.2018.10.003","page":"165-169","publisher":"Elsevier B.V.","title":"An approach for simulating the fitting of rigid gas-permeable contact lenses using 3D printing technology","type":"article-journal","volume":"42"},"uris":["http://www.mendeley.com/documents/?uuid=e6a09907-77aa-3af8-9128-7fb5331306f3"]}],"mendeley":{"formattedCitation":"[26]","plainTextFormattedCitation":"[26]","previouslyFormattedCitation":"[26]"},"properties":{"noteIndex":0},"schema":"https://github.com/citation-style-language/schema/raw/master/csl-citation.json"}</w:instrText>
      </w:r>
      <w:r w:rsidR="00BE018C">
        <w:rPr>
          <w:rFonts w:eastAsia="Calibri"/>
          <w:color w:val="000000" w:themeColor="text1"/>
          <w:sz w:val="20"/>
          <w:szCs w:val="20"/>
        </w:rPr>
        <w:fldChar w:fldCharType="separate"/>
      </w:r>
      <w:r w:rsidR="00063F5B" w:rsidRPr="00063F5B">
        <w:rPr>
          <w:rFonts w:eastAsia="Calibri"/>
          <w:noProof/>
          <w:color w:val="000000" w:themeColor="text1"/>
          <w:sz w:val="20"/>
          <w:szCs w:val="20"/>
        </w:rPr>
        <w:t>[26]</w:t>
      </w:r>
      <w:r w:rsidR="00BE018C">
        <w:rPr>
          <w:rFonts w:eastAsia="Calibri"/>
          <w:color w:val="000000" w:themeColor="text1"/>
          <w:sz w:val="20"/>
          <w:szCs w:val="20"/>
        </w:rPr>
        <w:fldChar w:fldCharType="end"/>
      </w:r>
      <w:r w:rsidR="00BB302A" w:rsidRPr="00CD3C9A">
        <w:rPr>
          <w:rFonts w:eastAsia="Calibri"/>
          <w:color w:val="000000" w:themeColor="text1"/>
          <w:sz w:val="20"/>
          <w:szCs w:val="20"/>
        </w:rPr>
        <w:t xml:space="preserve"> </w:t>
      </w:r>
      <w:r w:rsidR="00F7687C" w:rsidRPr="00CD3C9A">
        <w:rPr>
          <w:rFonts w:eastAsia="Calibri"/>
          <w:color w:val="000000" w:themeColor="text1"/>
          <w:sz w:val="20"/>
          <w:szCs w:val="20"/>
        </w:rPr>
        <w:t>T</w:t>
      </w:r>
      <w:r w:rsidR="00BB302A" w:rsidRPr="00CD3C9A">
        <w:rPr>
          <w:rFonts w:eastAsia="Calibri"/>
          <w:color w:val="000000" w:themeColor="text1"/>
          <w:sz w:val="20"/>
          <w:szCs w:val="20"/>
        </w:rPr>
        <w:t xml:space="preserve">he student </w:t>
      </w:r>
      <w:r w:rsidR="00F7687C" w:rsidRPr="00CD3C9A">
        <w:rPr>
          <w:rFonts w:eastAsia="Calibri"/>
          <w:color w:val="000000" w:themeColor="text1"/>
          <w:sz w:val="20"/>
          <w:szCs w:val="20"/>
        </w:rPr>
        <w:t>can</w:t>
      </w:r>
      <w:r w:rsidR="00BB302A" w:rsidRPr="00CD3C9A">
        <w:rPr>
          <w:rFonts w:eastAsia="Calibri"/>
          <w:color w:val="000000" w:themeColor="text1"/>
          <w:sz w:val="20"/>
          <w:szCs w:val="20"/>
        </w:rPr>
        <w:t xml:space="preserve"> gain understanding of more </w:t>
      </w:r>
      <w:r w:rsidR="00F7687C" w:rsidRPr="00CD3C9A">
        <w:rPr>
          <w:rFonts w:eastAsia="Calibri"/>
          <w:color w:val="000000" w:themeColor="text1"/>
          <w:sz w:val="20"/>
          <w:szCs w:val="20"/>
        </w:rPr>
        <w:t>CL</w:t>
      </w:r>
      <w:r w:rsidR="00BB302A" w:rsidRPr="00CD3C9A">
        <w:rPr>
          <w:rFonts w:eastAsia="Calibri"/>
          <w:color w:val="000000" w:themeColor="text1"/>
          <w:sz w:val="20"/>
          <w:szCs w:val="20"/>
        </w:rPr>
        <w:t xml:space="preserve"> fitting permutations that could be possible in a real clinical setting over the same time period.</w:t>
      </w:r>
    </w:p>
    <w:p w14:paraId="4F534619" w14:textId="297A2C7D" w:rsidR="00BA1BBD" w:rsidRPr="00CD3C9A" w:rsidRDefault="00F7687C" w:rsidP="00CD3C9A">
      <w:pPr>
        <w:spacing w:line="360" w:lineRule="auto"/>
        <w:rPr>
          <w:rFonts w:eastAsia="Calibri"/>
          <w:color w:val="000000" w:themeColor="text1"/>
          <w:sz w:val="20"/>
          <w:szCs w:val="20"/>
        </w:rPr>
      </w:pPr>
      <w:bookmarkStart w:id="4" w:name="_heading=h.jkcr85048m8" w:colFirst="0" w:colLast="0"/>
      <w:bookmarkEnd w:id="4"/>
      <w:r w:rsidRPr="00CD3C9A">
        <w:rPr>
          <w:rFonts w:eastAsia="Calibri"/>
          <w:color w:val="000000" w:themeColor="text1"/>
          <w:sz w:val="20"/>
          <w:szCs w:val="20"/>
        </w:rPr>
        <w:t>M</w:t>
      </w:r>
      <w:r w:rsidR="00DD7704" w:rsidRPr="00CD3C9A">
        <w:rPr>
          <w:rFonts w:eastAsia="Calibri"/>
          <w:color w:val="000000" w:themeColor="text1"/>
          <w:sz w:val="20"/>
          <w:szCs w:val="20"/>
        </w:rPr>
        <w:t xml:space="preserve">achine learning </w:t>
      </w:r>
      <w:r w:rsidRPr="00CD3C9A">
        <w:rPr>
          <w:rFonts w:eastAsia="Calibri"/>
          <w:color w:val="000000" w:themeColor="text1"/>
          <w:sz w:val="20"/>
          <w:szCs w:val="20"/>
        </w:rPr>
        <w:t xml:space="preserve">makes use of </w:t>
      </w:r>
      <w:r w:rsidR="00DD7704" w:rsidRPr="00CD3C9A">
        <w:rPr>
          <w:rFonts w:eastAsia="Calibri"/>
          <w:color w:val="000000" w:themeColor="text1"/>
          <w:sz w:val="20"/>
          <w:szCs w:val="20"/>
        </w:rPr>
        <w:t>AI to improve the predictability of patient outcomes</w:t>
      </w:r>
      <w:r w:rsidRPr="00CD3C9A">
        <w:rPr>
          <w:rFonts w:eastAsia="Calibri"/>
          <w:color w:val="000000" w:themeColor="text1"/>
          <w:sz w:val="20"/>
          <w:szCs w:val="20"/>
        </w:rPr>
        <w:t xml:space="preserve">. This will be an </w:t>
      </w:r>
      <w:r w:rsidR="00DD7704" w:rsidRPr="00CD3C9A">
        <w:rPr>
          <w:rFonts w:eastAsia="Calibri"/>
          <w:color w:val="000000" w:themeColor="text1"/>
          <w:sz w:val="20"/>
          <w:szCs w:val="20"/>
        </w:rPr>
        <w:t xml:space="preserve">increasingly valuable resource to enhance the skill of trained healthcare professionals </w:t>
      </w:r>
      <w:r w:rsidRPr="00CD3C9A">
        <w:rPr>
          <w:rFonts w:eastAsia="Calibri"/>
          <w:color w:val="000000" w:themeColor="text1"/>
          <w:sz w:val="20"/>
          <w:szCs w:val="20"/>
        </w:rPr>
        <w:t>and</w:t>
      </w:r>
      <w:r w:rsidR="00DD7704" w:rsidRPr="00CD3C9A">
        <w:rPr>
          <w:rFonts w:eastAsia="Calibri"/>
          <w:color w:val="000000" w:themeColor="text1"/>
          <w:sz w:val="20"/>
          <w:szCs w:val="20"/>
        </w:rPr>
        <w:t xml:space="preserve"> students</w:t>
      </w:r>
      <w:r w:rsidR="00BA1BBD" w:rsidRPr="00CD3C9A">
        <w:rPr>
          <w:rFonts w:eastAsia="Calibri"/>
          <w:color w:val="000000" w:themeColor="text1"/>
          <w:sz w:val="20"/>
          <w:szCs w:val="20"/>
        </w:rPr>
        <w:t>. Through deep learning, AI can be taught how to predict ortho</w:t>
      </w:r>
      <w:r w:rsidR="002675FF">
        <w:rPr>
          <w:rFonts w:eastAsia="Calibri"/>
          <w:color w:val="000000" w:themeColor="text1"/>
          <w:sz w:val="20"/>
          <w:szCs w:val="20"/>
        </w:rPr>
        <w:t>keratology</w:t>
      </w:r>
      <w:r w:rsidR="00BA1BBD" w:rsidRPr="00CD3C9A">
        <w:rPr>
          <w:rFonts w:eastAsia="Calibri"/>
          <w:color w:val="000000" w:themeColor="text1"/>
          <w:sz w:val="20"/>
          <w:szCs w:val="20"/>
        </w:rPr>
        <w:t xml:space="preserve"> lens fittings from topographic values</w:t>
      </w:r>
      <w:r w:rsidR="00BE018C">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{"citationItems":[{"id":"ITEM-1","itemData":{"DOI":"10.1016/j.clae.2021.101474","ISSN":"14765411","PMID":"34301476","abstract":"Purpose: To construct a machine learning (ML)-based model for estimating the alignment curve (AC) curvature in orthokeratology lens fitting for vision shaping treatment (VST), which can minimize the number of lens trials, improving efficiency while maintaining accuracy, with regards to its improvement over a previous calculation method. Methods: Data were retrospectively collected from the clinical case files of 1271 myopic subjects (1271 right eyes). The AC curvatures calculated with a previously published algorithm were used as the target data sets. Four kinds of machine learning algorithms were implemented in the experimental analyses to predict the targeted AC curvatures: robust linear regression models, support vector machine (SVM) regression models with linear kernel functions, bagging decision trees, and Gaussian processes. The previously published calculation method and the novel machine learning method were then compared to assess the final parameters of ordered lenses. Results: The linear SVM and Gaussian process machine learning models achieved the best performance. The input variables included sex, age, horizontal visible iris diameter (HVID), spherical refraction (SER), cylindrical refraction, eccentricity value (e value), flat K (K1) and steep K (K2) readings, anterior chamber depth (ACD), and axial length (AL). The R-squared values for the output AC1K1, AC1K2 and AC2K1 values were 0.91, 0.84, and 0.73, respectively. The previous calculation method and machine learning methods displayed excellent consistency, and the proposed methods performed best based on flat K reading and e values. Conclusions: The ML model can provide practitioners with an efficient method for estimating the AC curvatures of VST lenses and reducing the probability of cross-infection originating from trial lenses, which is especially useful during pandemics, such as that for COVID-19.","author":[{"dropping-particle":"","family":"Fan","given":"Yuzhuo","non-dropping-particle":"","parse-names":false,"suffix":""},{"dropping-particle":"","family":"Yu","given":"Zekuan","non-dropping-particle":"","parse-names":false,"suffix":""},{"dropping-particle":"","family":"Tang","given":"Tao","non-dropping-particle":"","parse-names":false,"suffix":""},{"dropping-particle":"","family":"Liu","given":"Xiao","non-dropping-particle":"","parse-names":false,"suffix":""},{"dropping-particle":"","family":"Xu","given":"Qiong","non-dropping-particle":"","parse-names":false,"suffix":""},{"dropping-particle":"","family":"Peng","given":"Zisu","non-dropping-particle":"","parse-names":false,"suffix":""},{"dropping-particle":"","family":"Li","given":"Yan","non-dropping-particle":"","parse-names":false,"suffix":""},{"dropping-particle":"","family":"Wang","given":"Kai","non-dropping-particle":"","parse-names":false,"suffix":""},{"dropping-particle":"","family":"Qu","given":"Jia","non-dropping-particle":"","parse-names":false,"suffix":""},{"dropping-particle":"","family":"Zhao","given":"Mingwei","non-dropping-particle":"","parse-names":false,"suffix":""}],"container-title":"Contact Lens and Anterior Eye","id":"ITEM-1","issue":"3","issued":{"date-parts":[["2022","6","1"]]},"publisher":"Elsevier B.V.","title":"Machine learning algorithm improves accuracy of ortho-K lens fitting in vision shaping treatment","type":"article-journal","volume":"45"},"uris":["http://www.mendeley.com/documents/?uuid=4e6ec90d-d30d-3345-b858-07942b1fee7b"]}],"mendeley":{"formattedCitation":"[27]","plainTextFormattedCitation":"[27]","previouslyFormattedCitation":"[27]"},"properties":{"noteIndex":0},"schema":"https://github.com/citation-style-language/schema/raw/master/csl-citation.json"}</w:instrText>
      </w:r>
      <w:r w:rsidR="00BE018C">
        <w:rPr>
          <w:rFonts w:eastAsia="Calibri"/>
          <w:color w:val="000000" w:themeColor="text1"/>
          <w:sz w:val="20"/>
          <w:szCs w:val="20"/>
        </w:rPr>
        <w:fldChar w:fldCharType="separate"/>
      </w:r>
      <w:r w:rsidR="00063F5B" w:rsidRPr="00063F5B">
        <w:rPr>
          <w:rFonts w:eastAsia="Calibri"/>
          <w:noProof/>
          <w:color w:val="000000" w:themeColor="text1"/>
          <w:sz w:val="20"/>
          <w:szCs w:val="20"/>
        </w:rPr>
        <w:t>[27]</w:t>
      </w:r>
      <w:r w:rsidR="00BE018C">
        <w:rPr>
          <w:rFonts w:eastAsia="Calibri"/>
          <w:color w:val="000000" w:themeColor="text1"/>
          <w:sz w:val="20"/>
          <w:szCs w:val="20"/>
        </w:rPr>
        <w:fldChar w:fldCharType="end"/>
      </w:r>
      <w:r w:rsidR="00BA1BBD" w:rsidRPr="00CD3C9A">
        <w:rPr>
          <w:rFonts w:eastAsia="Calibri"/>
          <w:color w:val="000000" w:themeColor="text1"/>
          <w:sz w:val="20"/>
          <w:szCs w:val="20"/>
        </w:rPr>
        <w:t xml:space="preserve"> and refractive errors from retinal images with high accuracy</w:t>
      </w:r>
      <w:r w:rsidR="00BE018C">
        <w:rPr>
          <w:rFonts w:eastAsia="Calibri"/>
          <w:color w:val="000000" w:themeColor="text1"/>
          <w:sz w:val="20"/>
          <w:szCs w:val="20"/>
        </w:rPr>
        <w:fldChar w:fldCharType="begin" w:fldLock="1"/>
      </w:r>
      <w:r w:rsidR="00063F5B">
        <w:rPr>
          <w:rFonts w:eastAsia="Calibri"/>
          <w:color w:val="000000" w:themeColor="text1"/>
          <w:sz w:val="20"/>
          <w:szCs w:val="20"/>
        </w:rPr>
        <w:instrText>ADDIN CSL_CITATION {"citationItems":[{"id":"ITEM-1","itemData":{"DOI":"10.1167/iovs.18-23887","ISSN":"1552-5783","author":[{"dropping-particle":"V.","family":"Varadarajan","given":"Avinash","non-dropping-particle":"","parse-names":false,"suffix":""},{"dropping-particle":"","family":"Poplin","given":"Ryan","non-dropping-particle":"","parse-names":false,"suffix":""},{"dropping-particle":"","family":"Blumer","given":"Katy","non-dropping-particle":"","parse-names":false,"suffix":""},{"dropping-particle":"","family":"Angermueller","given":"Christof","non-dropping-particle":"","parse-names":false,"suffix":""},{"dropping-particle":"","family":"Ledsam","given":"Joe","non-dropping-particle":"","parse-names":false,"suffix":""},{"dropping-particle":"","family":"Chopra","given":"Reena","non-dropping-particle":"","parse-names":false,"suffix":""},{"dropping-particle":"","family":"Keane","given":"Pearse A.","non-dropping-particle":"","parse-names":false,"suffix":""},{"dropping-particle":"","family":"Corrado","given":"Greg S.","non-dropping-particle":"","parse-names":false,"suffix":""},{"dropping-particle":"","family":"Peng","given":"Lily","non-dropping-particle":"","parse-names":false,"suffix":""},{"dropping-particle":"","family":"Webster","given":"Dale R.","non-dropping-particle":"","parse-names":false,"suffix":""}],"container-title":"Investigative Opthalmology &amp; Visual Science","id":"ITEM-1","issue":"7","issued":{"date-parts":[["2018","6","4"]]},"page":"2861","title":"Deep Learning for Predicting Refractive Error From Retinal Fundus Images","type":"article-journal","volume":"59"},"uris":["http://www.mendeley.com/documents/?uuid=2171ca51-f995-34f8-88f6-b0564254f5c7"]}],"mendeley":{"formattedCitation":"[28]","plainTextFormattedCitation":"[28]","previouslyFormattedCitation":"[28]"},"properties":{"noteIndex":0},"schema":"https://github.com/citation-style-language/schema/raw/master/csl-citation.json"}</w:instrText>
      </w:r>
      <w:r w:rsidR="00BE018C">
        <w:rPr>
          <w:rFonts w:eastAsia="Calibri"/>
          <w:color w:val="000000" w:themeColor="text1"/>
          <w:sz w:val="20"/>
          <w:szCs w:val="20"/>
        </w:rPr>
        <w:fldChar w:fldCharType="separate"/>
      </w:r>
      <w:r w:rsidR="00063F5B" w:rsidRPr="00063F5B">
        <w:rPr>
          <w:rFonts w:eastAsia="Calibri"/>
          <w:noProof/>
          <w:color w:val="000000" w:themeColor="text1"/>
          <w:sz w:val="20"/>
          <w:szCs w:val="20"/>
        </w:rPr>
        <w:t>[28]</w:t>
      </w:r>
      <w:r w:rsidR="00BE018C">
        <w:rPr>
          <w:rFonts w:eastAsia="Calibri"/>
          <w:color w:val="000000" w:themeColor="text1"/>
          <w:sz w:val="20"/>
          <w:szCs w:val="20"/>
        </w:rPr>
        <w:fldChar w:fldCharType="end"/>
      </w:r>
      <w:r w:rsidR="00BA1BBD" w:rsidRPr="00CD3C9A">
        <w:rPr>
          <w:rFonts w:eastAsia="Calibri"/>
          <w:color w:val="000000" w:themeColor="text1"/>
          <w:sz w:val="20"/>
          <w:szCs w:val="20"/>
        </w:rPr>
        <w:t xml:space="preserve">, leading to the potential for other prediction-based </w:t>
      </w:r>
      <w:r w:rsidRPr="00CD3C9A">
        <w:rPr>
          <w:rFonts w:eastAsia="Calibri"/>
          <w:color w:val="000000" w:themeColor="text1"/>
          <w:sz w:val="20"/>
          <w:szCs w:val="20"/>
        </w:rPr>
        <w:t>solutions</w:t>
      </w:r>
      <w:r w:rsidR="00BA1BBD" w:rsidRPr="00CD3C9A">
        <w:rPr>
          <w:rFonts w:eastAsia="Calibri"/>
          <w:color w:val="000000" w:themeColor="text1"/>
          <w:sz w:val="20"/>
          <w:szCs w:val="20"/>
        </w:rPr>
        <w:t>.</w:t>
      </w:r>
    </w:p>
    <w:p w14:paraId="1EA03919" w14:textId="5AD82DDD" w:rsidR="00C03656" w:rsidRPr="00CD3C9A" w:rsidRDefault="00D64E42" w:rsidP="00CD3C9A">
      <w:pPr>
        <w:spacing w:line="360" w:lineRule="auto"/>
        <w:rPr>
          <w:rFonts w:eastAsia="Calibri"/>
          <w:color w:val="000000" w:themeColor="text1"/>
          <w:sz w:val="20"/>
          <w:szCs w:val="20"/>
        </w:rPr>
      </w:pPr>
      <w:bookmarkStart w:id="5" w:name="_heading=h.exfbc9el1mry" w:colFirst="0" w:colLast="0"/>
      <w:bookmarkEnd w:id="5"/>
      <w:r w:rsidRPr="00CD3C9A">
        <w:rPr>
          <w:rFonts w:eastAsia="Calibri"/>
          <w:color w:val="000000" w:themeColor="text1"/>
          <w:sz w:val="20"/>
          <w:szCs w:val="20"/>
        </w:rPr>
        <w:t>As t</w:t>
      </w:r>
      <w:r w:rsidR="00BB302A" w:rsidRPr="00CD3C9A">
        <w:rPr>
          <w:rFonts w:eastAsia="Calibri"/>
          <w:color w:val="000000" w:themeColor="text1"/>
          <w:sz w:val="20"/>
          <w:szCs w:val="20"/>
        </w:rPr>
        <w:t xml:space="preserve">he need </w:t>
      </w:r>
      <w:r w:rsidR="00BA1BBD" w:rsidRPr="00CD3C9A">
        <w:rPr>
          <w:rFonts w:eastAsia="Calibri"/>
          <w:color w:val="000000" w:themeColor="text1"/>
          <w:sz w:val="20"/>
          <w:szCs w:val="20"/>
        </w:rPr>
        <w:t>to deliver</w:t>
      </w:r>
      <w:r w:rsidR="00BB302A" w:rsidRPr="00CD3C9A">
        <w:rPr>
          <w:rFonts w:eastAsia="Calibri"/>
          <w:color w:val="000000" w:themeColor="text1"/>
          <w:sz w:val="20"/>
          <w:szCs w:val="20"/>
        </w:rPr>
        <w:t xml:space="preserve"> quality educational material</w:t>
      </w:r>
      <w:r w:rsidR="00BA1BBD" w:rsidRPr="00CD3C9A">
        <w:rPr>
          <w:rFonts w:eastAsia="Calibri"/>
          <w:color w:val="000000" w:themeColor="text1"/>
          <w:sz w:val="20"/>
          <w:szCs w:val="20"/>
        </w:rPr>
        <w:t xml:space="preserve"> online has increased</w:t>
      </w:r>
      <w:r w:rsidRPr="00CD3C9A">
        <w:rPr>
          <w:rFonts w:eastAsia="Calibri"/>
          <w:color w:val="000000" w:themeColor="text1"/>
          <w:sz w:val="20"/>
          <w:szCs w:val="20"/>
        </w:rPr>
        <w:t xml:space="preserve"> m</w:t>
      </w:r>
      <w:r w:rsidR="00BB302A" w:rsidRPr="00CD3C9A">
        <w:rPr>
          <w:rFonts w:eastAsia="Calibri"/>
          <w:color w:val="000000" w:themeColor="text1"/>
          <w:sz w:val="20"/>
          <w:szCs w:val="20"/>
        </w:rPr>
        <w:t>any universities have integrat</w:t>
      </w:r>
      <w:r w:rsidRPr="00CD3C9A">
        <w:rPr>
          <w:rFonts w:eastAsia="Calibri"/>
          <w:color w:val="000000" w:themeColor="text1"/>
          <w:sz w:val="20"/>
          <w:szCs w:val="20"/>
        </w:rPr>
        <w:t>ed</w:t>
      </w:r>
      <w:r w:rsidR="00BB302A" w:rsidRPr="00CD3C9A">
        <w:rPr>
          <w:rFonts w:eastAsia="Calibri"/>
          <w:color w:val="000000" w:themeColor="text1"/>
          <w:sz w:val="20"/>
          <w:szCs w:val="20"/>
        </w:rPr>
        <w:t xml:space="preserve"> learning management systems into their learning environment. In regard to </w:t>
      </w:r>
      <w:r w:rsidR="00F7687C" w:rsidRPr="00CD3C9A">
        <w:rPr>
          <w:rFonts w:eastAsia="Calibri"/>
          <w:color w:val="000000" w:themeColor="text1"/>
          <w:sz w:val="20"/>
          <w:szCs w:val="20"/>
        </w:rPr>
        <w:t>CLs</w:t>
      </w:r>
      <w:r w:rsidR="00BB302A" w:rsidRPr="00CD3C9A">
        <w:rPr>
          <w:rFonts w:eastAsia="Calibri"/>
          <w:color w:val="000000" w:themeColor="text1"/>
          <w:sz w:val="20"/>
          <w:szCs w:val="20"/>
        </w:rPr>
        <w:t>, some associations are actively sharing their online content to facilitate student learning</w:t>
      </w:r>
      <w:r w:rsidRPr="00CD3C9A">
        <w:rPr>
          <w:rFonts w:eastAsia="Calibri"/>
          <w:color w:val="000000" w:themeColor="text1"/>
          <w:sz w:val="20"/>
          <w:szCs w:val="20"/>
        </w:rPr>
        <w:t>. T</w:t>
      </w:r>
      <w:r w:rsidR="00BB302A" w:rsidRPr="00CD3C9A">
        <w:rPr>
          <w:rFonts w:eastAsia="Calibri"/>
          <w:color w:val="000000" w:themeColor="text1"/>
          <w:sz w:val="20"/>
          <w:szCs w:val="20"/>
        </w:rPr>
        <w:t>he IACLE developed an online learning resource, the IACLE Teaching Online Platform (IACLETOP</w:t>
      </w:r>
      <w:r w:rsidRPr="00CD3C9A">
        <w:rPr>
          <w:rFonts w:eastAsia="Calibri"/>
          <w:color w:val="000000" w:themeColor="text1"/>
          <w:sz w:val="20"/>
          <w:szCs w:val="20"/>
        </w:rPr>
        <w:t xml:space="preserve">). </w:t>
      </w:r>
    </w:p>
    <w:p w14:paraId="09FB3725" w14:textId="77777777" w:rsidR="0074646A" w:rsidRPr="00CD3C9A" w:rsidRDefault="0074646A" w:rsidP="00CD3C9A">
      <w:pPr>
        <w:spacing w:line="360" w:lineRule="auto"/>
        <w:rPr>
          <w:rFonts w:eastAsia="Calibri"/>
          <w:color w:val="000000" w:themeColor="text1"/>
          <w:sz w:val="20"/>
          <w:szCs w:val="20"/>
        </w:rPr>
      </w:pPr>
    </w:p>
    <w:p w14:paraId="2F995437" w14:textId="5100E76E" w:rsidR="00C03656" w:rsidRPr="00CD3C9A" w:rsidRDefault="00BB302A" w:rsidP="00CD3C9A">
      <w:pPr>
        <w:pStyle w:val="Heading1"/>
        <w:spacing w:before="0" w:after="0" w:line="360" w:lineRule="auto"/>
        <w:rPr>
          <w:b/>
          <w:bCs/>
          <w:color w:val="000000" w:themeColor="text1"/>
          <w:sz w:val="20"/>
          <w:szCs w:val="20"/>
        </w:rPr>
      </w:pPr>
      <w:bookmarkStart w:id="6" w:name="_heading=h.1ogzezl3vhb6" w:colFirst="0" w:colLast="0"/>
      <w:bookmarkStart w:id="7" w:name="_heading=h.30j0zll" w:colFirst="0" w:colLast="0"/>
      <w:bookmarkEnd w:id="6"/>
      <w:bookmarkEnd w:id="7"/>
      <w:r w:rsidRPr="00CD3C9A">
        <w:rPr>
          <w:b/>
          <w:bCs/>
          <w:color w:val="000000" w:themeColor="text1"/>
          <w:sz w:val="20"/>
          <w:szCs w:val="20"/>
        </w:rPr>
        <w:t>Clerkships</w:t>
      </w:r>
    </w:p>
    <w:p w14:paraId="5FBD88C1" w14:textId="026275B4" w:rsidR="00C03656" w:rsidRPr="00CD3C9A" w:rsidRDefault="00BB302A" w:rsidP="00CD3C9A">
      <w:pPr>
        <w:spacing w:line="360" w:lineRule="auto"/>
        <w:rPr>
          <w:rFonts w:eastAsia="Calibri"/>
          <w:color w:val="000000" w:themeColor="text1"/>
          <w:sz w:val="20"/>
          <w:szCs w:val="20"/>
        </w:rPr>
      </w:pPr>
      <w:bookmarkStart w:id="8" w:name="_heading=h.1fob9te" w:colFirst="0" w:colLast="0"/>
      <w:bookmarkEnd w:id="8"/>
      <w:r w:rsidRPr="00CD3C9A">
        <w:rPr>
          <w:rFonts w:eastAsia="Calibri"/>
          <w:color w:val="000000" w:themeColor="text1"/>
          <w:sz w:val="20"/>
          <w:szCs w:val="20"/>
        </w:rPr>
        <w:t>An important aspect of the learning experience</w:t>
      </w:r>
      <w:r w:rsidR="00B165C0" w:rsidRPr="00CD3C9A">
        <w:rPr>
          <w:rFonts w:eastAsia="Calibri"/>
          <w:color w:val="000000" w:themeColor="text1"/>
          <w:sz w:val="20"/>
          <w:szCs w:val="20"/>
        </w:rPr>
        <w:t xml:space="preserve">, the development </w:t>
      </w:r>
      <w:r w:rsidRPr="00CD3C9A">
        <w:rPr>
          <w:rFonts w:eastAsia="Calibri"/>
          <w:color w:val="000000" w:themeColor="text1"/>
          <w:sz w:val="20"/>
          <w:szCs w:val="20"/>
        </w:rPr>
        <w:t xml:space="preserve">of clinical competency and the understanding of the importance of patient centred outcomes </w:t>
      </w:r>
      <w:r w:rsidR="00B165C0" w:rsidRPr="00CD3C9A">
        <w:rPr>
          <w:rFonts w:eastAsia="Calibri"/>
          <w:color w:val="000000" w:themeColor="text1"/>
          <w:sz w:val="20"/>
          <w:szCs w:val="20"/>
        </w:rPr>
        <w:t>are</w:t>
      </w:r>
      <w:r w:rsidRPr="00CD3C9A">
        <w:rPr>
          <w:rFonts w:eastAsia="Calibri"/>
          <w:color w:val="000000" w:themeColor="text1"/>
          <w:sz w:val="20"/>
          <w:szCs w:val="20"/>
        </w:rPr>
        <w:t xml:space="preserve"> clerkships. A clerkship can be viewed as a transitional clinical environment where a student applies their extensive knowledge but limited clinical skill set to progress toward independent decision making but under the supervision of a clinical teacher or supervisor.</w:t>
      </w:r>
    </w:p>
    <w:p w14:paraId="11CAAE18" w14:textId="5D15F73D" w:rsidR="00C03656" w:rsidRPr="00CD3C9A" w:rsidRDefault="00F7687C" w:rsidP="00CD3C9A">
      <w:pPr>
        <w:spacing w:line="360" w:lineRule="auto"/>
        <w:rPr>
          <w:rFonts w:eastAsia="Calibri"/>
          <w:color w:val="000000" w:themeColor="text1"/>
          <w:sz w:val="20"/>
          <w:szCs w:val="20"/>
        </w:rPr>
      </w:pPr>
      <w:r w:rsidRPr="00CD3C9A">
        <w:rPr>
          <w:color w:val="000000" w:themeColor="text1"/>
          <w:sz w:val="20"/>
          <w:szCs w:val="20"/>
          <w:shd w:val="clear" w:color="auto" w:fill="FFFFFF"/>
        </w:rPr>
        <w:t>Clerkships are</w:t>
      </w:r>
      <w:r w:rsidRPr="00CD3C9A">
        <w:rPr>
          <w:rStyle w:val="apple-converted-space"/>
          <w:color w:val="000000" w:themeColor="text1"/>
          <w:sz w:val="20"/>
          <w:szCs w:val="20"/>
          <w:shd w:val="clear" w:color="auto" w:fill="FFFFFF"/>
        </w:rPr>
        <w:t> </w:t>
      </w:r>
      <w:r w:rsidRPr="00CD3C9A">
        <w:rPr>
          <w:color w:val="000000" w:themeColor="text1"/>
          <w:sz w:val="20"/>
          <w:szCs w:val="20"/>
        </w:rPr>
        <w:t xml:space="preserve">full immersion learning experiences in practice- based facilities, where students will have supervised one-on-one patient inter-actions. They </w:t>
      </w:r>
      <w:r w:rsidR="00BB302A" w:rsidRPr="00CD3C9A">
        <w:rPr>
          <w:rFonts w:eastAsia="Calibri"/>
          <w:color w:val="000000" w:themeColor="text1"/>
          <w:sz w:val="20"/>
          <w:szCs w:val="20"/>
        </w:rPr>
        <w:t>provide opportunities for students to apply their knowledge, improve the clinical skills they have acquired and gain experience in clinical decision making. It is an environment that enables discussions between the student and the clinical teacher in which the teacher and student should be prepared to question and challenge existing ideas on case management.</w:t>
      </w:r>
      <w:r w:rsidR="00E965F5">
        <w:rPr>
          <w:rFonts w:eastAsia="Calibri"/>
          <w:color w:val="000000" w:themeColor="text1"/>
          <w:sz w:val="20"/>
          <w:szCs w:val="20"/>
        </w:rPr>
        <w:fldChar w:fldCharType="begin" w:fldLock="1"/>
      </w:r>
      <w:r w:rsidR="00E965F5">
        <w:rPr>
          <w:rFonts w:eastAsia="Calibri"/>
          <w:color w:val="000000" w:themeColor="text1"/>
          <w:sz w:val="20"/>
          <w:szCs w:val="20"/>
        </w:rPr>
        <w:instrText>ADDIN CSL_CITATION {"citationItems":[{"id":"ITEM-1","itemData":{"abstract":"(OCULUS,2020) OCULUS., Teaching Methods for Evidence-based Practice in Optometry., Optom. Curric. Lifelong Learn. through Erasmus. (2020). https://www.oculuserasmus.org/wp-content/uploads/2020/04/OCULUS_Teaching-Manual-for-Evidence-Based-Practice-in-Optometry.pdf.","author":[{"dropping-particle":"","family":"OCULUS.","given":"","non-dropping-particle":"","parse-names":false,"suffix":""}],"container-title":"Optometry Curriculum for Lifelong Learning through Erasmus","id":"ITEM-1","issued":{"date-parts":[["2020","4"]]},"title":"Teaching Methods for Evidence-based Practice in Optometry.","type":"article-journal"},"uris":["http://www.mendeley.com/documents/?uuid=a6cb5394-7daa-34f4-aa55-6d50066a39d7"]}],"mendeley":{"formattedCitation":"[7]","plainTextFormattedCitation":"[7]","previouslyFormattedCitation":"[7]"},"properties":{"noteIndex":0},"schema":"https://github.com/citation-style-language/schema/raw/master/csl-citation.json"}</w:instrText>
      </w:r>
      <w:r w:rsidR="00E965F5">
        <w:rPr>
          <w:rFonts w:eastAsia="Calibri"/>
          <w:color w:val="000000" w:themeColor="text1"/>
          <w:sz w:val="20"/>
          <w:szCs w:val="20"/>
        </w:rPr>
        <w:fldChar w:fldCharType="separate"/>
      </w:r>
      <w:r w:rsidR="00E965F5" w:rsidRPr="00E965F5">
        <w:rPr>
          <w:rFonts w:eastAsia="Calibri"/>
          <w:noProof/>
          <w:color w:val="000000" w:themeColor="text1"/>
          <w:sz w:val="20"/>
          <w:szCs w:val="20"/>
        </w:rPr>
        <w:t>[7]</w:t>
      </w:r>
      <w:r w:rsidR="00E965F5">
        <w:rPr>
          <w:rFonts w:eastAsia="Calibri"/>
          <w:color w:val="000000" w:themeColor="text1"/>
          <w:sz w:val="20"/>
          <w:szCs w:val="20"/>
        </w:rPr>
        <w:fldChar w:fldCharType="end"/>
      </w:r>
    </w:p>
    <w:p w14:paraId="4919DBBD" w14:textId="178D236D" w:rsidR="00C03656" w:rsidRPr="00CD3C9A" w:rsidRDefault="00BB302A" w:rsidP="00CD3C9A">
      <w:pPr>
        <w:spacing w:line="360" w:lineRule="auto"/>
        <w:rPr>
          <w:rFonts w:eastAsia="Calibri"/>
          <w:color w:val="000000" w:themeColor="text1"/>
          <w:sz w:val="20"/>
          <w:szCs w:val="20"/>
        </w:rPr>
      </w:pPr>
      <w:r w:rsidRPr="00CD3C9A">
        <w:rPr>
          <w:rFonts w:eastAsia="Calibri"/>
          <w:color w:val="000000" w:themeColor="text1"/>
          <w:sz w:val="20"/>
          <w:szCs w:val="20"/>
        </w:rPr>
        <w:t xml:space="preserve">Implementation of EBT into clinical curricula </w:t>
      </w:r>
      <w:r w:rsidR="00F7687C" w:rsidRPr="00CD3C9A">
        <w:rPr>
          <w:rFonts w:eastAsia="Calibri"/>
          <w:color w:val="000000" w:themeColor="text1"/>
          <w:sz w:val="20"/>
          <w:szCs w:val="20"/>
        </w:rPr>
        <w:t>is</w:t>
      </w:r>
      <w:r w:rsidRPr="00CD3C9A">
        <w:rPr>
          <w:rFonts w:eastAsia="Calibri"/>
          <w:color w:val="000000" w:themeColor="text1"/>
          <w:sz w:val="20"/>
          <w:szCs w:val="20"/>
        </w:rPr>
        <w:t xml:space="preserve"> considered essential to successful learning, practice and outcomes.</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{"citationItems":[{"id":"ITEM-1","itemData":{"DOI":"10.1136/bmjebm-2018-111019","ISSN":"25154478","PMID":"30442711","abstract":"Internationally, evidence-based practice (EBP) is recognised as a foundational element of healthcare professional education. Achieving competency in this area is a complex undertaking that is reflected in disparities between 'best EBP' and actual clinical care. The effective development and implementation of professional education to facilitate EBP remains a major and immediate challenge. To ascertain nuanced perspectives on the provision of EBP education internationally, interviews were conducted with five EBP education experts from the UK, Canada, Australia and New Zealand. Definitive advice was provided in relation to (1) EBP curriculum considerations, (2) teaching EBP and (3) stakeholder engagement in EBP education. While a considerable amount of EBP activity throughout health profession education is apparent, effectively embedding EBP throughout curricula requires further development, with a 'real-world' pragmatic approach that engenders dialogue and engagement with all stakeholders required.","author":[{"dropping-particle":"","family":"Lehane","given":"Elaine","non-dropping-particle":"","parse-names":false,"suffix":""},{"dropping-particle":"","family":"Leahy-Warren","given":"Patricia","non-dropping-particle":"","parse-names":false,"suffix":""},{"dropping-particle":"","family":"O'Riordan","given":"Cliona","non-dropping-particle":"","parse-names":false,"suffix":""},{"dropping-particle":"","family":"Savage","given":"Eileen","non-dropping-particle":"","parse-names":false,"suffix":""},{"dropping-particle":"","family":"Drennan","given":"Jonathan","non-dropping-particle":"","parse-names":false,"suffix":""},{"dropping-particle":"","family":"O'Tuathaigh","given":"Colm","non-dropping-particle":"","parse-names":false,"suffix":""},{"dropping-particle":"","family":"O'Connor","given":"Michael","non-dropping-particle":"","parse-names":false,"suffix":""},{"dropping-particle":"","family":"Corrigan","given":"Mark","non-dropping-particle":"","parse-names":false,"suffix":""},{"dropping-particle":"","family":"Burke","given":"Francis","non-dropping-particle":"","parse-names":false,"suffix":""},{"dropping-particle":"","family":"Hayes","given":"Martina","non-dropping-particle":"","parse-names":false,"suffix":""},{"dropping-particle":"","family":"Lynch","given":"Helen","non-dropping-particle":"","parse-names":false,"suffix":""},{"dropping-particle":"","family":"Sahm","given":"Laura","non-dropping-particle":"","parse-names":false,"suffix":""},{"dropping-particle":"","family":"Heffernan","given":"Elizabeth","non-dropping-particle":"","parse-names":false,"suffix":""},{"dropping-particle":"","family":"O'Keeffe","given":"Elizabeth","non-dropping-particle":"","parse-names":false,"suffix":""},{"dropping-particle":"","family":"Blake","given":"Catherine","non-dropping-particle":"","parse-names":false,"suffix":""},{"dropping-particle":"","family":"Horgan","given":"Frances","non-dropping-particle":"","parse-names":false,"suffix":""},{"dropping-particle":"","family":"Hegarty","given":"Josephine","non-dropping-particle":"","parse-names":false,"suffix":""}],"container-title":"BMJ Evidence-Based Medicine","id":"ITEM-1","issue":"3","issued":{"date-parts":[["2019"]]},"page":"103-108","title":"Evidence-based practice education for healthcare professions: An expert view","type":"article","volume":"24"},"uris":["http://www.mendeley.com/documents/?uuid=27401aa1-a94c-42a5-87b2-a762bde65b0f"]}],"mendeley":{"formattedCitation":"[29]","plainTextFormattedCitation":"[29]","previouslyFormattedCitation":"[29]"},"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[29]</w:t>
      </w:r>
      <w:r w:rsidR="00E965F5">
        <w:rPr>
          <w:rFonts w:eastAsia="Calibri"/>
          <w:color w:val="000000" w:themeColor="text1"/>
          <w:sz w:val="20"/>
          <w:szCs w:val="20"/>
        </w:rPr>
        <w:fldChar w:fldCharType="end"/>
      </w:r>
      <w:r w:rsidR="00756070" w:rsidRPr="00CD3C9A">
        <w:rPr>
          <w:rFonts w:eastAsia="Calibri"/>
          <w:color w:val="000000" w:themeColor="text1"/>
          <w:sz w:val="20"/>
          <w:szCs w:val="20"/>
        </w:rPr>
        <w:t xml:space="preserve"> </w:t>
      </w:r>
      <w:r w:rsidRPr="00CD3C9A">
        <w:rPr>
          <w:rFonts w:eastAsia="Calibri"/>
          <w:color w:val="000000" w:themeColor="text1"/>
          <w:sz w:val="20"/>
          <w:szCs w:val="20"/>
        </w:rPr>
        <w:t>In clinical clerkship settings, students lead the discussions with the patient and with the supervisor, with the goal to develop the student’s confidence in applying evidence in the clinical context and being able to challenge clinical best practice in a safe setting. Clerkships are essential to bridge the gap between the academic and clinical worlds, enabling students to experience the ‘real’ translation of EBP in a real clinical context.</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{"citationItems":[{"id":"ITEM-1","itemData":{"DOI":"10.1007/s10459-016-9702-9","ISSN":"15731677","PMID":"27469244","abstract":"The aim of this study is to update a previous review published in this journal on the effectiveness of teaching and assessment interventions for evidence based practice in health professions, and to determine the extent to which the five recommendations made from that review have been implemented. The Integrating Theory, Evidence and Action method was used to synthesise all published evidence from 2011 to 2015, which addressed instructional practices used for evidence based practice with pre-registration allied health students. Seventeen articles were found to meet the inclusion criteria, and were analysed for both their individual rigour and relationship to the five recommendations. The evidence reviewed in this study was diverse in both its geographical setting and the allied health disciplines represented. Most of the evidence used less rigorous methods, and the evidence base is generally exploratory in nature. To date, the five recommendations regarding instructional practices in this area have been implemented to varying degrees. Many current practices promote social negotiation, collaborative decision-making and collaborative learning, so the social constructivist approach is being adopted. However, the prior knowledge of students is not being assessed as a basis for scaffolding, communication of evidence based practice to varying audiences is rarely addressed and the role of clinicians in the learning of evidence based practice knowledge, skills, beliefs and attitudes remains limited.","author":[{"dropping-particle":"","family":"Hitch","given":"Danielle","non-dropping-particle":"","parse-names":false,"suffix":""},{"dropping-particle":"","family":"Nicola-Richmond","given":"Kelli","non-dropping-particle":"","parse-names":false,"suffix":""}],"container-title":"Advances in Health Sciences Education","id":"ITEM-1","issue":"4","issued":{"date-parts":[["2017"]]},"page":"1031-1045","title":"Instructional practices for evidence-based practice with pre-registration allied health students: a review of recent research and developments","type":"article","volume":"22"},"uris":["http://www.mendeley.com/documents/?uuid=2ef5c315-ef6f-4e39-a7a0-351f32a3bb1d"]}],"mendeley":{"formattedCitation":"[30]","plainTextFormattedCitation":"[30]","previouslyFormattedCitation":"[30]"},"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[30]</w:t>
      </w:r>
      <w:r w:rsidR="00E965F5">
        <w:rPr>
          <w:rFonts w:eastAsia="Calibri"/>
          <w:color w:val="000000" w:themeColor="text1"/>
          <w:sz w:val="20"/>
          <w:szCs w:val="20"/>
        </w:rPr>
        <w:fldChar w:fldCharType="end"/>
      </w:r>
    </w:p>
    <w:p w14:paraId="7833FCAD" w14:textId="131A8B65" w:rsidR="00C03656" w:rsidRPr="00CD3C9A" w:rsidRDefault="00496EE2" w:rsidP="00CD3C9A">
      <w:pPr>
        <w:spacing w:line="360" w:lineRule="auto"/>
        <w:rPr>
          <w:rFonts w:eastAsia="Calibri"/>
          <w:color w:val="000000" w:themeColor="text1"/>
          <w:sz w:val="20"/>
          <w:szCs w:val="20"/>
        </w:rPr>
      </w:pPr>
      <w:r w:rsidRPr="00CD3C9A">
        <w:rPr>
          <w:rFonts w:eastAsia="Calibri"/>
          <w:color w:val="000000" w:themeColor="text1"/>
          <w:sz w:val="20"/>
          <w:szCs w:val="20"/>
        </w:rPr>
        <w:t>One</w:t>
      </w:r>
      <w:r w:rsidR="00584AC4">
        <w:rPr>
          <w:rFonts w:eastAsia="Calibri"/>
          <w:color w:val="000000" w:themeColor="text1"/>
          <w:sz w:val="20"/>
          <w:szCs w:val="20"/>
        </w:rPr>
        <w:t>, older</w:t>
      </w:r>
      <w:r w:rsidRPr="00CD3C9A">
        <w:rPr>
          <w:rFonts w:eastAsia="Calibri"/>
          <w:color w:val="000000" w:themeColor="text1"/>
          <w:sz w:val="20"/>
          <w:szCs w:val="20"/>
        </w:rPr>
        <w:t xml:space="preserve"> study reported on a 10</w:t>
      </w:r>
      <w:r w:rsidR="00584AC4">
        <w:rPr>
          <w:rFonts w:eastAsia="Calibri"/>
          <w:color w:val="000000" w:themeColor="text1"/>
          <w:sz w:val="20"/>
          <w:szCs w:val="20"/>
        </w:rPr>
        <w:t>-</w:t>
      </w:r>
      <w:r w:rsidRPr="00CD3C9A">
        <w:rPr>
          <w:rFonts w:eastAsia="Calibri"/>
          <w:color w:val="000000" w:themeColor="text1"/>
          <w:sz w:val="20"/>
          <w:szCs w:val="20"/>
        </w:rPr>
        <w:t xml:space="preserve">day </w:t>
      </w:r>
      <w:r w:rsidR="00BB302A" w:rsidRPr="00CD3C9A">
        <w:rPr>
          <w:rFonts w:eastAsia="Calibri"/>
          <w:color w:val="000000" w:themeColor="text1"/>
          <w:sz w:val="20"/>
          <w:szCs w:val="20"/>
        </w:rPr>
        <w:t xml:space="preserve">ophthalmology </w:t>
      </w:r>
      <w:r w:rsidRPr="00CD3C9A">
        <w:rPr>
          <w:rFonts w:eastAsia="Calibri"/>
          <w:color w:val="000000" w:themeColor="text1"/>
          <w:sz w:val="20"/>
          <w:szCs w:val="20"/>
        </w:rPr>
        <w:t>undergraduate clerkship. A</w:t>
      </w:r>
      <w:r w:rsidR="00BB302A" w:rsidRPr="00CD3C9A">
        <w:rPr>
          <w:rFonts w:eastAsia="Calibri"/>
          <w:color w:val="000000" w:themeColor="text1"/>
          <w:sz w:val="20"/>
          <w:szCs w:val="20"/>
        </w:rPr>
        <w:t xml:space="preserve"> pre-</w:t>
      </w:r>
      <w:r w:rsidRPr="00CD3C9A">
        <w:rPr>
          <w:rFonts w:eastAsia="Calibri"/>
          <w:color w:val="000000" w:themeColor="text1"/>
          <w:sz w:val="20"/>
          <w:szCs w:val="20"/>
        </w:rPr>
        <w:t xml:space="preserve"> </w:t>
      </w:r>
      <w:r w:rsidR="00BB302A" w:rsidRPr="00CD3C9A">
        <w:rPr>
          <w:rFonts w:eastAsia="Calibri"/>
          <w:color w:val="000000" w:themeColor="text1"/>
          <w:sz w:val="20"/>
          <w:szCs w:val="20"/>
        </w:rPr>
        <w:t>and a post-test demonstrated a high rate of learning. Specific success factors included well-organised information, self-instructional material, and enthusiastic interaction.</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{"citationItems":[{"id":"ITEM-1","itemData":{"DOI":"10.1016/0039-6257(77)90090-X","ISSN":"00396257","author":[{"dropping-particle":"","family":"Waring","given":"George O.","non-dropping-particle":"","parse-names":false,"suffix":""},{"dropping-particle":"","family":"Harris","given":"Rita","non-dropping-particle":"","parse-names":false,"suffix":""},{"dropping-particle":"","family":"Walters","given":"Richard F.","non-dropping-particle":"","parse-names":false,"suffix":""},{"dropping-particle":"","family":"Berris","given":"Craig","non-dropping-particle":"","parse-names":false,"suffix":""}],"container-title":"Survey of Ophthalmology","id":"ITEM-1","issue":"2","issued":{"date-parts":[["1977","9"]]},"page":"106-112","title":"Clinical ophthalmology instruction for medical students","type":"article-journal","volume":"22"},"uris":["http://www.mendeley.com/documents/?uuid=431c6130-c2e9-3a84-8242-1031cbd1b30f"]}],"mendeley":{"formattedCitation":"[31]","plainTextFormattedCitation":"[31]","previouslyFormattedCitation":"[31]"},"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[31]</w:t>
      </w:r>
      <w:r w:rsidR="00E965F5">
        <w:rPr>
          <w:rFonts w:eastAsia="Calibri"/>
          <w:color w:val="000000" w:themeColor="text1"/>
          <w:sz w:val="20"/>
          <w:szCs w:val="20"/>
        </w:rPr>
        <w:fldChar w:fldCharType="end"/>
      </w:r>
    </w:p>
    <w:p w14:paraId="0318BFE3" w14:textId="776DA000" w:rsidR="00C03656" w:rsidRPr="00CD3C9A" w:rsidRDefault="00BB302A" w:rsidP="00CD3C9A">
      <w:pPr>
        <w:spacing w:line="360" w:lineRule="auto"/>
        <w:rPr>
          <w:rFonts w:eastAsia="Calibri"/>
          <w:color w:val="000000" w:themeColor="text1"/>
          <w:sz w:val="20"/>
          <w:szCs w:val="20"/>
        </w:rPr>
      </w:pPr>
      <w:r w:rsidRPr="00CD3C9A">
        <w:rPr>
          <w:rFonts w:eastAsia="Calibri"/>
          <w:color w:val="000000" w:themeColor="text1"/>
          <w:sz w:val="20"/>
          <w:szCs w:val="20"/>
        </w:rPr>
        <w:t xml:space="preserve">The ideal length of time for a clerkship needs </w:t>
      </w:r>
      <w:r w:rsidR="00291264" w:rsidRPr="00CD3C9A">
        <w:rPr>
          <w:rFonts w:eastAsia="Calibri"/>
          <w:color w:val="000000" w:themeColor="text1"/>
          <w:sz w:val="20"/>
          <w:szCs w:val="20"/>
        </w:rPr>
        <w:t xml:space="preserve">to </w:t>
      </w:r>
      <w:proofErr w:type="gramStart"/>
      <w:r w:rsidR="00291264" w:rsidRPr="00CD3C9A">
        <w:rPr>
          <w:rFonts w:eastAsia="Calibri"/>
          <w:color w:val="000000" w:themeColor="text1"/>
          <w:sz w:val="20"/>
          <w:szCs w:val="20"/>
        </w:rPr>
        <w:t>take into account</w:t>
      </w:r>
      <w:proofErr w:type="gramEnd"/>
      <w:r w:rsidR="00291264" w:rsidRPr="00CD3C9A">
        <w:rPr>
          <w:rFonts w:eastAsia="Calibri"/>
          <w:color w:val="000000" w:themeColor="text1"/>
          <w:sz w:val="20"/>
          <w:szCs w:val="20"/>
        </w:rPr>
        <w:t xml:space="preserve"> </w:t>
      </w:r>
      <w:r w:rsidRPr="00CD3C9A">
        <w:rPr>
          <w:rFonts w:eastAsia="Calibri"/>
          <w:color w:val="000000" w:themeColor="text1"/>
          <w:sz w:val="20"/>
          <w:szCs w:val="20"/>
        </w:rPr>
        <w:t xml:space="preserve">the learning benefits for the student, the best patient care and outcomes as well as the financial impact on the clinic providing the clerkship. </w:t>
      </w:r>
      <w:r w:rsidR="00291264" w:rsidRPr="00CD3C9A">
        <w:rPr>
          <w:rFonts w:eastAsia="Calibri"/>
          <w:color w:val="000000" w:themeColor="text1"/>
          <w:sz w:val="20"/>
          <w:szCs w:val="20"/>
        </w:rPr>
        <w:t>M</w:t>
      </w:r>
      <w:r w:rsidRPr="00CD3C9A">
        <w:rPr>
          <w:rFonts w:eastAsia="Calibri"/>
          <w:color w:val="000000" w:themeColor="text1"/>
          <w:sz w:val="20"/>
          <w:szCs w:val="20"/>
        </w:rPr>
        <w:t xml:space="preserve">edical students are placed in government funded health settings, whereas optometry students find themselves in university based clinical environments or independently run optometry </w:t>
      </w:r>
      <w:r w:rsidRPr="00CD3C9A">
        <w:rPr>
          <w:rFonts w:eastAsia="Calibri"/>
          <w:color w:val="000000" w:themeColor="text1"/>
          <w:sz w:val="20"/>
          <w:szCs w:val="20"/>
        </w:rPr>
        <w:lastRenderedPageBreak/>
        <w:t xml:space="preserve">practices. At the start of a clerkship a student lacks clinical management experience and </w:t>
      </w:r>
      <w:r w:rsidR="00291264" w:rsidRPr="00CD3C9A">
        <w:rPr>
          <w:rFonts w:eastAsia="Calibri"/>
          <w:color w:val="000000" w:themeColor="text1"/>
          <w:sz w:val="20"/>
          <w:szCs w:val="20"/>
        </w:rPr>
        <w:t xml:space="preserve">will </w:t>
      </w:r>
      <w:r w:rsidRPr="00CD3C9A">
        <w:rPr>
          <w:rFonts w:eastAsia="Calibri"/>
          <w:color w:val="000000" w:themeColor="text1"/>
          <w:sz w:val="20"/>
          <w:szCs w:val="20"/>
        </w:rPr>
        <w:t xml:space="preserve">require a </w:t>
      </w:r>
      <w:r w:rsidR="00291264" w:rsidRPr="00CD3C9A">
        <w:rPr>
          <w:rFonts w:eastAsia="Calibri"/>
          <w:color w:val="000000" w:themeColor="text1"/>
          <w:sz w:val="20"/>
          <w:szCs w:val="20"/>
        </w:rPr>
        <w:t xml:space="preserve">more </w:t>
      </w:r>
      <w:r w:rsidRPr="00CD3C9A">
        <w:rPr>
          <w:rFonts w:eastAsia="Calibri"/>
          <w:color w:val="000000" w:themeColor="text1"/>
          <w:sz w:val="20"/>
          <w:szCs w:val="20"/>
        </w:rPr>
        <w:t xml:space="preserve">chair time </w:t>
      </w:r>
      <w:r w:rsidR="00291264" w:rsidRPr="00CD3C9A">
        <w:rPr>
          <w:rFonts w:eastAsia="Calibri"/>
          <w:color w:val="000000" w:themeColor="text1"/>
          <w:sz w:val="20"/>
          <w:szCs w:val="20"/>
        </w:rPr>
        <w:t xml:space="preserve">and </w:t>
      </w:r>
      <w:r w:rsidRPr="00CD3C9A">
        <w:rPr>
          <w:rFonts w:eastAsia="Calibri"/>
          <w:color w:val="000000" w:themeColor="text1"/>
          <w:sz w:val="20"/>
          <w:szCs w:val="20"/>
        </w:rPr>
        <w:t xml:space="preserve">supervisory time. </w:t>
      </w:r>
      <w:r w:rsidR="00291264" w:rsidRPr="00CD3C9A">
        <w:rPr>
          <w:rFonts w:eastAsia="Calibri"/>
          <w:color w:val="000000" w:themeColor="text1"/>
          <w:sz w:val="20"/>
          <w:szCs w:val="20"/>
        </w:rPr>
        <w:t xml:space="preserve">These would reduce over time. </w:t>
      </w:r>
      <w:r w:rsidRPr="00CD3C9A">
        <w:rPr>
          <w:rFonts w:eastAsia="Calibri"/>
          <w:color w:val="000000" w:themeColor="text1"/>
          <w:sz w:val="20"/>
          <w:szCs w:val="20"/>
        </w:rPr>
        <w:t>A clerkship offered by a privately run business needs to balance these issues. A short clerkship period may result in the student experience being limited to purely observational opportunities, too long a clerkship and the student may feel the experienced gain becomes increasingly limited. In a study by</w:t>
      </w:r>
      <w:r w:rsidR="00E965F5">
        <w:rPr>
          <w:rFonts w:eastAsia="Calibri"/>
          <w:color w:val="000000" w:themeColor="text1"/>
          <w:sz w:val="20"/>
          <w:szCs w:val="20"/>
        </w:rPr>
        <w:t xml:space="preserve"> </w:t>
      </w:r>
      <w:r w:rsidRPr="00CD3C9A">
        <w:rPr>
          <w:rFonts w:eastAsia="Calibri"/>
          <w:color w:val="000000" w:themeColor="text1"/>
          <w:sz w:val="20"/>
          <w:szCs w:val="20"/>
        </w:rPr>
        <w:t>Bentley et al.</w:t>
      </w:r>
      <w:r w:rsidR="00E965F5">
        <w:rPr>
          <w:rFonts w:eastAsia="Calibri"/>
          <w:color w:val="000000" w:themeColor="text1"/>
          <w:sz w:val="20"/>
          <w:szCs w:val="20"/>
        </w:rPr>
        <w:t>,</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{"citationItems":[{"id":"ITEM-1","itemData":{"DOI":"10.1111/cxo.12337","ISSN":"14440938","PMID":"26889764","abstract":"Background: Some universities are looking to provide a more diverse range of clinical learning experiences through extended clinical placement programs. This approach will potentially have a significant impact on practitioners. The aim of this study was to conduct a national survey of optometrists to ascertain their perspectives on participating in extended clinical placement programs. Methods: Members of Optometry Australia were invited to participate in a survey conducted during June and July 2014. Results: A total of 268 practitioners participated (six per cent of registered Australian optometrists): 159 were predominantly employees or locums and 109 were owners or managers who identified as the key representative of a practice or organisation for the purpose of this survey. Almost two-thirds (65 per cent) of participants, who were employees or locums were supportive of extended clinical placement programs. Among this group, females were more likely to be supportive than males (p=0.033). In comparison, just over one-third (34 per cent) of participants who were key decision-makers were supportive, with 30 per cent possibly supportive and 36 per cent not supportive. Among key decision-makers, males were more likely to be supportive (p=0.009). The top three perceived advantages of supervising a student were: opportunity to mentor early career development, opportunity to give back to the profession and future recruitment. The top three perceived disadvantages were: burden on time, decrease in number of patients examined and burden on support staff. Suggested incentives for supervising students were credit for continuing professional development and financial remuneration. Conclusion: There appears to be moderate support for extended clinical placement programs; however, there are incentives that might engage a larger proportion of the profession in the future. These findings can inform the development of effective and sustainable clinical training programs for optometry students. Additionally, the findings might be used as evidence to seek Government support for clinical placement training in optometry.","author":[{"dropping-particle":"","family":"Bentley","given":"Sharon A.","non-dropping-particle":"","parse-names":false,"suffix":""},{"dropping-particle":"","family":"Cartledge","given":"Amy","non-dropping-particle":"","parse-names":false,"suffix":""},{"dropping-particle":"","family":"Guest","given":"Daryl J.","non-dropping-particle":"","parse-names":false,"suffix":""},{"dropping-particle":"","family":"Cappuccio","given":"Skye","non-dropping-particle":"","parse-names":false,"suffix":""},{"dropping-particle":"","family":"Woods","given":"Craig A.","non-dropping-particle":"","parse-names":false,"suffix":""}],"container-title":"Clinical and Experimental Optometry","id":"ITEM-1","issue":"3","issued":{"date-parts":[["2016","5","1"]]},"page":"248-257","publisher":"Blackwell Publishing Ltd","title":"Practitioner perspectives on extended clinical placement programs in optometry","type":"article-journal","volume":"99"},"uris":["http://www.mendeley.com/documents/?uuid=0e4d34e0-f6e1-36eb-af95-0616b2fbb7e0"]}],"mendeley":{"formattedCitation":"[32]","plainTextFormattedCitation":"[32]","previouslyFormattedCitation":"[32]"},"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[32]</w:t>
      </w:r>
      <w:r w:rsidR="00E965F5">
        <w:rPr>
          <w:rFonts w:eastAsia="Calibri"/>
          <w:color w:val="000000" w:themeColor="text1"/>
          <w:sz w:val="20"/>
          <w:szCs w:val="20"/>
        </w:rPr>
        <w:fldChar w:fldCharType="end"/>
      </w:r>
      <w:r w:rsidRPr="00CD3C9A">
        <w:rPr>
          <w:rFonts w:eastAsia="Calibri"/>
          <w:color w:val="000000" w:themeColor="text1"/>
          <w:sz w:val="20"/>
          <w:szCs w:val="20"/>
        </w:rPr>
        <w:t xml:space="preserve"> both students and supervisors in a private setting felt a time period of more than 6 weeks was preferred.</w:t>
      </w:r>
    </w:p>
    <w:p w14:paraId="2024EF72" w14:textId="34DCEACB" w:rsidR="004742F9" w:rsidRPr="00CD3C9A" w:rsidRDefault="00BB302A" w:rsidP="00CD3C9A">
      <w:pPr>
        <w:spacing w:line="360" w:lineRule="auto"/>
        <w:rPr>
          <w:rFonts w:eastAsia="Calibri"/>
          <w:color w:val="000000" w:themeColor="text1"/>
          <w:sz w:val="20"/>
          <w:szCs w:val="20"/>
        </w:rPr>
      </w:pPr>
      <w:r w:rsidRPr="00CD3C9A">
        <w:rPr>
          <w:rFonts w:eastAsia="Calibri"/>
          <w:color w:val="000000" w:themeColor="text1"/>
          <w:sz w:val="20"/>
          <w:szCs w:val="20"/>
        </w:rPr>
        <w:t>Another important aspect to clerkships is whether receiving care from a student is perceived poorly by the patient,</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{"citationItems":[{"id":"ITEM-1","itemData":{"DOI":"10.1111/cxo.12633","abstract":"Background: Understanding patient perceptions of having students involved in their clinical care is important as we strive to develop optimal models of care that integrate teaching with the best possible experience for the patient. The aim was to ascertain the impact of supervised optometry student consultations on the patient experience. Methods: A survey comprising 45 questions was mailed to consecutive adult patients who had undergone a comprehensive eye examination at the Australian College of Optometry over a four-week period. Results: Responses were received from 193 patients who had a student involved in their care (44 per cent response rate; 156 completed correctly) and 177 who did not have a student involved (32 per cent response rate; 105 completed correctly). There was no significant difference in overall patient satisfaction between the teaching and non-teaching clinics (p = 0.18). Over 87 per cent of patients in the teaching clinic felt completely comfortable with a student examining them, 44 per cent felt their care was better because a student was involved and 97 per cent rated the overall performance of the student as very good or good. Although 12 per cent would rather have seen only the optometrist and three per cent would not be happy to have a student involved in their eye care again, 100 per cent believed it is important for students to work with patients. The most common reason for student acceptance was the importance of students needing opportunities to learn. The main reasons for unwillingness to have a student involved in future were the additional time taken and prolonged testing. Conclusions: The findings of this study suggest that most patients view supervised student involvement in their optometric care as an important and highly positive experience. However, efforts should be made to avoid excessively long consultations and prolonged testing. Concerns about patient satisfaction and acceptance are largely unwarranted and should not prevent optometry students being involved in patient care.","author":[{"dropping-particle":"","family":"Bentley","given":"Sharon A","non-dropping-particle":"","parse-names":false,"suffix":""},{"dropping-particle":"","family":"Trevaskis","given":"Jane E","non-dropping-particle":"","parse-names":false,"suffix":""},{"dropping-particle":"","family":"Woods","given":"Craig A","non-dropping-particle":"","parse-names":false,"suffix":""},{"dropping-particle":"","family":"Guest","given":"Daryl","non-dropping-particle":"","parse-names":false,"suffix":""},{"dropping-particle":"","family":"Watt","given":"Kathleen G","non-dropping-particle":"","parse-names":false,"suffix":""}],"container-title":"Clinical and Experimental Optometry","id":"ITEM-1","issue":"2","issued":{"date-parts":[["2018"]]},"page":"288-296","publisher":"Blackwell Publishing Ltd","title":"Impact of supervised student optometry consultations on the patient experience","type":"article-journal","volume":"101"},"uris":["http://www.mendeley.com/documents/?uuid=7ec954ff-017a-30b3-bf0b-0312f2d9dd11"]}],"mendeley":{"formattedCitation":"[33]","plainTextFormattedCitation":"[33]","previouslyFormattedCitation":"[33]"},"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[33]</w:t>
      </w:r>
      <w:r w:rsidR="00E965F5">
        <w:rPr>
          <w:rFonts w:eastAsia="Calibri"/>
          <w:color w:val="000000" w:themeColor="text1"/>
          <w:sz w:val="20"/>
          <w:szCs w:val="20"/>
        </w:rPr>
        <w:fldChar w:fldCharType="end"/>
      </w:r>
      <w:r w:rsidRPr="00CD3C9A">
        <w:rPr>
          <w:rFonts w:eastAsia="Calibri"/>
          <w:color w:val="000000" w:themeColor="text1"/>
          <w:sz w:val="20"/>
          <w:szCs w:val="20"/>
        </w:rPr>
        <w:t xml:space="preserve"> reported that in fact, patients saw supervised student care delivery as important and a positive experience.</w:t>
      </w:r>
      <w:r w:rsidR="004742F9" w:rsidRPr="00CD3C9A">
        <w:rPr>
          <w:rFonts w:eastAsia="Calibri"/>
          <w:color w:val="000000" w:themeColor="text1"/>
          <w:sz w:val="20"/>
          <w:szCs w:val="20"/>
        </w:rPr>
        <w:t xml:space="preserve"> Whether there is any benefit </w:t>
      </w:r>
      <w:r w:rsidR="0074646A">
        <w:rPr>
          <w:rFonts w:eastAsia="Calibri"/>
          <w:color w:val="000000" w:themeColor="text1"/>
          <w:sz w:val="20"/>
          <w:szCs w:val="20"/>
        </w:rPr>
        <w:t xml:space="preserve">of clerkships </w:t>
      </w:r>
      <w:r w:rsidR="004742F9" w:rsidRPr="00CD3C9A">
        <w:rPr>
          <w:rFonts w:eastAsia="Calibri"/>
          <w:color w:val="000000" w:themeColor="text1"/>
          <w:sz w:val="20"/>
          <w:szCs w:val="20"/>
        </w:rPr>
        <w:t>to teaching and learning of clinical skills in CLE has yet to be determined.</w:t>
      </w:r>
    </w:p>
    <w:p w14:paraId="64F05954" w14:textId="77777777" w:rsidR="00F7687C" w:rsidRPr="00CD3C9A" w:rsidRDefault="00F7687C" w:rsidP="00CD3C9A">
      <w:pPr>
        <w:pStyle w:val="Heading1"/>
        <w:spacing w:before="0" w:after="0" w:line="360" w:lineRule="auto"/>
        <w:rPr>
          <w:color w:val="000000" w:themeColor="text1"/>
          <w:sz w:val="20"/>
          <w:szCs w:val="20"/>
        </w:rPr>
      </w:pPr>
      <w:bookmarkStart w:id="9" w:name="_heading=h.3znysh7" w:colFirst="0" w:colLast="0"/>
      <w:bookmarkEnd w:id="9"/>
    </w:p>
    <w:p w14:paraId="1E5CE5E2" w14:textId="37D6E36D" w:rsidR="00C03656" w:rsidRPr="00CD3C9A" w:rsidRDefault="00BB302A" w:rsidP="00CD3C9A">
      <w:pPr>
        <w:pStyle w:val="Heading1"/>
        <w:spacing w:before="0" w:after="0" w:line="360" w:lineRule="auto"/>
        <w:rPr>
          <w:b/>
          <w:bCs/>
          <w:color w:val="000000" w:themeColor="text1"/>
          <w:sz w:val="20"/>
          <w:szCs w:val="20"/>
        </w:rPr>
      </w:pPr>
      <w:r w:rsidRPr="00CD3C9A">
        <w:rPr>
          <w:b/>
          <w:bCs/>
          <w:color w:val="000000" w:themeColor="text1"/>
          <w:sz w:val="20"/>
          <w:szCs w:val="20"/>
        </w:rPr>
        <w:t xml:space="preserve">Assessment of clinical </w:t>
      </w:r>
      <w:r w:rsidR="004742F9" w:rsidRPr="00CD3C9A">
        <w:rPr>
          <w:b/>
          <w:bCs/>
          <w:color w:val="000000" w:themeColor="text1"/>
          <w:sz w:val="20"/>
          <w:szCs w:val="20"/>
        </w:rPr>
        <w:t>skills</w:t>
      </w:r>
    </w:p>
    <w:p w14:paraId="2E323B4E" w14:textId="6DB77BA4" w:rsidR="00C03656" w:rsidRPr="00CD3C9A" w:rsidRDefault="00BB302A" w:rsidP="00CD3C9A">
      <w:pPr>
        <w:spacing w:line="360" w:lineRule="auto"/>
        <w:rPr>
          <w:rFonts w:eastAsia="Calibri"/>
          <w:b/>
          <w:color w:val="000000" w:themeColor="text1"/>
          <w:sz w:val="20"/>
          <w:szCs w:val="20"/>
        </w:rPr>
      </w:pPr>
      <w:r w:rsidRPr="00CD3C9A">
        <w:rPr>
          <w:rFonts w:eastAsia="Calibri"/>
          <w:color w:val="000000" w:themeColor="text1"/>
          <w:sz w:val="20"/>
          <w:szCs w:val="20"/>
        </w:rPr>
        <w:t xml:space="preserve">Entry-level professionals must possess a set of </w:t>
      </w:r>
      <w:r w:rsidR="004742F9" w:rsidRPr="00CD3C9A">
        <w:rPr>
          <w:rFonts w:eastAsia="Calibri"/>
          <w:color w:val="000000" w:themeColor="text1"/>
          <w:sz w:val="20"/>
          <w:szCs w:val="20"/>
        </w:rPr>
        <w:t xml:space="preserve">skills </w:t>
      </w:r>
      <w:r w:rsidRPr="00CD3C9A">
        <w:rPr>
          <w:rFonts w:eastAsia="Calibri"/>
          <w:color w:val="000000" w:themeColor="text1"/>
          <w:sz w:val="20"/>
          <w:szCs w:val="20"/>
        </w:rPr>
        <w:t>identified and described by the profession</w:t>
      </w:r>
      <w:r w:rsidR="00E965F5">
        <w:rPr>
          <w:rFonts w:eastAsia="Calibri"/>
          <w:color w:val="000000" w:themeColor="text1"/>
          <w:sz w:val="20"/>
          <w:szCs w:val="20"/>
        </w:rPr>
        <w:t>.</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{"citationItems":[{"id":"ITEM-1","itemData":{"ISSN":"0098-6917","author":[{"dropping-particle":"","family":"Penna","given":"Richard P","non-dropping-particle":"","parse-names":false,"suffix":""}],"container-title":"Journal of Optometric Education","id":"ITEM-1","issue":"1","issued":{"date-parts":[["1992"]]},"page":"9-13","publisher":"ERIC","title":"What are the appropriate skills and knowledge required for entry into the practice of optometry?","type":"article-journal","volume":"18"},"uris":["http://www.mendeley.com/documents/?uuid=c185861a-5c85-4373-adde-a65664d63f51"]}],"mendeley":{"formattedCitation":"[34]","plainTextFormattedCitation":"[34]","previouslyFormattedCitation":"[34]"},"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[34]</w:t>
      </w:r>
      <w:r w:rsidR="00E965F5">
        <w:rPr>
          <w:rFonts w:eastAsia="Calibri"/>
          <w:color w:val="000000" w:themeColor="text1"/>
          <w:sz w:val="20"/>
          <w:szCs w:val="20"/>
        </w:rPr>
        <w:fldChar w:fldCharType="end"/>
      </w:r>
      <w:r w:rsidR="00756070" w:rsidRPr="00CD3C9A">
        <w:rPr>
          <w:rFonts w:eastAsia="Calibri"/>
          <w:color w:val="000000" w:themeColor="text1"/>
          <w:sz w:val="20"/>
          <w:szCs w:val="20"/>
        </w:rPr>
        <w:t xml:space="preserve"> </w:t>
      </w:r>
      <w:r w:rsidRPr="00CD3C9A">
        <w:rPr>
          <w:rFonts w:eastAsia="Calibri"/>
          <w:color w:val="000000" w:themeColor="text1"/>
          <w:sz w:val="20"/>
          <w:szCs w:val="20"/>
        </w:rPr>
        <w:t xml:space="preserve"> This is also applicable to qualified professionals relocating between jurisdictions or countries. Candidates are judged to be competent when they act responsibly and effectively according to the set standards of performance</w:t>
      </w:r>
      <w:r w:rsidR="00E965F5">
        <w:rPr>
          <w:rFonts w:eastAsia="Calibri"/>
          <w:color w:val="000000" w:themeColor="text1"/>
          <w:sz w:val="20"/>
          <w:szCs w:val="20"/>
        </w:rPr>
        <w:t>.</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{"citationItems":[{"id":"ITEM-1","itemData":{"abstract":"Professional and practice-based learning is a process which manifests itself in many different forms. It differs by personal characteristics of the learners, levels of their professions, fields of practice, intentionality of their learning, and formalisation of the learning activities. Notions of competence have entered this diverse practice in many ways. The question is whether conceptions of professional competence have helped the practice of professional and practice-based learning. In this chapter it is argued that this is indeed the case. Although various attempts to implement competence-based professional learning programmes were heavily criticized, later developments in competence theory and research gave new insights which emphasized the integrative meaning of competence within professional practice. It helped in mapping professional fields from a domain-specific as well as a generic behavioural perspective. This chapter goes into the roots of the competence movement, and evaluates the contributions of these to the field of professional and practice-based learning. This is further illustrated with examples of different professions in which competence models have been and still are an effective means to map requirements for professional practice and to guide the evaluation and development of professional and practice-based learning programmes. What worked and did not work is then explained by distinguishing three approaches of conceptualizing competence which have been used in different contexts, and which have wide implications for professional and practice-based learning. The chapter concludes with the claim that current competence conceptions help mapping, focusing and assessing professional and practice-based learning.","author":[{"dropping-particle":"","family":"Mulder","given":"Martin","non-dropping-particle":"","parse-names":false,"suffix":""}],"container-title":"International handbook of research in professional and practice-based learning","editor":[{"dropping-particle":"","family":"Billett","given":"Stephen","non-dropping-particle":"","parse-names":false,"suffix":""},{"dropping-particle":"","family":"Harteis","given":"Christian","non-dropping-particle":"","parse-names":false,"suffix":""},{"dropping-particle":"","family":"Gruber","given":"Hans","non-dropping-particle":"","parse-names":false,"suffix":""}],"id":"ITEM-1","issued":{"date-parts":[["2014"]]},"note":"doi:10.1007/978-94-017-8902-8_5","page":"107-137","publisher":"Springer, Dordrecht","title":"Conceptions of professional competence","type":"chapter"},"uris":["http://www.mendeley.com/documents/?uuid=47fe8475-42c6-4f3b-91e1-7736f7a808c9"]}],"mendeley":{"formattedCitation":"[35]","plainTextFormattedCitation":"[35]","previouslyFormattedCitation":"[35]"},"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[35]</w:t>
      </w:r>
      <w:r w:rsidR="00E965F5">
        <w:rPr>
          <w:rFonts w:eastAsia="Calibri"/>
          <w:color w:val="000000" w:themeColor="text1"/>
          <w:sz w:val="20"/>
          <w:szCs w:val="20"/>
        </w:rPr>
        <w:fldChar w:fldCharType="end"/>
      </w:r>
      <w:r w:rsidRPr="00CD3C9A">
        <w:rPr>
          <w:rFonts w:eastAsia="Calibri"/>
          <w:color w:val="000000" w:themeColor="text1"/>
          <w:sz w:val="20"/>
          <w:szCs w:val="20"/>
        </w:rPr>
        <w:t xml:space="preserve"> Assessing </w:t>
      </w:r>
      <w:r w:rsidR="004742F9" w:rsidRPr="00CD3C9A">
        <w:rPr>
          <w:rFonts w:eastAsia="Calibri"/>
          <w:color w:val="000000" w:themeColor="text1"/>
          <w:sz w:val="20"/>
          <w:szCs w:val="20"/>
        </w:rPr>
        <w:t xml:space="preserve">skills </w:t>
      </w:r>
      <w:r w:rsidRPr="00CD3C9A">
        <w:rPr>
          <w:rFonts w:eastAsia="Calibri"/>
          <w:color w:val="000000" w:themeColor="text1"/>
          <w:sz w:val="20"/>
          <w:szCs w:val="20"/>
        </w:rPr>
        <w:t xml:space="preserve">is a way to ensure that individuals possess the knowledge and </w:t>
      </w:r>
      <w:r w:rsidR="004742F9" w:rsidRPr="00CD3C9A">
        <w:rPr>
          <w:rFonts w:eastAsia="Calibri"/>
          <w:color w:val="000000" w:themeColor="text1"/>
          <w:sz w:val="20"/>
          <w:szCs w:val="20"/>
        </w:rPr>
        <w:t xml:space="preserve">clinical </w:t>
      </w:r>
      <w:r w:rsidRPr="00CD3C9A">
        <w:rPr>
          <w:rFonts w:eastAsia="Calibri"/>
          <w:color w:val="000000" w:themeColor="text1"/>
          <w:sz w:val="20"/>
          <w:szCs w:val="20"/>
        </w:rPr>
        <w:t>skills required to enter the profession.</w:t>
      </w:r>
    </w:p>
    <w:p w14:paraId="773F879A" w14:textId="514FA3B1" w:rsidR="00C03656" w:rsidRPr="00CD3C9A" w:rsidRDefault="00BB302A" w:rsidP="00CD3C9A">
      <w:pPr>
        <w:spacing w:line="360" w:lineRule="auto"/>
        <w:rPr>
          <w:rFonts w:eastAsia="Calibri"/>
          <w:b/>
          <w:color w:val="000000" w:themeColor="text1"/>
          <w:sz w:val="20"/>
          <w:szCs w:val="20"/>
        </w:rPr>
      </w:pPr>
      <w:r w:rsidRPr="00CD3C9A">
        <w:rPr>
          <w:rFonts w:eastAsia="Calibri"/>
          <w:color w:val="000000" w:themeColor="text1"/>
          <w:sz w:val="20"/>
          <w:szCs w:val="20"/>
        </w:rPr>
        <w:t xml:space="preserve">There seems to be no single agreed definition of competency. The medical fraternity defines competency as </w:t>
      </w:r>
      <w:r w:rsidR="00291264" w:rsidRPr="00CD3C9A">
        <w:rPr>
          <w:rFonts w:eastAsia="Calibri"/>
          <w:color w:val="000000" w:themeColor="text1"/>
          <w:sz w:val="20"/>
          <w:szCs w:val="20"/>
        </w:rPr>
        <w:t>‘</w:t>
      </w:r>
      <w:r w:rsidRPr="00CD3C9A">
        <w:rPr>
          <w:rFonts w:eastAsia="Calibri"/>
          <w:color w:val="000000" w:themeColor="text1"/>
          <w:sz w:val="20"/>
          <w:szCs w:val="20"/>
        </w:rPr>
        <w:t>an observable ability of a health professional, integrating multiple components such as knowledge, skills, values and attitudes</w:t>
      </w:r>
      <w:r w:rsidR="00291264" w:rsidRPr="00CD3C9A">
        <w:rPr>
          <w:rFonts w:eastAsia="Calibri"/>
          <w:color w:val="000000" w:themeColor="text1"/>
          <w:sz w:val="20"/>
          <w:szCs w:val="20"/>
        </w:rPr>
        <w:t>’</w:t>
      </w:r>
      <w:r w:rsidRPr="00CD3C9A">
        <w:rPr>
          <w:rFonts w:eastAsia="Calibri"/>
          <w:color w:val="000000" w:themeColor="text1"/>
          <w:sz w:val="20"/>
          <w:szCs w:val="20"/>
        </w:rPr>
        <w:t>.</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{"citationItems":[{"id":"ITEM-1","itemData":{"ISSN":"0142-159X","author":[{"dropping-particle":"","family":"Frank","given":"Jason R","non-dropping-particle":"","parse-names":false,"suffix":""},{"dropping-particle":"","family":"Snell","given":"Linda S","non-dropping-particle":"","parse-names":false,"suffix":""},{"dropping-particle":"Ten","family":"Cate","given":"Olle","non-dropping-particle":"","parse-names":false,"suffix":""},{"dropping-particle":"","family":"Holmboe","given":"Eric S","non-dropping-particle":"","parse-names":false,"suffix":""},{"dropping-particle":"","family":"Carraccio","given":"Carol","non-dropping-particle":"","parse-names":false,"suffix":""},{"dropping-particle":"","family":"Swing","given":"Susan R","non-dropping-particle":"","parse-names":false,"suffix":""},{"dropping-particle":"","family":"Harris","given":"Peter","non-dropping-particle":"","parse-names":false,"suffix":""},{"dropping-particle":"","family":"Glasgow","given":"Nicholas J","non-dropping-particle":"","parse-names":false,"suffix":""},{"dropping-particle":"","family":"Campbell","given":"Craig","non-dropping-particle":"","parse-names":false,"suffix":""},{"dropping-particle":"","family":"Dath","given":"Deepak","non-dropping-particle":"","parse-names":false,"suffix":""},{"dropping-particle":"","family":"Harden","given":"Ronald M","non-dropping-particle":"","parse-names":false,"suffix":""},{"dropping-particle":"","family":"Iobst","given":"William","non-dropping-particle":"","parse-names":false,"suffix":""},{"dropping-particle":"","family":"Long","given":"Donlin M","non-dropping-particle":"","parse-names":false,"suffix":""},{"dropping-particle":"","family":"Mungroo","given":"Rani","non-dropping-particle":"","parse-names":false,"suffix":""},{"dropping-particle":"","family":"Richardson","given":"Denyse L","non-dropping-particle":"","parse-names":false,"suffix":""},{"dropping-particle":"","family":"Sherbino","given":"Jonathan","non-dropping-particle":"","parse-names":false,"suffix":""},{"dropping-particle":"","family":"Silver","given":"Ivan","non-dropping-particle":"","parse-names":false,"suffix":""},{"dropping-particle":"","family":"Taber","given":"Sarah","non-dropping-particle":"","parse-names":false,"suffix":""},{"dropping-particle":"","family":"Talbot","given":"Martin","non-dropping-particle":"","parse-names":false,"suffix":""},{"dropping-particle":"","family":"Harris","given":"Kenneth A","non-dropping-particle":"","parse-names":false,"suffix":""}],"container-title":"Medical Teacher","id":"ITEM-1","issue":"8","issued":{"date-parts":[["2010","8","1"]]},"note":"doi: 10.3109/0142159X.2010.501190","page":"638-645","publisher":"Taylor &amp; Francis","title":"Competency-based medical education: theory to practice","type":"article-journal","volume":"32"},"uris":["http://www.mendeley.com/documents/?uuid=c7549c0c-fd59-4d39-9038-1a2d549280eb"]}],"mendeley":{"formattedCitation":"[36]","plainTextFormattedCitation":"[36]","previouslyFormattedCitation":"[36]"},"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[36]</w:t>
      </w:r>
      <w:r w:rsidR="00E965F5">
        <w:rPr>
          <w:rFonts w:eastAsia="Calibri"/>
          <w:color w:val="000000" w:themeColor="text1"/>
          <w:sz w:val="20"/>
          <w:szCs w:val="20"/>
        </w:rPr>
        <w:fldChar w:fldCharType="end"/>
      </w:r>
      <w:r w:rsidRPr="00CD3C9A">
        <w:rPr>
          <w:rFonts w:eastAsia="Calibri"/>
          <w:color w:val="000000" w:themeColor="text1"/>
          <w:sz w:val="20"/>
          <w:szCs w:val="20"/>
        </w:rPr>
        <w:t xml:space="preserve"> The definition that is adopted for drafting entry-level competencies for optometrists in Australia </w:t>
      </w:r>
      <w:r w:rsidR="004742F9" w:rsidRPr="00CD3C9A">
        <w:rPr>
          <w:rFonts w:eastAsia="Calibri"/>
          <w:color w:val="000000" w:themeColor="text1"/>
          <w:sz w:val="20"/>
          <w:szCs w:val="20"/>
        </w:rPr>
        <w:t>is</w:t>
      </w:r>
      <w:r w:rsidRPr="00CD3C9A">
        <w:rPr>
          <w:rFonts w:eastAsia="Calibri"/>
          <w:color w:val="000000" w:themeColor="text1"/>
          <w:sz w:val="20"/>
          <w:szCs w:val="20"/>
        </w:rPr>
        <w:t xml:space="preserve"> </w:t>
      </w:r>
      <w:r w:rsidR="00291264" w:rsidRPr="00CD3C9A">
        <w:rPr>
          <w:rFonts w:eastAsia="Calibri"/>
          <w:color w:val="000000" w:themeColor="text1"/>
          <w:sz w:val="20"/>
          <w:szCs w:val="20"/>
        </w:rPr>
        <w:t>‘</w:t>
      </w:r>
      <w:r w:rsidRPr="00CD3C9A">
        <w:rPr>
          <w:rFonts w:eastAsia="Calibri"/>
          <w:color w:val="000000" w:themeColor="text1"/>
          <w:sz w:val="20"/>
          <w:szCs w:val="20"/>
        </w:rPr>
        <w:t>the ability to perform the activities within an occupation or function to the standard expected in employment</w:t>
      </w:r>
      <w:r w:rsidR="00291264" w:rsidRPr="00CD3C9A">
        <w:rPr>
          <w:rFonts w:eastAsia="Calibri"/>
          <w:color w:val="000000" w:themeColor="text1"/>
          <w:sz w:val="20"/>
          <w:szCs w:val="20"/>
        </w:rPr>
        <w:t>’</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author":[{"dropping-particle":"","family":"Heywood","given":"Lindsay","non-dropping-particle":"","parse-names":false,"suffix":""},{"dropping-particle":"","family":"Gonczi","given":"Andrew","non-dropping-particle":"","parse-names":false,"suffix":""},{"dropping-particle":"","family":"Hager","given":"Paul","non-dropping-particle":"","parse-names":false,"suffix":""}],"id":"ITEM-1","issued":{"date-parts":[["1992"]]},"publisher-place":"Canberra AGPS","title":"A guide to development of competency standards for professions.","type":"report"},"uris":["http://www.mendeley.com/documents/?uuid=63069a96-1083-30fa-899a-ec2a042f30c9"]}],"mendeley":{"formattedCitation":"[37]","plainTextFormattedCitation":"[37]","previouslyFormattedCitation":"[37]"},"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[37]</w:t>
      </w:r>
      <w:r w:rsidR="00E965F5">
        <w:rPr>
          <w:rFonts w:eastAsia="Calibri"/>
          <w:color w:val="000000" w:themeColor="text1"/>
          <w:sz w:val="20"/>
          <w:szCs w:val="20"/>
        </w:rPr>
        <w:fldChar w:fldCharType="end"/>
      </w:r>
      <w:r w:rsidR="00291264" w:rsidRPr="00CD3C9A">
        <w:rPr>
          <w:rFonts w:eastAsia="Calibri"/>
          <w:color w:val="000000" w:themeColor="text1"/>
          <w:sz w:val="20"/>
          <w:szCs w:val="20"/>
        </w:rPr>
        <w:t xml:space="preserve"> </w:t>
      </w:r>
      <w:r w:rsidRPr="00CD3C9A">
        <w:rPr>
          <w:rFonts w:eastAsia="Calibri"/>
          <w:color w:val="000000" w:themeColor="text1"/>
          <w:sz w:val="20"/>
          <w:szCs w:val="20"/>
        </w:rPr>
        <w:t xml:space="preserve">and the examination blueprint for entry-level optometry in Canada defines it as </w:t>
      </w:r>
      <w:r w:rsidR="00291264" w:rsidRPr="00CD3C9A">
        <w:rPr>
          <w:rFonts w:eastAsia="Calibri"/>
          <w:color w:val="000000" w:themeColor="text1"/>
          <w:sz w:val="20"/>
          <w:szCs w:val="20"/>
        </w:rPr>
        <w:t>‘</w:t>
      </w:r>
      <w:r w:rsidRPr="00CD3C9A">
        <w:rPr>
          <w:rFonts w:eastAsia="Calibri"/>
          <w:color w:val="000000" w:themeColor="text1"/>
          <w:sz w:val="20"/>
          <w:szCs w:val="20"/>
        </w:rPr>
        <w:t>the ability to perform a specific workplace task with a prescribed level of proficiency.</w:t>
      </w:r>
      <w:r w:rsidR="00291264" w:rsidRPr="00CD3C9A">
        <w:rPr>
          <w:rFonts w:eastAsia="Calibri"/>
          <w:color w:val="000000" w:themeColor="text1"/>
          <w:sz w:val="20"/>
          <w:szCs w:val="20"/>
        </w:rPr>
        <w:t>’</w:t>
      </w:r>
      <w:r w:rsidR="00E965F5">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{"citationItems":[{"id":"ITEM-1","itemData":{"ISSN":"0045-5075","abstract":"The Optometry Examining Board of Canada (formerly Canadian Examiners in Optometry) is a not-for-profit corporation that administers the entry-to-practice examination for optometrists in Canada in service to its members, the 10 provincial optometry regulators. The described work resulted in an updated entry-level competency profile for optometry, together with an examination blueprint based upon indicators derived from the competencies. The project took place over the period May 2014 – September 2015 and involved the following steps: Establishment of project teams Clarification of conceptual framework Development of proposed competencies Validation of competencies Development of indicators for each competency, consistent with the assessment methodologies used in the entry-to-practice examination Construction of an updated examination blueprint","author":[{"dropping-particle":"","family":"Cane","given":"David","non-dropping-particle":"","parse-names":false,"suffix":""},{"dropping-particle":"","family":"Penny","given":"Margaret","non-dropping-particle":"","parse-names":false,"suffix":""},{"dropping-particle":"","family":"Marini","given":"Anthony","non-dropping-particle":"","parse-names":false,"suffix":""},{"dropping-particle":"","family":"Hynes","given":"Tami","non-dropping-particle":"","parse-names":false,"suffix":""}],"container-title":"Canadian Journal of Optometry","id":"ITEM-1","issue":"2","issued":{"date-parts":[["2018"]]},"note":"doi:10.15353/cjo.80.267","page":"25-34","title":"Updating the competency profile and examination blueprint for entry-Level optometry in Canada","type":"article-journal","volume":"80"},"uris":["http://www.mendeley.com/documents/?uuid=d6e8df33-0d44-495a-8549-80359087ceb6"]}],"mendeley":{"formattedCitation":"[38]","plainTextFormattedCitation":"[38]","previouslyFormattedCitation":"[38]"},"properties":{"noteIndex":0},"schema":"https://github.com/citation-style-language/schema/raw/master/csl-citation.json"}</w:instrText>
      </w:r>
      <w:r w:rsidR="00E965F5">
        <w:rPr>
          <w:rFonts w:eastAsia="Calibri"/>
          <w:color w:val="000000" w:themeColor="text1"/>
          <w:sz w:val="20"/>
          <w:szCs w:val="20"/>
        </w:rPr>
        <w:fldChar w:fldCharType="separate"/>
      </w:r>
      <w:r w:rsidR="00444200" w:rsidRPr="00444200">
        <w:rPr>
          <w:rFonts w:eastAsia="Calibri"/>
          <w:noProof/>
          <w:color w:val="000000" w:themeColor="text1"/>
          <w:sz w:val="20"/>
          <w:szCs w:val="20"/>
        </w:rPr>
        <w:t>[38]</w:t>
      </w:r>
      <w:r w:rsidR="00E965F5">
        <w:rPr>
          <w:rFonts w:eastAsia="Calibri"/>
          <w:color w:val="000000" w:themeColor="text1"/>
          <w:sz w:val="20"/>
          <w:szCs w:val="20"/>
        </w:rPr>
        <w:fldChar w:fldCharType="end"/>
      </w:r>
      <w:r w:rsidRPr="00CD3C9A">
        <w:rPr>
          <w:rFonts w:eastAsia="Calibri"/>
          <w:color w:val="000000" w:themeColor="text1"/>
          <w:sz w:val="20"/>
          <w:szCs w:val="20"/>
        </w:rPr>
        <w:t xml:space="preserve"> Skill competencies are seen as micro-level abilities leading to a full scope competent healthcare practitioner. In this context, knowledge, skills, abilities, and attitudes required for </w:t>
      </w:r>
      <w:r w:rsidR="00291264" w:rsidRPr="00CD3C9A">
        <w:rPr>
          <w:rFonts w:eastAsia="Calibri"/>
          <w:color w:val="000000" w:themeColor="text1"/>
          <w:sz w:val="20"/>
          <w:szCs w:val="20"/>
        </w:rPr>
        <w:t>CL</w:t>
      </w:r>
      <w:r w:rsidRPr="00CD3C9A">
        <w:rPr>
          <w:rFonts w:eastAsia="Calibri"/>
          <w:color w:val="000000" w:themeColor="text1"/>
          <w:sz w:val="20"/>
          <w:szCs w:val="20"/>
        </w:rPr>
        <w:t xml:space="preserve"> practice may be termed </w:t>
      </w:r>
      <w:r w:rsidR="00291264" w:rsidRPr="00CD3C9A">
        <w:rPr>
          <w:rFonts w:eastAsia="Calibri"/>
          <w:color w:val="000000" w:themeColor="text1"/>
          <w:sz w:val="20"/>
          <w:szCs w:val="20"/>
        </w:rPr>
        <w:t>CL</w:t>
      </w:r>
      <w:r w:rsidRPr="00CD3C9A">
        <w:rPr>
          <w:rFonts w:eastAsia="Calibri"/>
          <w:color w:val="000000" w:themeColor="text1"/>
          <w:sz w:val="20"/>
          <w:szCs w:val="20"/>
        </w:rPr>
        <w:t xml:space="preserve"> competencies.</w:t>
      </w:r>
    </w:p>
    <w:p w14:paraId="16DF3AD5" w14:textId="001B77A3" w:rsidR="00C03656" w:rsidRPr="00CD3C9A" w:rsidRDefault="00BB302A" w:rsidP="00CD3C9A">
      <w:pPr>
        <w:spacing w:line="360" w:lineRule="auto"/>
        <w:rPr>
          <w:rFonts w:eastAsia="Calibri"/>
          <w:color w:val="000000" w:themeColor="text1"/>
          <w:sz w:val="20"/>
          <w:szCs w:val="20"/>
        </w:rPr>
      </w:pPr>
      <w:r w:rsidRPr="00CD3C9A">
        <w:rPr>
          <w:rFonts w:eastAsia="Calibri"/>
          <w:color w:val="000000" w:themeColor="text1"/>
          <w:sz w:val="20"/>
          <w:szCs w:val="20"/>
        </w:rPr>
        <w:t>The process of competency is built around four steps: listing competencies, devising training programmes, appropriate assessment methods</w:t>
      </w:r>
      <w:r w:rsidR="00456963" w:rsidRPr="00CD3C9A">
        <w:rPr>
          <w:rFonts w:eastAsia="Calibri"/>
          <w:color w:val="000000" w:themeColor="text1"/>
          <w:sz w:val="20"/>
          <w:szCs w:val="20"/>
        </w:rPr>
        <w:t>,</w:t>
      </w:r>
      <w:r w:rsidRPr="00CD3C9A">
        <w:rPr>
          <w:rFonts w:eastAsia="Calibri"/>
          <w:color w:val="000000" w:themeColor="text1"/>
          <w:sz w:val="20"/>
          <w:szCs w:val="20"/>
        </w:rPr>
        <w:t xml:space="preserve"> and determining pass levels</w:t>
      </w:r>
      <w:r w:rsidR="0064697B">
        <w:rPr>
          <w:rFonts w:eastAsia="Calibri"/>
          <w:color w:val="000000" w:themeColor="text1"/>
          <w:sz w:val="20"/>
          <w:szCs w:val="20"/>
        </w:rPr>
        <w:t>.</w:t>
      </w:r>
      <w:r w:rsidR="0064697B">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{"citationItems":[{"id":"ITEM-1","itemData":{"ISSN":"03080110","PMID":"15189254","abstract":"BACKGROUND: Graduate medical education in the UK is in danger of being subsumed in a minimalist discourse of competency. ARGUMENT: While accepting that competence in a doctor is a sine qua non, the author criticises the construction of a graduate and specialist medical education based solely upon a competency model. Many competency models follow the concepts of either academic competence or operational competence, both of which have lately been subject to criticism. CONCLUSION: The author discusses the need for replacing such criterion-referenced models in favour of a model that engages the higher order competence, performance and understanding which represent professional practice at its best.","author":[{"dropping-particle":"","family":"Talbot","given":"Martin","non-dropping-particle":"","parse-names":false,"suffix":""}],"container-title":"Medical Education","id":"ITEM-1","issue":"6","issued":{"date-parts":[["2004"]]},"note":"doi:10.1046/j.1365-2923.2004.01794.x","page":"587-592","title":"Monkey see, monkey do: A critique of the competency model in graduate medical education","type":"article","volume":"38"},"uris":["http://www.mendeley.com/documents/?uuid=57e45ce6-47d3-4d63-9461-9a29e95e5f2f"]}],"mendeley":{"formattedCitation":"[39]","plainTextFormattedCitation":"[39]","previouslyFormattedCitation":"[39]"},"properties":{"noteIndex":0},"schema":"https://github.com/citation-style-language/schema/raw/master/csl-citation.json"}</w:instrText>
      </w:r>
      <w:r w:rsidR="0064697B">
        <w:rPr>
          <w:rFonts w:eastAsia="Calibri"/>
          <w:color w:val="000000" w:themeColor="text1"/>
          <w:sz w:val="20"/>
          <w:szCs w:val="20"/>
        </w:rPr>
        <w:fldChar w:fldCharType="separate"/>
      </w:r>
      <w:r w:rsidR="00444200" w:rsidRPr="00444200">
        <w:rPr>
          <w:rFonts w:eastAsia="Calibri"/>
          <w:noProof/>
          <w:color w:val="000000" w:themeColor="text1"/>
          <w:sz w:val="20"/>
          <w:szCs w:val="20"/>
        </w:rPr>
        <w:t>[39]</w:t>
      </w:r>
      <w:r w:rsidR="0064697B">
        <w:rPr>
          <w:rFonts w:eastAsia="Calibri"/>
          <w:color w:val="000000" w:themeColor="text1"/>
          <w:sz w:val="20"/>
          <w:szCs w:val="20"/>
        </w:rPr>
        <w:fldChar w:fldCharType="end"/>
      </w:r>
      <w:r w:rsidRPr="00CD3C9A">
        <w:rPr>
          <w:rFonts w:eastAsia="Calibri"/>
          <w:color w:val="000000" w:themeColor="text1"/>
          <w:sz w:val="20"/>
          <w:szCs w:val="20"/>
        </w:rPr>
        <w:t xml:space="preserve"> Listing and devising training programmes are covered</w:t>
      </w:r>
      <w:r w:rsidR="00A40BBB">
        <w:rPr>
          <w:rFonts w:eastAsia="Calibri"/>
          <w:color w:val="000000" w:themeColor="text1"/>
          <w:sz w:val="20"/>
          <w:szCs w:val="20"/>
        </w:rPr>
        <w:t xml:space="preserve"> in the first paper associated with this one</w:t>
      </w:r>
      <w:r w:rsidR="0064697B">
        <w:rPr>
          <w:rFonts w:eastAsia="Calibri"/>
          <w:color w:val="000000" w:themeColor="text1"/>
          <w:sz w:val="20"/>
          <w:szCs w:val="20"/>
        </w:rPr>
        <w:t>.</w:t>
      </w:r>
      <w:r w:rsidR="0064697B">
        <w:rPr>
          <w:rFonts w:eastAsia="Calibri"/>
          <w:color w:val="000000" w:themeColor="text1"/>
          <w:sz w:val="20"/>
          <w:szCs w:val="20"/>
        </w:rPr>
        <w:fldChar w:fldCharType="begin" w:fldLock="1"/>
      </w:r>
      <w:r w:rsidR="0064697B">
        <w:rPr>
          <w:rFonts w:eastAsia="Calibri"/>
          <w:color w:val="000000" w:themeColor="text1"/>
          <w:sz w:val="20"/>
          <w:szCs w:val="20"/>
        </w:rPr>
        <w:instrText>ADDIN CSL_CITATION {"citationItems":[{"id":"ITEM-1","itemData":{"author":[{"dropping-particle":"","family":"Zeri","given":"F","non-dropping-particle":"","parse-names":false,"suffix":""},{"dropping-particle":"","family":"Eperjesi","given":"F","non-dropping-particle":"","parse-names":false,"suffix":""},{"dropping-particle":"","family":"Woods","given":"C","non-dropping-particle":"","parse-names":false,"suffix":""},{"dropping-particle":"","family":"Bandlitz","given":"S","non-dropping-particle":"","parse-names":false,"suffix":""},{"dropping-particle":"","family":"Bhootra","given":"A","non-dropping-particle":"","parse-names":false,"suffix":""},{"dropping-particle":"","family":"Joshi","given":"MR","non-dropping-particle":"","parse-names":false,"suffix":""},{"dropping-particle":"","family":"Nagra","given":"M","non-dropping-particle":"","parse-names":false,"suffix":""},{"dropping-particle":"","family":"Schweizer","given":"H","non-dropping-particle":"","parse-names":false,"suffix":""},{"dropping-particle":"","family":"Naroo","given":"SA","non-dropping-particle":"","parse-names":false,"suffix":""}],"container-title":"Contact lens &amp; anterior eye","id":"ITEM-1","issued":{"date-parts":[["2023"]]},"title":"Evidence-Based teaching in Contact Lenses Education: Teaching and Learning Strategies.","type":"article-journal"},"uris":["http://www.mendeley.com/documents/?uuid=70a1d3a9-7435-463a-a6f5-6f23f82b973c"]}],"mendeley":{"formattedCitation":"[1]","plainTextFormattedCitation":"[1]","previouslyFormattedCitation":"[1]"},"properties":{"noteIndex":0},"schema":"https://github.com/citation-style-language/schema/raw/master/csl-citation.json"}</w:instrText>
      </w:r>
      <w:r w:rsidR="0064697B">
        <w:rPr>
          <w:rFonts w:eastAsia="Calibri"/>
          <w:color w:val="000000" w:themeColor="text1"/>
          <w:sz w:val="20"/>
          <w:szCs w:val="20"/>
        </w:rPr>
        <w:fldChar w:fldCharType="separate"/>
      </w:r>
      <w:r w:rsidR="0064697B" w:rsidRPr="0064697B">
        <w:rPr>
          <w:rFonts w:eastAsia="Calibri"/>
          <w:noProof/>
          <w:color w:val="000000" w:themeColor="text1"/>
          <w:sz w:val="20"/>
          <w:szCs w:val="20"/>
        </w:rPr>
        <w:t>[1]</w:t>
      </w:r>
      <w:r w:rsidR="0064697B">
        <w:rPr>
          <w:rFonts w:eastAsia="Calibri"/>
          <w:color w:val="000000" w:themeColor="text1"/>
          <w:sz w:val="20"/>
          <w:szCs w:val="20"/>
        </w:rPr>
        <w:fldChar w:fldCharType="end"/>
      </w:r>
      <w:r w:rsidRPr="00CD3C9A">
        <w:rPr>
          <w:rFonts w:eastAsia="Calibri"/>
          <w:color w:val="000000" w:themeColor="text1"/>
          <w:sz w:val="20"/>
          <w:szCs w:val="20"/>
        </w:rPr>
        <w:t xml:space="preserve"> This section is devoted to </w:t>
      </w:r>
      <w:r w:rsidR="004742F9" w:rsidRPr="00CD3C9A">
        <w:rPr>
          <w:rFonts w:eastAsia="Calibri"/>
          <w:color w:val="000000" w:themeColor="text1"/>
          <w:sz w:val="20"/>
          <w:szCs w:val="20"/>
        </w:rPr>
        <w:t xml:space="preserve">clinical skills </w:t>
      </w:r>
      <w:r w:rsidRPr="00CD3C9A">
        <w:rPr>
          <w:rFonts w:eastAsia="Calibri"/>
          <w:color w:val="000000" w:themeColor="text1"/>
          <w:sz w:val="20"/>
          <w:szCs w:val="20"/>
        </w:rPr>
        <w:t>assessment methods</w:t>
      </w:r>
      <w:r w:rsidR="006D7113" w:rsidRPr="00CD3C9A">
        <w:rPr>
          <w:rFonts w:eastAsia="Calibri"/>
          <w:color w:val="000000" w:themeColor="text1"/>
          <w:sz w:val="20"/>
          <w:szCs w:val="20"/>
        </w:rPr>
        <w:t>.</w:t>
      </w:r>
      <w:r w:rsidR="004742F9" w:rsidRPr="00CD3C9A">
        <w:rPr>
          <w:rFonts w:eastAsia="Calibri"/>
          <w:color w:val="000000" w:themeColor="text1"/>
          <w:sz w:val="20"/>
          <w:szCs w:val="20"/>
        </w:rPr>
        <w:t xml:space="preserve"> </w:t>
      </w:r>
      <w:r w:rsidRPr="00CD3C9A">
        <w:rPr>
          <w:rFonts w:eastAsia="Calibri"/>
          <w:color w:val="000000" w:themeColor="text1"/>
          <w:sz w:val="20"/>
          <w:szCs w:val="20"/>
        </w:rPr>
        <w:t xml:space="preserve">There is no literature specifically assessing competencies relating to </w:t>
      </w:r>
      <w:r w:rsidR="00291264" w:rsidRPr="00CD3C9A">
        <w:rPr>
          <w:rFonts w:eastAsia="Calibri"/>
          <w:color w:val="000000" w:themeColor="text1"/>
          <w:sz w:val="20"/>
          <w:szCs w:val="20"/>
        </w:rPr>
        <w:t>CLs</w:t>
      </w:r>
      <w:r w:rsidRPr="00CD3C9A">
        <w:rPr>
          <w:rFonts w:eastAsia="Calibri"/>
          <w:color w:val="000000" w:themeColor="text1"/>
          <w:sz w:val="20"/>
          <w:szCs w:val="20"/>
        </w:rPr>
        <w:t>. However, it is worthwhile reviewing assessment strategies used in</w:t>
      </w:r>
      <w:r w:rsidR="004742F9" w:rsidRPr="00CD3C9A">
        <w:rPr>
          <w:rFonts w:eastAsia="Calibri"/>
          <w:color w:val="000000" w:themeColor="text1"/>
          <w:sz w:val="20"/>
          <w:szCs w:val="20"/>
        </w:rPr>
        <w:t xml:space="preserve"> </w:t>
      </w:r>
      <w:r w:rsidRPr="00CD3C9A">
        <w:rPr>
          <w:rFonts w:eastAsia="Calibri"/>
          <w:color w:val="000000" w:themeColor="text1"/>
          <w:sz w:val="20"/>
          <w:szCs w:val="20"/>
        </w:rPr>
        <w:t xml:space="preserve">optometry or healthcare in general, which will provide insights that can be applied in assessing </w:t>
      </w:r>
      <w:r w:rsidR="004742F9" w:rsidRPr="00CD3C9A">
        <w:rPr>
          <w:rFonts w:eastAsia="Calibri"/>
          <w:color w:val="000000" w:themeColor="text1"/>
          <w:sz w:val="20"/>
          <w:szCs w:val="20"/>
        </w:rPr>
        <w:t>CL</w:t>
      </w:r>
      <w:r w:rsidRPr="00CD3C9A">
        <w:rPr>
          <w:rFonts w:eastAsia="Calibri"/>
          <w:color w:val="000000" w:themeColor="text1"/>
          <w:sz w:val="20"/>
          <w:szCs w:val="20"/>
        </w:rPr>
        <w:t xml:space="preserve"> </w:t>
      </w:r>
      <w:r w:rsidR="004742F9" w:rsidRPr="00CD3C9A">
        <w:rPr>
          <w:rFonts w:eastAsia="Calibri"/>
          <w:color w:val="000000" w:themeColor="text1"/>
          <w:sz w:val="20"/>
          <w:szCs w:val="20"/>
        </w:rPr>
        <w:t>skills</w:t>
      </w:r>
      <w:r w:rsidRPr="00CD3C9A">
        <w:rPr>
          <w:rFonts w:eastAsia="Calibri"/>
          <w:color w:val="000000" w:themeColor="text1"/>
          <w:sz w:val="20"/>
          <w:szCs w:val="20"/>
        </w:rPr>
        <w:t>.</w:t>
      </w:r>
    </w:p>
    <w:p w14:paraId="0CE0B5E1" w14:textId="662AE7B1" w:rsidR="00C03656" w:rsidRPr="00CD3C9A" w:rsidRDefault="00BB302A" w:rsidP="00CD3C9A">
      <w:pPr>
        <w:spacing w:line="360" w:lineRule="auto"/>
        <w:rPr>
          <w:rFonts w:eastAsia="Calibri"/>
          <w:color w:val="000000" w:themeColor="text1"/>
          <w:sz w:val="20"/>
          <w:szCs w:val="20"/>
        </w:rPr>
      </w:pPr>
      <w:r w:rsidRPr="00CD3C9A">
        <w:rPr>
          <w:rFonts w:eastAsia="Calibri"/>
          <w:color w:val="000000" w:themeColor="text1"/>
          <w:sz w:val="20"/>
          <w:szCs w:val="20"/>
        </w:rPr>
        <w:t>Miller’s pyramid of competence is often</w:t>
      </w:r>
      <w:r w:rsidR="006D7113" w:rsidRPr="00CD3C9A">
        <w:rPr>
          <w:rFonts w:eastAsia="Calibri"/>
          <w:color w:val="000000" w:themeColor="text1"/>
          <w:sz w:val="20"/>
          <w:szCs w:val="20"/>
        </w:rPr>
        <w:t xml:space="preserve"> considered as the benchmark</w:t>
      </w:r>
      <w:r w:rsidRPr="00CD3C9A">
        <w:rPr>
          <w:rFonts w:eastAsia="Calibri"/>
          <w:color w:val="000000" w:themeColor="text1"/>
          <w:sz w:val="20"/>
          <w:szCs w:val="20"/>
        </w:rPr>
        <w:t xml:space="preserve"> model when devising meaningful assessment strategies in health professions (Figure 1)</w:t>
      </w:r>
      <w:r w:rsidR="0064697B">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{"citationItems":[{"id":"ITEM-1","itemData":{"ISSN":"1040-2446","author":[{"dropping-particle":"","family":"Miller","given":"G E","non-dropping-particle":"","parse-names":false,"suffix":""}],"container-title":"Academic Medicine","id":"ITEM-1","issue":"9","issued":{"date-parts":[["1990","9"]]},"note":"doi: 10.1097/00001888-199009000-00045","page":"S63-7","title":"The assessment of clinical skills/competence/performance","type":"article-journal","volume":"65"},"uris":["http://www.mendeley.com/documents/?uuid=8c37363c-85f4-39a0-a26f-e8ac913a9ab9"]}],"mendeley":{"formattedCitation":"[40]","plainTextFormattedCitation":"[40]","previouslyFormattedCitation":"[40]"},"properties":{"noteIndex":0},"schema":"https://github.com/citation-style-language/schema/raw/master/csl-citation.json"}</w:instrText>
      </w:r>
      <w:r w:rsidR="0064697B">
        <w:rPr>
          <w:rFonts w:eastAsia="Calibri"/>
          <w:color w:val="000000" w:themeColor="text1"/>
          <w:sz w:val="20"/>
          <w:szCs w:val="20"/>
        </w:rPr>
        <w:fldChar w:fldCharType="separate"/>
      </w:r>
      <w:r w:rsidR="00444200" w:rsidRPr="00444200">
        <w:rPr>
          <w:rFonts w:eastAsia="Calibri"/>
          <w:noProof/>
          <w:color w:val="000000" w:themeColor="text1"/>
          <w:sz w:val="20"/>
          <w:szCs w:val="20"/>
        </w:rPr>
        <w:t>[40]</w:t>
      </w:r>
      <w:r w:rsidR="0064697B">
        <w:rPr>
          <w:rFonts w:eastAsia="Calibri"/>
          <w:color w:val="000000" w:themeColor="text1"/>
          <w:sz w:val="20"/>
          <w:szCs w:val="20"/>
        </w:rPr>
        <w:fldChar w:fldCharType="end"/>
      </w:r>
      <w:r w:rsidRPr="00CD3C9A">
        <w:rPr>
          <w:rFonts w:eastAsia="Calibri"/>
          <w:color w:val="000000" w:themeColor="text1"/>
          <w:sz w:val="20"/>
          <w:szCs w:val="20"/>
        </w:rPr>
        <w:t xml:space="preserve"> The assessment model presents four levels in a pyramid, with the accumulation of </w:t>
      </w:r>
      <w:r w:rsidRPr="00CD3C9A">
        <w:rPr>
          <w:rFonts w:eastAsia="Calibri"/>
          <w:i/>
          <w:color w:val="000000" w:themeColor="text1"/>
          <w:sz w:val="20"/>
          <w:szCs w:val="20"/>
        </w:rPr>
        <w:t>knowledge</w:t>
      </w:r>
      <w:r w:rsidRPr="00CD3C9A">
        <w:rPr>
          <w:rFonts w:eastAsia="Calibri"/>
          <w:color w:val="000000" w:themeColor="text1"/>
          <w:sz w:val="20"/>
          <w:szCs w:val="20"/>
        </w:rPr>
        <w:t xml:space="preserve"> (‘knows’) at the base of the pyramid and progresses to the </w:t>
      </w:r>
      <w:r w:rsidRPr="00CD3C9A">
        <w:rPr>
          <w:rFonts w:eastAsia="Calibri"/>
          <w:i/>
          <w:color w:val="000000" w:themeColor="text1"/>
          <w:sz w:val="20"/>
          <w:szCs w:val="20"/>
        </w:rPr>
        <w:t>action</w:t>
      </w:r>
      <w:r w:rsidRPr="00CD3C9A">
        <w:rPr>
          <w:rFonts w:eastAsia="Calibri"/>
          <w:color w:val="000000" w:themeColor="text1"/>
          <w:sz w:val="20"/>
          <w:szCs w:val="20"/>
        </w:rPr>
        <w:t xml:space="preserve"> level (‘does’) at the apex, with the other two components including application of knowledge, </w:t>
      </w:r>
      <w:r w:rsidRPr="00CD3C9A">
        <w:rPr>
          <w:rFonts w:eastAsia="Calibri"/>
          <w:i/>
          <w:color w:val="000000" w:themeColor="text1"/>
          <w:sz w:val="20"/>
          <w:szCs w:val="20"/>
        </w:rPr>
        <w:t>competence</w:t>
      </w:r>
      <w:r w:rsidRPr="00CD3C9A">
        <w:rPr>
          <w:rFonts w:eastAsia="Calibri"/>
          <w:color w:val="000000" w:themeColor="text1"/>
          <w:sz w:val="20"/>
          <w:szCs w:val="20"/>
        </w:rPr>
        <w:t xml:space="preserve"> (knows how) and </w:t>
      </w:r>
      <w:r w:rsidRPr="00CD3C9A">
        <w:rPr>
          <w:rFonts w:eastAsia="Calibri"/>
          <w:i/>
          <w:color w:val="000000" w:themeColor="text1"/>
          <w:sz w:val="20"/>
          <w:szCs w:val="20"/>
        </w:rPr>
        <w:t xml:space="preserve">performance </w:t>
      </w:r>
      <w:r w:rsidRPr="00CD3C9A">
        <w:rPr>
          <w:rFonts w:eastAsia="Calibri"/>
          <w:color w:val="000000" w:themeColor="text1"/>
          <w:sz w:val="20"/>
          <w:szCs w:val="20"/>
        </w:rPr>
        <w:t>(shows how) placed in-between. The bottom two levels test knowledge and the top two levels evaluate performance to establish competency. Assessments relating to the bottom two levels (</w:t>
      </w:r>
      <w:r w:rsidRPr="00CD3C9A">
        <w:rPr>
          <w:rFonts w:eastAsia="Calibri"/>
          <w:i/>
          <w:color w:val="000000" w:themeColor="text1"/>
          <w:sz w:val="20"/>
          <w:szCs w:val="20"/>
        </w:rPr>
        <w:t>knowledge</w:t>
      </w:r>
      <w:r w:rsidRPr="00CD3C9A">
        <w:rPr>
          <w:rFonts w:eastAsia="Calibri"/>
          <w:color w:val="000000" w:themeColor="text1"/>
          <w:sz w:val="20"/>
          <w:szCs w:val="20"/>
        </w:rPr>
        <w:t xml:space="preserve"> and </w:t>
      </w:r>
      <w:r w:rsidRPr="00CD3C9A">
        <w:rPr>
          <w:rFonts w:eastAsia="Calibri"/>
          <w:i/>
          <w:color w:val="000000" w:themeColor="text1"/>
          <w:sz w:val="20"/>
          <w:szCs w:val="20"/>
        </w:rPr>
        <w:t>competence</w:t>
      </w:r>
      <w:r w:rsidRPr="00CD3C9A">
        <w:rPr>
          <w:rFonts w:eastAsia="Calibri"/>
          <w:color w:val="000000" w:themeColor="text1"/>
          <w:sz w:val="20"/>
          <w:szCs w:val="20"/>
        </w:rPr>
        <w:t xml:space="preserve">) </w:t>
      </w:r>
      <w:r w:rsidRPr="00CD3C9A">
        <w:rPr>
          <w:rFonts w:eastAsia="Calibri"/>
          <w:color w:val="000000" w:themeColor="text1"/>
          <w:sz w:val="20"/>
          <w:szCs w:val="20"/>
        </w:rPr>
        <w:lastRenderedPageBreak/>
        <w:t xml:space="preserve">are more applicable in the early stages of </w:t>
      </w:r>
      <w:r w:rsidR="00291264" w:rsidRPr="00CD3C9A">
        <w:rPr>
          <w:rFonts w:eastAsia="Calibri"/>
          <w:color w:val="000000" w:themeColor="text1"/>
          <w:sz w:val="20"/>
          <w:szCs w:val="20"/>
        </w:rPr>
        <w:t xml:space="preserve">a </w:t>
      </w:r>
      <w:r w:rsidRPr="00CD3C9A">
        <w:rPr>
          <w:rFonts w:eastAsia="Calibri"/>
          <w:color w:val="000000" w:themeColor="text1"/>
          <w:sz w:val="20"/>
          <w:szCs w:val="20"/>
        </w:rPr>
        <w:t>program as it involves knowledge recall and the top levels demonstration of performance</w:t>
      </w:r>
      <w:r w:rsidR="0064697B">
        <w:rPr>
          <w:rFonts w:eastAsia="Calibri"/>
          <w:color w:val="000000" w:themeColor="text1"/>
          <w:sz w:val="20"/>
          <w:szCs w:val="20"/>
        </w:rPr>
        <w:t>.</w:t>
      </w:r>
      <w:r w:rsidR="0064697B">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{"citationItems":[{"id":"ITEM-1","itemData":{"ISSN":"0140-6736","PMID":"11289364","abstract":"Tests of clinical competence, which allow decisions to be made about medical qualification and fitness to practise, must be designed with respect to key issues including blueprinting, validity, reliability, and standard setting, as well as clarity about their formative or summative function. Multiple choice questions, essays, and oral examinations could be used to test factual recall and applied knowledge, but more sophisticated methods are needed to assess clincial performance, including directly observed long and short cases, objective structured clinical examinations, and the use of standardised patients. The goal of assessment in medical education remains the development of reliable measurements of student performance which, as well as having predictive value for subsequent clinical competence, also have a formative, educational role.","author":[{"dropping-particle":"","family":"Wass","given":"Val","non-dropping-particle":"","parse-names":false,"suffix":""},{"dropping-particle":"","family":"Vleuten","given":"Cees","non-dropping-particle":"Van der","parse-names":false,"suffix":""},{"dropping-particle":"","family":"Shatzer","given":"John","non-dropping-particle":"","parse-names":false,"suffix":""},{"dropping-particle":"","family":"Jones","given":"Roger","non-dropping-particle":"","parse-names":false,"suffix":""}],"container-title":"Lancet","id":"ITEM-1","issue":"9260","issued":{"date-parts":[["2001","3","24"]]},"note":"doi:10.1016/S0140-6736(00)04221-5","page":"945-949","publisher":"Lancet","title":"Assessment of clinical competence","type":"article-journal","volume":"357"},"uris":["http://www.mendeley.com/documents/?uuid=64089943-6856-45bf-a8f0-271e0eaf7241"]}],"mendeley":{"formattedCitation":"[41]","plainTextFormattedCitation":"[41]","previouslyFormattedCitation":"[41]"},"properties":{"noteIndex":0},"schema":"https://github.com/citation-style-language/schema/raw/master/csl-citation.json"}</w:instrText>
      </w:r>
      <w:r w:rsidR="0064697B">
        <w:rPr>
          <w:rFonts w:eastAsia="Calibri"/>
          <w:color w:val="000000" w:themeColor="text1"/>
          <w:sz w:val="20"/>
          <w:szCs w:val="20"/>
        </w:rPr>
        <w:fldChar w:fldCharType="separate"/>
      </w:r>
      <w:r w:rsidR="00444200" w:rsidRPr="00444200">
        <w:rPr>
          <w:rFonts w:eastAsia="Calibri"/>
          <w:noProof/>
          <w:color w:val="000000" w:themeColor="text1"/>
          <w:sz w:val="20"/>
          <w:szCs w:val="20"/>
        </w:rPr>
        <w:t>[41]</w:t>
      </w:r>
      <w:r w:rsidR="0064697B">
        <w:rPr>
          <w:rFonts w:eastAsia="Calibri"/>
          <w:color w:val="000000" w:themeColor="text1"/>
          <w:sz w:val="20"/>
          <w:szCs w:val="20"/>
        </w:rPr>
        <w:fldChar w:fldCharType="end"/>
      </w:r>
      <w:r w:rsidRPr="00CD3C9A">
        <w:rPr>
          <w:rFonts w:eastAsia="Calibri"/>
          <w:color w:val="000000" w:themeColor="text1"/>
          <w:sz w:val="20"/>
          <w:szCs w:val="20"/>
        </w:rPr>
        <w:t xml:space="preserve"> However, </w:t>
      </w:r>
      <w:r w:rsidR="00291264" w:rsidRPr="00CD3C9A">
        <w:rPr>
          <w:rFonts w:eastAsia="Calibri"/>
          <w:color w:val="000000" w:themeColor="text1"/>
          <w:sz w:val="20"/>
          <w:szCs w:val="20"/>
        </w:rPr>
        <w:t>CLs</w:t>
      </w:r>
      <w:r w:rsidRPr="00CD3C9A">
        <w:rPr>
          <w:rFonts w:eastAsia="Calibri"/>
          <w:color w:val="000000" w:themeColor="text1"/>
          <w:sz w:val="20"/>
          <w:szCs w:val="20"/>
        </w:rPr>
        <w:t xml:space="preserve"> are </w:t>
      </w:r>
      <w:r w:rsidR="00291264" w:rsidRPr="00CD3C9A">
        <w:rPr>
          <w:rFonts w:eastAsia="Calibri"/>
          <w:color w:val="000000" w:themeColor="text1"/>
          <w:sz w:val="20"/>
          <w:szCs w:val="20"/>
        </w:rPr>
        <w:t xml:space="preserve">sometimes </w:t>
      </w:r>
      <w:r w:rsidRPr="00CD3C9A">
        <w:rPr>
          <w:rFonts w:eastAsia="Calibri"/>
          <w:color w:val="000000" w:themeColor="text1"/>
          <w:sz w:val="20"/>
          <w:szCs w:val="20"/>
        </w:rPr>
        <w:t xml:space="preserve">taught in the later stages of the optometry degree and therefore performance (‘shows how’ or ‘does’) oriented assessments are more applicable. It must be noted that no single assessment method is adequate to test all levels of the pyramid of competence. Therefore, more than one test may be required to evaluate competencies. </w:t>
      </w:r>
      <w:r w:rsidR="0064697B">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{"citationItems":[{"id":"ITEM-1","itemData":{"ISSN":"0140-6736","PMID":"11289364","abstract":"Tests of clinical competence, which allow decisions to be made about medical qualification and fitness to practise, must be designed with respect to key issues including blueprinting, validity, reliability, and standard setting, as well as clarity about their formative or summative function. Multiple choice questions, essays, and oral examinations could be used to test factual recall and applied knowledge, but more sophisticated methods are needed to assess clincial performance, including directly observed long and short cases, objective structured clinical examinations, and the use of standardised patients. The goal of assessment in medical education remains the development of reliable measurements of student performance which, as well as having predictive value for subsequent clinical competence, also have a formative, educational role.","author":[{"dropping-particle":"","family":"Wass","given":"Val","non-dropping-particle":"","parse-names":false,"suffix":""},{"dropping-particle":"","family":"Vleuten","given":"Cees","non-dropping-particle":"Van der","parse-names":false,"suffix":""},{"dropping-particle":"","family":"Shatzer","given":"John","non-dropping-particle":"","parse-names":false,"suffix":""},{"dropping-particle":"","family":"Jones","given":"Roger","non-dropping-particle":"","parse-names":false,"suffix":""}],"container-title":"Lancet","id":"ITEM-1","issue":"9260","issued":{"date-parts":[["2001","3","24"]]},"note":"doi:10.1016/S0140-6736(00)04221-5","page":"945-949","publisher":"Lancet","title":"Assessment of clinical competence","type":"article-journal","volume":"357"},"uris":["http://www.mendeley.com/documents/?uuid=64089943-6856-45bf-a8f0-271e0eaf7241"]}],"mendeley":{"formattedCitation":"[41]","plainTextFormattedCitation":"[41]","previouslyFormattedCitation":"[41]"},"properties":{"noteIndex":0},"schema":"https://github.com/citation-style-language/schema/raw/master/csl-citation.json"}</w:instrText>
      </w:r>
      <w:r w:rsidR="0064697B">
        <w:rPr>
          <w:rFonts w:eastAsia="Calibri"/>
          <w:color w:val="000000" w:themeColor="text1"/>
          <w:sz w:val="20"/>
          <w:szCs w:val="20"/>
        </w:rPr>
        <w:fldChar w:fldCharType="separate"/>
      </w:r>
      <w:r w:rsidR="00444200" w:rsidRPr="00444200">
        <w:rPr>
          <w:rFonts w:eastAsia="Calibri"/>
          <w:noProof/>
          <w:color w:val="000000" w:themeColor="text1"/>
          <w:sz w:val="20"/>
          <w:szCs w:val="20"/>
        </w:rPr>
        <w:t>[41]</w:t>
      </w:r>
      <w:r w:rsidR="0064697B">
        <w:rPr>
          <w:rFonts w:eastAsia="Calibri"/>
          <w:color w:val="000000" w:themeColor="text1"/>
          <w:sz w:val="20"/>
          <w:szCs w:val="20"/>
        </w:rPr>
        <w:fldChar w:fldCharType="end"/>
      </w:r>
    </w:p>
    <w:p w14:paraId="23AE2A91" w14:textId="0C860C0D" w:rsidR="00C03656" w:rsidRPr="00CD3C9A" w:rsidRDefault="00456963" w:rsidP="00CD3C9A">
      <w:pPr>
        <w:spacing w:line="360" w:lineRule="auto"/>
        <w:rPr>
          <w:rFonts w:eastAsia="Calibri"/>
          <w:color w:val="000000" w:themeColor="text1"/>
          <w:sz w:val="20"/>
          <w:szCs w:val="20"/>
        </w:rPr>
      </w:pPr>
      <w:r w:rsidRPr="00CD3C9A">
        <w:rPr>
          <w:noProof/>
          <w:color w:val="000000" w:themeColor="text1"/>
          <w:sz w:val="20"/>
          <w:szCs w:val="20"/>
        </w:rPr>
        <w:drawing>
          <wp:anchor distT="0" distB="0" distL="114300" distR="114300" simplePos="0" relativeHeight="251658240" behindDoc="0" locked="0" layoutInCell="1" hidden="0" allowOverlap="1" wp14:anchorId="4398CED0" wp14:editId="2181B554">
            <wp:simplePos x="0" y="0"/>
            <wp:positionH relativeFrom="column">
              <wp:posOffset>1516186</wp:posOffset>
            </wp:positionH>
            <wp:positionV relativeFrom="paragraph">
              <wp:posOffset>425</wp:posOffset>
            </wp:positionV>
            <wp:extent cx="2001520" cy="210058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01520" cy="2100580"/>
                    </a:xfrm>
                    <a:prstGeom prst="rect">
                      <a:avLst/>
                    </a:prstGeom>
                    <a:ln/>
                  </pic:spPr>
                </pic:pic>
              </a:graphicData>
            </a:graphic>
          </wp:anchor>
        </w:drawing>
      </w:r>
    </w:p>
    <w:p w14:paraId="337C64DC" w14:textId="73361E8D" w:rsidR="00456963" w:rsidRPr="00CD3C9A" w:rsidRDefault="00456963" w:rsidP="00CD3C9A">
      <w:pPr>
        <w:spacing w:line="360" w:lineRule="auto"/>
        <w:rPr>
          <w:rFonts w:eastAsia="Calibri"/>
          <w:color w:val="000000" w:themeColor="text1"/>
          <w:sz w:val="20"/>
          <w:szCs w:val="20"/>
        </w:rPr>
      </w:pPr>
    </w:p>
    <w:p w14:paraId="2E1AB7D0" w14:textId="3E651A4F" w:rsidR="00456963" w:rsidRPr="00CD3C9A" w:rsidRDefault="00456963" w:rsidP="00CD3C9A">
      <w:pPr>
        <w:spacing w:line="360" w:lineRule="auto"/>
        <w:rPr>
          <w:rFonts w:eastAsia="Calibri"/>
          <w:color w:val="000000" w:themeColor="text1"/>
          <w:sz w:val="20"/>
          <w:szCs w:val="20"/>
        </w:rPr>
      </w:pPr>
    </w:p>
    <w:p w14:paraId="73C810CF" w14:textId="2F1FAFBD" w:rsidR="00456963" w:rsidRPr="00CD3C9A" w:rsidRDefault="00456963" w:rsidP="00CD3C9A">
      <w:pPr>
        <w:spacing w:line="360" w:lineRule="auto"/>
        <w:rPr>
          <w:rFonts w:eastAsia="Calibri"/>
          <w:color w:val="000000" w:themeColor="text1"/>
          <w:sz w:val="20"/>
          <w:szCs w:val="20"/>
        </w:rPr>
      </w:pPr>
    </w:p>
    <w:p w14:paraId="0C979ACB" w14:textId="7A9516BF" w:rsidR="00456963" w:rsidRPr="00CD3C9A" w:rsidRDefault="00456963" w:rsidP="00CD3C9A">
      <w:pPr>
        <w:spacing w:line="360" w:lineRule="auto"/>
        <w:rPr>
          <w:rFonts w:eastAsia="Calibri"/>
          <w:color w:val="000000" w:themeColor="text1"/>
          <w:sz w:val="20"/>
          <w:szCs w:val="20"/>
        </w:rPr>
      </w:pPr>
    </w:p>
    <w:p w14:paraId="18FC07E3" w14:textId="4B4CC12D" w:rsidR="00456963" w:rsidRPr="00CD3C9A" w:rsidRDefault="00456963" w:rsidP="00CD3C9A">
      <w:pPr>
        <w:spacing w:line="360" w:lineRule="auto"/>
        <w:rPr>
          <w:rFonts w:eastAsia="Calibri"/>
          <w:color w:val="000000" w:themeColor="text1"/>
          <w:sz w:val="20"/>
          <w:szCs w:val="20"/>
        </w:rPr>
      </w:pPr>
    </w:p>
    <w:p w14:paraId="53543E3B" w14:textId="403D83A5" w:rsidR="00456963" w:rsidRPr="00CD3C9A" w:rsidRDefault="00456963" w:rsidP="00CD3C9A">
      <w:pPr>
        <w:spacing w:line="360" w:lineRule="auto"/>
        <w:rPr>
          <w:rFonts w:eastAsia="Calibri"/>
          <w:color w:val="000000" w:themeColor="text1"/>
          <w:sz w:val="20"/>
          <w:szCs w:val="20"/>
        </w:rPr>
      </w:pPr>
    </w:p>
    <w:p w14:paraId="11958081" w14:textId="77777777" w:rsidR="0064697B" w:rsidRDefault="0064697B" w:rsidP="00CD3C9A">
      <w:pPr>
        <w:spacing w:line="360" w:lineRule="auto"/>
        <w:rPr>
          <w:rFonts w:eastAsia="Calibri"/>
          <w:color w:val="000000" w:themeColor="text1"/>
          <w:sz w:val="20"/>
          <w:szCs w:val="20"/>
        </w:rPr>
      </w:pPr>
    </w:p>
    <w:p w14:paraId="2FD664E6" w14:textId="77777777" w:rsidR="0064697B" w:rsidRDefault="0064697B" w:rsidP="00CD3C9A">
      <w:pPr>
        <w:spacing w:line="360" w:lineRule="auto"/>
        <w:rPr>
          <w:rFonts w:eastAsia="Calibri"/>
          <w:color w:val="000000" w:themeColor="text1"/>
          <w:sz w:val="20"/>
          <w:szCs w:val="20"/>
        </w:rPr>
      </w:pPr>
    </w:p>
    <w:p w14:paraId="38C4C6F5" w14:textId="4C41F9AB" w:rsidR="0064697B" w:rsidRDefault="0064697B" w:rsidP="00CD3C9A">
      <w:pPr>
        <w:spacing w:line="360" w:lineRule="auto"/>
        <w:rPr>
          <w:rFonts w:eastAsia="Calibri"/>
          <w:color w:val="000000" w:themeColor="text1"/>
          <w:sz w:val="20"/>
          <w:szCs w:val="20"/>
        </w:rPr>
      </w:pPr>
    </w:p>
    <w:p w14:paraId="1A13F16F" w14:textId="566C98E9" w:rsidR="0064697B" w:rsidRDefault="0064697B" w:rsidP="0064697B">
      <w:pPr>
        <w:spacing w:line="360" w:lineRule="auto"/>
        <w:jc w:val="center"/>
        <w:rPr>
          <w:rFonts w:eastAsia="Calibri"/>
          <w:color w:val="000000" w:themeColor="text1"/>
          <w:sz w:val="20"/>
          <w:szCs w:val="20"/>
        </w:rPr>
      </w:pPr>
      <w:r>
        <w:rPr>
          <w:rFonts w:eastAsia="Calibri"/>
          <w:color w:val="000000" w:themeColor="text1"/>
          <w:sz w:val="20"/>
          <w:szCs w:val="20"/>
        </w:rPr>
        <w:t xml:space="preserve">Figure </w:t>
      </w:r>
      <w:r w:rsidR="0042121B">
        <w:rPr>
          <w:rFonts w:eastAsia="Calibri"/>
          <w:color w:val="000000" w:themeColor="text1"/>
          <w:sz w:val="20"/>
          <w:szCs w:val="20"/>
        </w:rPr>
        <w:t>1</w:t>
      </w:r>
      <w:r>
        <w:rPr>
          <w:rFonts w:eastAsia="Calibri"/>
          <w:color w:val="000000" w:themeColor="text1"/>
          <w:sz w:val="20"/>
          <w:szCs w:val="20"/>
        </w:rPr>
        <w:t>: Miller’s Pyramid of competence.</w:t>
      </w:r>
      <w:r>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{"citationItems":[{"id":"ITEM-1","itemData":{"ISSN":"1040-2446","author":[{"dropping-particle":"","family":"Miller","given":"G E","non-dropping-particle":"","parse-names":false,"suffix":""}],"container-title":"Academic Medicine","id":"ITEM-1","issue":"9","issued":{"date-parts":[["1990","9"]]},"note":"doi: 10.1097/00001888-199009000-00045","page":"S63-7","title":"The assessment of clinical skills/competence/performance","type":"article-journal","volume":"65"},"uris":["http://www.mendeley.com/documents/?uuid=8c37363c-85f4-39a0-a26f-e8ac913a9ab9"]}],"mendeley":{"formattedCitation":"[40]","plainTextFormattedCitation":"[40]","previouslyFormattedCitation":"[40]"},"properties":{"noteIndex":0},"schema":"https://github.com/citation-style-language/schema/raw/master/csl-citation.json"}</w:instrText>
      </w:r>
      <w:r>
        <w:rPr>
          <w:rFonts w:eastAsia="Calibri"/>
          <w:color w:val="000000" w:themeColor="text1"/>
          <w:sz w:val="20"/>
          <w:szCs w:val="20"/>
        </w:rPr>
        <w:fldChar w:fldCharType="separate"/>
      </w:r>
      <w:r w:rsidR="00444200" w:rsidRPr="00444200">
        <w:rPr>
          <w:rFonts w:eastAsia="Calibri"/>
          <w:noProof/>
          <w:color w:val="000000" w:themeColor="text1"/>
          <w:sz w:val="20"/>
          <w:szCs w:val="20"/>
        </w:rPr>
        <w:t>[40]</w:t>
      </w:r>
      <w:r>
        <w:rPr>
          <w:rFonts w:eastAsia="Calibri"/>
          <w:color w:val="000000" w:themeColor="text1"/>
          <w:sz w:val="20"/>
          <w:szCs w:val="20"/>
        </w:rPr>
        <w:fldChar w:fldCharType="end"/>
      </w:r>
    </w:p>
    <w:p w14:paraId="0A57738C" w14:textId="2BE5FB3C" w:rsidR="00456963" w:rsidRPr="00CD3C9A" w:rsidRDefault="00456963" w:rsidP="00CD3C9A">
      <w:pPr>
        <w:spacing w:line="360" w:lineRule="auto"/>
        <w:rPr>
          <w:rFonts w:eastAsia="Calibri"/>
          <w:color w:val="000000" w:themeColor="text1"/>
          <w:sz w:val="20"/>
          <w:szCs w:val="20"/>
        </w:rPr>
      </w:pPr>
    </w:p>
    <w:p w14:paraId="1F45CEA2" w14:textId="026EA3EB" w:rsidR="00456963" w:rsidRPr="00CD3C9A" w:rsidRDefault="00456963" w:rsidP="00CD3C9A">
      <w:pPr>
        <w:pStyle w:val="Heading3"/>
        <w:spacing w:before="0" w:after="0" w:line="360" w:lineRule="auto"/>
        <w:rPr>
          <w:color w:val="000000" w:themeColor="text1"/>
          <w:sz w:val="20"/>
          <w:szCs w:val="20"/>
        </w:rPr>
      </w:pPr>
    </w:p>
    <w:p w14:paraId="7759FABF" w14:textId="77777777" w:rsidR="00291264" w:rsidRPr="00CD3C9A" w:rsidRDefault="00291264" w:rsidP="00CD3C9A">
      <w:pPr>
        <w:spacing w:line="360" w:lineRule="auto"/>
        <w:rPr>
          <w:color w:val="000000" w:themeColor="text1"/>
          <w:sz w:val="20"/>
          <w:szCs w:val="20"/>
        </w:rPr>
      </w:pPr>
    </w:p>
    <w:p w14:paraId="148EAF43" w14:textId="6FAA1301" w:rsidR="009E706B" w:rsidRPr="00CD3C9A" w:rsidRDefault="009E706B" w:rsidP="00E55AE6">
      <w:pPr>
        <w:tabs>
          <w:tab w:val="left" w:pos="2694"/>
        </w:tabs>
        <w:spacing w:line="360" w:lineRule="auto"/>
        <w:rPr>
          <w:color w:val="000000" w:themeColor="text1"/>
          <w:sz w:val="20"/>
          <w:szCs w:val="20"/>
          <w:lang w:val="en-US"/>
        </w:rPr>
      </w:pPr>
      <w:r w:rsidRPr="00CD3C9A">
        <w:rPr>
          <w:color w:val="000000" w:themeColor="text1"/>
          <w:sz w:val="20"/>
          <w:szCs w:val="20"/>
        </w:rPr>
        <w:t xml:space="preserve">Based on Miller’s model, various types of assessment have been suggested to assess different levels of learners’ clinical competence and </w:t>
      </w:r>
      <w:r w:rsidRPr="00CD3C9A">
        <w:rPr>
          <w:rFonts w:eastAsia="Times New Roman"/>
          <w:color w:val="000000" w:themeColor="text1"/>
          <w:sz w:val="20"/>
          <w:szCs w:val="20"/>
          <w:lang w:val="en-US"/>
        </w:rPr>
        <w:t>to improve applied teaching strategies.</w:t>
      </w:r>
      <w:r w:rsidR="002E029C">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{"citationItems":[{"id":"ITEM-1","itemData":{"DOI":"10.1111/j.1365-2929.2004.01916.x","ISSN":"03080110","PMID":"15327679","abstract":"INTRODUCTION: Written assessment techniques can be subdivided according to their stimulus format - what the questions asks - and their response format - how the answer is recorded. The former is more important in determining the type of competence being asked for than the latter. It is nevertheless important to consider both when selecting the most appropriate types. Some major elements to consider when making such a selection are cueing effect, reliability, validity, educational impact and resource-intensiveness. RESPONSE FORMATS: Open-ended questions should be used solely to test aspects that cannot be tested with multiple-choice questions. In all other cases the loss of reliability and the higher resource-intensiveness represent a significant downside. In such cases, multiple-choice questions are not less valid than open-ended questions. STIMULUS FORMAT: When making this distinction, it is important to consider whether the question is embedded within a relevant case or context and cannot be answered without the case, or not. This appears to be more or less essential according to what is being tested by the question. Context-rich questions test other cognitive skills than do context-free questions. If knowledge alone is the purpose of the test, context-free questions may be useful, but if it is the application of knowledge or knowledge as a part of problem solving that is being tested, then context is indispensable. CONCLUSION: Every format has its (dis)advantages and a combination of formats based on rational selection is more useful than trying to find or develop a panacea. The response format is less important in this respect than the stimulus.","author":[{"dropping-particle":"","family":"Schuwirth","given":"Lambert W.T.","non-dropping-particle":"","parse-names":false,"suffix":""},{"dropping-particle":"","family":"Vleuten","given":"Cees P.M.","non-dropping-particle":"Van Der","parse-names":false,"suffix":""}],"container-title":"Medical Education","id":"ITEM-1","issue":"9","issued":{"date-parts":[["2004"]]},"page":"974-979","title":"Different written assessment methods: What can be said about their strengths and weakness?","type":"article-journal","volume":"38"},"uris":["http://www.mendeley.com/documents/?uuid=7cb6283d-d64f-3359-8229-9d2b78f15cea"]}],"mendeley":{"formattedCitation":"[42]","plainTextFormattedCitation":"[42]","previouslyFormattedCitation":"[42]"},"properties":{"noteIndex":0},"schema":"https://github.com/citation-style-language/schema/raw/master/csl-citation.json"}</w:instrText>
      </w:r>
      <w:r w:rsidR="002E029C">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[42]</w:t>
      </w:r>
      <w:r w:rsidR="002E029C">
        <w:rPr>
          <w:rFonts w:eastAsia="Times New Roman"/>
          <w:color w:val="000000" w:themeColor="text1"/>
          <w:sz w:val="20"/>
          <w:szCs w:val="20"/>
          <w:lang w:val="en-US"/>
        </w:rPr>
        <w:fldChar w:fldCharType="end"/>
      </w:r>
      <w:r w:rsidRPr="00CD3C9A">
        <w:rPr>
          <w:rFonts w:eastAsia="Times New Roman"/>
          <w:color w:val="000000" w:themeColor="text1"/>
          <w:sz w:val="20"/>
          <w:szCs w:val="20"/>
          <w:lang w:val="en-US"/>
        </w:rPr>
        <w:t xml:space="preserve"> </w:t>
      </w:r>
      <w:r w:rsidRPr="00CD3C9A">
        <w:rPr>
          <w:color w:val="000000" w:themeColor="text1"/>
          <w:sz w:val="20"/>
          <w:szCs w:val="20"/>
        </w:rPr>
        <w:t xml:space="preserve">The first level in the pyramid, knowledge, can be </w:t>
      </w:r>
      <w:r w:rsidRPr="00A40BBB">
        <w:rPr>
          <w:color w:val="000000" w:themeColor="text1"/>
          <w:sz w:val="20"/>
          <w:szCs w:val="20"/>
        </w:rPr>
        <w:t xml:space="preserve">assessed by written exams and traditional </w:t>
      </w:r>
      <w:r w:rsidRPr="00A40BBB">
        <w:rPr>
          <w:color w:val="000000" w:themeColor="text1"/>
          <w:sz w:val="20"/>
          <w:szCs w:val="20"/>
          <w:lang w:val="en-US"/>
        </w:rPr>
        <w:t xml:space="preserve">multiple-choice questions (MCQs). The second level, application of knowledge, can be assessed by essays, clinical problem-solving exercises and extended matching questions (EMQs). The third level, clinical skills competency can be assessed by </w:t>
      </w:r>
      <w:proofErr w:type="spellStart"/>
      <w:r w:rsidRPr="00A40BBB">
        <w:rPr>
          <w:color w:val="000000" w:themeColor="text1"/>
          <w:sz w:val="20"/>
          <w:szCs w:val="20"/>
          <w:lang w:val="en-US"/>
        </w:rPr>
        <w:t>standardised</w:t>
      </w:r>
      <w:proofErr w:type="spellEnd"/>
      <w:r w:rsidRPr="00A40BBB">
        <w:rPr>
          <w:color w:val="000000" w:themeColor="text1"/>
          <w:sz w:val="20"/>
          <w:szCs w:val="20"/>
          <w:lang w:val="en-US"/>
        </w:rPr>
        <w:t xml:space="preserve"> exercises such as clinical scenarios and clinical exams. Finally, clinical performance can be assessed by direct observation in clinical settings using </w:t>
      </w:r>
      <w:r w:rsidRPr="00A40BBB">
        <w:rPr>
          <w:color w:val="000000" w:themeColor="text1"/>
          <w:sz w:val="20"/>
          <w:szCs w:val="20"/>
        </w:rPr>
        <w:t>Objective Structured Clinical Examinations (OSCEs)</w:t>
      </w:r>
      <w:r w:rsidR="002E029C">
        <w:rPr>
          <w:color w:val="000000" w:themeColor="text1"/>
          <w:sz w:val="20"/>
          <w:szCs w:val="20"/>
        </w:rPr>
        <w:t>.</w:t>
      </w:r>
      <w:r w:rsidR="002E029C">
        <w:rPr>
          <w:color w:val="000000" w:themeColor="text1"/>
          <w:sz w:val="20"/>
          <w:szCs w:val="20"/>
        </w:rPr>
        <w:fldChar w:fldCharType="begin" w:fldLock="1"/>
      </w:r>
      <w:r w:rsidR="00351E6D">
        <w:rPr>
          <w:color w:val="000000" w:themeColor="text1"/>
          <w:sz w:val="20"/>
          <w:szCs w:val="20"/>
        </w:rPr>
        <w:instrText>ADDIN CSL_CITATION {"citationItems":[{"id":"ITEM-1","itemData":{"DOI":"10.5116/ijme.5d9b.0c37","ISSN":"20426372","PMID":"31655795","author":[{"dropping-particle":"","family":"Witheridge","given":"Annamaria","non-dropping-particle":"","parse-names":false,"suffix":""},{"dropping-particle":"","family":"Ferns","given":"Gordon","non-dropping-particle":"","parse-names":false,"suffix":""},{"dropping-particle":"","family":"Scott-Smith","given":"Wesley","non-dropping-particle":"","parse-names":false,"suffix":""}],"container-title":"International journal of medical education","id":"ITEM-1","issued":{"date-parts":[["2019"]]},"page":"191-192","title":"Revisiting Miller's pyramid in medical education: the gap between traditional assessment and diagnostic reasoning","type":"article-journal","volume":"10"},"uris":["http://www.mendeley.com/documents/?uuid=0036b661-335c-3be4-904e-a233fc6258b7"]}],"mendeley":{"formattedCitation":"[43]","plainTextFormattedCitation":"[43]","previouslyFormattedCitation":"[43]"},"properties":{"noteIndex":0},"schema":"https://github.com/citation-style-language/schema/raw/master/csl-citation.json"}</w:instrText>
      </w:r>
      <w:r w:rsidR="002E029C">
        <w:rPr>
          <w:color w:val="000000" w:themeColor="text1"/>
          <w:sz w:val="20"/>
          <w:szCs w:val="20"/>
        </w:rPr>
        <w:fldChar w:fldCharType="separate"/>
      </w:r>
      <w:r w:rsidR="00444200" w:rsidRPr="00444200">
        <w:rPr>
          <w:noProof/>
          <w:color w:val="000000" w:themeColor="text1"/>
          <w:sz w:val="20"/>
          <w:szCs w:val="20"/>
        </w:rPr>
        <w:t>[43]</w:t>
      </w:r>
      <w:r w:rsidR="002E029C">
        <w:rPr>
          <w:color w:val="000000" w:themeColor="text1"/>
          <w:sz w:val="20"/>
          <w:szCs w:val="20"/>
        </w:rPr>
        <w:fldChar w:fldCharType="end"/>
      </w:r>
      <w:r w:rsidR="00E55AE6" w:rsidRPr="00E55AE6">
        <w:rPr>
          <w:color w:val="000000" w:themeColor="text1"/>
          <w:sz w:val="20"/>
          <w:szCs w:val="20"/>
          <w:lang w:val="en-US"/>
        </w:rPr>
        <w:t xml:space="preserve"> </w:t>
      </w:r>
      <w:r w:rsidRPr="00A40BBB">
        <w:rPr>
          <w:color w:val="000000" w:themeColor="text1"/>
          <w:sz w:val="20"/>
          <w:szCs w:val="20"/>
          <w:lang w:val="en-US"/>
        </w:rPr>
        <w:t xml:space="preserve"> </w:t>
      </w:r>
      <w:r w:rsidR="00291264" w:rsidRPr="00A40BBB">
        <w:rPr>
          <w:color w:val="000000" w:themeColor="text1"/>
          <w:sz w:val="20"/>
          <w:szCs w:val="20"/>
          <w:lang w:val="en-US"/>
        </w:rPr>
        <w:t>It has been argued that OSCEs are not real clinic settings as the setting is</w:t>
      </w:r>
      <w:r w:rsidR="00291264" w:rsidRPr="00CD3C9A">
        <w:rPr>
          <w:color w:val="000000" w:themeColor="text1"/>
          <w:sz w:val="20"/>
          <w:szCs w:val="20"/>
          <w:lang w:val="en-US"/>
        </w:rPr>
        <w:t xml:space="preserve"> simulated and </w:t>
      </w:r>
      <w:r w:rsidR="00291264" w:rsidRPr="001C1B52">
        <w:rPr>
          <w:color w:val="000000" w:themeColor="text1"/>
          <w:sz w:val="20"/>
          <w:szCs w:val="20"/>
          <w:lang w:val="en-US"/>
        </w:rPr>
        <w:t>very controlled (C. Woods, personal communication, 18 January, 2023).</w:t>
      </w:r>
    </w:p>
    <w:p w14:paraId="5855C0C8" w14:textId="0897553D" w:rsidR="009E706B" w:rsidRPr="00CD3C9A" w:rsidRDefault="009E706B" w:rsidP="00CD3C9A">
      <w:pPr>
        <w:spacing w:line="360" w:lineRule="auto"/>
        <w:rPr>
          <w:color w:val="000000" w:themeColor="text1"/>
          <w:sz w:val="20"/>
          <w:szCs w:val="20"/>
        </w:rPr>
      </w:pPr>
    </w:p>
    <w:p w14:paraId="30ADADEC" w14:textId="3A1B472D" w:rsidR="00465A41" w:rsidRPr="00CD3C9A" w:rsidRDefault="00465A41" w:rsidP="00CD3C9A">
      <w:pPr>
        <w:spacing w:line="360" w:lineRule="auto"/>
        <w:rPr>
          <w:color w:val="000000" w:themeColor="text1"/>
          <w:sz w:val="20"/>
          <w:szCs w:val="20"/>
          <w:u w:val="single"/>
        </w:rPr>
      </w:pPr>
      <w:r w:rsidRPr="00CD3C9A">
        <w:rPr>
          <w:color w:val="000000" w:themeColor="text1"/>
          <w:sz w:val="20"/>
          <w:szCs w:val="20"/>
          <w:u w:val="single"/>
        </w:rPr>
        <w:t>Multiple-choice questions</w:t>
      </w:r>
    </w:p>
    <w:p w14:paraId="0C341406" w14:textId="34EC1038" w:rsidR="004742F9" w:rsidRPr="00CD3C9A" w:rsidRDefault="006D7113" w:rsidP="00CD3C9A">
      <w:pPr>
        <w:spacing w:line="360" w:lineRule="auto"/>
        <w:rPr>
          <w:rFonts w:eastAsia="Times New Roman"/>
          <w:color w:val="000000" w:themeColor="text1"/>
          <w:sz w:val="20"/>
          <w:szCs w:val="20"/>
          <w:lang w:val="en-US"/>
        </w:rPr>
      </w:pPr>
      <w:r w:rsidRPr="00CD3C9A">
        <w:rPr>
          <w:rFonts w:eastAsia="Times New Roman"/>
          <w:color w:val="000000" w:themeColor="text1"/>
          <w:sz w:val="20"/>
          <w:szCs w:val="20"/>
          <w:lang w:val="en-US"/>
        </w:rPr>
        <w:t xml:space="preserve">MCQs </w:t>
      </w:r>
      <w:r w:rsidR="009E706B" w:rsidRPr="00CD3C9A">
        <w:rPr>
          <w:rFonts w:eastAsia="Times New Roman"/>
          <w:color w:val="000000" w:themeColor="text1"/>
          <w:sz w:val="20"/>
          <w:szCs w:val="20"/>
          <w:lang w:val="en-US"/>
        </w:rPr>
        <w:t xml:space="preserve">are a popular form of assessment used to determine learner performance within the </w:t>
      </w:r>
      <w:r w:rsidR="009E706B" w:rsidRPr="00CD3C9A">
        <w:rPr>
          <w:color w:val="000000" w:themeColor="text1"/>
          <w:sz w:val="20"/>
          <w:szCs w:val="20"/>
        </w:rPr>
        <w:t>cognitive components of acquired knowledge and application of knowledge competences</w:t>
      </w:r>
      <w:r w:rsidR="00E55AE6">
        <w:rPr>
          <w:color w:val="000000" w:themeColor="text1"/>
          <w:sz w:val="20"/>
          <w:szCs w:val="20"/>
        </w:rPr>
        <w:t>.</w:t>
      </w:r>
      <w:r w:rsidR="00764E25">
        <w:rPr>
          <w:color w:val="000000" w:themeColor="text1"/>
          <w:sz w:val="20"/>
          <w:szCs w:val="20"/>
        </w:rPr>
        <w:fldChar w:fldCharType="begin" w:fldLock="1"/>
      </w:r>
      <w:r w:rsidR="00351E6D">
        <w:rPr>
          <w:color w:val="000000" w:themeColor="text1"/>
          <w:sz w:val="20"/>
          <w:szCs w:val="20"/>
        </w:rPr>
        <w:instrText>ADDIN CSL_CITATION {"citationItems":[{"id":"ITEM-1","itemData":{"DOI":"10.1080/10872981.2021.2005505","ISSN":"10872981","PMID":"34969352","abstract":"Practicing Multiple-choice questions is a popular learning method among medical students. While MCQs are commonly used in exams, creating them might provide another opportunity for students to boost their learning. Yet, the effectiveness of student-generated multiple-choice questions in medical education has been questioned. This study aims to verify the effects of student-generated MCQs on medical learning either in terms of students’ perceptions or their performance and behavior, as well as define the circumstances that would make this activity more useful to the students. Articles were identified by searching four databases MEDLINE, SCOPUS, Web of Science, and ERIC, as well as scanning references. The titles and abstracts were selected based on a pre-established eligibility criterion, and the methodological quality of articles included was assessed using the MERSQI scoring system. Eight hundred and eighty-four papers were identified. Eleven papers were retained after abstract and title screening, and 6 articles were recovered from cross-referencing, making it 17 articles in the end. The mean MERSQI score was 10.42. Most studies showed a positive impact of developing MCQs on medical students’ learning in terms of both perception and performance. Few articles in the literature examined the influence of student-generated MCQs on medical students learning. Amid some concerns about time and needed effort, writing multiple-choice questions as a learning method appears to be a useful process for improving medical students’ learning.","author":[{"dropping-particle":"","family":"Touissi","given":"Youness","non-dropping-particle":"","parse-names":false,"suffix":""},{"dropping-particle":"","family":"Hjiej","given":"Ghita","non-dropping-particle":"","parse-names":false,"suffix":""},{"dropping-particle":"","family":"Hajjioui","given":"Abderrazak","non-dropping-particle":"","parse-names":false,"suffix":""},{"dropping-particle":"","family":"Ibrahimi","given":"Azeddine","non-dropping-particle":"","parse-names":false,"suffix":""},{"dropping-particle":"","family":"Fourtassi","given":"Maryam","non-dropping-particle":"","parse-names":false,"suffix":""}],"container-title":"Medical Education Online","id":"ITEM-1","issue":"1","issued":{"date-parts":[["2022"]]},"page":"2005505","title":"Does developing multiple-choice Questions Improve Medical Students’ Learning? A Systematic Review","type":"article","volume":"27"},"uris":["http://www.mendeley.com/documents/?uuid=d33997f0-c7d8-3806-b69a-9a4cb3377d71"]}],"mendeley":{"formattedCitation":"[44]","plainTextFormattedCitation":"[44]","previouslyFormattedCitation":"[44]"},"properties":{"noteIndex":0},"schema":"https://github.com/citation-style-language/schema/raw/master/csl-citation.json"}</w:instrText>
      </w:r>
      <w:r w:rsidR="00764E25">
        <w:rPr>
          <w:color w:val="000000" w:themeColor="text1"/>
          <w:sz w:val="20"/>
          <w:szCs w:val="20"/>
        </w:rPr>
        <w:fldChar w:fldCharType="separate"/>
      </w:r>
      <w:r w:rsidR="00444200" w:rsidRPr="00444200">
        <w:rPr>
          <w:noProof/>
          <w:color w:val="000000" w:themeColor="text1"/>
          <w:sz w:val="20"/>
          <w:szCs w:val="20"/>
        </w:rPr>
        <w:t>[44]</w:t>
      </w:r>
      <w:r w:rsidR="00764E25">
        <w:rPr>
          <w:color w:val="000000" w:themeColor="text1"/>
          <w:sz w:val="20"/>
          <w:szCs w:val="20"/>
        </w:rPr>
        <w:fldChar w:fldCharType="end"/>
      </w:r>
      <w:r w:rsidR="00E55AE6">
        <w:rPr>
          <w:color w:val="000000" w:themeColor="text1"/>
          <w:sz w:val="20"/>
          <w:szCs w:val="20"/>
        </w:rPr>
        <w:t xml:space="preserve"> </w:t>
      </w:r>
      <w:bookmarkStart w:id="10" w:name="_Hlk123770180"/>
      <w:r w:rsidR="009E706B" w:rsidRPr="00CD3C9A">
        <w:rPr>
          <w:rFonts w:eastAsia="Times New Roman"/>
          <w:color w:val="000000" w:themeColor="text1"/>
          <w:sz w:val="20"/>
          <w:szCs w:val="20"/>
          <w:lang w:val="en-US"/>
        </w:rPr>
        <w:t xml:space="preserve">MCQs </w:t>
      </w:r>
      <w:bookmarkEnd w:id="10"/>
      <w:r w:rsidR="009E706B" w:rsidRPr="00CD3C9A">
        <w:rPr>
          <w:rFonts w:eastAsia="Times New Roman"/>
          <w:color w:val="000000" w:themeColor="text1"/>
          <w:sz w:val="20"/>
          <w:szCs w:val="20"/>
          <w:lang w:val="en-US"/>
        </w:rPr>
        <w:t xml:space="preserve">are </w:t>
      </w:r>
      <w:r w:rsidRPr="00CD3C9A">
        <w:rPr>
          <w:rFonts w:eastAsia="Times New Roman"/>
          <w:color w:val="000000" w:themeColor="text1"/>
          <w:sz w:val="20"/>
          <w:szCs w:val="20"/>
          <w:lang w:val="en-US"/>
        </w:rPr>
        <w:t xml:space="preserve">commonly </w:t>
      </w:r>
      <w:r w:rsidR="009E706B" w:rsidRPr="00CD3C9A">
        <w:rPr>
          <w:rFonts w:eastAsia="Times New Roman"/>
          <w:color w:val="000000" w:themeColor="text1"/>
          <w:sz w:val="20"/>
          <w:szCs w:val="20"/>
          <w:lang w:val="en-US"/>
        </w:rPr>
        <w:t>designed to allow students to choose</w:t>
      </w:r>
      <w:r w:rsidRPr="00CD3C9A">
        <w:rPr>
          <w:rFonts w:eastAsia="Times New Roman"/>
          <w:color w:val="000000" w:themeColor="text1"/>
          <w:sz w:val="20"/>
          <w:szCs w:val="20"/>
          <w:lang w:val="en-US"/>
        </w:rPr>
        <w:t xml:space="preserve"> one option</w:t>
      </w:r>
      <w:r w:rsidR="009E706B" w:rsidRPr="00CD3C9A">
        <w:rPr>
          <w:rFonts w:eastAsia="Times New Roman"/>
          <w:color w:val="000000" w:themeColor="text1"/>
          <w:sz w:val="20"/>
          <w:szCs w:val="20"/>
          <w:lang w:val="en-US"/>
        </w:rPr>
        <w:t xml:space="preserve"> from multiple possible (3-5) answers</w:t>
      </w:r>
      <w:r w:rsidR="00EE529F">
        <w:rPr>
          <w:rFonts w:eastAsia="Times New Roman"/>
          <w:color w:val="000000" w:themeColor="text1"/>
          <w:sz w:val="20"/>
          <w:szCs w:val="20"/>
          <w:lang w:val="en-US"/>
        </w:rPr>
        <w:t>.</w:t>
      </w:r>
      <w:r w:rsidR="00EE529F">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{"citationItems":[{"id":"ITEM-1","itemData":{"DOI":"10.1007/s10459-018-9855-9","ISSN":"15731677","PMID":"30362027","abstract":"Research suggests that the three-option format is optimal for multiple choice questions (MCQs). This conclusion is supported by numerous studies showing that most distractors (i.e., incorrect answers) are selected by so few examinees that they are essentially nonfunctional. However, nearly all studies have defined a distractor as nonfunctional if it is selected by fewer than 5% of examinees. A limitation of this definition is that the proportion of examinees available to choose a distractor depends on overall item difficulty. This is especially problematic for mastery tests, which consist of items that most examinees are expected to answer correctly. Based on the traditional definition of nonfunctional, a five-option MCQ answered correctly by greater than 90% of examinees will be constrained to have only one functional distractor. The primary purpose of the present study was to evaluate an index of nonfunctional that is sensitive to item difficulty. A secondary purpose was to extend previous research by studying distractor functionality within the context of professionally-developed credentialing tests. Data were analyzed for 840 MCQs consisting of five options per item. Results based on the traditional definition of nonfunctional were consistent with previous research indicating that most MCQs had one or two functional distractors. In contrast, the newly proposed index indicated that nearly half (47.3%) of all items had three or four functional distractors. Implications for item and test development are discussed.","author":[{"dropping-particle":"","family":"Raymond","given":"Mark R.","non-dropping-particle":"","parse-names":false,"suffix":""},{"dropping-particle":"","family":"Stevens","given":"Craig","non-dropping-particle":"","parse-names":false,"suffix":""},{"dropping-particle":"","family":"Bucak","given":"S. Deniz","non-dropping-particle":"","parse-names":false,"suffix":""}],"container-title":"Advances in Health Sciences Education","id":"ITEM-1","issue":"1","issued":{"date-parts":[["2019"]]},"page":"141-150","title":"The optimal number of options for multiple-choice questions on high-stakes tests: application of a revised index for detecting nonfunctional distractors","type":"article-journal","volume":"24"},"uris":["http://www.mendeley.com/documents/?uuid=88f7cf07-6677-3d55-b783-e2e6ca3cbd2c"]}],"mendeley":{"formattedCitation":"[45]","plainTextFormattedCitation":"[45]","previouslyFormattedCitation":"[45]"},"properties":{"noteIndex":0},"schema":"https://github.com/citation-style-language/schema/raw/master/csl-citation.json"}</w:instrText>
      </w:r>
      <w:r w:rsidR="00EE529F">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[45]</w:t>
      </w:r>
      <w:r w:rsidR="00EE529F">
        <w:rPr>
          <w:rFonts w:eastAsia="Times New Roman"/>
          <w:color w:val="000000" w:themeColor="text1"/>
          <w:sz w:val="20"/>
          <w:szCs w:val="20"/>
          <w:lang w:val="en-US"/>
        </w:rPr>
        <w:fldChar w:fldCharType="end"/>
      </w:r>
      <w:r w:rsidR="009E706B" w:rsidRPr="00CD3C9A">
        <w:rPr>
          <w:rFonts w:eastAsia="Times New Roman"/>
          <w:color w:val="000000" w:themeColor="text1"/>
          <w:sz w:val="20"/>
          <w:szCs w:val="20"/>
          <w:lang w:val="en-US"/>
        </w:rPr>
        <w:t xml:space="preserve"> True/false questions are also considered to be a type of MCQ</w:t>
      </w:r>
      <w:r w:rsidR="00EE529F">
        <w:rPr>
          <w:rFonts w:eastAsia="Times New Roman"/>
          <w:color w:val="000000" w:themeColor="text1"/>
          <w:sz w:val="20"/>
          <w:szCs w:val="20"/>
          <w:lang w:val="en-US"/>
        </w:rPr>
        <w:t>.</w:t>
      </w:r>
      <w:r w:rsidR="00EE529F">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{"citationItems":[{"id":"ITEM-1","itemData":{"DOI":"10.1007/s10459-017-9805-y","ISSN":"15731677","PMID":"29189963","abstract":"Multiple true–false (MTF) items are a widely used supplement to the commonly used single-best answer (Type A) multiple choice format. However, an optimal scoring algorithm for MTF items has not yet been established, as existing studies yielded conflicting results. Therefore, this study analyzes two questions: What is the optimal scoring algorithm for MTF items regarding reliability, difficulty index and item discrimination? How do the psychometric characteristics of different scoring algorithms compare to those of Type A questions used in the same exams? We used data from 37 medical exams conducted in 2015 (998 MTF and 2163 Type A items overall). Using repeated measures analyses of variance (rANOVA), we compared reliability, difficulty and item discrimination of different scoring algorithms for MTF with four answer options and Type A. Scoring algorithms for MTF were dichotomous scoring (DS) and two partial credit scoring algorithms, PS50 where examinees receive half a point if more than half of true/false ratings were marked correctly and one point if all were marked correctly, and PS1/n where examinees receive a quarter of a point for every correct true/false rating. The two partial scoring algorithms showed significantly higher reliabilities (αPS1/n = 0.75; αPS50 = 0.75; αDS = 0.70, αA = 0.72), which corresponds to fewer items needed for a reliability of 0.8 (nPS1/n = 74; nPS50 = 75; nDS = 103, nA = 87), and higher discrimination indices (rPS1/n = 0.33; rPS50 = 0.33; rDS = 0.30; rA = 0.28) than dichotomous scoring and Type A. Items scored with DS tend to be difficult (pDS = 0.50), whereas items scored with PS1/n become easy (pPS1/n = 0.82). PS50 and Type A cover the whole range, from easy to difficult items (pPS50 = 0.66; pA = 0.73). Partial credit scoring leads to better psychometric results than dichotomous scoring. PS50 covers the range from easy to difficult items better than PS1/n. Therefore, for scoring MTF, we suggest using PS50.","author":[{"dropping-particle":"","family":"Lahner","given":"Felicitas Maria","non-dropping-particle":"","parse-names":false,"suffix":""},{"dropping-particle":"","family":"Lörwald","given":"Andrea Carolin","non-dropping-particle":"","parse-names":false,"suffix":""},{"dropping-particle":"","family":"Bauer","given":"Daniel","non-dropping-particle":"","parse-names":false,"suffix":""},{"dropping-particle":"","family":"Nouns","given":"Zineb Miriam","non-dropping-particle":"","parse-names":false,"suffix":""},{"dropping-particle":"","family":"Krebs","given":"René","non-dropping-particle":"","parse-names":false,"suffix":""},{"dropping-particle":"","family":"Guttormsen","given":"Sissel","non-dropping-particle":"","parse-names":false,"suffix":""},{"dropping-particle":"","family":"Fischer","given":"Martin R.","non-dropping-particle":"","parse-names":false,"suffix":""},{"dropping-particle":"","family":"Huwendiek","given":"Sören","non-dropping-particle":"","parse-names":false,"suffix":""}],"container-title":"Advances in Health Sciences Education","id":"ITEM-1","issue":"3","issued":{"date-parts":[["2018"]]},"page":"455-463","title":"Multiple true–false items: a comparison of scoring algorithms","type":"article-journal","volume":"23"},"uris":["http://www.mendeley.com/documents/?uuid=a46379fd-0523-37bb-b740-adbeb1204362"]}],"mendeley":{"formattedCitation":"[46]","plainTextFormattedCitation":"[46]","previouslyFormattedCitation":"[46]"},"properties":{"noteIndex":0},"schema":"https://github.com/citation-style-language/schema/raw/master/csl-citation.json"}</w:instrText>
      </w:r>
      <w:r w:rsidR="00EE529F">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[46]</w:t>
      </w:r>
      <w:r w:rsidR="00EE529F">
        <w:rPr>
          <w:rFonts w:eastAsia="Times New Roman"/>
          <w:color w:val="000000" w:themeColor="text1"/>
          <w:sz w:val="20"/>
          <w:szCs w:val="20"/>
          <w:lang w:val="en-US"/>
        </w:rPr>
        <w:fldChar w:fldCharType="end"/>
      </w:r>
      <w:r w:rsidR="009E706B" w:rsidRPr="00CD3C9A">
        <w:rPr>
          <w:rFonts w:eastAsia="Times New Roman"/>
          <w:color w:val="000000" w:themeColor="text1"/>
          <w:sz w:val="20"/>
          <w:szCs w:val="20"/>
          <w:lang w:val="en-US"/>
        </w:rPr>
        <w:t xml:space="preserve"> </w:t>
      </w:r>
      <w:r w:rsidR="009B4ED0" w:rsidRPr="00CD3C9A">
        <w:rPr>
          <w:rFonts w:eastAsia="Times New Roman"/>
          <w:color w:val="000000" w:themeColor="text1"/>
          <w:sz w:val="20"/>
          <w:szCs w:val="20"/>
          <w:lang w:val="en-US"/>
        </w:rPr>
        <w:t>M</w:t>
      </w:r>
      <w:r w:rsidR="009E706B" w:rsidRPr="00CD3C9A">
        <w:rPr>
          <w:rFonts w:eastAsia="Times New Roman"/>
          <w:color w:val="000000" w:themeColor="text1"/>
          <w:sz w:val="20"/>
          <w:szCs w:val="20"/>
          <w:lang w:val="en-US"/>
        </w:rPr>
        <w:t xml:space="preserve">ulti-select MCQs </w:t>
      </w:r>
      <w:r w:rsidR="009B4ED0" w:rsidRPr="00CD3C9A">
        <w:rPr>
          <w:rFonts w:eastAsia="Times New Roman"/>
          <w:color w:val="000000" w:themeColor="text1"/>
          <w:sz w:val="20"/>
          <w:szCs w:val="20"/>
          <w:lang w:val="en-US"/>
        </w:rPr>
        <w:t xml:space="preserve">with </w:t>
      </w:r>
      <w:r w:rsidR="009E706B" w:rsidRPr="00CD3C9A">
        <w:rPr>
          <w:rFonts w:eastAsia="Times New Roman"/>
          <w:color w:val="000000" w:themeColor="text1"/>
          <w:sz w:val="20"/>
          <w:szCs w:val="20"/>
          <w:lang w:val="en-US"/>
        </w:rPr>
        <w:t xml:space="preserve">more than one </w:t>
      </w:r>
      <w:r w:rsidR="00C57BB0" w:rsidRPr="00CD3C9A">
        <w:rPr>
          <w:rFonts w:eastAsia="Times New Roman"/>
          <w:color w:val="000000" w:themeColor="text1"/>
          <w:sz w:val="20"/>
          <w:szCs w:val="20"/>
          <w:lang w:val="en-US"/>
        </w:rPr>
        <w:t xml:space="preserve">answer </w:t>
      </w:r>
      <w:r w:rsidR="009E706B" w:rsidRPr="00CD3C9A">
        <w:rPr>
          <w:rFonts w:eastAsia="Times New Roman"/>
          <w:color w:val="000000" w:themeColor="text1"/>
          <w:sz w:val="20"/>
          <w:szCs w:val="20"/>
          <w:lang w:val="en-US"/>
        </w:rPr>
        <w:t xml:space="preserve">option </w:t>
      </w:r>
      <w:r w:rsidR="009B4ED0" w:rsidRPr="00CD3C9A">
        <w:rPr>
          <w:rFonts w:eastAsia="Times New Roman"/>
          <w:color w:val="000000" w:themeColor="text1"/>
          <w:sz w:val="20"/>
          <w:szCs w:val="20"/>
          <w:lang w:val="en-US"/>
        </w:rPr>
        <w:t xml:space="preserve">is also </w:t>
      </w:r>
      <w:r w:rsidR="00C57BB0" w:rsidRPr="00CD3C9A">
        <w:rPr>
          <w:rFonts w:eastAsia="Times New Roman"/>
          <w:color w:val="000000" w:themeColor="text1"/>
          <w:sz w:val="20"/>
          <w:szCs w:val="20"/>
          <w:lang w:val="en-US"/>
        </w:rPr>
        <w:t>possible</w:t>
      </w:r>
      <w:r w:rsidR="009E706B" w:rsidRPr="00CD3C9A">
        <w:rPr>
          <w:rFonts w:eastAsia="Times New Roman"/>
          <w:color w:val="000000" w:themeColor="text1"/>
          <w:sz w:val="20"/>
          <w:szCs w:val="20"/>
          <w:lang w:val="en-US"/>
        </w:rPr>
        <w:t xml:space="preserve">. </w:t>
      </w:r>
    </w:p>
    <w:p w14:paraId="150FE80E" w14:textId="6005FAA1" w:rsidR="009E706B" w:rsidRPr="00CD3C9A" w:rsidRDefault="004742F9" w:rsidP="00CD3C9A">
      <w:pPr>
        <w:spacing w:line="360" w:lineRule="auto"/>
        <w:rPr>
          <w:color w:val="000000" w:themeColor="text1"/>
          <w:sz w:val="20"/>
          <w:szCs w:val="20"/>
          <w:lang w:val="en-US"/>
        </w:rPr>
      </w:pPr>
      <w:r w:rsidRPr="00CD3C9A">
        <w:rPr>
          <w:rFonts w:eastAsia="Times New Roman"/>
          <w:color w:val="000000" w:themeColor="text1"/>
          <w:sz w:val="20"/>
          <w:szCs w:val="20"/>
          <w:lang w:val="en-US"/>
        </w:rPr>
        <w:t>I</w:t>
      </w:r>
      <w:r w:rsidR="009E706B" w:rsidRPr="00CD3C9A">
        <w:rPr>
          <w:rFonts w:eastAsia="Times New Roman"/>
          <w:color w:val="000000" w:themeColor="text1"/>
          <w:sz w:val="20"/>
          <w:szCs w:val="20"/>
          <w:lang w:val="en-US"/>
        </w:rPr>
        <w:t xml:space="preserve">n </w:t>
      </w:r>
      <w:r w:rsidR="009E706B" w:rsidRPr="00CD3C9A">
        <w:rPr>
          <w:color w:val="000000" w:themeColor="text1"/>
          <w:sz w:val="20"/>
          <w:szCs w:val="20"/>
          <w:shd w:val="clear" w:color="auto" w:fill="FFFFFF"/>
        </w:rPr>
        <w:t>extended matching questions (</w:t>
      </w:r>
      <w:r w:rsidR="009E706B" w:rsidRPr="00CD3C9A">
        <w:rPr>
          <w:rFonts w:eastAsia="Times New Roman"/>
          <w:color w:val="000000" w:themeColor="text1"/>
          <w:sz w:val="20"/>
          <w:szCs w:val="20"/>
          <w:lang w:val="en-US"/>
        </w:rPr>
        <w:t>EMQs), a higher level of knowledge acquisition, interpretation and application, can be assessed</w:t>
      </w:r>
      <w:r w:rsidR="00E55AE6">
        <w:rPr>
          <w:rFonts w:eastAsia="Times New Roman"/>
          <w:color w:val="000000" w:themeColor="text1"/>
          <w:sz w:val="20"/>
          <w:szCs w:val="20"/>
          <w:lang w:val="en-US"/>
        </w:rPr>
        <w:t>.</w:t>
      </w:r>
      <w:r w:rsidR="00AF4B41">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author":[{"dropping-particle":"","family":"Vegi","given":"V.A.K.","non-dropping-particle":"","parse-names":false,"suffix":""},{"dropping-particle":"V.","family":"Sudhakar","given":"P.","non-dropping-particle":"","parse-names":false,"suffix":""},{"dropping-particle":"","family":"Bhimarasetty","given":"D. M.","non-dropping-particle":"","parse-names":false,"suffix":""},{"dropping-particle":"","family":"Pamarthi","given":"K.","non-dropping-particle":"","parse-names":false,"suffix":""},{"dropping-particle":"","family":"Edara","given":"L.","non-dropping-particle":"","parse-names":false,"suffix":""},{"dropping-particle":"","family":"Kutikuppala","given":"L.V.S.","non-dropping-particle":"","parse-names":false,"suffix":""},{"dropping-particle":"","family":"Suvvari","given":"T.K.","non-dropping-particle":"","parse-names":false,"suffix":""},{"dropping-particle":"","family":"Anand","given":"S.","non-dropping-particle":"","parse-names":false,"suffix":""}],"container-title":"J Educ Health Promot","id":"ITEM-1","issued":{"date-parts":[["2022"]]},"page":"103","title":"Multiple-choice questions in assessment: Perceptions of medical students from low-resource setting.","type":"article-journal","volume":"11"},"uris":["http://www.mendeley.com/documents/?uuid=2ee22c4c-efb3-4d3d-84b5-e833d4610583"]}],"mendeley":{"formattedCitation":"[47]","plainTextFormattedCitation":"[47]","previouslyFormattedCitation":"[47]"},"properties":{"noteIndex":0},"schema":"https://github.com/citation-style-language/schema/raw/master/csl-citation.json"}</w:instrText>
      </w:r>
      <w:r w:rsidR="00AF4B41">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[47]</w:t>
      </w:r>
      <w:r w:rsidR="00AF4B41">
        <w:rPr>
          <w:rFonts w:eastAsia="Times New Roman"/>
          <w:color w:val="000000" w:themeColor="text1"/>
          <w:sz w:val="20"/>
          <w:szCs w:val="20"/>
          <w:lang w:val="en-US"/>
        </w:rPr>
        <w:fldChar w:fldCharType="end"/>
      </w:r>
      <w:r w:rsidR="009E706B" w:rsidRPr="00CD3C9A">
        <w:rPr>
          <w:rFonts w:eastAsia="Times New Roman"/>
          <w:color w:val="000000" w:themeColor="text1"/>
          <w:sz w:val="20"/>
          <w:szCs w:val="20"/>
          <w:lang w:val="en-US"/>
        </w:rPr>
        <w:t xml:space="preserve"> </w:t>
      </w:r>
      <w:r w:rsidR="00C57BB0" w:rsidRPr="00CD3C9A">
        <w:rPr>
          <w:rFonts w:eastAsia="Times New Roman"/>
          <w:color w:val="000000" w:themeColor="text1"/>
          <w:sz w:val="20"/>
          <w:szCs w:val="20"/>
          <w:lang w:val="en-US"/>
        </w:rPr>
        <w:t xml:space="preserve">Here, </w:t>
      </w:r>
      <w:r w:rsidR="00C57BB0" w:rsidRPr="00CD3C9A">
        <w:rPr>
          <w:color w:val="000000" w:themeColor="text1"/>
          <w:sz w:val="20"/>
          <w:szCs w:val="20"/>
          <w:lang w:val="en-US"/>
        </w:rPr>
        <w:t>a</w:t>
      </w:r>
      <w:r w:rsidR="009E706B" w:rsidRPr="00CD3C9A">
        <w:rPr>
          <w:color w:val="000000" w:themeColor="text1"/>
          <w:sz w:val="20"/>
          <w:szCs w:val="20"/>
          <w:lang w:val="en-US"/>
        </w:rPr>
        <w:t>n EMQ list</w:t>
      </w:r>
      <w:r w:rsidR="009B4ED0" w:rsidRPr="00CD3C9A">
        <w:rPr>
          <w:color w:val="000000" w:themeColor="text1"/>
          <w:sz w:val="20"/>
          <w:szCs w:val="20"/>
          <w:lang w:val="en-US"/>
        </w:rPr>
        <w:t>s</w:t>
      </w:r>
      <w:r w:rsidR="009E706B" w:rsidRPr="00CD3C9A">
        <w:rPr>
          <w:color w:val="000000" w:themeColor="text1"/>
          <w:sz w:val="20"/>
          <w:szCs w:val="20"/>
          <w:lang w:val="en-US"/>
        </w:rPr>
        <w:t xml:space="preserve"> 10 possible answers, such as diagnoses, and </w:t>
      </w:r>
      <w:r w:rsidR="009E706B" w:rsidRPr="00CD3C9A">
        <w:rPr>
          <w:color w:val="000000" w:themeColor="text1"/>
          <w:sz w:val="20"/>
          <w:szCs w:val="20"/>
          <w:lang w:val="en-US"/>
        </w:rPr>
        <w:lastRenderedPageBreak/>
        <w:t>investigations. The person being assessed is given some clinical scenarios (often three). For each scenario they choose the most appropriate option from the list. Answers can be used more than once.</w:t>
      </w:r>
    </w:p>
    <w:p w14:paraId="7E546E33" w14:textId="6F2C7E21" w:rsidR="00E55AE6" w:rsidRDefault="009E706B" w:rsidP="00CD3C9A">
      <w:pPr>
        <w:spacing w:line="360" w:lineRule="auto"/>
        <w:rPr>
          <w:rFonts w:eastAsia="Times New Roman"/>
          <w:color w:val="000000" w:themeColor="text1"/>
          <w:sz w:val="20"/>
          <w:szCs w:val="20"/>
          <w:lang w:val="en-US"/>
        </w:rPr>
      </w:pPr>
      <w:r w:rsidRPr="00CD3C9A">
        <w:rPr>
          <w:rFonts w:eastAsia="Times New Roman"/>
          <w:color w:val="000000" w:themeColor="text1"/>
          <w:sz w:val="20"/>
          <w:szCs w:val="20"/>
          <w:lang w:val="en-US"/>
        </w:rPr>
        <w:t xml:space="preserve">MCQs are a reliable tool, easy to create, administer and </w:t>
      </w:r>
      <w:proofErr w:type="spellStart"/>
      <w:r w:rsidRPr="00CD3C9A">
        <w:rPr>
          <w:rFonts w:eastAsia="Times New Roman"/>
          <w:color w:val="000000" w:themeColor="text1"/>
          <w:sz w:val="20"/>
          <w:szCs w:val="20"/>
          <w:lang w:val="en-US"/>
        </w:rPr>
        <w:t>analy</w:t>
      </w:r>
      <w:proofErr w:type="spellEnd"/>
      <w:r w:rsidRPr="00CD3C9A">
        <w:rPr>
          <w:rFonts w:eastAsia="Times New Roman"/>
          <w:color w:val="000000" w:themeColor="text1"/>
          <w:sz w:val="20"/>
          <w:szCs w:val="20"/>
        </w:rPr>
        <w:t>se</w:t>
      </w:r>
      <w:r w:rsidRPr="00CD3C9A">
        <w:rPr>
          <w:rFonts w:eastAsia="Times New Roman"/>
          <w:color w:val="000000" w:themeColor="text1"/>
          <w:sz w:val="20"/>
          <w:szCs w:val="20"/>
          <w:lang w:val="en-US"/>
        </w:rPr>
        <w:t>, and quick to score which is useful when there is a large number of learners</w:t>
      </w:r>
      <w:r w:rsidR="00E55AE6">
        <w:rPr>
          <w:rFonts w:eastAsia="Times New Roman"/>
          <w:color w:val="000000" w:themeColor="text1"/>
          <w:sz w:val="20"/>
          <w:szCs w:val="20"/>
          <w:lang w:val="en-US"/>
        </w:rPr>
        <w:t>.</w:t>
      </w:r>
      <w:r w:rsidR="00AF4B41">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{"citationItems":[{"id":"ITEM-1","itemData":{"DOI":"10.1097/NND.0000000000000539","ISSN":"2169981X","PMID":"30839359","abstract":"This article provides the nursing professional development practitioner an overview of effective development and evaluation of a commonly used measure of knowledge: the multiple-choice test. Basic principles of test development and assessment are important for evaluating learning outcomes. When the steps needed to determine the fairness, validity, and reliability of multiple-choice tests are followed, the resulting knowledge tests will lead to more trustworthy results for the evaluation of nursing professional development activities.","author":[{"dropping-particle":"","family":"Bernhofer","given":"Esther I.","non-dropping-particle":"","parse-names":false,"suffix":""},{"dropping-particle":"","family":"Burchill","given":"Christian N.","non-dropping-particle":"","parse-names":false,"suffix":""}],"container-title":"Journal for Nurses in Professional Development","id":"ITEM-1","issue":"4","issued":{"date-parts":[["2019"]]},"page":"204-209","title":"Developing and Evaluating Multiple-Choice Tests for Trustworthiness","type":"article-journal","volume":"35"},"uris":["http://www.mendeley.com/documents/?uuid=827aac1e-9930-3125-b404-70d094b23f68"]},{"id":"ITEM-2","itemData":{"DOI":"10.1186/s12909-014-0249-2","ISSN":"14726920","PMID":"25431359","abstract":"Background: Written assessments fall into two classes: constructed-response or open-ended questions, such as the essay and a number of variants of the short-Answer question, and selected-response or closed-ended questions; typically in the form of multiple-choice. It is widely believed that constructed response written questions test higher order cognitive processes in a manner that multiple-choice questions cannot, and consequently have higher validity. Discussion: An extensive review of the literature suggests that in summative assessment neither premise is evidence-based. Well-structured open-ended and multiple-choice questions appear equivalent in their ability to assess higher cognitive functions, and performance in multiple-choice assessments may correlate more highly than the open-ended format with competence demonstrated in clinical practice following graduation. Studies of construct validity suggest that both formats measure essentially the same dimension, at least in mathematics, the physical sciences, biology and medicine. The persistence of the open-ended format in summative assessment may be due to the intuitive appeal of the belief that synthesising an answer to an open-ended question must be both more cognitively taxing and similar to actual experience than is selecting a correct response. I suggest that cognitive-constructivist learning theory would predict that a well-constructed context-rich multiple-choice item represents a complex problem-solving exercise which activates a sequence of cognitive processes which closely parallel those required in clinical practice, hence explaining the high validity of the multiple-choice format. Summary: The evidence does not support the proposition that the open-ended assessment format is superior to the multiple-choice format, at least in exit-level summative assessment, in terms of either its ability to test higher-order cognitive functioning or its validity. This is explicable using a theory of mental models, which might predict that the multiple-choice format will have higher validity, a statement for which some empiric support exists. Given the superior reliability and cost-effectiveness of the multiple-choice format consideration should be given to phasing out open-ended format questions in summative assessment. Whether the same applies to non-exit-level assessment and formative assessment is a question which remains to be answered; particularly in terms of the educational effect of testing, an…","author":[{"dropping-particle":"","family":"Hift","given":"Richard J.","non-dropping-particle":"","parse-names":false,"suffix":""}],"container-title":"BMC Medical Education","id":"ITEM-2","issue":"1","issued":{"date-parts":[["2014"]]},"page":"1-18","title":"Should essays and other open-ended-Type questions retain a place in written summative assessment in clinical medicine?","type":"article","volume":"14"},"uris":["http://www.mendeley.com/documents/?uuid=0fe4dff9-0659-3ae1-8e47-c025c796b459"]}],"mendeley":{"formattedCitation":"[48,49]","plainTextFormattedCitation":"[48,49]","previouslyFormattedCitation":"[48,49]"},"properties":{"noteIndex":0},"schema":"https://github.com/citation-style-language/schema/raw/master/csl-citation.json"}</w:instrText>
      </w:r>
      <w:r w:rsidR="00AF4B41">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[48,49]</w:t>
      </w:r>
      <w:r w:rsidR="00AF4B41">
        <w:rPr>
          <w:rFonts w:eastAsia="Times New Roman"/>
          <w:color w:val="000000" w:themeColor="text1"/>
          <w:sz w:val="20"/>
          <w:szCs w:val="20"/>
          <w:lang w:val="en-US"/>
        </w:rPr>
        <w:fldChar w:fldCharType="end"/>
      </w:r>
      <w:r w:rsidR="00E55AE6" w:rsidRPr="00E55AE6">
        <w:rPr>
          <w:rFonts w:eastAsia="Times New Roman"/>
          <w:color w:val="000000" w:themeColor="text1"/>
          <w:sz w:val="20"/>
          <w:szCs w:val="20"/>
          <w:lang w:val="en-US"/>
        </w:rPr>
        <w:t xml:space="preserve"> </w:t>
      </w:r>
      <w:proofErr w:type="spellStart"/>
      <w:r w:rsidRPr="00CD3C9A">
        <w:rPr>
          <w:rFonts w:eastAsia="Times New Roman"/>
          <w:color w:val="000000" w:themeColor="text1"/>
          <w:sz w:val="20"/>
          <w:szCs w:val="20"/>
          <w:lang w:val="en-US"/>
        </w:rPr>
        <w:t>Vegi</w:t>
      </w:r>
      <w:proofErr w:type="spellEnd"/>
      <w:r w:rsidRPr="00CD3C9A">
        <w:rPr>
          <w:rFonts w:eastAsia="Times New Roman"/>
          <w:color w:val="000000" w:themeColor="text1"/>
          <w:sz w:val="20"/>
          <w:szCs w:val="20"/>
          <w:lang w:val="en-US"/>
        </w:rPr>
        <w:t xml:space="preserve"> </w:t>
      </w:r>
      <w:r w:rsidRPr="00CD3C9A">
        <w:rPr>
          <w:rFonts w:eastAsia="Times New Roman"/>
          <w:i/>
          <w:iCs/>
          <w:color w:val="000000" w:themeColor="text1"/>
          <w:sz w:val="20"/>
          <w:szCs w:val="20"/>
          <w:lang w:val="en-US"/>
        </w:rPr>
        <w:t>et al.,</w:t>
      </w:r>
      <w:r w:rsidRPr="00CD3C9A">
        <w:rPr>
          <w:rFonts w:eastAsia="Times New Roman"/>
          <w:color w:val="000000" w:themeColor="text1"/>
          <w:sz w:val="20"/>
          <w:szCs w:val="20"/>
          <w:lang w:val="en-US"/>
        </w:rPr>
        <w:t xml:space="preserve"> reported that a well-designed MCQ is superior to a modified essay question in testing higher cognitive skills among medical students</w:t>
      </w:r>
      <w:r w:rsidR="00E55AE6">
        <w:rPr>
          <w:rFonts w:eastAsia="Times New Roman"/>
          <w:color w:val="000000" w:themeColor="text1"/>
          <w:sz w:val="20"/>
          <w:szCs w:val="20"/>
          <w:lang w:val="en-US"/>
        </w:rPr>
        <w:t>.</w:t>
      </w:r>
      <w:r w:rsidR="00AF4B41">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author":[{"dropping-particle":"","family":"Vegi","given":"V.A.K.","non-dropping-particle":"","parse-names":false,"suffix":""},{"dropping-particle":"V.","family":"Sudhakar","given":"P.","non-dropping-particle":"","parse-names":false,"suffix":""},{"dropping-particle":"","family":"Bhimarasetty","given":"D. M.","non-dropping-particle":"","parse-names":false,"suffix":""},{"dropping-particle":"","family":"Pamarthi","given":"K.","non-dropping-particle":"","parse-names":false,"suffix":""},{"dropping-particle":"","family":"Edara","given":"L.","non-dropping-particle":"","parse-names":false,"suffix":""},{"dropping-particle":"","family":"Kutikuppala","given":"L.V.S.","non-dropping-particle":"","parse-names":false,"suffix":""},{"dropping-particle":"","family":"Suvvari","given":"T.K.","non-dropping-particle":"","parse-names":false,"suffix":""},{"dropping-particle":"","family":"Anand","given":"S.","non-dropping-particle":"","parse-names":false,"suffix":""}],"container-title":"J Educ Health Promot","id":"ITEM-1","issued":{"date-parts":[["2022"]]},"page":"103","title":"Multiple-choice questions in assessment: Perceptions of medical students from low-resource setting.","type":"article-journal","volume":"11"},"uris":["http://www.mendeley.com/documents/?uuid=2ee22c4c-efb3-4d3d-84b5-e833d4610583"]}],"mendeley":{"formattedCitation":"[47]","plainTextFormattedCitation":"[47]","previouslyFormattedCitation":"[47]"},"properties":{"noteIndex":0},"schema":"https://github.com/citation-style-language/schema/raw/master/csl-citation.json"}</w:instrText>
      </w:r>
      <w:r w:rsidR="00AF4B41">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[47]</w:t>
      </w:r>
      <w:r w:rsidR="00AF4B41">
        <w:rPr>
          <w:rFonts w:eastAsia="Times New Roman"/>
          <w:color w:val="000000" w:themeColor="text1"/>
          <w:sz w:val="20"/>
          <w:szCs w:val="20"/>
          <w:lang w:val="en-US"/>
        </w:rPr>
        <w:fldChar w:fldCharType="end"/>
      </w:r>
      <w:r w:rsidRPr="00CD3C9A">
        <w:rPr>
          <w:rFonts w:eastAsia="Times New Roman"/>
          <w:color w:val="000000" w:themeColor="text1"/>
          <w:sz w:val="20"/>
          <w:szCs w:val="20"/>
          <w:lang w:val="en-US"/>
        </w:rPr>
        <w:t xml:space="preserve"> </w:t>
      </w:r>
      <w:r w:rsidR="00E55AE6" w:rsidRPr="00E55AE6">
        <w:rPr>
          <w:rFonts w:eastAsia="Times New Roman"/>
          <w:color w:val="000000" w:themeColor="text1"/>
          <w:sz w:val="20"/>
          <w:szCs w:val="20"/>
          <w:lang w:val="en-US"/>
        </w:rPr>
        <w:t xml:space="preserve">Furthermore, </w:t>
      </w:r>
      <w:proofErr w:type="spellStart"/>
      <w:r w:rsidR="00E55AE6" w:rsidRPr="00E55AE6">
        <w:rPr>
          <w:rFonts w:eastAsia="Times New Roman"/>
          <w:color w:val="000000" w:themeColor="text1"/>
          <w:sz w:val="20"/>
          <w:szCs w:val="20"/>
          <w:lang w:val="en-US"/>
        </w:rPr>
        <w:t>Hift</w:t>
      </w:r>
      <w:proofErr w:type="spellEnd"/>
      <w:r w:rsidR="00AF4B41">
        <w:rPr>
          <w:rFonts w:eastAsia="Times New Roman"/>
          <w:color w:val="000000" w:themeColor="text1"/>
          <w:sz w:val="20"/>
          <w:szCs w:val="20"/>
          <w:lang w:val="en-US"/>
        </w:rPr>
        <w:t xml:space="preserve"> (2014)</w:t>
      </w:r>
      <w:r w:rsidR="00E55AE6" w:rsidRPr="00E55AE6">
        <w:rPr>
          <w:rFonts w:eastAsia="Times New Roman"/>
          <w:color w:val="000000" w:themeColor="text1"/>
          <w:sz w:val="20"/>
          <w:szCs w:val="20"/>
          <w:lang w:val="en-US"/>
        </w:rPr>
        <w:t xml:space="preserve"> argued that MCQs are better than essay questions especially in summative assessment</w:t>
      </w:r>
      <w:r w:rsidR="00AF4B41">
        <w:rPr>
          <w:rFonts w:eastAsia="Times New Roman"/>
          <w:color w:val="000000" w:themeColor="text1"/>
          <w:sz w:val="20"/>
          <w:szCs w:val="20"/>
          <w:lang w:val="en-US"/>
        </w:rPr>
        <w:t>.</w:t>
      </w:r>
      <w:r w:rsidR="00AF4B41">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{"citationItems":[{"id":"ITEM-1","itemData":{"DOI":"10.1186/s12909-014-0249-2","ISSN":"14726920","PMID":"25431359","abstract":"Background: Written assessments fall into two classes: constructed-response or open-ended questions, such as the essay and a number of variants of the short-Answer question, and selected-response or closed-ended questions; typically in the form of multiple-choice. It is widely believed that constructed response written questions test higher order cognitive processes in a manner that multiple-choice questions cannot, and consequently have higher validity. Discussion: An extensive review of the literature suggests that in summative assessment neither premise is evidence-based. Well-structured open-ended and multiple-choice questions appear equivalent in their ability to assess higher cognitive functions, and performance in multiple-choice assessments may correlate more highly than the open-ended format with competence demonstrated in clinical practice following graduation. Studies of construct validity suggest that both formats measure essentially the same dimension, at least in mathematics, the physical sciences, biology and medicine. The persistence of the open-ended format in summative assessment may be due to the intuitive appeal of the belief that synthesising an answer to an open-ended question must be both more cognitively taxing and similar to actual experience than is selecting a correct response. I suggest that cognitive-constructivist learning theory would predict that a well-constructed context-rich multiple-choice item represents a complex problem-solving exercise which activates a sequence of cognitive processes which closely parallel those required in clinical practice, hence explaining the high validity of the multiple-choice format. Summary: The evidence does not support the proposition that the open-ended assessment format is superior to the multiple-choice format, at least in exit-level summative assessment, in terms of either its ability to test higher-order cognitive functioning or its validity. This is explicable using a theory of mental models, which might predict that the multiple-choice format will have higher validity, a statement for which some empiric support exists. Given the superior reliability and cost-effectiveness of the multiple-choice format consideration should be given to phasing out open-ended format questions in summative assessment. Whether the same applies to non-exit-level assessment and formative assessment is a question which remains to be answered; particularly in terms of the educational effect of testing, an…","author":[{"dropping-particle":"","family":"Hift","given":"Richard J.","non-dropping-particle":"","parse-names":false,"suffix":""}],"container-title":"BMC Medical Education","id":"ITEM-1","issue":"1","issued":{"date-parts":[["2014"]]},"page":"1-18","title":"Should essays and other open-ended-Type questions retain a place in written summative assessment in clinical medicine?","type":"article","volume":"14"},"uris":["http://www.mendeley.com/documents/?uuid=0fe4dff9-0659-3ae1-8e47-c025c796b459"]}],"mendeley":{"formattedCitation":"[49]","plainTextFormattedCitation":"[49]","previouslyFormattedCitation":"[49]"},"properties":{"noteIndex":0},"schema":"https://github.com/citation-style-language/schema/raw/master/csl-citation.json"}</w:instrText>
      </w:r>
      <w:r w:rsidR="00AF4B41">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[49]</w:t>
      </w:r>
      <w:r w:rsidR="00AF4B41">
        <w:rPr>
          <w:rFonts w:eastAsia="Times New Roman"/>
          <w:color w:val="000000" w:themeColor="text1"/>
          <w:sz w:val="20"/>
          <w:szCs w:val="20"/>
          <w:lang w:val="en-US"/>
        </w:rPr>
        <w:fldChar w:fldCharType="end"/>
      </w:r>
      <w:r w:rsidR="00E55AE6" w:rsidRPr="00E55AE6">
        <w:rPr>
          <w:rFonts w:eastAsia="Times New Roman"/>
          <w:color w:val="000000" w:themeColor="text1"/>
          <w:sz w:val="20"/>
          <w:szCs w:val="20"/>
          <w:lang w:val="en-US"/>
        </w:rPr>
        <w:t xml:space="preserve"> Several reports suggested that beside being a valuable assessment method, MCQs are considered a useful learning tool for learners when they are involved in their design, promoting deep learning</w:t>
      </w:r>
      <w:r w:rsidR="000444DD">
        <w:rPr>
          <w:rFonts w:eastAsia="Times New Roman"/>
          <w:color w:val="000000" w:themeColor="text1"/>
          <w:sz w:val="20"/>
          <w:szCs w:val="20"/>
          <w:lang w:val="en-US"/>
        </w:rPr>
        <w:t>.</w:t>
      </w:r>
      <w:r w:rsidR="000444DD">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{"citationItems":[{"id":"ITEM-1","itemData":{"DOI":"10.1002/bmb.20526","ISSN":"14708175","abstract":"A participatory learning approach, combined with both a traditional and a competitive assessment, was used to motivate students and promote a deep approach to learning biochemistry. Students were challenged to research, author, and explain their own multiple-choice questions (MCQs). They were also required to answer, evaluate, and discuss MCQs written by their peers. The technology used to support this activity was PeerWise-a freely available, innovative web-based system that supports students in the creation of an annotated question repository. In this case study, we describe students' contributions to, and perceptions of, the PeerWise system for a cohort of 107 second-year biomedical science students from three degree streams studying a core biochemistry subject. Our study suggests that the students are eager participants and produce a large repository of relevant, good quality MCQs. In addition, they rate the PeerWise system highly and use higher order thinking skills while taking an active role in their learning. We also discuss potential issues and future work using PeerWise for biomedical students. © 2011 Wiley Periodicals, Inc.","author":[{"dropping-particle":"","family":"Bottomley","given":"Steven","non-dropping-particle":"","parse-names":false,"suffix":""},{"dropping-particle":"","family":"Denny","given":"Paul","non-dropping-particle":"","parse-names":false,"suffix":""}],"container-title":"Biochemistry and Molecular Biology Education","id":"ITEM-1","issue":"5","issued":{"date-parts":[["2011"]]},"title":"A participatory learning approach to biochemistry using student authored and evaluated multiple-choice questions","type":"article-journal","volume":"39"},"uris":["http://www.mendeley.com/documents/?uuid=07b49ed2-00a1-3e3c-a108-6862f920ced3"]},{"id":"ITEM-2","itemData":{"DOI":"10.1186/s12909-018-1312-1","ISSN":"14726920","PMID":"30134898","abstract":"Background: Medical students facing high-stakes exams want study resources that have a direct relationship with their assessments. At the same time, they need to develop the skills to think analytically about complex clinical problems. Multiple-choice questions (MCQs) are widely used in medical education and can promote surface learning strategies, but creating MCQs requires both in-depth content knowledge and sophisticated analytical thinking. Therefore, we piloted an MCQ-writing task in which students developed MCQs for their peers to answer. Methods: Students in a fourth-year anatomic pathology course (N = 106) were required to write MCQs using the PeerWise platform. Students created two MCQs for each of four topic areas and the MCQs were answered, rated and commented on by their classmates. Questions were rated for cognitive complexity and a paper-based survey was administered to investigate whether this activity was acceptable, feasible, and whether it promoted desirable learning behaviours in students. Results: Students were able to create cognitively challenging MCQs: 313/421 (74%) of the MCQs which we rated required the respondent to apply or analyse pathology knowledge. However, students who responded to the end-of-course questionnaire (N = 62) saw the task as having little educational value. Students found PeerWise easy to use, and indicated that they read widely to prepare questions and monitored the quality of their questions. They did not, however, engage in extensive peer feedback via PeerWise. Conclusions: Our study showed that the MCQ writing task was feasible and engaged students in self-evaluation and synthesising information from a range of sources, but it was not well accepted and did not strongly engage students in peer-learning. Although students were able to create complex MCQs, they found some aspects of the writing process burdensome and tended not to trust the quality of each other's MCQs. Because of the evidence this task did promote deep learning, it is worth continuing this mode of teaching if the task can be made more acceptable to students.","author":[{"dropping-particle":"","family":"Grainger","given":"Rebecca","non-dropping-particle":"","parse-names":false,"suffix":""},{"dropping-particle":"","family":"Dai","given":"Wei","non-dropping-particle":"","parse-names":false,"suffix":""},{"dropping-particle":"","family":"Osborne","given":"Emma","non-dropping-particle":"","parse-names":false,"suffix":""},{"dropping-particle":"","family":"Kenwright","given":"Diane","non-dropping-particle":"","parse-names":false,"suffix":""}],"container-title":"BMC Medical Education","id":"ITEM-2","issue":"1","issued":{"date-parts":[["2018"]]},"title":"Medical students create multiple-choice questions for learning in pathology education: A pilot study","type":"article-journal","volume":"18"},"uris":["http://www.mendeley.com/documents/?uuid=6460090e-383e-3225-b77a-d84be8ba6559"]},{"id":"ITEM-3","itemData":{"DOI":"10.1080/10401334.2015.1011651","ISSN":"10401334","PMID":"25893940","abstract":"Problem: Multiple-choice questions (MCQs) are the main method of assessing medical student knowledge. As a result there is a high demand from medical students for formative MCQs. However, teaching staff rarely have the time or incentive to develop high-quality formative questions, focusing instead on material for high-stakes assessments. Intervention: We have developed a novel student-led approach involving an interactive online question database, created by medical students for medical students. We adopted a staged approach to create an online bank of formative MCQ questions. First, students write MCQs following a standardized format. Questions are then peer-reviewed by other students, discussing relevant clinical topics, guidelines, and journals to improve question quality. The questions are then scrutinized by specialist doctors and academics. Next, questions are piloted online. Finally, question performance is evaluated statistically. This 5-stage student-led process produced a bank of more than 200 MCQs in three months. Context: This intervention was carried out by two final-year medical student leads at Cardiff University School of Medicine, UK. Final-year students were recruited to write and peer-review questions, and senior content specialists were recruited from the department. After piloting and evaluation of the questions, the question bank was made available as a learning resource to all medical students at Cardiff University. Outcome: Objective analysis of the created MCQs (discrimination indices and distractor analysis) indicated that the random sample of questions piloted were of high quality. When the questions were made available as online tests to approximately 600 students, usage data revealed that 2,800 tests were taken over a 3-month period, indicating that the resource was popular. In addition, subjective feedback from students question writers/reviewers was gathered via free text feedback forms and was invariably positive. We plan to continue the question generation process in Cardiff and would encourage other medical schools to adopt this approach. Lessons Learned: Our 5-stage approach can generate a large volume of high-quality MCQs, addressing the demand from students for formative MCQ questions, with minimal teaching staff input. The project's benefits go beyond the creation of the resource, as involving students in the writing, review, and presentation of questions itself is useful pedagogically.","author":[{"dropping-particle":"","family":"Harris","given":"Benjamin H.L.","non-dropping-particle":"","parse-names":false,"suffix":""},{"dropping-particle":"","family":"Walsh","given":"Jason L.","non-dropping-particle":"","parse-names":false,"suffix":""},{"dropping-particle":"","family":"Tayyaba","given":"Saadia","non-dropping-particle":"","parse-names":false,"suffix":""},{"dropping-particle":"","family":"Harris","given":"David A.","non-dropping-particle":"","parse-names":false,"suffix":""},{"dropping-particle":"","family":"Wilson","given":"David J.","non-dropping-particle":"","parse-names":false,"suffix":""},{"dropping-particle":"","family":"Smith","given":"Phil E.","non-dropping-particle":"","parse-names":false,"suffix":""}],"container-title":"Teaching and Learning in Medicine","id":"ITEM-3","issue":"2","issued":{"date-parts":[["2015"]]},"page":"182-188","title":"A Novel Student-Led Approach to Multiple-Choice Question Generation and Online Database Creation, With Targeted Clinician Input","type":"article-journal","volume":"27"},"uris":["http://www.mendeley.com/documents/?uuid=5a7f35dd-6436-3077-9445-51e4b90d8f2d"]},{"id":"ITEM-4","itemData":{"DOI":"10.1186/s12909-019-1469-2","ISSN":"14726920","PMID":"30704452","abstract":"Background: Writing multiple choice questions may be a valuable tool for medical education. We asked medical students to generate multiple choice questions and studied its effect on their exams. We hypothesized that students generating questions would improve their learning. Methods: We randomized students in their second and third years at the School of Medicine to write four multiple choice questions on two different sections of General Pathology (Immunopathology and Electrolyte and acid-base status; second year) and Pathophysiology (Blood and Respiratory system; third year). We analyzed whether students writing questions on a section had better results in the exam test in that section than the rest of the students. Results: Seventy-five (38.2%) students wrote questions for General Pathology and 109 (47.6%) for Pathophysiology. Students that wrote questions obtained significantly better results in the exam than those who did not. In General Pathology, students who wrote questions about Immunopathology obtained better results in that section than those who wrote questions about the other section (5.13 versus 3.86 over 10; P = 0.03). In Pathophysiology, the differences between both groups were not significant, but students who wrote good questions about Respiratory system obtained better results in that section than those who wrote good questions about Blood (6.07 versus 4.28 over 10; P = 0.015). Male students wrote good questions in Pathophysiology more frequently than female students (28.1% versus 10.4%; P = 0.02). Conclusions: The writing of multiple choice questions by medical students may improve their learning. A gender effect may also influence this intervention. Future investigations should refine its potential role in teaching.","author":[{"dropping-particle":"","family":"Herrero","given":"Jose Ignacio","non-dropping-particle":"","parse-names":false,"suffix":""},{"dropping-particle":"","family":"Lucena","given":"Felipe","non-dropping-particle":"","parse-names":false,"suffix":""},{"dropping-particle":"","family":"Quiroga","given":"Jorge","non-dropping-particle":"","parse-names":false,"suffix":""}],"container-title":"BMC Medical Education","id":"ITEM-4","issue":"1","issued":{"date-parts":[["2019"]]},"title":"Randomized study showing the benefit of medical study writing multiple choice questions on their learning","type":"article-journal","volume":"19"},"uris":["http://www.mendeley.com/documents/?uuid=f6e6a62d-70fd-3afc-bcff-542271afb93a"]},{"id":"ITEM-5","itemData":{"DOI":"10.1080/10872981.2021.2005505","ISSN":"10872981","PMID":"34969352","abstract":"Practicing Multiple-choice questions is a popular learning method among medical students. While MCQs are commonly used in exams, creating them might provide another opportunity for students to boost their learning. Yet, the effectiveness of student-generated multiple-choice questions in medical education has been questioned. This study aims to verify the effects of student-generated MCQs on medical learning either in terms of students’ perceptions or their performance and behavior, as well as define the circumstances that would make this activity more useful to the students. Articles were identified by searching four databases MEDLINE, SCOPUS, Web of Science, and ERIC, as well as scanning references. The titles and abstracts were selected based on a pre-established eligibility criterion, and the methodological quality of articles included was assessed using the MERSQI scoring system. Eight hundred and eighty-four papers were identified. Eleven papers were retained after abstract and title screening, and 6 articles were recovered from cross-referencing, making it 17 articles in the end. The mean MERSQI score was 10.42. Most studies showed a positive impact of developing MCQs on medical students’ learning in terms of both perception and performance. Few articles in the literature examined the influence of student-generated MCQs on medical students learning. Amid some concerns about time and needed effort, writing multiple-choice questions as a learning method appears to be a useful process for improving medical students’ learning.","author":[{"dropping-particle":"","family":"Touissi","given":"Youness","non-dropping-particle":"","parse-names":false,"suffix":""},{"dropping-particle":"","family":"Hjiej","given":"Ghita","non-dropping-particle":"","parse-names":false,"suffix":""},{"dropping-particle":"","family":"Hajjioui","given":"Abderrazak","non-dropping-particle":"","parse-names":false,"suffix":""},{"dropping-particle":"","family":"Ibrahimi","given":"Azeddine","non-dropping-particle":"","parse-names":false,"suffix":""},{"dropping-particle":"","family":"Fourtassi","given":"Maryam","non-dropping-particle":"","parse-names":false,"suffix":""}],"container-title":"Medical Education Online","id":"ITEM-5","issue":"1","issued":{"date-parts":[["2022"]]},"page":"2005505","title":"Does developing multiple-choice Questions Improve Medical Students’ Learning? A Systematic Review","type":"article","volume":"27"},"uris":["http://www.mendeley.com/documents/?uuid=d33997f0-c7d8-3806-b69a-9a4cb3377d71"]}],"mendeley":{"formattedCitation":"[44,50–53]","plainTextFormattedCitation":"[44,50–53]","previouslyFormattedCitation":"[44,50–53]"},"properties":{"noteIndex":0},"schema":"https://github.com/citation-style-language/schema/raw/master/csl-citation.json"}</w:instrText>
      </w:r>
      <w:r w:rsidR="000444DD">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[44,50–53]</w:t>
      </w:r>
      <w:r w:rsidR="000444DD">
        <w:rPr>
          <w:rFonts w:eastAsia="Times New Roman"/>
          <w:color w:val="000000" w:themeColor="text1"/>
          <w:sz w:val="20"/>
          <w:szCs w:val="20"/>
          <w:lang w:val="en-US"/>
        </w:rPr>
        <w:fldChar w:fldCharType="end"/>
      </w:r>
    </w:p>
    <w:p w14:paraId="43B0A6FD" w14:textId="677BFAD3" w:rsidR="00E55AE6" w:rsidRDefault="009E706B" w:rsidP="00CD3C9A">
      <w:pPr>
        <w:spacing w:line="360" w:lineRule="auto"/>
        <w:rPr>
          <w:rFonts w:eastAsia="Times New Roman"/>
          <w:color w:val="333333"/>
          <w:sz w:val="20"/>
          <w:szCs w:val="20"/>
        </w:rPr>
      </w:pPr>
      <w:r w:rsidRPr="00CD3C9A">
        <w:rPr>
          <w:rFonts w:eastAsia="Times New Roman"/>
          <w:color w:val="000000" w:themeColor="text1"/>
          <w:sz w:val="20"/>
          <w:szCs w:val="20"/>
          <w:lang w:val="en-US"/>
        </w:rPr>
        <w:t xml:space="preserve">Some educators </w:t>
      </w:r>
      <w:r w:rsidR="00E55AE6" w:rsidRPr="00E55AE6">
        <w:rPr>
          <w:rFonts w:eastAsia="Times New Roman"/>
          <w:color w:val="333333"/>
          <w:sz w:val="20"/>
          <w:szCs w:val="20"/>
        </w:rPr>
        <w:t>claim that MCQs do not assess clinical, problem solving or communications skills</w:t>
      </w:r>
      <w:r w:rsidR="000444DD">
        <w:rPr>
          <w:rFonts w:eastAsia="Times New Roman"/>
          <w:color w:val="333333"/>
          <w:sz w:val="20"/>
          <w:szCs w:val="20"/>
        </w:rPr>
        <w:t>.</w:t>
      </w:r>
      <w:r w:rsidR="000444DD">
        <w:rPr>
          <w:rFonts w:eastAsia="Times New Roman"/>
          <w:color w:val="333333"/>
          <w:sz w:val="20"/>
          <w:szCs w:val="20"/>
        </w:rPr>
        <w:fldChar w:fldCharType="begin" w:fldLock="1"/>
      </w:r>
      <w:r w:rsidR="00351E6D">
        <w:rPr>
          <w:rFonts w:eastAsia="Times New Roman"/>
          <w:color w:val="333333"/>
          <w:sz w:val="20"/>
          <w:szCs w:val="20"/>
        </w:rPr>
        <w:instrText>ADDIN CSL_CITATION {"citationItems":[{"id":"ITEM-1","itemData":{"DOI":"10.3928/00220124-20151020-11","ISSN":"00220124","PMID":"26509397","abstract":"Few articles contemplate the need for good guidance in question item-writing in the continuing education (CE) space. Although many of the core principles of sound item design translate to the CE health education team, the need exists for specifi c examples for nurse educators that clearly describe how to measure changes in competence and knowledge using multiple choice items. In this article, some keys points and specifi c examples for nursing CE providers are shared.","author":[{"dropping-particle":"","family":"Brady","given":"Erik D.","non-dropping-particle":"","parse-names":false,"suffix":""}],"container-title":"Journal of Continuing Education in Nursing","id":"ITEM-1","issue":"11","issued":{"date-parts":[["2015"]]},"page":"481-483","title":"Writing multiple choice outcome questions to assess knowledge and competence","type":"article-journal","volume":"46"},"uris":["http://www.mendeley.com/documents/?uuid=40575d11-0d9d-3ddb-be6a-7607e28f9e66"]},{"id":"ITEM-2","itemData":{"DOI":"10.5688/ajpe798122","ISSN":"15536467","PMID":"26690286","abstract":"Objective. To evaluate how effectively pharmacy students and practicing pharmacists communicate and apply knowledge to simulations of commonly encountered patient scenarios using an objective structured clinical examination (OSCE). Design. Second-, third-, and fourth-year pharmacy students completed an OSCE as part of their required courses in 2012 and 2013. All students in both years completed identical OSCE cases. Licensed pharmacists were recruited to complete the OSCE and serve as controls in 2012. A survey assessed student perception and acceptance of the OSCE as well as student confidence in performance. Assessment. Licensed pharmacists had significantly higher clinical and communication skills scores than did pharmacy students. Student progression in communication and clinical skills improved significantly over time. Survey results indicated that students felt the OSCE was well-structured and assessed clinical skills taught in pharmacy school; 86% of students felt confident they could provide these skills. Conclusion. Objective structured clinical examinations can evaluate clinical competence and communication skills among professional students. Implementation of OSCEs may be an effective tool for assessment of the Center for the Advancement of Pharmacy Education domains.","author":[{"dropping-particle":"","family":"Urteaga","given":"Elizabeth M.","non-dropping-particle":"","parse-names":false,"suffix":""},{"dropping-particle":"","family":"Attridge","given":"Rebecca L.","non-dropping-particle":"","parse-names":false,"suffix":""},{"dropping-particle":"","family":"Tovar","given":"John M.","non-dropping-particle":"","parse-names":false,"suffix":""},{"dropping-particle":"","family":"Witte","given":"Amy P.","non-dropping-particle":"","parse-names":false,"suffix":""}],"container-title":"American Journal of Pharmaceutical Education","id":"ITEM-2","issue":"8","issued":{"date-parts":[["2015"]]},"page":"122","title":"Evaluation of clinical and communication skills of pharmacy students and pharmacists with an objective structured clinical examination","type":"article-journal","volume":"79"},"uris":["http://www.mendeley.com/documents/?uuid=6a3a73af-302b-3306-9d3b-f5eea7eadb40"]},{"id":"ITEM-3","itemData":{"author":[{"dropping-particle":"","family":"Vegi","given":"V.A.K.","non-dropping-particle":"","parse-names":false,"suffix":""},{"dropping-particle":"V.","family":"Sudhakar","given":"P.","non-dropping-particle":"","parse-names":false,"suffix":""},{"dropping-particle":"","family":"Bhimarasetty","given":"D. M.","non-dropping-particle":"","parse-names":false,"suffix":""},{"dropping-particle":"","family":"Pamarthi","given":"K.","non-dropping-particle":"","parse-names":false,"suffix":""},{"dropping-particle":"","family":"Edara","given":"L.","non-dropping-particle":"","parse-names":false,"suffix":""},{"dropping-particle":"","family":"Kutikuppala","given":"L.V.S.","non-dropping-particle":"","parse-names":false,"suffix":""},{"dropping-particle":"","family":"Suvvari","given":"T.K.","non-dropping-particle":"","parse-names":false,"suffix":""},{"dropping-particle":"","family":"Anand","given":"S.","non-dropping-particle":"","parse-names":false,"suffix":""}],"container-title":"J Educ Health Promot","id":"ITEM-3","issued":{"date-parts":[["2022"]]},"page":"103","title":"Multiple-choice questions in assessment: Perceptions of medical students from low-resource setting.","type":"article-journal","volume":"11"},"uris":["http://www.mendeley.com/documents/?uuid=2ee22c4c-efb3-4d3d-84b5-e833d4610583"]}],"mendeley":{"formattedCitation":"[47,54,55]","plainTextFormattedCitation":"[47,54,55]","previouslyFormattedCitation":"[47,54,55]"},"properties":{"noteIndex":0},"schema":"https://github.com/citation-style-language/schema/raw/master/csl-citation.json"}</w:instrText>
      </w:r>
      <w:r w:rsidR="000444DD">
        <w:rPr>
          <w:rFonts w:eastAsia="Times New Roman"/>
          <w:color w:val="333333"/>
          <w:sz w:val="20"/>
          <w:szCs w:val="20"/>
        </w:rPr>
        <w:fldChar w:fldCharType="separate"/>
      </w:r>
      <w:r w:rsidR="00444200" w:rsidRPr="00444200">
        <w:rPr>
          <w:rFonts w:eastAsia="Times New Roman"/>
          <w:noProof/>
          <w:color w:val="333333"/>
          <w:sz w:val="20"/>
          <w:szCs w:val="20"/>
        </w:rPr>
        <w:t>[47,54,55]</w:t>
      </w:r>
      <w:r w:rsidR="000444DD">
        <w:rPr>
          <w:rFonts w:eastAsia="Times New Roman"/>
          <w:color w:val="333333"/>
          <w:sz w:val="20"/>
          <w:szCs w:val="20"/>
        </w:rPr>
        <w:fldChar w:fldCharType="end"/>
      </w:r>
      <w:r w:rsidR="00E55AE6" w:rsidRPr="00E55AE6">
        <w:rPr>
          <w:rFonts w:eastAsia="Times New Roman"/>
          <w:color w:val="333333"/>
          <w:sz w:val="20"/>
          <w:szCs w:val="20"/>
        </w:rPr>
        <w:t xml:space="preserve"> These skills are important in medical and allied medical professions</w:t>
      </w:r>
      <w:r w:rsidR="000444DD">
        <w:rPr>
          <w:rFonts w:eastAsia="Times New Roman"/>
          <w:color w:val="333333"/>
          <w:sz w:val="20"/>
          <w:szCs w:val="20"/>
        </w:rPr>
        <w:t>.</w:t>
      </w:r>
      <w:r w:rsidR="000444DD">
        <w:rPr>
          <w:rFonts w:eastAsia="Times New Roman"/>
          <w:color w:val="333333"/>
          <w:sz w:val="20"/>
          <w:szCs w:val="20"/>
        </w:rPr>
        <w:fldChar w:fldCharType="begin" w:fldLock="1"/>
      </w:r>
      <w:r w:rsidR="00351E6D">
        <w:rPr>
          <w:rFonts w:eastAsia="Times New Roman"/>
          <w:color w:val="333333"/>
          <w:sz w:val="20"/>
          <w:szCs w:val="20"/>
        </w:rPr>
        <w:instrText>ADDIN CSL_CITATION {"citationItems":[{"id":"ITEM-1","itemData":{"DOI":"10.11124/jbisrir-2012-327","ISSN":"1838-2142","abstract":"Review Question/Objective: The objective is to identify and assess the effectiveness of tools and methods of teaching communication skills to health professional students in undergraduate and postgraduate programs, to facilitate communication in hospitals, nursing homes and mental health institutions.","author":[{"dropping-particle":"","family":"MacDonald-Wicks","given":"Lesley","non-dropping-particle":"","parse-names":false,"suffix":""},{"dropping-particle":"","family":"Levett-Jones","given":"Tracy","non-dropping-particle":"","parse-names":false,"suffix":""}],"container-title":"JBI Library of Systematic Reviews","id":"ITEM-1","issue":"28","issued":{"date-parts":[["2012"]]},"page":"1-12","title":"Effective teaching of communication to health professional undergraduate and postgraduate students: A Systematic Review","type":"article-journal","volume":"10"},"uris":["http://www.mendeley.com/documents/?uuid=9d7840bd-8bf4-3c61-904f-47466d26f850"]},{"id":"ITEM-2","itemData":{"DOI":"10.3402/meo.v15i0.4846","ISSN":"10872981","PMID":"20563279","abstract":"The Dreyfus model describes how individuals progress through various levels in their acquisition of skills and subsumes ideas with regard to how individuals learn. Such a model is being accepted almost without debate from physicians to explain the 'acquisition' of clinical skills. This paper reviews such a model, discusses several controversial points, clarifies what kind of knowledge the model is about, and examines its coherence in terms of problem-solving skills. Dreyfus' main idea that intuition is a major aspect of expertise is also discussed in some detail. Relevant scientific evidence from cognitive science, psychology, and neuroscience is reviewed to accomplish these aims. Although the Dreyfus model may partially explain the 'acquisition' of some skills, it is debatable if it can explain the acquisition of clinical skills. The complex nature of clinical problem-solving skills and the rich interplay between the implicit and explicit forms of knowledge must be taken into consideration when we want to explain 'acquisition' of clinical skills. The idea that experts work from intuition, not from reason, should be evaluated carefully.","author":[{"dropping-particle":"","family":"Peña","given":"Adolfo","non-dropping-particle":"","parse-names":false,"suffix":""}],"container-title":"Medical education online","id":"ITEM-2","issued":{"date-parts":[["2010"]]},"title":"The Dreyfus model of clinical problem-solving skills acquisition: a critical perspective.","type":"article","volume":"15"},"uris":["http://www.mendeley.com/documents/?uuid=83771a0e-61b1-3700-9d4d-e4c5843ed138"]},{"id":"ITEM-3","itemData":{"DOI":"10.4103/2229-516x.162273","ISSN":"2229-516X","abstract":"INTRODUCTION: Like many other people based professions, communications skills are essential to medical practice also. Traditional medical teaching in India does not address communication skills which are most essential in dealing with patients. Communication skills can be taught to medical students to increase clinical competence.\\n\\nOBJECTIVE: To teach basic communication and counseling skills to fourth-year undergraduate students to increase their clinical competence.\\n\\nMETHODOLOGY: A total of 48, fourth-year MBBS students participated in the study. They were given training in basic communication and counseling skills and taught the patient interview technique according to Calgary-Cambridge guide format. Improvement in communication was assessed by change in pre- and post-training multiple choice questions, clinical patient examination, and Standardized Patient Satisfaction Questionnaire (SPSQ) scores.\\n\\nRESULTS AND ANALYSIS: About 88% of the students in the sample were convinced of the importance of learning communication skills for effective practice. Almost 90% students were communicating better after training, as tested by improved SPSQ. As judged by Communication Skill Attitude Scale, student's positive attitude toward learning communication skill indicated that there is a necessity of communication skill training during undergraduate years.\\n\\nCONCLUSION: The ability to communicate effectively is a core competency for medical practitioners. Inculcating habits of good communications skill during formative years will help the medical students and future practitioners. Regular courses on effective communication should be included in the medical school curriculum.","author":[{"dropping-particle":"","family":"Choudhary","given":"Anjali","non-dropping-particle":"","parse-names":false,"suffix":""},{"dropping-particle":"","family":"Gupta","given":"Vineeta","non-dropping-particle":"","parse-names":false,"suffix":""}],"container-title":"International Journal of Applied and Basic Medical Research","id":"ITEM-3","issue":"4","issued":{"date-parts":[["2015"]]},"page":"41","title":"Teaching communications skills to medical students: Introducing the fine art of medical practice","type":"article-journal","volume":"5"},"uris":["http://www.mendeley.com/documents/?uuid=e538359a-f9f7-3dd9-8113-6c299dd5c62a"]}],"mendeley":{"formattedCitation":"[56–58]","plainTextFormattedCitation":"[56–58]","previouslyFormattedCitation":"[56–58]"},"properties":{"noteIndex":0},"schema":"https://github.com/citation-style-language/schema/raw/master/csl-citation.json"}</w:instrText>
      </w:r>
      <w:r w:rsidR="000444DD">
        <w:rPr>
          <w:rFonts w:eastAsia="Times New Roman"/>
          <w:color w:val="333333"/>
          <w:sz w:val="20"/>
          <w:szCs w:val="20"/>
        </w:rPr>
        <w:fldChar w:fldCharType="separate"/>
      </w:r>
      <w:r w:rsidR="00444200" w:rsidRPr="00444200">
        <w:rPr>
          <w:rFonts w:eastAsia="Times New Roman"/>
          <w:noProof/>
          <w:color w:val="333333"/>
          <w:sz w:val="20"/>
          <w:szCs w:val="20"/>
        </w:rPr>
        <w:t>[56–58]</w:t>
      </w:r>
      <w:r w:rsidR="000444DD">
        <w:rPr>
          <w:rFonts w:eastAsia="Times New Roman"/>
          <w:color w:val="333333"/>
          <w:sz w:val="20"/>
          <w:szCs w:val="20"/>
        </w:rPr>
        <w:fldChar w:fldCharType="end"/>
      </w:r>
      <w:r w:rsidR="00E55AE6" w:rsidRPr="00E55AE6">
        <w:rPr>
          <w:rFonts w:eastAsia="Times New Roman"/>
          <w:color w:val="333333"/>
          <w:sz w:val="20"/>
          <w:szCs w:val="20"/>
        </w:rPr>
        <w:t xml:space="preserve"> Another limitation of MCQs is that students can correctly answer questions by recognising the correct option(s) rather than by identifying the answer spontaneously; a concept known as cueing</w:t>
      </w:r>
      <w:r w:rsidR="000444DD">
        <w:rPr>
          <w:rFonts w:eastAsia="Times New Roman"/>
          <w:color w:val="333333"/>
          <w:sz w:val="20"/>
          <w:szCs w:val="20"/>
        </w:rPr>
        <w:t>.</w:t>
      </w:r>
      <w:r w:rsidR="000444DD">
        <w:rPr>
          <w:rFonts w:eastAsia="Times New Roman"/>
          <w:color w:val="333333"/>
          <w:sz w:val="20"/>
          <w:szCs w:val="20"/>
        </w:rPr>
        <w:fldChar w:fldCharType="begin" w:fldLock="1"/>
      </w:r>
      <w:r w:rsidR="00351E6D">
        <w:rPr>
          <w:rFonts w:eastAsia="Times New Roman"/>
          <w:color w:val="333333"/>
          <w:sz w:val="20"/>
          <w:szCs w:val="20"/>
        </w:rPr>
        <w:instrText>ADDIN CSL_CITATION {"citationItems":[{"id":"ITEM-1","itemData":{"DOI":"10.1111/j.1365-2929.2004.01916.x","ISSN":"03080110","PMID":"15327679","abstract":"INTRODUCTION: Written assessment techniques can be subdivided according to their stimulus format - what the questions asks - and their response format - how the answer is recorded. The former is more important in determining the type of competence being asked for than the latter. It is nevertheless important to consider both when selecting the most appropriate types. Some major elements to consider when making such a selection are cueing effect, reliability, validity, educational impact and resource-intensiveness. RESPONSE FORMATS: Open-ended questions should be used solely to test aspects that cannot be tested with multiple-choice questions. In all other cases the loss of reliability and the higher resource-intensiveness represent a significant downside. In such cases, multiple-choice questions are not less valid than open-ended questions. STIMULUS FORMAT: When making this distinction, it is important to consider whether the question is embedded within a relevant case or context and cannot be answered without the case, or not. This appears to be more or less essential according to what is being tested by the question. Context-rich questions test other cognitive skills than do context-free questions. If knowledge alone is the purpose of the test, context-free questions may be useful, but if it is the application of knowledge or knowledge as a part of problem solving that is being tested, then context is indispensable. CONCLUSION: Every format has its (dis)advantages and a combination of formats based on rational selection is more useful than trying to find or develop a panacea. The response format is less important in this respect than the stimulus.","author":[{"dropping-particle":"","family":"Schuwirth","given":"Lambert W.T.","non-dropping-particle":"","parse-names":false,"suffix":""},{"dropping-particle":"","family":"Vleuten","given":"Cees P.M.","non-dropping-particle":"Van Der","parse-names":false,"suffix":""}],"container-title":"Medical Education","id":"ITEM-1","issue":"9","issued":{"date-parts":[["2004"]]},"page":"974-979","title":"Different written assessment methods: What can be said about their strengths and weakness?","type":"article-journal","volume":"38"},"uris":["http://www.mendeley.com/documents/?uuid=7cb6283d-d64f-3359-8229-9d2b78f15cea"]}],"mendeley":{"formattedCitation":"[42]","plainTextFormattedCitation":"[42]","previouslyFormattedCitation":"[42]"},"properties":{"noteIndex":0},"schema":"https://github.com/citation-style-language/schema/raw/master/csl-citation.json"}</w:instrText>
      </w:r>
      <w:r w:rsidR="000444DD">
        <w:rPr>
          <w:rFonts w:eastAsia="Times New Roman"/>
          <w:color w:val="333333"/>
          <w:sz w:val="20"/>
          <w:szCs w:val="20"/>
        </w:rPr>
        <w:fldChar w:fldCharType="separate"/>
      </w:r>
      <w:r w:rsidR="00444200" w:rsidRPr="00444200">
        <w:rPr>
          <w:rFonts w:eastAsia="Times New Roman"/>
          <w:noProof/>
          <w:color w:val="333333"/>
          <w:sz w:val="20"/>
          <w:szCs w:val="20"/>
        </w:rPr>
        <w:t>[42]</w:t>
      </w:r>
      <w:r w:rsidR="000444DD">
        <w:rPr>
          <w:rFonts w:eastAsia="Times New Roman"/>
          <w:color w:val="333333"/>
          <w:sz w:val="20"/>
          <w:szCs w:val="20"/>
        </w:rPr>
        <w:fldChar w:fldCharType="end"/>
      </w:r>
      <w:r w:rsidR="00E55AE6" w:rsidRPr="00E55AE6">
        <w:rPr>
          <w:rFonts w:eastAsia="Times New Roman"/>
          <w:color w:val="333333"/>
          <w:sz w:val="20"/>
          <w:szCs w:val="20"/>
        </w:rPr>
        <w:t xml:space="preserve"> The shortcomings of MCQs can be resolved by designing MCQs with a case scenario or EMQ format</w:t>
      </w:r>
      <w:r w:rsidR="000444DD">
        <w:rPr>
          <w:rFonts w:eastAsia="Times New Roman"/>
          <w:color w:val="333333"/>
          <w:sz w:val="20"/>
          <w:szCs w:val="20"/>
        </w:rPr>
        <w:t>.</w:t>
      </w:r>
      <w:r w:rsidR="000444DD">
        <w:rPr>
          <w:rFonts w:eastAsia="Times New Roman"/>
          <w:color w:val="333333"/>
          <w:sz w:val="20"/>
          <w:szCs w:val="20"/>
        </w:rPr>
        <w:fldChar w:fldCharType="begin" w:fldLock="1"/>
      </w:r>
      <w:r w:rsidR="00351E6D">
        <w:rPr>
          <w:rFonts w:eastAsia="Times New Roman"/>
          <w:color w:val="333333"/>
          <w:sz w:val="20"/>
          <w:szCs w:val="20"/>
        </w:rPr>
        <w:instrText>ADDIN CSL_CITATION {"citationItems":[{"id":"ITEM-1","itemData":{"author":[{"dropping-particle":"","family":"Vegi","given":"V.A.K.","non-dropping-particle":"","parse-names":false,"suffix":""},{"dropping-particle":"V.","family":"Sudhakar","given":"P.","non-dropping-particle":"","parse-names":false,"suffix":""},{"dropping-particle":"","family":"Bhimarasetty","given":"D. M.","non-dropping-particle":"","parse-names":false,"suffix":""},{"dropping-particle":"","family":"Pamarthi","given":"K.","non-dropping-particle":"","parse-names":false,"suffix":""},{"dropping-particle":"","family":"Edara","given":"L.","non-dropping-particle":"","parse-names":false,"suffix":""},{"dropping-particle":"","family":"Kutikuppala","given":"L.V.S.","non-dropping-particle":"","parse-names":false,"suffix":""},{"dropping-particle":"","family":"Suvvari","given":"T.K.","non-dropping-particle":"","parse-names":false,"suffix":""},{"dropping-particle":"","family":"Anand","given":"S.","non-dropping-particle":"","parse-names":false,"suffix":""}],"container-title":"J Educ Health Promot","id":"ITEM-1","issued":{"date-parts":[["2022"]]},"page":"103","title":"Multiple-choice questions in assessment: Perceptions of medical students from low-resource setting.","type":"article-journal","volume":"11"},"uris":["http://www.mendeley.com/documents/?uuid=2ee22c4c-efb3-4d3d-84b5-e833d4610583"]}],"mendeley":{"formattedCitation":"[47]","plainTextFormattedCitation":"[47]","previouslyFormattedCitation":"[47]"},"properties":{"noteIndex":0},"schema":"https://github.com/citation-style-language/schema/raw/master/csl-citation.json"}</w:instrText>
      </w:r>
      <w:r w:rsidR="000444DD">
        <w:rPr>
          <w:rFonts w:eastAsia="Times New Roman"/>
          <w:color w:val="333333"/>
          <w:sz w:val="20"/>
          <w:szCs w:val="20"/>
        </w:rPr>
        <w:fldChar w:fldCharType="separate"/>
      </w:r>
      <w:r w:rsidR="00444200" w:rsidRPr="00444200">
        <w:rPr>
          <w:rFonts w:eastAsia="Times New Roman"/>
          <w:noProof/>
          <w:color w:val="333333"/>
          <w:sz w:val="20"/>
          <w:szCs w:val="20"/>
        </w:rPr>
        <w:t>[47]</w:t>
      </w:r>
      <w:r w:rsidR="000444DD">
        <w:rPr>
          <w:rFonts w:eastAsia="Times New Roman"/>
          <w:color w:val="333333"/>
          <w:sz w:val="20"/>
          <w:szCs w:val="20"/>
        </w:rPr>
        <w:fldChar w:fldCharType="end"/>
      </w:r>
      <w:r w:rsidR="00E55AE6" w:rsidRPr="00E55AE6">
        <w:rPr>
          <w:rFonts w:eastAsia="Times New Roman"/>
          <w:color w:val="333333"/>
          <w:sz w:val="20"/>
          <w:szCs w:val="20"/>
        </w:rPr>
        <w:t xml:space="preserve"> An EMQ has a list of 10 possible answers (diagnoses, drug options, etc) given at the outset. The candidate is then given three short scenarios. In each scenario they have to choose the most appropriate answer from the list. Answers can be used more than once. There are more answer options, so there is less chance of getting the right answer by guessing. However, the scenarios are short snapshots which do not equate to a real-world clinical problem.</w:t>
      </w:r>
    </w:p>
    <w:p w14:paraId="408D338D" w14:textId="605EB342" w:rsidR="004742F9" w:rsidRPr="00CD3C9A" w:rsidRDefault="004742F9" w:rsidP="00CD3C9A">
      <w:pPr>
        <w:spacing w:line="360" w:lineRule="auto"/>
        <w:rPr>
          <w:rFonts w:eastAsia="Calibri"/>
          <w:color w:val="000000" w:themeColor="text1"/>
          <w:sz w:val="20"/>
          <w:szCs w:val="20"/>
        </w:rPr>
      </w:pPr>
      <w:r w:rsidRPr="00CD3C9A">
        <w:rPr>
          <w:sz w:val="20"/>
          <w:szCs w:val="20"/>
        </w:rPr>
        <w:t xml:space="preserve">Some of the problems associated with MCQs are that some question may be too </w:t>
      </w:r>
      <w:proofErr w:type="gramStart"/>
      <w:r w:rsidRPr="00CD3C9A">
        <w:rPr>
          <w:sz w:val="20"/>
          <w:szCs w:val="20"/>
        </w:rPr>
        <w:t>easy</w:t>
      </w:r>
      <w:proofErr w:type="gramEnd"/>
      <w:r w:rsidRPr="00CD3C9A">
        <w:rPr>
          <w:sz w:val="20"/>
          <w:szCs w:val="20"/>
        </w:rPr>
        <w:t xml:space="preserve"> and some may be too hard. Some questions may not differentiate between good and poor students. If MCQs are changed from one test to the </w:t>
      </w:r>
      <w:r w:rsidR="0065196E" w:rsidRPr="00CD3C9A">
        <w:rPr>
          <w:sz w:val="20"/>
          <w:szCs w:val="20"/>
        </w:rPr>
        <w:t>next,</w:t>
      </w:r>
      <w:r w:rsidRPr="00CD3C9A">
        <w:rPr>
          <w:sz w:val="20"/>
          <w:szCs w:val="20"/>
        </w:rPr>
        <w:t xml:space="preserve"> then some students may have easy questions and other students may have difficult questions. Those students with easy questions may end up with a grade higher than their ability truly deserves and those with difficult questions may end up with a grade lower than their ability truly deserves. There is no consistency if difficulty level from one year to the next. It is important to use item analysis (the item being each MCQ) in order to build up a bank of MCQs which can be used to make sure a test i</w:t>
      </w:r>
      <w:r w:rsidR="00A40BBB">
        <w:rPr>
          <w:sz w:val="20"/>
          <w:szCs w:val="20"/>
        </w:rPr>
        <w:t>s</w:t>
      </w:r>
      <w:r w:rsidRPr="00CD3C9A">
        <w:rPr>
          <w:sz w:val="20"/>
          <w:szCs w:val="20"/>
        </w:rPr>
        <w:t xml:space="preserve"> valid (it tests what the educator wants to test) and </w:t>
      </w:r>
      <w:r w:rsidR="00A40BBB">
        <w:rPr>
          <w:sz w:val="20"/>
          <w:szCs w:val="20"/>
        </w:rPr>
        <w:t xml:space="preserve">has </w:t>
      </w:r>
      <w:r w:rsidRPr="00CD3C9A">
        <w:rPr>
          <w:sz w:val="20"/>
          <w:szCs w:val="20"/>
        </w:rPr>
        <w:t>reliability (how repeatable the test results are for the same student). MCQ item analysis should consist of the difficulty index (percentage of students that correctly answered the item), discrimination index (how well the MCQ distinguishes between high achievers and low achievers), distractor effectiveness (how well the distractors distract from the correct answer). Each MCQ should be evaluated for these indices</w:t>
      </w:r>
      <w:r w:rsidR="000444DD">
        <w:rPr>
          <w:sz w:val="20"/>
          <w:szCs w:val="20"/>
        </w:rPr>
        <w:t>.</w:t>
      </w:r>
      <w:r w:rsidR="000444DD">
        <w:rPr>
          <w:sz w:val="20"/>
          <w:szCs w:val="20"/>
        </w:rPr>
        <w:fldChar w:fldCharType="begin" w:fldLock="1"/>
      </w:r>
      <w:r w:rsidR="00351E6D">
        <w:rPr>
          <w:sz w:val="20"/>
          <w:szCs w:val="20"/>
        </w:rPr>
        <w:instrText>ADDIN CSL_CITATION {"citationItems":[{"id":"ITEM-1","itemData":{"DOI":"10.1016/j.mjafi.2020.11.007","ISSN":"22134743","abstract":"Background: The item analysis of multiple choice questions (MCQs) is an essential tool that can provide input on validity and reliability of items. It helps to identify items which can be revised or discarded, thus building a quality MCQ bank. Methods: The study focussed on item analysis of 90 MCQs of three tests conducted for 150 first year Bachelor of Medicine and Bachelor of Surgery (MBBS) physiology students. The item analysis explored the difficulty index (DIF I) and discrimination index (DI) with distractor effectiveness (DE). Statistical analysis was performed by using MS Excel 2010 and SPSS, version 20.0. Results: Of total 90 MCQs, the majority, that is, 74 (82%) MCQs had a good/acceptable level of difficulty with a mean DIF I of 55.32 ± 7.4 (mean ± SD), whereas seven (8%) were too difficult and nine (10%) were too easy. A total of 72 (80%) items had an excellent to acceptable DI and 18 (20%) had a poor DI with an overall mean DI of 0.31 ± 0.12. There was significant weak correlation between DIF I and DI (r = 0.140, p &lt; .0001). The mean DE was 32.35 ± 31.3 with 73% functional distractors in all. The reliability measure of test items by Cronbach alpha was 0.85 and Kuder-Richardson Formula 20 was 0.71, which is good. The standard error of measurement was 1.22. Conclusion: Our study helped teachers identify good and ideal MCQs which can be part of the question bank for future and those MCQs which needed revision. We recommend that item analysis must be performed for all MCQ-based assessments to determine validity and reliability of the assessment.","author":[{"dropping-particle":"","family":"Kumar","given":"Dharmendra","non-dropping-particle":"","parse-names":false,"suffix":""},{"dropping-particle":"","family":"Jaipurkar","given":"Raksha","non-dropping-particle":"","parse-names":false,"suffix":""},{"dropping-particle":"","family":"Shekhar","given":"Atul","non-dropping-particle":"","parse-names":false,"suffix":""},{"dropping-particle":"","family":"Sikri","given":"Gaurav","non-dropping-particle":"","parse-names":false,"suffix":""},{"dropping-particle":"","family":"Srinivas","given":"V.","non-dropping-particle":"","parse-names":false,"suffix":""}],"container-title":"Medical Journal Armed Forces India","id":"ITEM-1","issued":{"date-parts":[["2021"]]},"title":"Item analysis of multiple choice questions: A quality assurance test for an assessment tool","type":"article-journal","volume":"77"},"uris":["http://www.mendeley.com/documents/?uuid=43169fbe-06ef-3025-9e4c-8180c93b4ed1"]}],"mendeley":{"formattedCitation":"[59]","plainTextFormattedCitation":"[59]","previouslyFormattedCitation":"[59]"},"properties":{"noteIndex":0},"schema":"https://github.com/citation-style-language/schema/raw/master/csl-citation.json"}</w:instrText>
      </w:r>
      <w:r w:rsidR="000444DD">
        <w:rPr>
          <w:sz w:val="20"/>
          <w:szCs w:val="20"/>
        </w:rPr>
        <w:fldChar w:fldCharType="separate"/>
      </w:r>
      <w:r w:rsidR="00444200" w:rsidRPr="00444200">
        <w:rPr>
          <w:noProof/>
          <w:sz w:val="20"/>
          <w:szCs w:val="20"/>
        </w:rPr>
        <w:t>[59]</w:t>
      </w:r>
      <w:r w:rsidR="000444DD">
        <w:rPr>
          <w:sz w:val="20"/>
          <w:szCs w:val="20"/>
        </w:rPr>
        <w:fldChar w:fldCharType="end"/>
      </w:r>
      <w:r w:rsidRPr="00CD3C9A">
        <w:rPr>
          <w:sz w:val="20"/>
          <w:szCs w:val="20"/>
        </w:rPr>
        <w:t xml:space="preserve"> </w:t>
      </w:r>
      <w:r w:rsidR="00A40BBB" w:rsidRPr="00CD3C9A">
        <w:rPr>
          <w:sz w:val="20"/>
          <w:szCs w:val="20"/>
        </w:rPr>
        <w:t xml:space="preserve">This can be done by hand </w:t>
      </w:r>
      <w:r w:rsidR="00A40BBB">
        <w:rPr>
          <w:sz w:val="20"/>
          <w:szCs w:val="20"/>
        </w:rPr>
        <w:t xml:space="preserve">or with use of </w:t>
      </w:r>
      <w:r w:rsidR="00A40BBB" w:rsidRPr="00CD3C9A">
        <w:rPr>
          <w:sz w:val="20"/>
          <w:szCs w:val="20"/>
        </w:rPr>
        <w:t>optical character recognition</w:t>
      </w:r>
      <w:r w:rsidR="00A40BBB">
        <w:rPr>
          <w:sz w:val="20"/>
          <w:szCs w:val="20"/>
        </w:rPr>
        <w:t xml:space="preserve"> hardware</w:t>
      </w:r>
      <w:r w:rsidR="00A40BBB" w:rsidRPr="00CD3C9A">
        <w:rPr>
          <w:sz w:val="20"/>
          <w:szCs w:val="20"/>
        </w:rPr>
        <w:t xml:space="preserve"> </w:t>
      </w:r>
      <w:r w:rsidR="00A40BBB">
        <w:rPr>
          <w:sz w:val="20"/>
          <w:szCs w:val="20"/>
        </w:rPr>
        <w:t xml:space="preserve">and associated </w:t>
      </w:r>
      <w:r w:rsidR="00A40BBB" w:rsidRPr="00CD3C9A">
        <w:rPr>
          <w:sz w:val="20"/>
          <w:szCs w:val="20"/>
        </w:rPr>
        <w:t>software</w:t>
      </w:r>
      <w:r w:rsidR="00A40BBB">
        <w:rPr>
          <w:sz w:val="20"/>
          <w:szCs w:val="20"/>
        </w:rPr>
        <w:t xml:space="preserve"> or by use of an online LMS</w:t>
      </w:r>
      <w:r w:rsidRPr="00CD3C9A">
        <w:rPr>
          <w:sz w:val="20"/>
          <w:szCs w:val="20"/>
        </w:rPr>
        <w:t xml:space="preserve">. An MCQ which does not perform well in terms of accepted criteria for these indices can be modified and used and tested again or abandoned. In order to be fair to the cohort under test and future cohorts all MCQ tests should be followed with item analysis. </w:t>
      </w:r>
      <w:r w:rsidRPr="00CD3C9A">
        <w:rPr>
          <w:color w:val="222222"/>
          <w:sz w:val="20"/>
          <w:szCs w:val="20"/>
          <w:shd w:val="clear" w:color="auto" w:fill="FFFFFF"/>
        </w:rPr>
        <w:t xml:space="preserve">It is not clear if assessment of teaching and learning </w:t>
      </w:r>
      <w:r w:rsidR="00E61889" w:rsidRPr="00CD3C9A">
        <w:rPr>
          <w:color w:val="222222"/>
          <w:sz w:val="20"/>
          <w:szCs w:val="20"/>
          <w:shd w:val="clear" w:color="auto" w:fill="FFFFFF"/>
        </w:rPr>
        <w:t xml:space="preserve">using MCQs </w:t>
      </w:r>
      <w:r w:rsidRPr="00CD3C9A">
        <w:rPr>
          <w:color w:val="222222"/>
          <w:sz w:val="20"/>
          <w:szCs w:val="20"/>
          <w:shd w:val="clear" w:color="auto" w:fill="FFFFFF"/>
        </w:rPr>
        <w:t>is effective in the development of clinical skills as this has not been formally assessed.</w:t>
      </w:r>
      <w:r w:rsidR="00E61889" w:rsidRPr="00CD3C9A">
        <w:rPr>
          <w:color w:val="222222"/>
          <w:sz w:val="20"/>
          <w:szCs w:val="20"/>
          <w:shd w:val="clear" w:color="auto" w:fill="FFFFFF"/>
        </w:rPr>
        <w:t xml:space="preserve"> Although MCQs and their derivatives are a common assessment tool</w:t>
      </w:r>
      <w:r w:rsidR="00351E6D">
        <w:rPr>
          <w:color w:val="222222"/>
          <w:sz w:val="20"/>
          <w:szCs w:val="20"/>
          <w:shd w:val="clear" w:color="auto" w:fill="FFFFFF"/>
        </w:rPr>
        <w:t>,</w:t>
      </w:r>
      <w:r w:rsidR="00E61889" w:rsidRPr="00CD3C9A">
        <w:rPr>
          <w:color w:val="222222"/>
          <w:sz w:val="20"/>
          <w:szCs w:val="20"/>
          <w:shd w:val="clear" w:color="auto" w:fill="FFFFFF"/>
        </w:rPr>
        <w:t xml:space="preserve"> they lack an evidence base in the realm of CLE.</w:t>
      </w:r>
    </w:p>
    <w:p w14:paraId="57E52C4A" w14:textId="623CB857" w:rsidR="00C03656" w:rsidRPr="00CD3C9A" w:rsidRDefault="00C03656" w:rsidP="00CD3C9A">
      <w:pPr>
        <w:spacing w:line="360" w:lineRule="auto"/>
        <w:rPr>
          <w:rFonts w:eastAsia="Calibri"/>
          <w:color w:val="000000" w:themeColor="text1"/>
          <w:sz w:val="20"/>
          <w:szCs w:val="20"/>
        </w:rPr>
      </w:pPr>
    </w:p>
    <w:p w14:paraId="639654F4" w14:textId="7BF56021" w:rsidR="009B4ED0" w:rsidRPr="00CD3C9A" w:rsidRDefault="00465A41" w:rsidP="00CD3C9A">
      <w:pPr>
        <w:pStyle w:val="Heading3"/>
        <w:spacing w:before="0" w:after="0" w:line="360" w:lineRule="auto"/>
        <w:rPr>
          <w:color w:val="000000" w:themeColor="text1"/>
          <w:sz w:val="20"/>
          <w:szCs w:val="20"/>
          <w:u w:val="single"/>
          <w:lang w:val="en-US"/>
        </w:rPr>
      </w:pPr>
      <w:r w:rsidRPr="00CD3C9A">
        <w:rPr>
          <w:color w:val="000000" w:themeColor="text1"/>
          <w:sz w:val="20"/>
          <w:szCs w:val="20"/>
          <w:u w:val="single"/>
          <w:lang w:val="en-US"/>
        </w:rPr>
        <w:lastRenderedPageBreak/>
        <w:t>E</w:t>
      </w:r>
      <w:r w:rsidR="009B4ED0" w:rsidRPr="00CD3C9A">
        <w:rPr>
          <w:color w:val="000000" w:themeColor="text1"/>
          <w:sz w:val="20"/>
          <w:szCs w:val="20"/>
          <w:u w:val="single"/>
          <w:lang w:val="en-US"/>
        </w:rPr>
        <w:t>ssay writing</w:t>
      </w:r>
    </w:p>
    <w:p w14:paraId="7CEB6038" w14:textId="699986CB" w:rsidR="00E55AE6" w:rsidRDefault="00E55AE6" w:rsidP="00CD3C9A">
      <w:pPr>
        <w:spacing w:line="360" w:lineRule="auto"/>
        <w:rPr>
          <w:rFonts w:eastAsia="Times New Roman"/>
          <w:color w:val="000000" w:themeColor="text1"/>
          <w:sz w:val="20"/>
          <w:szCs w:val="20"/>
          <w:lang w:val="en-US"/>
        </w:rPr>
      </w:pPr>
      <w:r w:rsidRPr="00E55AE6">
        <w:rPr>
          <w:rFonts w:eastAsia="Times New Roman"/>
          <w:color w:val="000000" w:themeColor="text1"/>
          <w:sz w:val="20"/>
          <w:szCs w:val="20"/>
          <w:lang w:val="en-US"/>
        </w:rPr>
        <w:t>Essay writing assesses acquired knowledge and evaluates comprehension at a level higher than fact gathering</w:t>
      </w:r>
      <w:r w:rsidR="000444DD">
        <w:rPr>
          <w:rFonts w:eastAsia="Times New Roman"/>
          <w:color w:val="000000" w:themeColor="text1"/>
          <w:sz w:val="20"/>
          <w:szCs w:val="20"/>
          <w:lang w:val="en-US"/>
        </w:rPr>
        <w:t>.</w:t>
      </w:r>
      <w:r w:rsidR="000444DD">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{"citationItems":[{"id":"ITEM-1","itemData":{"DOI":"10.1016/j.amjsurg.2015.03.035","ISSN":"18791883","PMID":"26299578","abstract":"Background Third-year medical students are graded according to subjective performance evaluations and standardized tests written by the National Board of Medical Examiners (NBME). Many \"poor\" standardized test takers believe the heavily weighted NBME does not evaluate their true fund of knowledge and would prefer a more open-ended forum to display their individualized learning experiences. Our study examined the use of an essay examination as part of the surgical clerkship evaluation. Methods We retrospectively examined the final surgical clerkship grades of 781 consecutive medical students enrolled in a large urban academic medical center from 2005 to 2011. We examined final grades with and without the inclusion of the essay examination for all students using a paired t test and then sought any relationship between the essay and NBME using Pearson correlations. Results Final average with and without the essay examination was 72.2% vs 71.3% (P &lt;.001), with the essay examination increasing average scores by.4, 1.8, and 2.5 for those receiving high pass, pass, and fail, respectively. The essay decreased the average score for those earning an honors by.4. Essay scores were found to overall positively correlate with the NBME (r =.32, P &lt;.001). Conclusions The inclusion of an essay examination as part of the third-year surgical core clerkship final did increase the final grade a modest degree, especially for those with lower scores who may identify themselves as \"poor\" standardized test takers. A more open-ended forum may allow these students an opportunity to overcome this deficiency and reveal their true fund of surgical knowledge.","author":[{"dropping-particle":"","family":"Smart","given":"Blair J.","non-dropping-particle":"","parse-names":false,"suffix":""},{"dropping-particle":"","family":"Rinewalt","given":"Daniel","non-dropping-particle":"","parse-names":false,"suffix":""},{"dropping-particle":"","family":"Daly","given":"Shaun C.","non-dropping-particle":"","parse-names":false,"suffix":""},{"dropping-particle":"","family":"Janssen","given":"Imke","non-dropping-particle":"","parse-names":false,"suffix":""},{"dropping-particle":"","family":"Luu","given":"Minh B.","non-dropping-particle":"","parse-names":false,"suffix":""},{"dropping-particle":"","family":"Myers","given":"Jonathan A.","non-dropping-particle":"","parse-names":false,"suffix":""}],"container-title":"American Journal of Surgery","id":"ITEM-1","issue":"1","issued":{"date-parts":[["2016"]]},"page":"274-278","title":"The use of an essay examination in evaluating medical students during the surgical clerkship","type":"article-journal","volume":"211"},"uris":["http://www.mendeley.com/documents/?uuid=3fdf017e-39fd-305c-97e6-aa5910b2e8c4"]}],"mendeley":{"formattedCitation":"[60]","plainTextFormattedCitation":"[60]","previouslyFormattedCitation":"[60]"},"properties":{"noteIndex":0},"schema":"https://github.com/citation-style-language/schema/raw/master/csl-citation.json"}</w:instrText>
      </w:r>
      <w:r w:rsidR="000444DD">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[60]</w:t>
      </w:r>
      <w:r w:rsidR="000444DD">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Students are asked to process knowledge rather than to reproduce it. which promotes deep learning</w:t>
      </w:r>
      <w:r w:rsidR="000444DD">
        <w:rPr>
          <w:rFonts w:eastAsia="Times New Roman"/>
          <w:color w:val="000000" w:themeColor="text1"/>
          <w:sz w:val="20"/>
          <w:szCs w:val="20"/>
          <w:lang w:val="en-US"/>
        </w:rPr>
        <w:t>.</w:t>
      </w:r>
      <w:r w:rsidR="000444DD">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{"citationItems":[{"id":"ITEM-1","itemData":{"DOI":"10.1080/10872981.2019.1649959","ISSN":"10872981","PMID":"31438809","abstract":"Curricular revision efforts have resulted in learner-centered programs that value content integration and active learning. Yet, less attention has been placed on assessment methods that are learner-centered and promote assessment for learning. The use of context rich short answer question (CR-SAQ) exams in the preclinical years of medical school was evaluated to determine if this format aligns with the criteria for assessment for learning. Medical students and preclinical faculty members were sent a survey comprised of closed and open-ended questions about their experience using CR-SAQ exams. Data were analyzed using a mixed-method design. Open-ended responses were evaluated using thematic analysis within the framework of criteria for assessment for learning. A total of 274 students (94%) and 24 faculty (75%) completed the survey. Fifty four percent of students reported preferring a CR-SAQ exam format over multiple choice questions (MCQ) format. Quantitative data and qualitative comments by students supported that CR-SAQ exams aligned with criteria for assessment for learning, including acceptability, authenticity, educational effect, and the cueing effect. Student concerns included preparation for USMLE Step 1 exam, as well as the validity and reproducibility of CR-SAQ assessments. Faculty largely agreed with the benefits of the CR-SAQ, but were concerned about feasibility, acceptability and reproducibility. The CR-SAQ exam format assessment strategy supports assessment for learning in an undergraduate medical education setting. Both benefits and drawbacks of this method are presented, however students and faculty describe a broader impact that this assessment method has on their development as a physician.","author":[{"dropping-particle":"","family":"Bird","given":"Jeffrey B.","non-dropping-particle":"","parse-names":false,"suffix":""},{"dropping-particle":"","family":"Olvet","given":"Doreen M.","non-dropping-particle":"","parse-names":false,"suffix":""},{"dropping-particle":"","family":"Willey","given":"Joanne M.","non-dropping-particle":"","parse-names":false,"suffix":""},{"dropping-particle":"","family":"Brenner","given":"Judith","non-dropping-particle":"","parse-names":false,"suffix":""}],"container-title":"Medical Education Online","id":"ITEM-1","issue":"1","issued":{"date-parts":[["2019"]]},"title":"Patients don’t come with multiple choice options: essay-based assessment in UME","type":"article-journal","volume":"24"},"uris":["http://www.mendeley.com/documents/?uuid=0ac09668-b173-3ac6-ad51-4b648c56cf65"]}],"mendeley":{"formattedCitation":"[61]","plainTextFormattedCitation":"[61]","previouslyFormattedCitation":"[61]"},"properties":{"noteIndex":0},"schema":"https://github.com/citation-style-language/schema/raw/master/csl-citation.json"}</w:instrText>
      </w:r>
      <w:r w:rsidR="000444DD">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[61]</w:t>
      </w:r>
      <w:r w:rsidR="000444DD">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Essays are simple to construct and require spontaneous generation of answers, which are not influenced by the cueing effect found with MCQs</w:t>
      </w:r>
      <w:r w:rsidR="000444DD">
        <w:rPr>
          <w:rFonts w:eastAsia="Times New Roman"/>
          <w:color w:val="000000" w:themeColor="text1"/>
          <w:sz w:val="20"/>
          <w:szCs w:val="20"/>
          <w:lang w:val="en-US"/>
        </w:rPr>
        <w:t>.</w:t>
      </w:r>
      <w:r w:rsidR="000444DD">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{"citationItems":[{"id":"ITEM-1","itemData":{"DOI":"10.1080/10872981.2019.1649959","ISSN":"10872981","PMID":"31438809","abstract":"Curricular revision efforts have resulted in learner-centered programs that value content integration and active learning. Yet, less attention has been placed on assessment methods that are learner-centered and promote assessment for learning. The use of context rich short answer question (CR-SAQ) exams in the preclinical years of medical school was evaluated to determine if this format aligns with the criteria for assessment for learning. Medical students and preclinical faculty members were sent a survey comprised of closed and open-ended questions about their experience using CR-SAQ exams. Data were analyzed using a mixed-method design. Open-ended responses were evaluated using thematic analysis within the framework of criteria for assessment for learning. A total of 274 students (94%) and 24 faculty (75%) completed the survey. Fifty four percent of students reported preferring a CR-SAQ exam format over multiple choice questions (MCQ) format. Quantitative data and qualitative comments by students supported that CR-SAQ exams aligned with criteria for assessment for learning, including acceptability, authenticity, educational effect, and the cueing effect. Student concerns included preparation for USMLE Step 1 exam, as well as the validity and reproducibility of CR-SAQ assessments. Faculty largely agreed with the benefits of the CR-SAQ, but were concerned about feasibility, acceptability and reproducibility. The CR-SAQ exam format assessment strategy supports assessment for learning in an undergraduate medical education setting. Both benefits and drawbacks of this method are presented, however students and faculty describe a broader impact that this assessment method has on their development as a physician.","author":[{"dropping-particle":"","family":"Bird","given":"Jeffrey B.","non-dropping-particle":"","parse-names":false,"suffix":""},{"dropping-particle":"","family":"Olvet","given":"Doreen M.","non-dropping-particle":"","parse-names":false,"suffix":""},{"dropping-particle":"","family":"Willey","given":"Joanne M.","non-dropping-particle":"","parse-names":false,"suffix":""},{"dropping-particle":"","family":"Brenner","given":"Judith","non-dropping-particle":"","parse-names":false,"suffix":""}],"container-title":"Medical Education Online","id":"ITEM-1","issue":"1","issued":{"date-parts":[["2019"]]},"title":"Patients don’t come with multiple choice options: essay-based assessment in UME","type":"article-journal","volume":"24"},"uris":["http://www.mendeley.com/documents/?uuid=0ac09668-b173-3ac6-ad51-4b648c56cf65"]}],"mendeley":{"formattedCitation":"[61]","plainTextFormattedCitation":"[61]","previouslyFormattedCitation":"[61]"},"properties":{"noteIndex":0},"schema":"https://github.com/citation-style-language/schema/raw/master/csl-citation.json"}</w:instrText>
      </w:r>
      <w:r w:rsidR="000444DD">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[61]</w:t>
      </w:r>
      <w:r w:rsidR="000444DD">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They have high validity and allow learners to perform better in clinical medical practice assessments compared to MCQs</w:t>
      </w:r>
      <w:r w:rsidR="000444DD">
        <w:rPr>
          <w:rFonts w:eastAsia="Times New Roman"/>
          <w:color w:val="000000" w:themeColor="text1"/>
          <w:sz w:val="20"/>
          <w:szCs w:val="20"/>
          <w:lang w:val="en-US"/>
        </w:rPr>
        <w:t>.</w:t>
      </w:r>
      <w:r w:rsidR="000444DD">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{"citationItems":[{"id":"ITEM-1","itemData":{"DOI":"10.1186/s12909-014-0249-2","ISSN":"14726920","PMID":"25431359","abstract":"Background: Written assessments fall into two classes: constructed-response or open-ended questions, such as the essay and a number of variants of the short-Answer question, and selected-response or closed-ended questions; typically in the form of multiple-choice. It is widely believed that constructed response written questions test higher order cognitive processes in a manner that multiple-choice questions cannot, and consequently have higher validity. Discussion: An extensive review of the literature suggests that in summative assessment neither premise is evidence-based. Well-structured open-ended and multiple-choice questions appear equivalent in their ability to assess higher cognitive functions, and performance in multiple-choice assessments may correlate more highly than the open-ended format with competence demonstrated in clinical practice following graduation. Studies of construct validity suggest that both formats measure essentially the same dimension, at least in mathematics, the physical sciences, biology and medicine. The persistence of the open-ended format in summative assessment may be due to the intuitive appeal of the belief that synthesising an answer to an open-ended question must be both more cognitively taxing and similar to actual experience than is selecting a correct response. I suggest that cognitive-constructivist learning theory would predict that a well-constructed context-rich multiple-choice item represents a complex problem-solving exercise which activates a sequence of cognitive processes which closely parallel those required in clinical practice, hence explaining the high validity of the multiple-choice format. Summary: The evidence does not support the proposition that the open-ended assessment format is superior to the multiple-choice format, at least in exit-level summative assessment, in terms of either its ability to test higher-order cognitive functioning or its validity. This is explicable using a theory of mental models, which might predict that the multiple-choice format will have higher validity, a statement for which some empiric support exists. Given the superior reliability and cost-effectiveness of the multiple-choice format consideration should be given to phasing out open-ended format questions in summative assessment. Whether the same applies to non-exit-level assessment and formative assessment is a question which remains to be answered; particularly in terms of the educational effect of testing, an…","author":[{"dropping-particle":"","family":"Hift","given":"Richard J.","non-dropping-particle":"","parse-names":false,"suffix":""}],"container-title":"BMC Medical Education","id":"ITEM-1","issue":"1","issued":{"date-parts":[["2014"]]},"page":"1-18","title":"Should essays and other open-ended-Type questions retain a place in written summative assessment in clinical medicine?","type":"article","volume":"14"},"uris":["http://www.mendeley.com/documents/?uuid=0fe4dff9-0659-3ae1-8e47-c025c796b459"]}],"mendeley":{"formattedCitation":"[49]","plainTextFormattedCitation":"[49]","previouslyFormattedCitation":"[49]"},"properties":{"noteIndex":0},"schema":"https://github.com/citation-style-language/schema/raw/master/csl-citation.json"}</w:instrText>
      </w:r>
      <w:r w:rsidR="000444DD">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[49]</w:t>
      </w:r>
      <w:r w:rsidR="000444DD">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However, test-writers may neglect certain topics that are difficult to set as an essay question</w:t>
      </w:r>
      <w:r w:rsidR="000444DD">
        <w:rPr>
          <w:rFonts w:eastAsia="Times New Roman"/>
          <w:color w:val="000000" w:themeColor="text1"/>
          <w:sz w:val="20"/>
          <w:szCs w:val="20"/>
          <w:lang w:val="en-US"/>
        </w:rPr>
        <w:t>.</w:t>
      </w:r>
      <w:r w:rsidR="000444DD">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{"citationItems":[{"id":"ITEM-1","itemData":{"DOI":"10.1111/j.1365-2929.2004.01916.x","ISSN":"03080110","PMID":"15327679","abstract":"INTRODUCTION: Written assessment techniques can be subdivided according to their stimulus format - what the questions asks - and their response format - how the answer is recorded. The former is more important in determining the type of competence being asked for than the latter. It is nevertheless important to consider both when selecting the most appropriate types. Some major elements to consider when making such a selection are cueing effect, reliability, validity, educational impact and resource-intensiveness. RESPONSE FORMATS: Open-ended questions should be used solely to test aspects that cannot be tested with multiple-choice questions. In all other cases the loss of reliability and the higher resource-intensiveness represent a significant downside. In such cases, multiple-choice questions are not less valid than open-ended questions. STIMULUS FORMAT: When making this distinction, it is important to consider whether the question is embedded within a relevant case or context and cannot be answered without the case, or not. This appears to be more or less essential according to what is being tested by the question. Context-rich questions test other cognitive skills than do context-free questions. If knowledge alone is the purpose of the test, context-free questions may be useful, but if it is the application of knowledge or knowledge as a part of problem solving that is being tested, then context is indispensable. CONCLUSION: Every format has its (dis)advantages and a combination of formats based on rational selection is more useful than trying to find or develop a panacea. The response format is less important in this respect than the stimulus.","author":[{"dropping-particle":"","family":"Schuwirth","given":"Lambert W.T.","non-dropping-particle":"","parse-names":false,"suffix":""},{"dropping-particle":"","family":"Vleuten","given":"Cees P.M.","non-dropping-particle":"Van Der","parse-names":false,"suffix":""}],"container-title":"Medical Education","id":"ITEM-1","issue":"9","issued":{"date-parts":[["2004"]]},"page":"974-979","title":"Different written assessment methods: What can be said about their strengths and weakness?","type":"article-journal","volume":"38"},"uris":["http://www.mendeley.com/documents/?uuid=7cb6283d-d64f-3359-8229-9d2b78f15cea"]}],"mendeley":{"formattedCitation":"[42]","plainTextFormattedCitation":"[42]","previouslyFormattedCitation":"[42]"},"properties":{"noteIndex":0},"schema":"https://github.com/citation-style-language/schema/raw/master/csl-citation.json"}</w:instrText>
      </w:r>
      <w:r w:rsidR="000444DD">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[42]</w:t>
      </w:r>
      <w:r w:rsidR="000444DD">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w:t>
      </w:r>
    </w:p>
    <w:p w14:paraId="6E0ADC44" w14:textId="041FDBAC" w:rsidR="00E55AE6" w:rsidRDefault="00E55AE6" w:rsidP="00CD3C9A">
      <w:pPr>
        <w:spacing w:line="360" w:lineRule="auto"/>
        <w:rPr>
          <w:rFonts w:eastAsia="Times New Roman"/>
          <w:color w:val="000000" w:themeColor="text1"/>
          <w:sz w:val="20"/>
          <w:szCs w:val="20"/>
          <w:lang w:val="en-US"/>
        </w:rPr>
      </w:pPr>
      <w:r w:rsidRPr="00E55AE6">
        <w:rPr>
          <w:rFonts w:eastAsia="Times New Roman"/>
          <w:color w:val="000000" w:themeColor="text1"/>
          <w:sz w:val="20"/>
          <w:szCs w:val="20"/>
          <w:lang w:val="en-US"/>
        </w:rPr>
        <w:t>Essay assessment could affect the way that learners study and prepare for assessments compared to other formats such as MCQs and OSCEs</w:t>
      </w:r>
      <w:r w:rsidR="000444DD">
        <w:rPr>
          <w:rFonts w:eastAsia="Times New Roman"/>
          <w:color w:val="000000" w:themeColor="text1"/>
          <w:sz w:val="20"/>
          <w:szCs w:val="20"/>
          <w:lang w:val="en-US"/>
        </w:rPr>
        <w:t>.</w:t>
      </w:r>
      <w:r w:rsidR="000444DD">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{"citationItems":[{"id":"ITEM-1","itemData":{"DOI":"10.1111/j.1365-2929.2004.01916.x","ISSN":"03080110","PMID":"15327679","abstract":"INTRODUCTION: Written assessment techniques can be subdivided according to their stimulus format - what the questions asks - and their response format - how the answer is recorded. The former is more important in determining the type of competence being asked for than the latter. It is nevertheless important to consider both when selecting the most appropriate types. Some major elements to consider when making such a selection are cueing effect, reliability, validity, educational impact and resource-intensiveness. RESPONSE FORMATS: Open-ended questions should be used solely to test aspects that cannot be tested with multiple-choice questions. In all other cases the loss of reliability and the higher resource-intensiveness represent a significant downside. In such cases, multiple-choice questions are not less valid than open-ended questions. STIMULUS FORMAT: When making this distinction, it is important to consider whether the question is embedded within a relevant case or context and cannot be answered without the case, or not. This appears to be more or less essential according to what is being tested by the question. Context-rich questions test other cognitive skills than do context-free questions. If knowledge alone is the purpose of the test, context-free questions may be useful, but if it is the application of knowledge or knowledge as a part of problem solving that is being tested, then context is indispensable. CONCLUSION: Every format has its (dis)advantages and a combination of formats based on rational selection is more useful than trying to find or develop a panacea. The response format is less important in this respect than the stimulus.","author":[{"dropping-particle":"","family":"Schuwirth","given":"Lambert W.T.","non-dropping-particle":"","parse-names":false,"suffix":""},{"dropping-particle":"","family":"Vleuten","given":"Cees P.M.","non-dropping-particle":"Van Der","parse-names":false,"suffix":""}],"container-title":"Medical Education","id":"ITEM-1","issue":"9","issued":{"date-parts":[["2004"]]},"page":"974-979","title":"Different written assessment methods: What can be said about their strengths and weakness?","type":"article-journal","volume":"38"},"uris":["http://www.mendeley.com/documents/?uuid=7cb6283d-d64f-3359-8229-9d2b78f15cea"]}],"mendeley":{"formattedCitation":"[42]","plainTextFormattedCitation":"[42]","previouslyFormattedCitation":"[42]"},"properties":{"noteIndex":0},"schema":"https://github.com/citation-style-language/schema/raw/master/csl-citation.json"}</w:instrText>
      </w:r>
      <w:r w:rsidR="000444DD">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[42]</w:t>
      </w:r>
      <w:r w:rsidR="000444DD">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Furthermore, the test may require a longer time to complete which could force test-writers to include less essay questions per assessment. A limitation of essays is that they take longer to grade especially when graded by a single marker.</w:t>
      </w:r>
      <w:r w:rsidR="000444DD">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{"citationItems":[{"id":"ITEM-1","itemData":{"DOI":"10.1080/10872981.2019.1649959","ISSN":"10872981","PMID":"31438809","abstract":"Curricular revision efforts have resulted in learner-centered programs that value content integration and active learning. Yet, less attention has been placed on assessment methods that are learner-centered and promote assessment for learning. The use of context rich short answer question (CR-SAQ) exams in the preclinical years of medical school was evaluated to determine if this format aligns with the criteria for assessment for learning. Medical students and preclinical faculty members were sent a survey comprised of closed and open-ended questions about their experience using CR-SAQ exams. Data were analyzed using a mixed-method design. Open-ended responses were evaluated using thematic analysis within the framework of criteria for assessment for learning. A total of 274 students (94%) and 24 faculty (75%) completed the survey. Fifty four percent of students reported preferring a CR-SAQ exam format over multiple choice questions (MCQ) format. Quantitative data and qualitative comments by students supported that CR-SAQ exams aligned with criteria for assessment for learning, including acceptability, authenticity, educational effect, and the cueing effect. Student concerns included preparation for USMLE Step 1 exam, as well as the validity and reproducibility of CR-SAQ assessments. Faculty largely agreed with the benefits of the CR-SAQ, but were concerned about feasibility, acceptability and reproducibility. The CR-SAQ exam format assessment strategy supports assessment for learning in an undergraduate medical education setting. Both benefits and drawbacks of this method are presented, however students and faculty describe a broader impact that this assessment method has on their development as a physician.","author":[{"dropping-particle":"","family":"Bird","given":"Jeffrey B.","non-dropping-particle":"","parse-names":false,"suffix":""},{"dropping-particle":"","family":"Olvet","given":"Doreen M.","non-dropping-particle":"","parse-names":false,"suffix":""},{"dropping-particle":"","family":"Willey","given":"Joanne M.","non-dropping-particle":"","parse-names":false,"suffix":""},{"dropping-particle":"","family":"Brenner","given":"Judith","non-dropping-particle":"","parse-names":false,"suffix":""}],"container-title":"Medical Education Online","id":"ITEM-1","issue":"1","issued":{"date-parts":[["2019"]]},"title":"Patients don’t come with multiple choice options: essay-based assessment in UME","type":"article-journal","volume":"24"},"uris":["http://www.mendeley.com/documents/?uuid=0ac09668-b173-3ac6-ad51-4b648c56cf65"]}],"mendeley":{"formattedCitation":"[61]","plainTextFormattedCitation":"[61]","previouslyFormattedCitation":"[61]"},"properties":{"noteIndex":0},"schema":"https://github.com/citation-style-language/schema/raw/master/csl-citation.json"}</w:instrText>
      </w:r>
      <w:r w:rsidR="000444DD">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[61]</w:t>
      </w:r>
      <w:r w:rsidR="000444DD">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Although essays are a common assessment tool they lack an evidence base in the realm of CLE.</w:t>
      </w:r>
    </w:p>
    <w:p w14:paraId="728963C8" w14:textId="77777777" w:rsidR="00E55AE6" w:rsidRPr="00CD3C9A" w:rsidRDefault="00E55AE6" w:rsidP="00CD3C9A">
      <w:pPr>
        <w:spacing w:line="360" w:lineRule="auto"/>
        <w:rPr>
          <w:rFonts w:eastAsia="Times New Roman"/>
          <w:color w:val="000000" w:themeColor="text1"/>
          <w:sz w:val="20"/>
          <w:szCs w:val="20"/>
          <w:lang w:val="en-US"/>
        </w:rPr>
      </w:pPr>
    </w:p>
    <w:p w14:paraId="1B040C8E" w14:textId="2D84850E" w:rsidR="00506BF8" w:rsidRDefault="00465A41" w:rsidP="00CD3C9A">
      <w:pPr>
        <w:pStyle w:val="Heading3"/>
        <w:spacing w:before="0" w:after="0" w:line="360" w:lineRule="auto"/>
        <w:rPr>
          <w:color w:val="000000" w:themeColor="text1"/>
          <w:sz w:val="20"/>
          <w:szCs w:val="20"/>
          <w:u w:val="single"/>
          <w:lang w:val="en-US"/>
        </w:rPr>
      </w:pPr>
      <w:r w:rsidRPr="00CD3C9A">
        <w:rPr>
          <w:color w:val="000000" w:themeColor="text1"/>
          <w:sz w:val="20"/>
          <w:szCs w:val="20"/>
          <w:u w:val="single"/>
          <w:lang w:val="en-US"/>
        </w:rPr>
        <w:t>C</w:t>
      </w:r>
      <w:r w:rsidR="00764C60" w:rsidRPr="00CD3C9A">
        <w:rPr>
          <w:color w:val="000000" w:themeColor="text1"/>
          <w:sz w:val="20"/>
          <w:szCs w:val="20"/>
          <w:u w:val="single"/>
          <w:lang w:val="en-US"/>
        </w:rPr>
        <w:t xml:space="preserve">ase </w:t>
      </w:r>
      <w:r w:rsidR="00DC6406" w:rsidRPr="00CD3C9A">
        <w:rPr>
          <w:color w:val="000000" w:themeColor="text1"/>
          <w:sz w:val="20"/>
          <w:szCs w:val="20"/>
          <w:u w:val="single"/>
          <w:lang w:val="en-US"/>
        </w:rPr>
        <w:t>presentations</w:t>
      </w:r>
    </w:p>
    <w:p w14:paraId="4FF1238E" w14:textId="6BE9B71F" w:rsidR="00E55AE6" w:rsidRPr="00E55AE6" w:rsidRDefault="00E55AE6" w:rsidP="00E55AE6">
      <w:pPr>
        <w:spacing w:line="360" w:lineRule="auto"/>
        <w:rPr>
          <w:sz w:val="20"/>
          <w:szCs w:val="20"/>
          <w:lang w:val="en-US"/>
        </w:rPr>
      </w:pPr>
      <w:r w:rsidRPr="00E55AE6">
        <w:rPr>
          <w:sz w:val="20"/>
          <w:szCs w:val="20"/>
          <w:lang w:val="en-US"/>
        </w:rPr>
        <w:t>Case presentations are context-rich assessments aiming to assess higher level knowledge acquisition such as interpretation, application and decision making</w:t>
      </w:r>
      <w:r w:rsidR="00D064AD">
        <w:rPr>
          <w:sz w:val="20"/>
          <w:szCs w:val="20"/>
          <w:lang w:val="en-US"/>
        </w:rPr>
        <w:t>.</w:t>
      </w:r>
      <w:r w:rsidR="00B67FBF">
        <w:rPr>
          <w:sz w:val="20"/>
          <w:szCs w:val="20"/>
          <w:lang w:val="en-US"/>
        </w:rPr>
        <w:fldChar w:fldCharType="begin" w:fldLock="1"/>
      </w:r>
      <w:r w:rsidR="00351E6D">
        <w:rPr>
          <w:sz w:val="20"/>
          <w:szCs w:val="20"/>
          <w:lang w:val="en-US"/>
        </w:rPr>
        <w:instrText>ADDIN CSL_CITATION {"citationItems":[{"id":"ITEM-1","itemData":{"DOI":"10.3390/healthcare9091228","ISSN":"22279032","abstract":"Computer-based learning has numerous advantages. It gives students the chance to accommodate and solve problems independently, it can increase motivation during the learning process, and it offers students direct feedback. Students will also receive an authentic learning experience, increasing their level of knowledge retention. It can assist nursing educators in improving learning outcomes. Aim: This study aimed to investigate and evaluate the impact of computer-based scenarios on undergraduate nursing students’ decision-making skills. Sample: There was a total sample of 112 nursing students who were enrolled in a critical care nursing course at the College of Applied Medical Sciences in Saudi Arabia. These students were divided into two groups. Methods: The two groups were taught the same topic for one week. Two case scenarios were given to each group during the clinical rotation. The study group used the computer-based case scenario, and the control group used the paper-based case scenario. The two groups were compared regarding their decision-making skills. The student’s feedback about the computer-based case scenarios was also investigated. Results: The study group scored significantly higher in their decision-making skills when compared to the control group. In addition, the study group reported that they highly agreed that their general learning and specific nursing abilities improved after using computer-based case scenarios.","author":[{"dropping-particle":"","family":"Elcokany","given":"Nermine M.","non-dropping-particle":"","parse-names":false,"suffix":""},{"dropping-particle":"","family":"Abdelhafez","given":"Amal Ismael","non-dropping-particle":"","parse-names":false,"suffix":""},{"dropping-particle":"","family":"Samuel Sharaby","given":"Vivian Magdi","non-dropping-particle":"","parse-names":false,"suffix":""},{"dropping-particle":"","family":"Belal","given":"Safia","non-dropping-particle":"","parse-names":false,"suffix":""}],"container-title":"Healthcare (Switzerland)","id":"ITEM-1","issue":"9","issued":{"date-parts":[["2021"]]},"title":"Use of computer-based scenarios for clinical teaching: Impact on nursing students’ decision-making skills","type":"article-journal","volume":"9"},"uris":["http://www.mendeley.com/documents/?uuid=6ec52898-d189-3122-bcc0-f70de5722b56"]},{"id":"ITEM-2","itemData":{"DOI":"10.3390/healthcare9111584","ISSN":"22279032","abstract":"Simulation helps to prepare prelicensure nursing students for practice by providing opportunities to perform clinical skills and make decisions in a safe environment. The integration of nursing knowledge, skills, and decision-making abilities during simulated unfolding case-study scenarios may enhance student self-confidence and foster clinical judgement skills. The purpose of this study was to assess the impact of simulation using unfolding case-study scenarios on undergraduate nursing students’ self-confidence in pediatric nursing knowledge, skills, and clinical judgment/decision-making abilities. This mixed methods study included a pre-and post-survey design to evaluate undergraduate nursing students’ confidence in pediatric nursing knowledge, skills, and decision-making abilities after participation in both an instructor-led (guided) and a student-led (decision-making) simulation involving unfolding case-study scenarios. Friedman’s ANOVA analyses revealed that all 16-items demonstrated statistically significant differences between the three measured responses (pre-simulation and both post-simulation surveys). Post-hoc Wilcoxon signed-rank tests revealed statistically significant differences in student ratings pre-simulation and post-instructor-led (guided) experience for all 16-scored items. The qualitative themes identified were perception of experience, pediatric nursing care, assimilation of knowledge, and critical thinking. Unfolding case-study simulation experiences positively impact the learning, self-confidence, and clinical judgement of undergraduate nursing students.","author":[{"dropping-particle":"","family":"Munn","given":"Allison C.","non-dropping-particle":"","parse-names":false,"suffix":""},{"dropping-particle":"","family":"Lay","given":"Beth","non-dropping-particle":"","parse-names":false,"suffix":""},{"dropping-particle":"","family":"Phillips","given":"Tiffany A.","non-dropping-particle":"","parse-names":false,"suffix":""},{"dropping-particle":"","family":"George","given":"Tracy P.","non-dropping-particle":"","parse-names":false,"suffix":""}],"container-title":"Healthcare (Switzerland)","id":"ITEM-2","issue":"11","issued":{"date-parts":[["2021"]]},"title":"Assessing the impact of unfolding case study scenarios during high-fidelity pediatric simulation among undergraduate nursing students","type":"article-journal","volume":"9"},"uris":["http://www.mendeley.com/documents/?uuid=bd812bc2-630f-3a96-8ab6-655779b5afc0"]},{"id":"ITEM-3","itemData":{"DOI":"10.1007/s40670-019-00904-0","ISSN":"21568650","abstract":"Context: Situativity theory posits that learning and the development of clinical reasoning skills are grounded in context. In case-based teaching, this context comes from recreating the clinical environment, through emulation, as with manikins, or description. In this study, we sought to understand the difference in student clinical reasoning abilities after facilitated patient case scenarios with or without a manikin. Methods: Fourth-year medical students in an internship readiness course were randomized into patient case scenarios without manikin (control group) and with manikin (intervention group) for a chest pain session. The control and intervention groups had identical student-led case progression and faculty debriefing objectives. Clinical reasoning skills were assessed after the session using a 64-question script concordance test (SCT). The test was developed and piloted prior to administration. Hospitalist and emergency medicine faculty responses on the test items served as the expert standard for scoring. Results: Ninety-six students were randomized to case-based sessions with (n = 48) or without (n = 48) manikin. Ninety students completed the SCT (with manikin n = 45, without manikin n = 45). A statistically significant mean difference on test performance between the two groups was found (t = 3.059, df = 88, p =.003), with the manikin group achieving higher SCT scores. Conclusion: Use of a manikin in simulated patient case discussion significantly improves students’ clinical reasoning skills, as measured by SCT. These results suggest that using a manikin to simulate a patient scenario situates learning, thereby enhancing skill development.","author":[{"dropping-particle":"","family":"Mutter","given":"Mary Kathryn","non-dropping-particle":"","parse-names":false,"suffix":""},{"dropping-particle":"","family":"Martindale","given":"James R.","non-dropping-particle":"","parse-names":false,"suffix":""},{"dropping-particle":"","family":"Shah","given":"Neeral","non-dropping-particle":"","parse-names":false,"suffix":""},{"dropping-particle":"","family":"Gusic","given":"Maryellen E.","non-dropping-particle":"","parse-names":false,"suffix":""},{"dropping-particle":"","family":"Wolf","given":"Stephen J.","non-dropping-particle":"","parse-names":false,"suffix":""}],"container-title":"Medical Science Educator","id":"ITEM-3","issue":"1","issued":{"date-parts":[["2020"]]},"page":"307-313","title":"Case-Based Teaching: Does the Addition of High-Fidelity Simulation Make a Difference in Medical Students’ Clinical Reasoning Skills?","type":"article-journal","volume":"30"},"uris":["http://www.mendeley.com/documents/?uuid=a4bc5b15-34f2-3370-af54-87890147dd6c"]}],"mendeley":{"formattedCitation":"[62–64]","plainTextFormattedCitation":"[62–64]","previouslyFormattedCitation":"[62–64]"},"properties":{"noteIndex":0},"schema":"https://github.com/citation-style-language/schema/raw/master/csl-citation.json"}</w:instrText>
      </w:r>
      <w:r w:rsidR="00B67FBF">
        <w:rPr>
          <w:sz w:val="20"/>
          <w:szCs w:val="20"/>
          <w:lang w:val="en-US"/>
        </w:rPr>
        <w:fldChar w:fldCharType="separate"/>
      </w:r>
      <w:r w:rsidR="00444200" w:rsidRPr="00444200">
        <w:rPr>
          <w:noProof/>
          <w:sz w:val="20"/>
          <w:szCs w:val="20"/>
          <w:lang w:val="en-US"/>
        </w:rPr>
        <w:t>[62–64]</w:t>
      </w:r>
      <w:r w:rsidR="00B67FBF">
        <w:rPr>
          <w:sz w:val="20"/>
          <w:szCs w:val="20"/>
          <w:lang w:val="en-US"/>
        </w:rPr>
        <w:fldChar w:fldCharType="end"/>
      </w:r>
      <w:r w:rsidRPr="00E55AE6">
        <w:rPr>
          <w:sz w:val="20"/>
          <w:szCs w:val="20"/>
          <w:lang w:val="en-US"/>
        </w:rPr>
        <w:t xml:space="preserve"> This assessment format is valid and reliable for assessing problem solving skills in the medical field</w:t>
      </w:r>
      <w:r w:rsidR="00D064AD">
        <w:rPr>
          <w:sz w:val="20"/>
          <w:szCs w:val="20"/>
          <w:lang w:val="en-US"/>
        </w:rPr>
        <w:t>.</w:t>
      </w:r>
      <w:r w:rsidR="00D064AD">
        <w:rPr>
          <w:sz w:val="20"/>
          <w:szCs w:val="20"/>
          <w:lang w:val="en-US"/>
        </w:rPr>
        <w:fldChar w:fldCharType="begin" w:fldLock="1"/>
      </w:r>
      <w:r w:rsidR="00351E6D">
        <w:rPr>
          <w:sz w:val="20"/>
          <w:szCs w:val="20"/>
          <w:lang w:val="en-US"/>
        </w:rPr>
        <w:instrText>ADDIN CSL_CITATION {"citationItems":[{"id":"ITEM-1","itemData":{"DOI":"10.1111/j.1365-2929.2004.01916.x","ISSN":"03080110","PMID":"15327679","abstract":"INTRODUCTION: Written assessment techniques can be subdivided according to their stimulus format - what the questions asks - and their response format - how the answer is recorded. The former is more important in determining the type of competence being asked for than the latter. It is nevertheless important to consider both when selecting the most appropriate types. Some major elements to consider when making such a selection are cueing effect, reliability, validity, educational impact and resource-intensiveness. RESPONSE FORMATS: Open-ended questions should be used solely to test aspects that cannot be tested with multiple-choice questions. In all other cases the loss of reliability and the higher resource-intensiveness represent a significant downside. In such cases, multiple-choice questions are not less valid than open-ended questions. STIMULUS FORMAT: When making this distinction, it is important to consider whether the question is embedded within a relevant case or context and cannot be answered without the case, or not. This appears to be more or less essential according to what is being tested by the question. Context-rich questions test other cognitive skills than do context-free questions. If knowledge alone is the purpose of the test, context-free questions may be useful, but if it is the application of knowledge or knowledge as a part of problem solving that is being tested, then context is indispensable. CONCLUSION: Every format has its (dis)advantages and a combination of formats based on rational selection is more useful than trying to find or develop a panacea. The response format is less important in this respect than the stimulus.","author":[{"dropping-particle":"","family":"Schuwirth","given":"Lambert W.T.","non-dropping-particle":"","parse-names":false,"suffix":""},{"dropping-particle":"","family":"Vleuten","given":"Cees P.M.","non-dropping-particle":"Van Der","parse-names":false,"suffix":""}],"container-title":"Medical Education","id":"ITEM-1","issue":"9","issued":{"date-parts":[["2004"]]},"page":"974-979","title":"Different written assessment methods: What can be said about their strengths and weakness?","type":"article-journal","volume":"38"},"uris":["http://www.mendeley.com/documents/?uuid=7cb6283d-d64f-3359-8229-9d2b78f15cea"]},{"id":"ITEM-2","itemData":{"DOI":"10.3390/healthcare9091228","ISSN":"22279032","abstract":"Computer-based learning has numerous advantages. It gives students the chance to accommodate and solve problems independently, it can increase motivation during the learning process, and it offers students direct feedback. Students will also receive an authentic learning experience, increasing their level of knowledge retention. It can assist nursing educators in improving learning outcomes. Aim: This study aimed to investigate and evaluate the impact of computer-based scenarios on undergraduate nursing students’ decision-making skills. Sample: There was a total sample of 112 nursing students who were enrolled in a critical care nursing course at the College of Applied Medical Sciences in Saudi Arabia. These students were divided into two groups. Methods: The two groups were taught the same topic for one week. Two case scenarios were given to each group during the clinical rotation. The study group used the computer-based case scenario, and the control group used the paper-based case scenario. The two groups were compared regarding their decision-making skills. The student’s feedback about the computer-based case scenarios was also investigated. Results: The study group scored significantly higher in their decision-making skills when compared to the control group. In addition, the study group reported that they highly agreed that their general learning and specific nursing abilities improved after using computer-based case scenarios.","author":[{"dropping-particle":"","family":"Elcokany","given":"Nermine M.","non-dropping-particle":"","parse-names":false,"suffix":""},{"dropping-particle":"","family":"Abdelhafez","given":"Amal Ismael","non-dropping-particle":"","parse-names":false,"suffix":""},{"dropping-particle":"","family":"Samuel Sharaby","given":"Vivian Magdi","non-dropping-particle":"","parse-names":false,"suffix":""},{"dropping-particle":"","family":"Belal","given":"Safia","non-dropping-particle":"","parse-names":false,"suffix":""}],"container-title":"Healthcare (Switzerland)","id":"ITEM-2","issue":"9","issued":{"date-parts":[["2021"]]},"title":"Use of computer-based scenarios for clinical teaching: Impact on nursing students’ decision-making skills","type":"article-journal","volume":"9"},"uris":["http://www.mendeley.com/documents/?uuid=6ec52898-d189-3122-bcc0-f70de5722b56"]}],"mendeley":{"formattedCitation":"[42,62]","plainTextFormattedCitation":"[42,62]","previouslyFormattedCitation":"[42,62]"},"properties":{"noteIndex":0},"schema":"https://github.com/citation-style-language/schema/raw/master/csl-citation.json"}</w:instrText>
      </w:r>
      <w:r w:rsidR="00D064AD">
        <w:rPr>
          <w:sz w:val="20"/>
          <w:szCs w:val="20"/>
          <w:lang w:val="en-US"/>
        </w:rPr>
        <w:fldChar w:fldCharType="separate"/>
      </w:r>
      <w:r w:rsidR="00444200" w:rsidRPr="00444200">
        <w:rPr>
          <w:noProof/>
          <w:sz w:val="20"/>
          <w:szCs w:val="20"/>
          <w:lang w:val="en-US"/>
        </w:rPr>
        <w:t>[42,62]</w:t>
      </w:r>
      <w:r w:rsidR="00D064AD">
        <w:rPr>
          <w:sz w:val="20"/>
          <w:szCs w:val="20"/>
          <w:lang w:val="en-US"/>
        </w:rPr>
        <w:fldChar w:fldCharType="end"/>
      </w:r>
      <w:r w:rsidRPr="00E55AE6">
        <w:rPr>
          <w:sz w:val="20"/>
          <w:szCs w:val="20"/>
          <w:lang w:val="en-US"/>
        </w:rPr>
        <w:t xml:space="preserve"> They may include virtual patients or computer-based cases that simulate real-life clinical scenarios</w:t>
      </w:r>
      <w:r w:rsidR="00D064AD">
        <w:rPr>
          <w:sz w:val="20"/>
          <w:szCs w:val="20"/>
          <w:lang w:val="en-US"/>
        </w:rPr>
        <w:t>.</w:t>
      </w:r>
      <w:r w:rsidR="00D064AD">
        <w:rPr>
          <w:sz w:val="20"/>
          <w:szCs w:val="20"/>
          <w:lang w:val="en-US"/>
        </w:rPr>
        <w:fldChar w:fldCharType="begin" w:fldLock="1"/>
      </w:r>
      <w:r w:rsidR="00351E6D">
        <w:rPr>
          <w:sz w:val="20"/>
          <w:szCs w:val="20"/>
          <w:lang w:val="en-US"/>
        </w:rPr>
        <w:instrText>ADDIN CSL_CITATION {"citationItems":[{"id":"ITEM-1","itemData":{"DOI":"10.1080/10872981.2021.1946896","ISSN":"10872981","PMID":"34180780","abstract":"Virtual patients (VP) have been advocated as reliable tools for teaching and evaluating clinical skills and competence. We have developed an internet-based, OSCE-like, conversational VP system designed both for training and assessment of medical students. The system, that encompasses complete patient management from H&amp;P to diagnostic procedures and treatment, has now been used regularly during the clerkship of internal medicine. The present article describes the system and compares assessments undertaken with the VP-system over the last five years, to traditional bed-side oral exams. All students practiced on their own exercise VP cases, while preparing for the final exam. A total of 586 students were evaluated simultaneously with both assessment modalities. The αCronbach of the VP exam averaged 0.86. No correlation was found between the grades obtained in the two exams, indicating that the VP exam evaluated different parameters than those assessed by the examiners in the oral examinations. We conclude that a VP system can be utilized as a valid and reliable examination tool. It is also most useful for independent training by students during their ward-based learning, as well as when not studying in classes, wards or clinics, when social distancing is required.","author":[{"dropping-particle":"","family":"Oliven","given":"Arie","non-dropping-particle":"","parse-names":false,"suffix":""},{"dropping-particle":"","family":"Nave","given":"Rachel","non-dropping-particle":"","parse-names":false,"suffix":""},{"dropping-particle":"","family":"Baruch","given":"Adam","non-dropping-particle":"","parse-names":false,"suffix":""}],"container-title":"Medical Education Online","id":"ITEM-1","issue":"1","issued":{"date-parts":[["2021"]]},"title":"Long experience with a web-based, interactive, conversational virtual patient case simulation for medical students’ evaluation: comparison with oral examination","type":"article-journal","volume":"26"},"uris":["http://www.mendeley.com/documents/?uuid=14632edf-1860-304f-90c6-0d04421ebf0e"]}],"mendeley":{"formattedCitation":"[65]","plainTextFormattedCitation":"[65]","previouslyFormattedCitation":"[65]"},"properties":{"noteIndex":0},"schema":"https://github.com/citation-style-language/schema/raw/master/csl-citation.json"}</w:instrText>
      </w:r>
      <w:r w:rsidR="00D064AD">
        <w:rPr>
          <w:sz w:val="20"/>
          <w:szCs w:val="20"/>
          <w:lang w:val="en-US"/>
        </w:rPr>
        <w:fldChar w:fldCharType="separate"/>
      </w:r>
      <w:r w:rsidR="00444200" w:rsidRPr="00444200">
        <w:rPr>
          <w:noProof/>
          <w:sz w:val="20"/>
          <w:szCs w:val="20"/>
          <w:lang w:val="en-US"/>
        </w:rPr>
        <w:t>[65]</w:t>
      </w:r>
      <w:r w:rsidR="00D064AD">
        <w:rPr>
          <w:sz w:val="20"/>
          <w:szCs w:val="20"/>
          <w:lang w:val="en-US"/>
        </w:rPr>
        <w:fldChar w:fldCharType="end"/>
      </w:r>
      <w:r w:rsidRPr="00E55AE6">
        <w:rPr>
          <w:sz w:val="20"/>
          <w:szCs w:val="20"/>
          <w:lang w:val="en-US"/>
        </w:rPr>
        <w:t xml:space="preserve"> The case scenario is usually brief, and contains relevant information such as, signs, symptoms and findings. Test-writers can include several scenarios in an assessment, but a well-constructed case scenario could take several hours for an inexperienced writer to prepare</w:t>
      </w:r>
      <w:r w:rsidR="00D064AD">
        <w:rPr>
          <w:sz w:val="20"/>
          <w:szCs w:val="20"/>
          <w:lang w:val="en-US"/>
        </w:rPr>
        <w:t>.</w:t>
      </w:r>
      <w:r w:rsidR="00D064AD">
        <w:rPr>
          <w:sz w:val="20"/>
          <w:szCs w:val="20"/>
          <w:lang w:val="en-US"/>
        </w:rPr>
        <w:fldChar w:fldCharType="begin" w:fldLock="1"/>
      </w:r>
      <w:r w:rsidR="00351E6D">
        <w:rPr>
          <w:sz w:val="20"/>
          <w:szCs w:val="20"/>
          <w:lang w:val="en-US"/>
        </w:rPr>
        <w:instrText>ADDIN CSL_CITATION {"citationItems":[{"id":"ITEM-1","itemData":{"DOI":"10.1080/01421599979761","ISSN":"0142159X","abstract":"In assessment of problem solving the use of short case-based testing is a promising development. In this approach an examination consists of large numbers of short cases each of which contain a small number of questions. These questions are aimed at essential decisions. Writing such cases, however, is not easy. In this article a description of this type of examination is provided. Also strategies and pitfalls are described in writing these cases. These strategies pertain to the selection of essential decisions, the careful writing of cases and questions and the selection of question formats.","author":[{"dropping-particle":"","family":"Schuwirth","given":"L. W.T.","non-dropping-particle":"","parse-names":false,"suffix":""},{"dropping-particle":"","family":"Blackmore","given":"D. E.","non-dropping-particle":"","parse-names":false,"suffix":""},{"dropping-particle":"","family":"Mom","given":"E.","non-dropping-particle":"","parse-names":false,"suffix":""},{"dropping-particle":"","family":"Wildenberg","given":"F.","non-dropping-particle":"Van Den","parse-names":false,"suffix":""},{"dropping-particle":"","family":"Stoffers","given":"H. E.J.H.","non-dropping-particle":"","parse-names":false,"suffix":""},{"dropping-particle":"","family":"Vleuten","given":"C. P.M.","non-dropping-particle":"Van Der","parse-names":false,"suffix":""}],"container-title":"Medical Teacher","id":"ITEM-1","issue":"2","issued":{"date-parts":[["1999"]]},"page":"144-150","title":"How to write short cases for assessing problem-solving skills","type":"article-journal","volume":"21"},"uris":["http://www.mendeley.com/documents/?uuid=8408a85c-00e4-38cd-97b4-084eea24a53d"]},{"id":"ITEM-2","itemData":{"DOI":"10.1111/j.1365-2929.2004.01916.x","ISSN":"03080110","PMID":"15327679","abstract":"INTRODUCTION: Written assessment techniques can be subdivided according to their stimulus format - what the questions asks - and their response format - how the answer is recorded. The former is more important in determining the type of competence being asked for than the latter. It is nevertheless important to consider both when selecting the most appropriate types. Some major elements to consider when making such a selection are cueing effect, reliability, validity, educational impact and resource-intensiveness. RESPONSE FORMATS: Open-ended questions should be used solely to test aspects that cannot be tested with multiple-choice questions. In all other cases the loss of reliability and the higher resource-intensiveness represent a significant downside. In such cases, multiple-choice questions are not less valid than open-ended questions. STIMULUS FORMAT: When making this distinction, it is important to consider whether the question is embedded within a relevant case or context and cannot be answered without the case, or not. This appears to be more or less essential according to what is being tested by the question. Context-rich questions test other cognitive skills than do context-free questions. If knowledge alone is the purpose of the test, context-free questions may be useful, but if it is the application of knowledge or knowledge as a part of problem solving that is being tested, then context is indispensable. CONCLUSION: Every format has its (dis)advantages and a combination of formats based on rational selection is more useful than trying to find or develop a panacea. The response format is less important in this respect than the stimulus.","author":[{"dropping-particle":"","family":"Schuwirth","given":"Lambert W.T.","non-dropping-particle":"","parse-names":false,"suffix":""},{"dropping-particle":"","family":"Vleuten","given":"Cees P.M.","non-dropping-particle":"Van Der","parse-names":false,"suffix":""}],"container-title":"Medical Education","id":"ITEM-2","issue":"9","issued":{"date-parts":[["2004"]]},"page":"974-979","title":"Different written assessment methods: What can be said about their strengths and weakness?","type":"article-journal","volume":"38"},"uris":["http://www.mendeley.com/documents/?uuid=7cb6283d-d64f-3359-8229-9d2b78f15cea"]}],"mendeley":{"formattedCitation":"[42,66]","plainTextFormattedCitation":"[42,66]","previouslyFormattedCitation":"[42,66]"},"properties":{"noteIndex":0},"schema":"https://github.com/citation-style-language/schema/raw/master/csl-citation.json"}</w:instrText>
      </w:r>
      <w:r w:rsidR="00D064AD">
        <w:rPr>
          <w:sz w:val="20"/>
          <w:szCs w:val="20"/>
          <w:lang w:val="en-US"/>
        </w:rPr>
        <w:fldChar w:fldCharType="separate"/>
      </w:r>
      <w:r w:rsidR="00444200" w:rsidRPr="00444200">
        <w:rPr>
          <w:noProof/>
          <w:sz w:val="20"/>
          <w:szCs w:val="20"/>
          <w:lang w:val="en-US"/>
        </w:rPr>
        <w:t>[42,66]</w:t>
      </w:r>
      <w:r w:rsidR="00D064AD">
        <w:rPr>
          <w:sz w:val="20"/>
          <w:szCs w:val="20"/>
          <w:lang w:val="en-US"/>
        </w:rPr>
        <w:fldChar w:fldCharType="end"/>
      </w:r>
      <w:r w:rsidRPr="00E55AE6">
        <w:rPr>
          <w:sz w:val="20"/>
          <w:szCs w:val="20"/>
          <w:lang w:val="en-US"/>
        </w:rPr>
        <w:t xml:space="preserve"> Although case presentations are a common assessment tool they lack an evidence base in the realm of CLE.</w:t>
      </w:r>
    </w:p>
    <w:p w14:paraId="71692A30" w14:textId="77777777" w:rsidR="00E55AE6" w:rsidRPr="00E55AE6" w:rsidRDefault="00E55AE6" w:rsidP="00E55AE6">
      <w:pPr>
        <w:rPr>
          <w:lang w:val="en-US"/>
        </w:rPr>
      </w:pPr>
    </w:p>
    <w:p w14:paraId="4E78DC0A" w14:textId="2308EB93" w:rsidR="009E706B" w:rsidRPr="00CD3C9A" w:rsidRDefault="009E706B" w:rsidP="00CD3C9A">
      <w:pPr>
        <w:spacing w:line="360" w:lineRule="auto"/>
        <w:rPr>
          <w:rFonts w:eastAsia="Calibri"/>
          <w:color w:val="000000" w:themeColor="text1"/>
          <w:sz w:val="20"/>
          <w:szCs w:val="20"/>
        </w:rPr>
      </w:pPr>
    </w:p>
    <w:p w14:paraId="0DE0E65B" w14:textId="0BFE3FEA" w:rsidR="00C03656" w:rsidRPr="001C1B52" w:rsidRDefault="00465A41" w:rsidP="00CD3C9A">
      <w:pPr>
        <w:pStyle w:val="Heading3"/>
        <w:spacing w:before="0" w:after="0" w:line="360" w:lineRule="auto"/>
        <w:rPr>
          <w:color w:val="000000" w:themeColor="text1"/>
          <w:sz w:val="20"/>
          <w:szCs w:val="20"/>
          <w:u w:val="single"/>
        </w:rPr>
      </w:pPr>
      <w:r w:rsidRPr="001C1B52">
        <w:rPr>
          <w:color w:val="000000" w:themeColor="text1"/>
          <w:sz w:val="20"/>
          <w:szCs w:val="20"/>
          <w:u w:val="single"/>
        </w:rPr>
        <w:t>O</w:t>
      </w:r>
      <w:r w:rsidR="00BB302A" w:rsidRPr="001C1B52">
        <w:rPr>
          <w:color w:val="000000" w:themeColor="text1"/>
          <w:sz w:val="20"/>
          <w:szCs w:val="20"/>
          <w:u w:val="single"/>
        </w:rPr>
        <w:t>ral exams</w:t>
      </w:r>
    </w:p>
    <w:p w14:paraId="07F1F1E0" w14:textId="359DEF18" w:rsidR="00C03656" w:rsidRPr="00CD3C9A" w:rsidRDefault="00CD7251" w:rsidP="00CD3C9A">
      <w:pPr>
        <w:spacing w:line="360" w:lineRule="auto"/>
        <w:rPr>
          <w:rFonts w:eastAsia="Calibri"/>
          <w:color w:val="000000" w:themeColor="text1"/>
          <w:sz w:val="20"/>
          <w:szCs w:val="20"/>
        </w:rPr>
      </w:pPr>
      <w:r w:rsidRPr="00CD3C9A">
        <w:rPr>
          <w:rFonts w:eastAsia="Calibri"/>
          <w:color w:val="000000" w:themeColor="text1"/>
          <w:sz w:val="20"/>
          <w:szCs w:val="20"/>
        </w:rPr>
        <w:t>O</w:t>
      </w:r>
      <w:r w:rsidR="00BB302A" w:rsidRPr="00CD3C9A">
        <w:rPr>
          <w:rFonts w:eastAsia="Calibri"/>
          <w:color w:val="000000" w:themeColor="text1"/>
          <w:sz w:val="20"/>
          <w:szCs w:val="20"/>
        </w:rPr>
        <w:t xml:space="preserve">ral exams (also referred to as </w:t>
      </w:r>
      <w:r w:rsidR="00BB302A" w:rsidRPr="00CD3C9A">
        <w:rPr>
          <w:rFonts w:eastAsia="Calibri"/>
          <w:i/>
          <w:color w:val="000000" w:themeColor="text1"/>
          <w:sz w:val="20"/>
          <w:szCs w:val="20"/>
        </w:rPr>
        <w:t>viva voce)</w:t>
      </w:r>
      <w:r w:rsidR="00BB302A" w:rsidRPr="00CD3C9A">
        <w:rPr>
          <w:rFonts w:eastAsia="Calibri"/>
          <w:color w:val="000000" w:themeColor="text1"/>
          <w:sz w:val="20"/>
          <w:szCs w:val="20"/>
        </w:rPr>
        <w:t xml:space="preserve"> assess a </w:t>
      </w:r>
      <w:r w:rsidR="00506BF8" w:rsidRPr="00CD3C9A">
        <w:rPr>
          <w:rFonts w:eastAsia="Calibri"/>
          <w:color w:val="000000" w:themeColor="text1"/>
          <w:sz w:val="20"/>
          <w:szCs w:val="20"/>
        </w:rPr>
        <w:t xml:space="preserve">student’s </w:t>
      </w:r>
      <w:r w:rsidR="00BB302A" w:rsidRPr="00CD3C9A">
        <w:rPr>
          <w:rFonts w:eastAsia="Calibri"/>
          <w:color w:val="000000" w:themeColor="text1"/>
          <w:sz w:val="20"/>
          <w:szCs w:val="20"/>
        </w:rPr>
        <w:t>critical reasoning, problem solving and judgement</w:t>
      </w:r>
      <w:r w:rsidR="00D064AD">
        <w:rPr>
          <w:rFonts w:eastAsia="Calibri"/>
          <w:color w:val="000000" w:themeColor="text1"/>
          <w:sz w:val="20"/>
          <w:szCs w:val="20"/>
        </w:rPr>
        <w:t>.</w:t>
      </w:r>
      <w:r w:rsidR="00D064AD">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BN":"9780203880135","author":[{"dropping-particle":"","family":"Tekian","given":"Ara","non-dropping-particle":"","parse-names":false,"suffix":""},{"dropping-particle":"","family":"Yudkowsky","given":"Rachel","non-dropping-particle":"","parse-names":false,"suffix":""}],"container-title":"Assessment in Health Professions Education","edition":"1","editor":[{"dropping-particle":"","family":"Downing","given":"Steven M","non-dropping-particle":"","parse-names":false,"suffix":""},{"dropping-particle":"","family":"Yudkowsky","given":"Rachel","non-dropping-particle":"","parse-names":false,"suffix":""}],"id":"ITEM-1","issued":{"date-parts":[["2009"]]},"page":"269-285","publisher":"Taylor &amp; Francis Group","publisher-place":"New York","title":"Assessment in Health Professions Education","type":"chapter"},"uris":["http://www.mendeley.com/documents/?uuid=264f3fbc-bcb0-41c9-ad2c-c7dc7b5c7e51"]}],"mendeley":{"formattedCitation":"[67]","plainTextFormattedCitation":"[67]","previouslyFormattedCitation":"[67]"},"properties":{"noteIndex":0},"schema":"https://github.com/citation-style-language/schema/raw/master/csl-citation.json"}</w:instrText>
      </w:r>
      <w:r w:rsidR="00D064AD">
        <w:rPr>
          <w:rFonts w:eastAsia="Calibri"/>
          <w:color w:val="000000" w:themeColor="text1"/>
          <w:sz w:val="20"/>
          <w:szCs w:val="20"/>
        </w:rPr>
        <w:fldChar w:fldCharType="separate"/>
      </w:r>
      <w:r w:rsidR="00444200" w:rsidRPr="00444200">
        <w:rPr>
          <w:rFonts w:eastAsia="Calibri"/>
          <w:noProof/>
          <w:color w:val="000000" w:themeColor="text1"/>
          <w:sz w:val="20"/>
          <w:szCs w:val="20"/>
        </w:rPr>
        <w:t>[67]</w:t>
      </w:r>
      <w:r w:rsidR="00D064AD">
        <w:rPr>
          <w:rFonts w:eastAsia="Calibri"/>
          <w:color w:val="000000" w:themeColor="text1"/>
          <w:sz w:val="20"/>
          <w:szCs w:val="20"/>
        </w:rPr>
        <w:fldChar w:fldCharType="end"/>
      </w:r>
      <w:r w:rsidR="00D064AD">
        <w:rPr>
          <w:rFonts w:eastAsia="Calibri"/>
          <w:color w:val="000000" w:themeColor="text1"/>
          <w:sz w:val="20"/>
          <w:szCs w:val="20"/>
        </w:rPr>
        <w:t xml:space="preserve">  </w:t>
      </w:r>
      <w:r w:rsidRPr="00CD3C9A">
        <w:rPr>
          <w:rFonts w:eastAsia="Calibri"/>
          <w:color w:val="000000" w:themeColor="text1"/>
          <w:sz w:val="20"/>
          <w:szCs w:val="20"/>
        </w:rPr>
        <w:t>However, they</w:t>
      </w:r>
      <w:r w:rsidR="00BB302A" w:rsidRPr="00CD3C9A">
        <w:rPr>
          <w:rFonts w:eastAsia="Calibri"/>
          <w:color w:val="000000" w:themeColor="text1"/>
          <w:sz w:val="20"/>
          <w:szCs w:val="20"/>
        </w:rPr>
        <w:t xml:space="preserve"> were abandoned by US medical boards several years ago citing little value in the evaluation process</w:t>
      </w:r>
      <w:r w:rsidR="00D064AD">
        <w:rPr>
          <w:rFonts w:eastAsia="Calibri"/>
          <w:color w:val="000000" w:themeColor="text1"/>
          <w:sz w:val="20"/>
          <w:szCs w:val="20"/>
        </w:rPr>
        <w:t>.</w:t>
      </w:r>
      <w:r w:rsidR="00D064AD">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{"citationItems":[{"id":"ITEM-1","itemData":{"ISSN":"0142159X","PMID":"16024410","abstract":"no abstract available","author":[{"dropping-particle":"","family":"Davis","given":"Margery H.","non-dropping-particle":"","parse-names":false,"suffix":""},{"dropping-particle":"","family":"Karunathilake","given":"Indika","non-dropping-particle":"","parse-names":false,"suffix":""}],"container-title":"Medical Teacher","id":"ITEM-1","issue":"4","issued":{"date-parts":[["2005","6"]]},"note":"DOI:10.1080/01421590500126437","page":"294-297","publisher":"Taylor &amp; Francis","title":"The place of the oral examination in today's assessment systems","type":"article-journal","volume":"27"},"uris":["http://www.mendeley.com/documents/?uuid=7248d802-98ce-46db-8ab0-2cdc66cbef48"]}],"mendeley":{"formattedCitation":"[68]","plainTextFormattedCitation":"[68]","previouslyFormattedCitation":"[68]"},"properties":{"noteIndex":0},"schema":"https://github.com/citation-style-language/schema/raw/master/csl-citation.json"}</w:instrText>
      </w:r>
      <w:r w:rsidR="00D064AD">
        <w:rPr>
          <w:rFonts w:eastAsia="Calibri"/>
          <w:color w:val="000000" w:themeColor="text1"/>
          <w:sz w:val="20"/>
          <w:szCs w:val="20"/>
        </w:rPr>
        <w:fldChar w:fldCharType="separate"/>
      </w:r>
      <w:r w:rsidR="00444200" w:rsidRPr="00444200">
        <w:rPr>
          <w:rFonts w:eastAsia="Calibri"/>
          <w:noProof/>
          <w:color w:val="000000" w:themeColor="text1"/>
          <w:sz w:val="20"/>
          <w:szCs w:val="20"/>
        </w:rPr>
        <w:t>[68]</w:t>
      </w:r>
      <w:r w:rsidR="00D064AD">
        <w:rPr>
          <w:rFonts w:eastAsia="Calibri"/>
          <w:color w:val="000000" w:themeColor="text1"/>
          <w:sz w:val="20"/>
          <w:szCs w:val="20"/>
        </w:rPr>
        <w:fldChar w:fldCharType="end"/>
      </w:r>
      <w:r w:rsidR="00BB302A" w:rsidRPr="00CD3C9A">
        <w:rPr>
          <w:rFonts w:eastAsia="Calibri"/>
          <w:color w:val="000000" w:themeColor="text1"/>
          <w:sz w:val="20"/>
          <w:szCs w:val="20"/>
        </w:rPr>
        <w:t xml:space="preserve"> There are several concerns with this assessment format including examination scores affected by </w:t>
      </w:r>
      <w:r w:rsidR="00506BF8" w:rsidRPr="00CD3C9A">
        <w:rPr>
          <w:rFonts w:eastAsia="Calibri"/>
          <w:color w:val="000000" w:themeColor="text1"/>
          <w:sz w:val="20"/>
          <w:szCs w:val="20"/>
        </w:rPr>
        <w:t xml:space="preserve">student’s </w:t>
      </w:r>
      <w:r w:rsidR="00BB302A" w:rsidRPr="00CD3C9A">
        <w:rPr>
          <w:rFonts w:eastAsia="Calibri"/>
          <w:color w:val="000000" w:themeColor="text1"/>
          <w:sz w:val="20"/>
          <w:szCs w:val="20"/>
        </w:rPr>
        <w:t>personality</w:t>
      </w:r>
      <w:r w:rsidR="00D064AD">
        <w:rPr>
          <w:rFonts w:eastAsia="Calibri"/>
          <w:color w:val="000000" w:themeColor="text1"/>
          <w:sz w:val="20"/>
          <w:szCs w:val="20"/>
        </w:rPr>
        <w:t>,</w:t>
      </w:r>
      <w:r w:rsidR="00D064AD">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{"citationItems":[{"id":"ITEM-1","itemData":{"abstract":"The oral examination in psychiatry for final-year medical students at Wellington and Dunedin School of Medicine, University of Otago, was studied. Between December 1989 and April 1990, 40 medical students were videorecorded during such an examination. The transcripts of the recording of each oral, and at a later date the videorecordings, were individually scored by a panel of six research psychiatrists who were experienced examiners. In addition verbal and non-verbal behaviour was rated using visual analogue scales and the students completed personality and anxiety questionnaires. There was a low level of agreement between research psychiatrists in the allocation of oral marks. The oral score was positively associated with the level of confidence of the student and negatively with anxiety in men.","author":[{"dropping-particle":"","family":"Thomas","given":"C S","non-dropping-particle":"","parse-names":false,"suffix":""},{"dropping-particle":"","family":"Mellsop","given":"G","non-dropping-particle":"","parse-names":false,"suffix":""},{"dropping-particle":"","family":"Callender","given":"K","non-dropping-particle":"","parse-names":false,"suffix":""},{"dropping-particle":"","family":"Crawshaw","given":"J","non-dropping-particle":"","parse-names":false,"suffix":""},{"dropping-particle":"","family":"Ellis","given":"P M","non-dropping-particle":"","parse-names":false,"suffix":""},{"dropping-particle":"","family":"Macdonald","given":"J","non-dropping-particle":"","parse-names":false,"suffix":""},{"dropping-particle":"","family":"Silfverskiold","given":"P","non-dropping-particle":"","parse-names":false,"suffix":""},{"dropping-particle":"","family":"Romans-clarksons","given":"S","non-dropping-particle":"","parse-names":false,"suffix":""}],"container-title":"Medical Education","id":"ITEM-1","issued":{"date-parts":[["1992"]]},"page":"433-439","title":"The oral examination: a study of academic and non-academic factors","type":"article-journal","volume":"27"},"uris":["http://www.mendeley.com/documents/?uuid=ab69fb67-a080-4ea4-8287-92e86fbc398c"]}],"mendeley":{"formattedCitation":"[69]","plainTextFormattedCitation":"[69]","previouslyFormattedCitation":"[69]"},"properties":{"noteIndex":0},"schema":"https://github.com/citation-style-language/schema/raw/master/csl-citation.json"}</w:instrText>
      </w:r>
      <w:r w:rsidR="00D064AD">
        <w:rPr>
          <w:rFonts w:eastAsia="Calibri"/>
          <w:color w:val="000000" w:themeColor="text1"/>
          <w:sz w:val="20"/>
          <w:szCs w:val="20"/>
        </w:rPr>
        <w:fldChar w:fldCharType="separate"/>
      </w:r>
      <w:r w:rsidR="00444200" w:rsidRPr="00444200">
        <w:rPr>
          <w:rFonts w:eastAsia="Calibri"/>
          <w:noProof/>
          <w:color w:val="000000" w:themeColor="text1"/>
          <w:sz w:val="20"/>
          <w:szCs w:val="20"/>
        </w:rPr>
        <w:t>[69]</w:t>
      </w:r>
      <w:r w:rsidR="00D064AD">
        <w:rPr>
          <w:rFonts w:eastAsia="Calibri"/>
          <w:color w:val="000000" w:themeColor="text1"/>
          <w:sz w:val="20"/>
          <w:szCs w:val="20"/>
        </w:rPr>
        <w:fldChar w:fldCharType="end"/>
      </w:r>
      <w:r w:rsidR="00BB302A" w:rsidRPr="00CD3C9A">
        <w:rPr>
          <w:rFonts w:eastAsia="Calibri"/>
          <w:color w:val="000000" w:themeColor="text1"/>
          <w:sz w:val="20"/>
          <w:szCs w:val="20"/>
        </w:rPr>
        <w:t xml:space="preserve"> verbal style and dress</w:t>
      </w:r>
      <w:r w:rsidR="00D064AD">
        <w:rPr>
          <w:rFonts w:eastAsia="Calibri"/>
          <w:color w:val="000000" w:themeColor="text1"/>
          <w:sz w:val="20"/>
          <w:szCs w:val="20"/>
        </w:rPr>
        <w:t>,</w:t>
      </w:r>
      <w:r w:rsidR="00D064AD">
        <w:rPr>
          <w:rFonts w:eastAsia="Calibri"/>
          <w:color w:val="000000" w:themeColor="text1"/>
          <w:sz w:val="20"/>
          <w:szCs w:val="20"/>
        </w:rPr>
        <w:fldChar w:fldCharType="begin" w:fldLock="1"/>
      </w:r>
      <w:r w:rsidR="00E91354">
        <w:rPr>
          <w:rFonts w:eastAsia="Calibri"/>
          <w:color w:val="000000" w:themeColor="text1"/>
          <w:sz w:val="20"/>
          <w:szCs w:val="20"/>
        </w:rPr>
        <w:instrText>ADDIN CSL_CITATION {"citationItems":[{"id":"ITEM-1","itemData":{"ISSN":"1040-2446","abstract":"BACKGROUND. Poor interrater reliability is a common objection to the use of oral examinations. METHOD. In 1990 the authors measured the agreement of 140 U.S. and Canadian surgical raters and the influences, if any, of age, years in practice, and experience as an examiner on individual oral examination scores. Eight actor examinees memorized transcripts of actual oral examinations and were videotaped using a single examiner. Examinee verbal style, dress, content of answers, and gender were purposefully adjusted. A repeated-measures analysis of variance was used for data analysis. RESULTS. Three aspects of examinee performance influenced scores (verbal style, dress, and content of answers). No rater characteristic significantly affected scores. Raters showed high agreement (86%) when rating “good” performances but less agreement (67%) when rating “poor” performances. CONCLUSION. The oral examination scores were not influenced by rater selection. The raters ranked good performances more consistently than poor performances. Therefore, more than one examiner appears necessary to confirm a poor performance during an examination. Created Date: 21 December 1995; Completed Date: 21 December 1995; Revised Date: 18 December 2000 © 1995 Association of American Medical Colleges","author":[{"dropping-particle":"","family":"Burchard","given":"K W","non-dropping-particle":"","parse-names":false,"suffix":""},{"dropping-particle":"","family":"Rowland-Morin","given":"P A","non-dropping-particle":"","parse-names":false,"suffix":""},{"dropping-particle":"","family":"Coe","given":"N P","non-dropping-particle":"","parse-names":false,"suffix":""},{"dropping-particle":"","family":"Garb","given":"J L","non-dropping-particle":"","parse-names":false,"suffix":""}],"container-title":"Academic Medicine","id":"ITEM-1","issue":"11","issued":{"date-parts":[["1995"]]},"page":"1044-6","title":"A surgery oral examination: interrater agreement and the influence of rater characteristics","type":"article-journal","volume":"70"},"uris":["http://www.mendeley.com/documents/?uuid=3060378a-fc5c-4bf8-9b97-41cacb4716e9"]}],"mendeley":{"formattedCitation":"[70]","plainTextFormattedCitation":"[70]","previouslyFormattedCitation":"[70]"},"properties":{"noteIndex":0},"schema":"https://github.com/citation-style-language/schema/raw/master/csl-citation.json"}</w:instrText>
      </w:r>
      <w:r w:rsidR="00D064AD">
        <w:rPr>
          <w:rFonts w:eastAsia="Calibri"/>
          <w:color w:val="000000" w:themeColor="text1"/>
          <w:sz w:val="20"/>
          <w:szCs w:val="20"/>
        </w:rPr>
        <w:fldChar w:fldCharType="separate"/>
      </w:r>
      <w:r w:rsidR="00444200" w:rsidRPr="00444200">
        <w:rPr>
          <w:rFonts w:eastAsia="Calibri"/>
          <w:noProof/>
          <w:color w:val="000000" w:themeColor="text1"/>
          <w:sz w:val="20"/>
          <w:szCs w:val="20"/>
        </w:rPr>
        <w:t>[70]</w:t>
      </w:r>
      <w:r w:rsidR="00D064AD">
        <w:rPr>
          <w:rFonts w:eastAsia="Calibri"/>
          <w:color w:val="000000" w:themeColor="text1"/>
          <w:sz w:val="20"/>
          <w:szCs w:val="20"/>
        </w:rPr>
        <w:fldChar w:fldCharType="end"/>
      </w:r>
      <w:r w:rsidR="00BB302A" w:rsidRPr="00CD3C9A">
        <w:rPr>
          <w:rFonts w:eastAsia="Calibri"/>
          <w:color w:val="000000" w:themeColor="text1"/>
          <w:sz w:val="20"/>
          <w:szCs w:val="20"/>
        </w:rPr>
        <w:t xml:space="preserve"> and poor reliability of the exam format</w:t>
      </w:r>
      <w:r w:rsidR="00D064AD">
        <w:rPr>
          <w:rFonts w:eastAsia="Calibri"/>
          <w:color w:val="000000" w:themeColor="text1"/>
          <w:sz w:val="20"/>
          <w:szCs w:val="20"/>
        </w:rPr>
        <w:t>.</w:t>
      </w:r>
      <w:r w:rsidR="00D064AD">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{"citationItems":[{"id":"ITEM-1","itemData":{"ISBN":"1040-2446","author":[{"dropping-particle":"","family":"Kelley Jr","given":"PR","non-dropping-particle":"","parse-names":false,"suffix":""},{"dropping-particle":"","family":"Matthews","given":"JH","non-dropping-particle":"","parse-names":false,"suffix":""},{"dropping-particle":"","family":"Schumacher","given":"CF","non-dropping-particle":"","parse-names":false,"suffix":""}],"container-title":"Academic medicine.","id":"ITEM-1","issue":"11","issued":{"date-parts":[["1971"]]},"page":"982-988","publisher-place":"[Philadelphia, Pa.] :","title":"Analysis of the oral examination of the American Board of Anesthesiology","type":"article-journal","volume":"46"},"uris":["http://www.mendeley.com/documents/?uuid=b700fba5-7b8c-45fc-b9ce-f2ff5021cfcd"]},{"id":"ITEM-2","itemData":{"ISSN":"0140-6736","PMID":"11289364","abstract":"Tests of clinical competence, which allow decisions to be made about medical qualification and fitness to practise, must be designed with respect to key issues including blueprinting, validity, reliability, and standard setting, as well as clarity about their formative or summative function. Multiple choice questions, essays, and oral examinations could be used to test factual recall and applied knowledge, but more sophisticated methods are needed to assess clincial performance, including directly observed long and short cases, objective structured clinical examinations, and the use of standardised patients. The goal of assessment in medical education remains the development of reliable measurements of student performance which, as well as having predictive value for subsequent clinical competence, also have a formative, educational role.","author":[{"dropping-particle":"","family":"Wass","given":"Val","non-dropping-particle":"","parse-names":false,"suffix":""},{"dropping-particle":"","family":"Vleuten","given":"Cees","non-dropping-particle":"Van der","parse-names":false,"suffix":""},{"dropping-particle":"","family":"Shatzer","given":"John","non-dropping-particle":"","parse-names":false,"suffix":""},{"dropping-particle":"","family":"Jones","given":"Roger","non-dropping-particle":"","parse-names":false,"suffix":""}],"container-title":"Lancet","id":"ITEM-2","issue":"9260","issued":{"date-parts":[["2001","3","24"]]},"note":"doi:10.1016/S0140-6736(00)04221-5","page":"945-949","publisher":"Lancet","title":"Assessment of clinical competence","type":"article-journal","volume":"357"},"uris":["http://www.mendeley.com/documents/?uuid=64089943-6856-45bf-a8f0-271e0eaf7241"]}],"mendeley":{"formattedCitation":"[41,71]","plainTextFormattedCitation":"[41,71]","previouslyFormattedCitation":"[41,71]"},"properties":{"noteIndex":0},"schema":"https://github.com/citation-style-language/schema/raw/master/csl-citation.json"}</w:instrText>
      </w:r>
      <w:r w:rsidR="00D064AD">
        <w:rPr>
          <w:rFonts w:eastAsia="Calibri"/>
          <w:color w:val="000000" w:themeColor="text1"/>
          <w:sz w:val="20"/>
          <w:szCs w:val="20"/>
        </w:rPr>
        <w:fldChar w:fldCharType="separate"/>
      </w:r>
      <w:r w:rsidR="00444200" w:rsidRPr="00444200">
        <w:rPr>
          <w:rFonts w:eastAsia="Calibri"/>
          <w:noProof/>
          <w:color w:val="000000" w:themeColor="text1"/>
          <w:sz w:val="20"/>
          <w:szCs w:val="20"/>
        </w:rPr>
        <w:t>[41,71]</w:t>
      </w:r>
      <w:r w:rsidR="00D064AD">
        <w:rPr>
          <w:rFonts w:eastAsia="Calibri"/>
          <w:color w:val="000000" w:themeColor="text1"/>
          <w:sz w:val="20"/>
          <w:szCs w:val="20"/>
        </w:rPr>
        <w:fldChar w:fldCharType="end"/>
      </w:r>
      <w:r w:rsidR="00D064AD">
        <w:rPr>
          <w:rFonts w:eastAsia="Calibri"/>
          <w:color w:val="000000" w:themeColor="text1"/>
          <w:sz w:val="20"/>
          <w:szCs w:val="20"/>
        </w:rPr>
        <w:t xml:space="preserve"> </w:t>
      </w:r>
      <w:r w:rsidR="00BB302A" w:rsidRPr="00CD3C9A">
        <w:rPr>
          <w:rFonts w:eastAsia="Calibri"/>
          <w:color w:val="000000" w:themeColor="text1"/>
          <w:sz w:val="20"/>
          <w:szCs w:val="20"/>
        </w:rPr>
        <w:t xml:space="preserve">Despite this evidence, oral exams continue to be used in schools of optometry across the world for assessing </w:t>
      </w:r>
      <w:r w:rsidR="00465A41" w:rsidRPr="00CD3C9A">
        <w:rPr>
          <w:rFonts w:eastAsia="Calibri"/>
          <w:color w:val="000000" w:themeColor="text1"/>
          <w:sz w:val="20"/>
          <w:szCs w:val="20"/>
        </w:rPr>
        <w:t>CL</w:t>
      </w:r>
      <w:r w:rsidR="00BB302A" w:rsidRPr="00CD3C9A">
        <w:rPr>
          <w:rFonts w:eastAsia="Calibri"/>
          <w:color w:val="000000" w:themeColor="text1"/>
          <w:sz w:val="20"/>
          <w:szCs w:val="20"/>
        </w:rPr>
        <w:t xml:space="preserve"> competencies. Some medical educators argue that oral exams have a place in the student evaluation process </w:t>
      </w:r>
      <w:r w:rsidR="0074646A">
        <w:rPr>
          <w:rFonts w:eastAsia="Calibri"/>
          <w:color w:val="000000" w:themeColor="text1"/>
          <w:sz w:val="20"/>
          <w:szCs w:val="20"/>
        </w:rPr>
        <w:t>when</w:t>
      </w:r>
      <w:r w:rsidR="0074646A" w:rsidRPr="00CD3C9A">
        <w:rPr>
          <w:rFonts w:eastAsia="Calibri"/>
          <w:color w:val="000000" w:themeColor="text1"/>
          <w:sz w:val="20"/>
          <w:szCs w:val="20"/>
        </w:rPr>
        <w:t xml:space="preserve"> </w:t>
      </w:r>
      <w:r w:rsidR="00C57BB0" w:rsidRPr="00CD3C9A">
        <w:rPr>
          <w:rFonts w:eastAsia="Calibri"/>
          <w:color w:val="000000" w:themeColor="text1"/>
          <w:sz w:val="20"/>
          <w:szCs w:val="20"/>
        </w:rPr>
        <w:t xml:space="preserve">using </w:t>
      </w:r>
      <w:r w:rsidR="00BB302A" w:rsidRPr="00CD3C9A">
        <w:rPr>
          <w:rFonts w:eastAsia="Calibri"/>
          <w:color w:val="000000" w:themeColor="text1"/>
          <w:sz w:val="20"/>
          <w:szCs w:val="20"/>
        </w:rPr>
        <w:t>best practice guidelines</w:t>
      </w:r>
      <w:r w:rsidR="00D064AD">
        <w:rPr>
          <w:rFonts w:eastAsia="Calibri"/>
          <w:color w:val="000000" w:themeColor="text1"/>
          <w:sz w:val="20"/>
          <w:szCs w:val="20"/>
        </w:rPr>
        <w:t>.</w:t>
      </w:r>
      <w:r w:rsidR="00D064AD">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{"citationItems":[{"id":"ITEM-1","itemData":{"ISSN":"0142159X","PMID":"16024410","abstract":"no abstract available","author":[{"dropping-particle":"","family":"Davis","given":"Margery H.","non-dropping-particle":"","parse-names":false,"suffix":""},{"dropping-particle":"","family":"Karunathilake","given":"Indika","non-dropping-particle":"","parse-names":false,"suffix":""}],"container-title":"Medical Teacher","id":"ITEM-1","issue":"4","issued":{"date-parts":[["2005","6"]]},"note":"DOI:10.1080/01421590500126437","page":"294-297","publisher":"Taylor &amp; Francis","title":"The place of the oral examination in today's assessment systems","type":"article-journal","volume":"27"},"uris":["http://www.mendeley.com/documents/?uuid=7248d802-98ce-46db-8ab0-2cdc66cbef48"]}],"mendeley":{"formattedCitation":"[68]","plainTextFormattedCitation":"[68]","previouslyFormattedCitation":"[68]"},"properties":{"noteIndex":0},"schema":"https://github.com/citation-style-language/schema/raw/master/csl-citation.json"}</w:instrText>
      </w:r>
      <w:r w:rsidR="00D064AD">
        <w:rPr>
          <w:rFonts w:eastAsia="Calibri"/>
          <w:color w:val="000000" w:themeColor="text1"/>
          <w:sz w:val="20"/>
          <w:szCs w:val="20"/>
        </w:rPr>
        <w:fldChar w:fldCharType="separate"/>
      </w:r>
      <w:r w:rsidR="00444200" w:rsidRPr="00444200">
        <w:rPr>
          <w:rFonts w:eastAsia="Calibri"/>
          <w:noProof/>
          <w:color w:val="000000" w:themeColor="text1"/>
          <w:sz w:val="20"/>
          <w:szCs w:val="20"/>
        </w:rPr>
        <w:t>[68]</w:t>
      </w:r>
      <w:r w:rsidR="00D064AD">
        <w:rPr>
          <w:rFonts w:eastAsia="Calibri"/>
          <w:color w:val="000000" w:themeColor="text1"/>
          <w:sz w:val="20"/>
          <w:szCs w:val="20"/>
        </w:rPr>
        <w:fldChar w:fldCharType="end"/>
      </w:r>
      <w:r w:rsidR="00BB302A" w:rsidRPr="00CD3C9A">
        <w:rPr>
          <w:rFonts w:eastAsia="Calibri"/>
          <w:color w:val="000000" w:themeColor="text1"/>
          <w:sz w:val="20"/>
          <w:szCs w:val="20"/>
        </w:rPr>
        <w:t xml:space="preserve"> </w:t>
      </w:r>
    </w:p>
    <w:p w14:paraId="67D8D66B" w14:textId="77777777" w:rsidR="00C03656" w:rsidRPr="00CD3C9A" w:rsidRDefault="00C03656" w:rsidP="00CD3C9A">
      <w:pPr>
        <w:spacing w:line="360" w:lineRule="auto"/>
        <w:rPr>
          <w:rFonts w:eastAsia="Calibri"/>
          <w:color w:val="000000" w:themeColor="text1"/>
          <w:sz w:val="20"/>
          <w:szCs w:val="20"/>
        </w:rPr>
      </w:pPr>
    </w:p>
    <w:p w14:paraId="04A6C1FB" w14:textId="602F05A4" w:rsidR="00C03656" w:rsidRPr="00CD3C9A" w:rsidRDefault="00465A41" w:rsidP="00CD3C9A">
      <w:pPr>
        <w:pStyle w:val="Heading3"/>
        <w:spacing w:before="0" w:after="0" w:line="360" w:lineRule="auto"/>
        <w:rPr>
          <w:color w:val="000000" w:themeColor="text1"/>
          <w:sz w:val="20"/>
          <w:szCs w:val="20"/>
          <w:u w:val="single"/>
        </w:rPr>
      </w:pPr>
      <w:r w:rsidRPr="00CD3C9A">
        <w:rPr>
          <w:color w:val="000000" w:themeColor="text1"/>
          <w:sz w:val="20"/>
          <w:szCs w:val="20"/>
          <w:u w:val="single"/>
        </w:rPr>
        <w:t>O</w:t>
      </w:r>
      <w:r w:rsidR="00BB302A" w:rsidRPr="00CD3C9A">
        <w:rPr>
          <w:color w:val="000000" w:themeColor="text1"/>
          <w:sz w:val="20"/>
          <w:szCs w:val="20"/>
          <w:u w:val="single"/>
        </w:rPr>
        <w:t>bjective structured clinical examination</w:t>
      </w:r>
      <w:r w:rsidR="00CD3C9A">
        <w:rPr>
          <w:color w:val="000000" w:themeColor="text1"/>
          <w:sz w:val="20"/>
          <w:szCs w:val="20"/>
          <w:u w:val="single"/>
        </w:rPr>
        <w:t>s</w:t>
      </w:r>
    </w:p>
    <w:p w14:paraId="0C6C7E5F" w14:textId="69F05AF1" w:rsidR="00C03656" w:rsidRPr="00CD3C9A" w:rsidRDefault="00BB302A" w:rsidP="00CD3C9A">
      <w:pPr>
        <w:spacing w:line="360" w:lineRule="auto"/>
        <w:rPr>
          <w:rFonts w:eastAsia="Calibri"/>
          <w:color w:val="000000" w:themeColor="text1"/>
          <w:sz w:val="20"/>
          <w:szCs w:val="20"/>
        </w:rPr>
      </w:pPr>
      <w:bookmarkStart w:id="11" w:name="_Hlk120827038"/>
      <w:r w:rsidRPr="00CD3C9A">
        <w:rPr>
          <w:rFonts w:eastAsia="Calibri"/>
          <w:color w:val="000000" w:themeColor="text1"/>
          <w:sz w:val="20"/>
          <w:szCs w:val="20"/>
        </w:rPr>
        <w:t>OSCE</w:t>
      </w:r>
      <w:r w:rsidR="00CD3C9A">
        <w:rPr>
          <w:rFonts w:eastAsia="Calibri"/>
          <w:color w:val="000000" w:themeColor="text1"/>
          <w:sz w:val="20"/>
          <w:szCs w:val="20"/>
        </w:rPr>
        <w:t>s</w:t>
      </w:r>
      <w:r w:rsidRPr="00CD3C9A">
        <w:rPr>
          <w:rFonts w:eastAsia="Calibri"/>
          <w:color w:val="000000" w:themeColor="text1"/>
          <w:sz w:val="20"/>
          <w:szCs w:val="20"/>
        </w:rPr>
        <w:t xml:space="preserve"> </w:t>
      </w:r>
      <w:bookmarkEnd w:id="11"/>
      <w:r w:rsidRPr="00CD3C9A">
        <w:rPr>
          <w:rFonts w:eastAsia="Calibri"/>
          <w:color w:val="000000" w:themeColor="text1"/>
          <w:sz w:val="20"/>
          <w:szCs w:val="20"/>
        </w:rPr>
        <w:t xml:space="preserve">may be considered as the standard practice of assessment </w:t>
      </w:r>
      <w:r w:rsidR="00CD7251" w:rsidRPr="00CD3C9A">
        <w:rPr>
          <w:rFonts w:eastAsia="Calibri"/>
          <w:color w:val="000000" w:themeColor="text1"/>
          <w:sz w:val="20"/>
          <w:szCs w:val="20"/>
        </w:rPr>
        <w:t>for</w:t>
      </w:r>
      <w:r w:rsidRPr="00CD3C9A">
        <w:rPr>
          <w:rFonts w:eastAsia="Calibri"/>
          <w:color w:val="000000" w:themeColor="text1"/>
          <w:sz w:val="20"/>
          <w:szCs w:val="20"/>
        </w:rPr>
        <w:t xml:space="preserve"> clinical skill competenc</w:t>
      </w:r>
      <w:r w:rsidR="00CD3C9A">
        <w:rPr>
          <w:rFonts w:eastAsia="Calibri"/>
          <w:color w:val="000000" w:themeColor="text1"/>
          <w:sz w:val="20"/>
          <w:szCs w:val="20"/>
        </w:rPr>
        <w:t>y</w:t>
      </w:r>
      <w:r w:rsidRPr="00CD3C9A">
        <w:rPr>
          <w:rFonts w:eastAsia="Calibri"/>
          <w:color w:val="000000" w:themeColor="text1"/>
          <w:sz w:val="20"/>
          <w:szCs w:val="20"/>
        </w:rPr>
        <w:t xml:space="preserve">. </w:t>
      </w:r>
      <w:r w:rsidR="00506BF8" w:rsidRPr="00CD3C9A">
        <w:rPr>
          <w:rFonts w:eastAsia="Times New Roman"/>
          <w:color w:val="000000" w:themeColor="text1"/>
          <w:sz w:val="20"/>
          <w:szCs w:val="20"/>
          <w:lang w:val="en-US"/>
        </w:rPr>
        <w:t>This type of assessment is mainly used to assess observable behavioral components of clinical skills competency and clinical performance based on Miller’s model</w:t>
      </w:r>
      <w:r w:rsidR="00E55AE6">
        <w:rPr>
          <w:rFonts w:eastAsia="Times New Roman"/>
          <w:color w:val="000000" w:themeColor="text1"/>
          <w:sz w:val="20"/>
          <w:szCs w:val="20"/>
          <w:lang w:val="en-US"/>
        </w:rPr>
        <w:t>.</w:t>
      </w:r>
      <w:r w:rsidR="0065196E">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{"citationItems":[{"id":"ITEM-1","itemData":{"ISSN":"1040-2446","author":[{"dropping-particle":"","family":"Miller","given":"G E","non-dropping-particle":"","parse-names":false,"suffix":""}],"container-title":"Academic Medicine","id":"ITEM-1","issue":"9","issued":{"date-parts":[["1990","9"]]},"note":"doi: 10.1097/00001888-199009000-00045","page":"S63-7","title":"The assessment of clinical skills/competence/performance","type":"article-journal","volume":"65"},"uris":["http://www.mendeley.com/documents/?uuid=8c37363c-85f4-39a0-a26f-e8ac913a9ab9"]}],"mendeley":{"formattedCitation":"[40]","plainTextFormattedCitation":"[40]","previouslyFormattedCitation":"[40]"},"properties":{"noteIndex":0},"schema":"https://github.com/citation-style-language/schema/raw/master/csl-citation.json"}</w:instrText>
      </w:r>
      <w:r w:rsidR="0065196E">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[40]</w:t>
      </w:r>
      <w:r w:rsidR="0065196E">
        <w:rPr>
          <w:rFonts w:eastAsia="Times New Roman"/>
          <w:color w:val="000000" w:themeColor="text1"/>
          <w:sz w:val="20"/>
          <w:szCs w:val="20"/>
          <w:lang w:val="en-US"/>
        </w:rPr>
        <w:fldChar w:fldCharType="end"/>
      </w:r>
      <w:r w:rsidR="00506BF8" w:rsidRPr="00CD3C9A">
        <w:rPr>
          <w:rFonts w:eastAsia="Times New Roman"/>
          <w:color w:val="000000" w:themeColor="text1"/>
          <w:sz w:val="20"/>
          <w:szCs w:val="20"/>
          <w:lang w:val="en-US"/>
        </w:rPr>
        <w:t xml:space="preserve"> </w:t>
      </w:r>
      <w:r w:rsidRPr="00CD3C9A">
        <w:rPr>
          <w:rFonts w:eastAsia="Calibri"/>
          <w:color w:val="000000" w:themeColor="text1"/>
          <w:sz w:val="20"/>
          <w:szCs w:val="20"/>
        </w:rPr>
        <w:t>OSCE</w:t>
      </w:r>
      <w:r w:rsidR="00506BF8" w:rsidRPr="00CD3C9A">
        <w:rPr>
          <w:rFonts w:eastAsia="Calibri"/>
          <w:color w:val="000000" w:themeColor="text1"/>
          <w:sz w:val="20"/>
          <w:szCs w:val="20"/>
        </w:rPr>
        <w:t>s are</w:t>
      </w:r>
      <w:r w:rsidRPr="00CD3C9A">
        <w:rPr>
          <w:rFonts w:eastAsia="Calibri"/>
          <w:color w:val="000000" w:themeColor="text1"/>
          <w:sz w:val="20"/>
          <w:szCs w:val="20"/>
        </w:rPr>
        <w:t xml:space="preserve"> a common exam format used in optometry around the world and in other disciplines such as medical schools</w:t>
      </w:r>
      <w:r w:rsidR="0065196E">
        <w:rPr>
          <w:rFonts w:eastAsia="Calibri"/>
          <w:color w:val="000000" w:themeColor="text1"/>
          <w:sz w:val="20"/>
          <w:szCs w:val="20"/>
        </w:rPr>
        <w:t>.</w:t>
      </w:r>
      <w:r w:rsidR="0065196E">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{"citationItems":[{"id":"ITEM-1","itemData":{"ISSN":"0098-7484","abstract":"ContextTo better provide medical students with the knowledge, skills, attitudes, and values they will need as physicians, US medical schools continue to make ongoing changes to their staffing and curricula.ObjectiveTo review the status of US medical education in the 2002-2003 academic year, compared with 1997-1998.Data SourcesThe Liaison Committee on Medical Education (LCME) Annual Medical School Questionnaire, the Association of American Medical Colleges (AAMC) Databook, and the AAMC Data Warehouse: Applicant Matriculant File. Data evaluated included those on medical school faculty, applicants, and students; curriculum hours devoted to new multidisciplinary or nontraditional subject areas (eg, cultural diversity, evidence-based medicine, medical ethics, medical informatics); and methods used to evaluate student learning.Data SynthesisThe number of full-time faculty members in the 126 LCME-accredited medical schools increased from 96 773 in 1997-1998 to 109 526 in 2002-2003 (+13.2%). The number of applicants entering decreased from 43 016 in 1997-1998 to 33 625 in 2002-2003 (−21.8%). The number of enrollees remained virtually unchanged from 1997-1998 (66 748) to 2002-2003 (66 677). Most medical schools have incorporated new subject areas into their curricula, although time devoted to these areas varies across schools. Schools typically use written examinations (National Board of Medical Examiners subject tests and/or internally prepared examinations) to assess factual knowledge, and observations by faculty members and residents to assess clinical skills. Use of standardized methods (eg, an objective structured clinical examination [OSCE]) to assess clinical skills is variable; 82 schools use a final third- or fourth-year comprehensive OSCE; 53 require a passing OSCE score for graduation.ConclusionsWhile the number of applicants to US medical schools has continued to decline, student numbers are constant. The number of full-time faculty members has increased. Schools are incorporating new subject areas into their curricula, and the use of standardized methods of assessing clinical skills, while variable, is generally increasing.","author":[{"dropping-particle":"","family":"Barzansky","given":"Barbara","non-dropping-particle":"","parse-names":false,"suffix":""},{"dropping-particle":"","family":"Etzel","given":"Sylvia I","non-dropping-particle":"","parse-names":false,"suffix":""}],"container-title":"JAMA","id":"ITEM-1","issue":"9","issued":{"date-parts":[["2003","9","3"]]},"note":"doi:10.1001/jama.290.9.1190","page":"1190-1196","title":"Educational Programs in US Medical Schools, 2002-2003","type":"article-journal","volume":"290"},"uris":["http://www.mendeley.com/documents/?uuid=eb1a2272-6e26-448c-8aec-c21816111ee3"]}],"mendeley":{"formattedCitation":"[72]","plainTextFormattedCitation":"[72]","previouslyFormattedCitation":"[72]"},"properties":{"noteIndex":0},"schema":"https://github.com/citation-style-language/schema/raw/master/csl-citation.json"}</w:instrText>
      </w:r>
      <w:r w:rsidR="0065196E">
        <w:rPr>
          <w:rFonts w:eastAsia="Calibri"/>
          <w:color w:val="000000" w:themeColor="text1"/>
          <w:sz w:val="20"/>
          <w:szCs w:val="20"/>
        </w:rPr>
        <w:fldChar w:fldCharType="separate"/>
      </w:r>
      <w:r w:rsidR="00444200" w:rsidRPr="00444200">
        <w:rPr>
          <w:rFonts w:eastAsia="Calibri"/>
          <w:noProof/>
          <w:color w:val="000000" w:themeColor="text1"/>
          <w:sz w:val="20"/>
          <w:szCs w:val="20"/>
        </w:rPr>
        <w:t>[72]</w:t>
      </w:r>
      <w:r w:rsidR="0065196E">
        <w:rPr>
          <w:rFonts w:eastAsia="Calibri"/>
          <w:color w:val="000000" w:themeColor="text1"/>
          <w:sz w:val="20"/>
          <w:szCs w:val="20"/>
        </w:rPr>
        <w:fldChar w:fldCharType="end"/>
      </w:r>
      <w:r w:rsidR="00756070" w:rsidRPr="00CD3C9A">
        <w:rPr>
          <w:rFonts w:eastAsia="Calibri"/>
          <w:color w:val="000000" w:themeColor="text1"/>
          <w:sz w:val="20"/>
          <w:szCs w:val="20"/>
        </w:rPr>
        <w:t xml:space="preserve"> </w:t>
      </w:r>
      <w:r w:rsidR="00CD3C9A">
        <w:rPr>
          <w:rFonts w:eastAsia="Calibri"/>
          <w:color w:val="000000" w:themeColor="text1"/>
          <w:sz w:val="20"/>
          <w:szCs w:val="20"/>
        </w:rPr>
        <w:t xml:space="preserve">OSCEs are </w:t>
      </w:r>
      <w:r w:rsidRPr="00CD3C9A">
        <w:rPr>
          <w:rFonts w:eastAsia="Calibri"/>
          <w:color w:val="000000" w:themeColor="text1"/>
          <w:sz w:val="20"/>
          <w:szCs w:val="20"/>
        </w:rPr>
        <w:t>also used to assess clinical competencies of optometrists for licensure in some countries.</w:t>
      </w:r>
    </w:p>
    <w:p w14:paraId="643022A4" w14:textId="09970B6B" w:rsidR="008E7843" w:rsidRDefault="00BB302A" w:rsidP="00CD3C9A">
      <w:pPr>
        <w:spacing w:line="360" w:lineRule="auto"/>
        <w:rPr>
          <w:color w:val="000000" w:themeColor="text1"/>
          <w:sz w:val="20"/>
          <w:szCs w:val="20"/>
        </w:rPr>
      </w:pPr>
      <w:r w:rsidRPr="00CD3C9A">
        <w:rPr>
          <w:rFonts w:eastAsia="Calibri"/>
          <w:color w:val="000000" w:themeColor="text1"/>
          <w:sz w:val="20"/>
          <w:szCs w:val="20"/>
        </w:rPr>
        <w:lastRenderedPageBreak/>
        <w:t>Typically, OSCE</w:t>
      </w:r>
      <w:r w:rsidR="00CD7251" w:rsidRPr="00CD3C9A">
        <w:rPr>
          <w:rFonts w:eastAsia="Calibri"/>
          <w:color w:val="000000" w:themeColor="text1"/>
          <w:sz w:val="20"/>
          <w:szCs w:val="20"/>
        </w:rPr>
        <w:t>s</w:t>
      </w:r>
      <w:r w:rsidRPr="00CD3C9A">
        <w:rPr>
          <w:rFonts w:eastAsia="Calibri"/>
          <w:color w:val="000000" w:themeColor="text1"/>
          <w:sz w:val="20"/>
          <w:szCs w:val="20"/>
        </w:rPr>
        <w:t xml:space="preserve"> involve several timed stations where, at each station, the</w:t>
      </w:r>
      <w:r w:rsidR="00CD7251" w:rsidRPr="00CD3C9A">
        <w:rPr>
          <w:rFonts w:eastAsia="Calibri"/>
          <w:color w:val="000000" w:themeColor="text1"/>
          <w:sz w:val="20"/>
          <w:szCs w:val="20"/>
        </w:rPr>
        <w:t xml:space="preserve"> student</w:t>
      </w:r>
      <w:r w:rsidRPr="00CD3C9A">
        <w:rPr>
          <w:rFonts w:eastAsia="Calibri"/>
          <w:color w:val="000000" w:themeColor="text1"/>
          <w:sz w:val="20"/>
          <w:szCs w:val="20"/>
        </w:rPr>
        <w:t xml:space="preserve"> perform</w:t>
      </w:r>
      <w:r w:rsidR="00CD7251" w:rsidRPr="00CD3C9A">
        <w:rPr>
          <w:rFonts w:eastAsia="Calibri"/>
          <w:color w:val="000000" w:themeColor="text1"/>
          <w:sz w:val="20"/>
          <w:szCs w:val="20"/>
        </w:rPr>
        <w:t>s</w:t>
      </w:r>
      <w:r w:rsidRPr="00CD3C9A">
        <w:rPr>
          <w:rFonts w:eastAsia="Calibri"/>
          <w:color w:val="000000" w:themeColor="text1"/>
          <w:sz w:val="20"/>
          <w:szCs w:val="20"/>
        </w:rPr>
        <w:t xml:space="preserve"> a defined task on a standardised or simulated patient. The examiner may provide some verbal or written instructions prior to performing the task. As the </w:t>
      </w:r>
      <w:r w:rsidR="00506BF8" w:rsidRPr="00CD3C9A">
        <w:rPr>
          <w:rFonts w:eastAsia="Calibri"/>
          <w:color w:val="000000" w:themeColor="text1"/>
          <w:sz w:val="20"/>
          <w:szCs w:val="20"/>
        </w:rPr>
        <w:t xml:space="preserve">student </w:t>
      </w:r>
      <w:r w:rsidRPr="00CD3C9A">
        <w:rPr>
          <w:rFonts w:eastAsia="Calibri"/>
          <w:color w:val="000000" w:themeColor="text1"/>
          <w:sz w:val="20"/>
          <w:szCs w:val="20"/>
        </w:rPr>
        <w:t>carries out the task, the examiner scores the</w:t>
      </w:r>
      <w:r w:rsidR="00CD7251" w:rsidRPr="00CD3C9A">
        <w:rPr>
          <w:rFonts w:eastAsia="Calibri"/>
          <w:color w:val="000000" w:themeColor="text1"/>
          <w:sz w:val="20"/>
          <w:szCs w:val="20"/>
        </w:rPr>
        <w:t>ir</w:t>
      </w:r>
      <w:r w:rsidRPr="00CD3C9A">
        <w:rPr>
          <w:rFonts w:eastAsia="Calibri"/>
          <w:color w:val="000000" w:themeColor="text1"/>
          <w:sz w:val="20"/>
          <w:szCs w:val="20"/>
        </w:rPr>
        <w:t xml:space="preserve"> performance on a pre-set explicit criteria/checklist. Each station mark may be used to evaluate a </w:t>
      </w:r>
      <w:r w:rsidR="00CD7251" w:rsidRPr="00CD3C9A">
        <w:rPr>
          <w:rFonts w:eastAsia="Calibri"/>
          <w:color w:val="000000" w:themeColor="text1"/>
          <w:sz w:val="20"/>
          <w:szCs w:val="20"/>
        </w:rPr>
        <w:t xml:space="preserve">student’s </w:t>
      </w:r>
      <w:r w:rsidRPr="00CD3C9A">
        <w:rPr>
          <w:rFonts w:eastAsia="Calibri"/>
          <w:color w:val="000000" w:themeColor="text1"/>
          <w:sz w:val="20"/>
          <w:szCs w:val="20"/>
        </w:rPr>
        <w:t>global performance</w:t>
      </w:r>
      <w:r w:rsidR="0065196E">
        <w:rPr>
          <w:rFonts w:eastAsia="Calibri"/>
          <w:color w:val="000000" w:themeColor="text1"/>
          <w:sz w:val="20"/>
          <w:szCs w:val="20"/>
        </w:rPr>
        <w:t>.</w:t>
      </w:r>
      <w:r w:rsidR="0065196E">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{"citationItems":[{"id":"ITEM-1","itemData":{"ISBN":"9781118274217","abstract":"Following the familiar, easy-to-use at a Glance format, OSCEs at a Glance 2nd Edition is both a revision guide and a comprehensive introduction to objective structured clinical examinations for medical students. Fully revised to suit the current curriculum, and written with student feedback and experiences in mind, this full-colour textbook contains brand new and comprehensively indexed chapters which include 32 new OSCE stations, covering distinct areas of specialisation as well as broader practical and communication skills covered in the exams. This new edition of OSCEs at a Glance is also supported by a companion website at www.ataglanceseries.com/osces containing downloadable OSCE checklists - perfect for testing knowledge in the run-up to exams. This title is also available as a mobile App from MedHand Mobile Libraries. Buy it now from Google Play or the MedHand Store.","author":[{"dropping-particle":"","family":"Blundell","given":"Adrian","non-dropping-particle":"","parse-names":false,"suffix":""},{"dropping-particle":"","family":"Harrison","given":"Richard","non-dropping-particle":"","parse-names":false,"suffix":""}],"edition":"2","id":"ITEM-1","issued":{"date-parts":[["2013"]]},"publisher":"John Wiley &amp; Sons, Incorporated","publisher-place":"Hoboken","title":"OSCEs at a Glance","type":"book"},"uris":["http://www.mendeley.com/documents/?uuid=67f764f8-8253-4b7d-84b8-2f40e3690a8a"]}],"mendeley":{"formattedCitation":"[73]","plainTextFormattedCitation":"[73]","previouslyFormattedCitation":"[73]"},"properties":{"noteIndex":0},"schema":"https://github.com/citation-style-language/schema/raw/master/csl-citation.json"}</w:instrText>
      </w:r>
      <w:r w:rsidR="0065196E">
        <w:rPr>
          <w:rFonts w:eastAsia="Calibri"/>
          <w:color w:val="000000" w:themeColor="text1"/>
          <w:sz w:val="20"/>
          <w:szCs w:val="20"/>
        </w:rPr>
        <w:fldChar w:fldCharType="separate"/>
      </w:r>
      <w:r w:rsidR="00444200" w:rsidRPr="00444200">
        <w:rPr>
          <w:rFonts w:eastAsia="Calibri"/>
          <w:noProof/>
          <w:color w:val="000000" w:themeColor="text1"/>
          <w:sz w:val="20"/>
          <w:szCs w:val="20"/>
        </w:rPr>
        <w:t>[73]</w:t>
      </w:r>
      <w:r w:rsidR="0065196E">
        <w:rPr>
          <w:rFonts w:eastAsia="Calibri"/>
          <w:color w:val="000000" w:themeColor="text1"/>
          <w:sz w:val="20"/>
          <w:szCs w:val="20"/>
        </w:rPr>
        <w:fldChar w:fldCharType="end"/>
      </w:r>
      <w:r w:rsidR="00756070" w:rsidRPr="00CD3C9A">
        <w:rPr>
          <w:rFonts w:eastAsia="Calibri"/>
          <w:color w:val="000000" w:themeColor="text1"/>
          <w:sz w:val="20"/>
          <w:szCs w:val="20"/>
        </w:rPr>
        <w:t xml:space="preserve"> </w:t>
      </w:r>
      <w:r w:rsidRPr="00CD3C9A">
        <w:rPr>
          <w:rFonts w:eastAsia="Calibri"/>
          <w:color w:val="000000" w:themeColor="text1"/>
          <w:sz w:val="20"/>
          <w:szCs w:val="20"/>
        </w:rPr>
        <w:t>The main advantage of OSCE</w:t>
      </w:r>
      <w:r w:rsidR="00506BF8" w:rsidRPr="00CD3C9A">
        <w:rPr>
          <w:rFonts w:eastAsia="Calibri"/>
          <w:color w:val="000000" w:themeColor="text1"/>
          <w:sz w:val="20"/>
          <w:szCs w:val="20"/>
        </w:rPr>
        <w:t>s</w:t>
      </w:r>
      <w:r w:rsidRPr="00CD3C9A">
        <w:rPr>
          <w:rFonts w:eastAsia="Calibri"/>
          <w:color w:val="000000" w:themeColor="text1"/>
          <w:sz w:val="20"/>
          <w:szCs w:val="20"/>
        </w:rPr>
        <w:t xml:space="preserve"> </w:t>
      </w:r>
      <w:r w:rsidR="00506BF8" w:rsidRPr="00CD3C9A">
        <w:rPr>
          <w:rFonts w:eastAsia="Calibri"/>
          <w:color w:val="000000" w:themeColor="text1"/>
          <w:sz w:val="20"/>
          <w:szCs w:val="20"/>
        </w:rPr>
        <w:t>are</w:t>
      </w:r>
      <w:r w:rsidRPr="00CD3C9A">
        <w:rPr>
          <w:rFonts w:eastAsia="Calibri"/>
          <w:color w:val="000000" w:themeColor="text1"/>
          <w:sz w:val="20"/>
          <w:szCs w:val="20"/>
        </w:rPr>
        <w:t xml:space="preserve"> that </w:t>
      </w:r>
      <w:r w:rsidR="00CD7251" w:rsidRPr="00CD3C9A">
        <w:rPr>
          <w:rFonts w:eastAsia="Calibri"/>
          <w:color w:val="000000" w:themeColor="text1"/>
          <w:sz w:val="20"/>
          <w:szCs w:val="20"/>
        </w:rPr>
        <w:t xml:space="preserve">they </w:t>
      </w:r>
      <w:r w:rsidRPr="00CD3C9A">
        <w:rPr>
          <w:rFonts w:eastAsia="Calibri"/>
          <w:color w:val="000000" w:themeColor="text1"/>
          <w:sz w:val="20"/>
          <w:szCs w:val="20"/>
        </w:rPr>
        <w:t xml:space="preserve">assess discrete </w:t>
      </w:r>
      <w:r w:rsidR="00506BF8" w:rsidRPr="00CD3C9A">
        <w:rPr>
          <w:rFonts w:eastAsia="Calibri"/>
          <w:color w:val="000000" w:themeColor="text1"/>
          <w:sz w:val="20"/>
          <w:szCs w:val="20"/>
        </w:rPr>
        <w:t>and</w:t>
      </w:r>
      <w:r w:rsidRPr="00CD3C9A">
        <w:rPr>
          <w:rFonts w:eastAsia="Calibri"/>
          <w:color w:val="000000" w:themeColor="text1"/>
          <w:sz w:val="20"/>
          <w:szCs w:val="20"/>
        </w:rPr>
        <w:t xml:space="preserve"> comprehensive skills</w:t>
      </w:r>
      <w:r w:rsidR="0065196E">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{"citationItems":[{"id":"ITEM-1","itemData":{"author":[{"dropping-particle":"","family":"Turner","given":"John L","non-dropping-particle":"","parse-names":false,"suffix":""},{"dropping-particle":"","family":"Dankoski","given":"Mary E","non-dropping-particle":"","parse-names":false,"suffix":""}],"container-title":"Fam Med","id":"ITEM-1","issue":"8","issued":{"date-parts":[["2008"]]},"page":"574-578","title":"Objective structured clinical exams: a critical review","type":"article-journal","volume":"40"},"uris":["http://www.mendeley.com/documents/?uuid=54589467-82d1-4fba-b2a8-992f7889d141"]}],"mendeley":{"formattedCitation":"[74]","plainTextFormattedCitation":"[74]","previouslyFormattedCitation":"[74]"},"properties":{"noteIndex":0},"schema":"https://github.com/citation-style-language/schema/raw/master/csl-citation.json"}</w:instrText>
      </w:r>
      <w:r w:rsidR="0065196E">
        <w:rPr>
          <w:rFonts w:eastAsia="Calibri"/>
          <w:color w:val="000000" w:themeColor="text1"/>
          <w:sz w:val="20"/>
          <w:szCs w:val="20"/>
        </w:rPr>
        <w:fldChar w:fldCharType="separate"/>
      </w:r>
      <w:r w:rsidR="00444200" w:rsidRPr="00444200">
        <w:rPr>
          <w:rFonts w:eastAsia="Calibri"/>
          <w:noProof/>
          <w:color w:val="000000" w:themeColor="text1"/>
          <w:sz w:val="20"/>
          <w:szCs w:val="20"/>
        </w:rPr>
        <w:t>[74]</w:t>
      </w:r>
      <w:r w:rsidR="0065196E">
        <w:rPr>
          <w:rFonts w:eastAsia="Calibri"/>
          <w:color w:val="000000" w:themeColor="text1"/>
          <w:sz w:val="20"/>
          <w:szCs w:val="20"/>
        </w:rPr>
        <w:fldChar w:fldCharType="end"/>
      </w:r>
      <w:r w:rsidR="00CD3C9A">
        <w:rPr>
          <w:rFonts w:eastAsia="Calibri"/>
          <w:color w:val="000000" w:themeColor="text1"/>
          <w:sz w:val="20"/>
          <w:szCs w:val="20"/>
        </w:rPr>
        <w:t xml:space="preserve"> </w:t>
      </w:r>
      <w:r w:rsidR="008E7843" w:rsidRPr="00CD3C9A">
        <w:rPr>
          <w:color w:val="000000" w:themeColor="text1"/>
          <w:sz w:val="20"/>
          <w:szCs w:val="20"/>
        </w:rPr>
        <w:t>such as medical history recording, physical examination, and patient management across timed stations on</w:t>
      </w:r>
      <w:r w:rsidR="00F54CE1" w:rsidRPr="00CD3C9A">
        <w:rPr>
          <w:color w:val="000000" w:themeColor="text1"/>
          <w:sz w:val="20"/>
          <w:szCs w:val="20"/>
        </w:rPr>
        <w:t xml:space="preserve"> s</w:t>
      </w:r>
      <w:r w:rsidR="008E7843" w:rsidRPr="00CD3C9A">
        <w:rPr>
          <w:color w:val="000000" w:themeColor="text1"/>
          <w:sz w:val="20"/>
          <w:szCs w:val="20"/>
        </w:rPr>
        <w:t>imulated patients</w:t>
      </w:r>
      <w:r w:rsidR="00E55AE6">
        <w:rPr>
          <w:color w:val="000000" w:themeColor="text1"/>
          <w:sz w:val="20"/>
          <w:szCs w:val="20"/>
        </w:rPr>
        <w:t>.</w:t>
      </w:r>
      <w:r w:rsidR="0065196E">
        <w:rPr>
          <w:color w:val="000000" w:themeColor="text1"/>
          <w:sz w:val="20"/>
          <w:szCs w:val="20"/>
        </w:rPr>
        <w:fldChar w:fldCharType="begin" w:fldLock="1"/>
      </w:r>
      <w:r w:rsidR="00351E6D">
        <w:rPr>
          <w:color w:val="000000" w:themeColor="text1"/>
          <w:sz w:val="20"/>
          <w:szCs w:val="20"/>
        </w:rPr>
        <w:instrText>ADDIN CSL_CITATION {"citationItems":[{"id":"ITEM-1","itemData":{"DOI":"10.5001/omj.2011.55","ISSN":"1999768X","abstract":"The Objective Structured Clinical Examination is a versatile multipurpose evaluative tool that can be utilized to assess health care professionals in a clinical setting. It assesses competency, based on objective testing through direct observation. It is precise, objective, and reproducible allowing uniform testing of students for a wide range of clinical skills. Unlike the traditional clinical exam, the OSCE could evaluate areas most critical to performance of health care professionals such as communication skills and ability to handle unpredictable patient behavior. © OMSB, 2011.","author":[{"dropping-particle":"","family":"Zayyan","given":"Marliyya","non-dropping-particle":"","parse-names":false,"suffix":""}],"container-title":"Oman Medical Journal","id":"ITEM-1","issue":"4","issued":{"date-parts":[["2011"]]},"page":"219-222","title":"Objective structured clinical examination: The assessment of choice","type":"article","volume":"26"},"uris":["http://www.mendeley.com/documents/?uuid=f3ee4e53-45f9-32b8-822f-dcdb8f4b1f4c"]}],"mendeley":{"formattedCitation":"[75]","plainTextFormattedCitation":"[75]","previouslyFormattedCitation":"[75]"},"properties":{"noteIndex":0},"schema":"https://github.com/citation-style-language/schema/raw/master/csl-citation.json"}</w:instrText>
      </w:r>
      <w:r w:rsidR="0065196E">
        <w:rPr>
          <w:color w:val="000000" w:themeColor="text1"/>
          <w:sz w:val="20"/>
          <w:szCs w:val="20"/>
        </w:rPr>
        <w:fldChar w:fldCharType="separate"/>
      </w:r>
      <w:r w:rsidR="00444200" w:rsidRPr="00444200">
        <w:rPr>
          <w:noProof/>
          <w:color w:val="000000" w:themeColor="text1"/>
          <w:sz w:val="20"/>
          <w:szCs w:val="20"/>
        </w:rPr>
        <w:t>[75]</w:t>
      </w:r>
      <w:r w:rsidR="0065196E">
        <w:rPr>
          <w:color w:val="000000" w:themeColor="text1"/>
          <w:sz w:val="20"/>
          <w:szCs w:val="20"/>
        </w:rPr>
        <w:fldChar w:fldCharType="end"/>
      </w:r>
      <w:r w:rsidR="00E55AE6">
        <w:rPr>
          <w:color w:val="000000" w:themeColor="text1"/>
          <w:sz w:val="20"/>
          <w:szCs w:val="20"/>
        </w:rPr>
        <w:t xml:space="preserve"> </w:t>
      </w:r>
    </w:p>
    <w:p w14:paraId="7460C49F" w14:textId="56CE32D9" w:rsidR="008E7843" w:rsidRPr="00CD3C9A" w:rsidRDefault="00E55AE6" w:rsidP="00CD3C9A">
      <w:pPr>
        <w:spacing w:line="360" w:lineRule="auto"/>
        <w:rPr>
          <w:color w:val="000000" w:themeColor="text1"/>
          <w:sz w:val="20"/>
          <w:szCs w:val="20"/>
        </w:rPr>
      </w:pPr>
      <w:r w:rsidRPr="00E55AE6">
        <w:rPr>
          <w:rFonts w:eastAsia="Times New Roman"/>
          <w:color w:val="000000" w:themeColor="text1"/>
          <w:sz w:val="20"/>
          <w:szCs w:val="20"/>
          <w:lang w:val="en-US"/>
        </w:rPr>
        <w:t xml:space="preserve">OSCEs are </w:t>
      </w:r>
      <w:proofErr w:type="spellStart"/>
      <w:r w:rsidRPr="00E55AE6">
        <w:rPr>
          <w:rFonts w:eastAsia="Times New Roman"/>
          <w:color w:val="000000" w:themeColor="text1"/>
          <w:sz w:val="20"/>
          <w:szCs w:val="20"/>
          <w:lang w:val="en-US"/>
        </w:rPr>
        <w:t>recognised</w:t>
      </w:r>
      <w:proofErr w:type="spellEnd"/>
      <w:r w:rsidRPr="00E55AE6">
        <w:rPr>
          <w:rFonts w:eastAsia="Times New Roman"/>
          <w:color w:val="000000" w:themeColor="text1"/>
          <w:sz w:val="20"/>
          <w:szCs w:val="20"/>
          <w:lang w:val="en-US"/>
        </w:rPr>
        <w:t xml:space="preserve"> as a valuable assessment type that has an accepted level of objectivity, versatility of clinical scenarios that can be assessed, and strong predictive value for learners’ ability in integrating medical information</w:t>
      </w:r>
      <w:r w:rsidR="0065196E">
        <w:rPr>
          <w:rFonts w:eastAsia="Times New Roman"/>
          <w:color w:val="000000" w:themeColor="text1"/>
          <w:sz w:val="20"/>
          <w:szCs w:val="20"/>
          <w:lang w:val="en-US"/>
        </w:rPr>
        <w:t>.</w:t>
      </w:r>
      <w:r w:rsidR="0065196E">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{"citationItems":[{"id":"ITEM-1","itemData":{"DOI":"10.2147/AMEP.S77459","ISSN":"11797258","abstract":"Purpose: The development of clinical problem-solving skills evolves over time and requires structured training and background knowledge. Computer-based case simulations (CCS) have been used for teaching and assessment of clinical reasoning skills. However, previous studies examining the psychometric properties of CCS as an assessment tool have been controversial. Furthermore, studies reporting the integration of CCS into problem-based medical curricula have been limited. Methods: This study examined the psychometric properties of using CCS software (DxR Clinician) for assessment of medical students (n=130) studying in a problem-based, integrated multisystem module (Unit IX) during the academic year 2011–2012. Internal consistency reliability of CCS scores was calculated using Cronbach’s alpha statistics. The relationships between students’ scores in CCS components (clinical reasoning, diagnostic performance, and patient management) and their scores in other examination tools at the end of the unit including multiple-choice questions, short-answer questions, objective structured clinical examination (OSCE), and real patient encounters were analyzed using stepwise hierarchical linear regression. Results: Internal consistency reliability of CCS scores was high (α=0.862). Inter-item cor-relations between students’ scores in different CCS components and their scores in CCS and other test items were statistically significant. Regression analysis indicated that OSCE scores predicted 32.7% and 35.1% of the variance in clinical reasoning and patient management scores, respectively (P&lt;0.01). Multiple-choice question scores, however, predicted only 15.4% of the variance in diagnostic performance scores (P&lt;0.01), while students’ scores in real patient encounters did not predict any of the CCS scores. Conclusion: Students’ scores in OSCE are the most important predictors of their scores in clinical reasoning and patient management using CCS. However, real patient encounter assessment does not appear to test a construct similar to what is tested in CCS.","author":[{"dropping-particle":"","family":"Fida","given":"Mariam","non-dropping-particle":"","parse-names":false,"suffix":""},{"dropping-particle":"","family":"Kassab","given":"Salah Eldin","non-dropping-particle":"","parse-names":false,"suffix":""}],"container-title":"Advances in Medical Education and Practice","id":"ITEM-1","issued":{"date-parts":[["2015"]]},"page":"135-141","title":"Do medical students’ scores using different assessment instruments predict their scores in clinical reasoning using a computer-based simulation?","type":"article-journal","volume":"6"},"uris":["http://www.mendeley.com/documents/?uuid=cce20005-71cc-38e0-a500-0a283d1183a8"]}],"mendeley":{"formattedCitation":"[76]","plainTextFormattedCitation":"[76]","previouslyFormattedCitation":"[76]"},"properties":{"noteIndex":0},"schema":"https://github.com/citation-style-language/schema/raw/master/csl-citation.json"}</w:instrText>
      </w:r>
      <w:r w:rsidR="0065196E">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[76]</w:t>
      </w:r>
      <w:r w:rsidR="0065196E">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In addition, OSCEs assist learners in incorporating clinical findings in clinical reasoning and decision making</w:t>
      </w:r>
      <w:r w:rsidR="0065196E">
        <w:rPr>
          <w:rFonts w:eastAsia="Times New Roman"/>
          <w:color w:val="000000" w:themeColor="text1"/>
          <w:sz w:val="20"/>
          <w:szCs w:val="20"/>
          <w:lang w:val="en-US"/>
        </w:rPr>
        <w:t>.</w:t>
      </w:r>
      <w:r w:rsidR="0065196E">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{"citationItems":[{"id":"ITEM-1","itemData":{"DOI":"10.1080/01421590701506866","ISSN":"0142159X","PMID":"17922355","abstract":"Background: It is a very well-known fact that examinations drive learning to a great extent. The examination program is actually the 'hidden curriculum' for the students. In order to improve teaching and learning one option is to strategically use of exams. Aims: This report of the strategic use of an innovative assessment tool in clinical problem solving domain, presents the design, format, content, students' results and evaluation of one year test results of instructive case-based exams for 6th year medical students. Method: Using a hybrid form of the OSCE, PMP and KFE formats, we developed a case-based stationary exam. Students were treated as advanced beginners in medical career and forced to an inquiry to use their clinical knowledge in the cases. Case discussions and question-answer sessions followed the exams. Six exams were held in 2000-2001 and 382 students participated in the study. One or two problems were used for each exam and the mean duration was 27 minutes for 7-11 stations. 17-19 observers contributed to each exam. Exams were evaluated by questionnaire based feedbacks of the students and oral feedbacks of the staff members. Results: The exams were well received and rated 'fair' by the students and the format was found highly 'relevant for learning' while the content was 'instructive' and 'not difficult'. The total non-satisfactory performance rate was 2.36%. Students asked to take a similar test weekly. Although it was labor intensive, staff members appreciated the collaborative working process. Conclusions: Instructive case-based exams and the following case discussions seemed a high potential and motivating teaching tool in the clinical problem solving domain for 6th year students.","author":[{"dropping-particle":"","family":"Durak","given":"Halil Ibrahim","non-dropping-particle":"","parse-names":false,"suffix":""},{"dropping-particle":"","family":"Caliskan","given":"Suleyman Ayhan","non-dropping-particle":"","parse-names":false,"suffix":""},{"dropping-particle":"","family":"Bor","given":"Serhat","non-dropping-particle":"","parse-names":false,"suffix":""},{"dropping-particle":"","family":"Vleuten","given":"Cees","non-dropping-particle":"Van Der","parse-names":false,"suffix":""}],"container-title":"Medical Teacher","id":"ITEM-1","issue":"6","issued":{"date-parts":[["2007"]]},"title":"Use of case-based exams as an instructional teaching tool to teach clinical reasoning","type":"article-journal","volume":"29"},"uris":["http://www.mendeley.com/documents/?uuid=246c1ba9-c37f-3f8a-aef6-04d578ca12e1"]},{"id":"ITEM-2","itemData":{"DOI":"10.1186/s12909-017-1105-y","ISSN":"14726920","PMID":"29268744","abstract":"Background: Medical students may not be able to identify the essential elements of situational awareness (SA) necessary for clinical reasoning. Recent studies suggest that students have little insight into cognitive processing and SA in clinical scenarios. Objective Structured Clinical Examinations (OSCEs) could be used to assess certain elements of situational awareness. The purpose of this paper is to review the literature with a view to identifying whether levels of SA based on Endsley's model can be assessed utilising OSCEs during undergraduate medical training. Methods: A systematic search was performed pertaining to SA and OSCEs, to identify studies published between January 1975 (first paper describing an OSCE) and February 2017, in peer reviewed international journals published in English. PUBMED, EMBASE, PsycINFO Ovid and SCOPUS were searched for papers that described the assessment of SA using OSCEs among undergraduate medical students. Key search terms included \"objective structured clinical examination\", \"objective structured clinical assessment\" or \"OSCE\" and \"non-technical skills\", \"sense-making\", \"clinical reasoning\", \"perception\", \"comprehension\", \"projection\", \"situation awareness\", \"situational awareness\" and \"situation assessment\". Boolean operators (AND, OR) were used as conjunctions to narrow the search strategy, resulting in the limitation of papers relevant to the research interest. Areas of interest were elements of SA that can be assessed by these examinations. Results: The initial search of the literature retrieved 1127 publications. Upon removal of duplicates and papers relating to nursing, paramedical disciplines, pharmacy and veterinary education by title, abstract or full text, 11 articles were eligible for inclusion as related to the assessment of elements of SA in undergraduate medical students. Discussion: Review of the literature suggests that whole-task OSCEs enable the evaluation of SA associated with clinical reasoning skills. If they address the levels of SA, these OSCEs can provide supportive feedback and strengthen educational measures associated with higher diagnostic accuracy and reasoning abilities. Conclusion: Based on the findings, the early exposure of medical students to SA is recommended, utilising OSCEs to evaluate and facilitate SA in dynamic environments.","author":[{"dropping-particle":"","family":"Fischer","given":"Markus A.","non-dropping-particle":"","parse-names":false,"suffix":""},{"dropping-particle":"","family":"Kennedy","given":"Kieran M.","non-dropping-particle":"","parse-names":false,"suffix":""},{"dropping-particle":"","family":"Durning","given":"Steven","non-dropping-particle":"","parse-names":false,"suffix":""},{"dropping-particle":"","family":"Schijven","given":"Marlies P.","non-dropping-particle":"","parse-names":false,"suffix":""},{"dropping-particle":"","family":"Ker","given":"Jean","non-dropping-particle":"","parse-names":false,"suffix":""},{"dropping-particle":"","family":"O'Connor","given":"Paul","non-dropping-particle":"","parse-names":false,"suffix":""},{"dropping-particle":"","family":"Doherty","given":"Eva","non-dropping-particle":"","parse-names":false,"suffix":""},{"dropping-particle":"","family":"Kropmans","given":"Thomas J.B.","non-dropping-particle":"","parse-names":false,"suffix":""}],"container-title":"BMC Medical Education","id":"ITEM-2","issue":"1","issued":{"date-parts":[["2017"]]},"title":"Situational awareness within objective structured clinical examination stations in undergraduate medical training - A literature search","type":"article-journal","volume":"17"},"uris":["http://www.mendeley.com/documents/?uuid=02afdec2-0d2c-3834-b6ba-8dc93715a407"]},{"id":"ITEM-3","itemData":{"DOI":"10.1111/medu.12635","ISSN":"13652923","PMID":"25626751","abstract":"Context: Some characteristics of assessments exert a strong influence on how students study. Understanding these pre-assessment learning effects is of key importance to the designing of medical assessments that foster students' reasoning abilities. Perceptions of the task demands of an assessment significantly influence students' cognitive processes. However, why and how certain tasks positively 'drive' learning remain unknown. Medical tasks can be assessed as coherent meaningful whole tasks (e.g. examining a patient based on his complaint to find the diagnosis) or can be divided into simpler part tasks (e.g. demonstrating the physical examination of a pre-specified disease). Comparing the benefits of whole-task and part-task assessments in a randomised controlled experiment could guide the design of 'assessments for learning'. Objectives: The purpose of this study was to determine whether the knowledge that an objective structured clinical examination (OSCE) will contain whole tasks, as opposed to part tasks, increases the use of diagnostic reasoning by medical students when they study for this assessment. Methods: In this randomised, controlled, mixed-methods experiment, 40 medical students were randomly paired and filmed while studying together for two imminent physical examination OSCE stations. Each 25-minute study period began with video cues and ended with a questionnaire on cognitive loads. Cues disclosed either a part-task OSCE station (examination of a healthy patient) or a whole-task OSCE station (hypothesis-driven physical examination [HDPE]). In a crossover design, sequences were randomised for both task and content (shoulder or spine). Two blinded and independent authors scored all 40 videos in distinct randomised orders, listening to participants studying freely. Mentioning a diagnosis in association with a sign was scored as a backward association, and the opposite was scored as a forward association; both revealed the use of diagnostic reasoning. Qualitative data were obtained through group interviews. Results: Studying for whole-task OSCE stations resulted in a greater use of diagnostic reasoning. Qualitative data triangulate these findings and show the precedence of cues sourced from the 'student grapevine'. Conclusions: In comparison with 'traditional' part-task OSCEs, whole-task OSCEs like the HDPE increase students' use of diagnostic reasoning during study time. Discuss ideas arising from the article at www.mededuc.com discuss.","author":[{"dropping-particle":"","family":"Lafleur","given":"Alexandre","non-dropping-particle":"","parse-names":false,"suffix":""},{"dropping-particle":"","family":"Côté","given":"Luc","non-dropping-particle":"","parse-names":false,"suffix":""},{"dropping-particle":"","family":"Leppink","given":"Jimmie","non-dropping-particle":"","parse-names":false,"suffix":""}],"container-title":"Medical Education","id":"ITEM-3","issue":"2","issued":{"date-parts":[["2015"]]},"page":"203-214","title":"Influences of OSCE design on students' diagnostic reasoning","type":"article-journal","volume":"49"},"uris":["http://www.mendeley.com/documents/?uuid=5c83c952-484c-329e-ab00-a2ee6a959af5"]}],"mendeley":{"formattedCitation":"[77–79]","plainTextFormattedCitation":"[77–79]","previouslyFormattedCitation":"[77–79]"},"properties":{"noteIndex":0},"schema":"https://github.com/citation-style-language/schema/raw/master/csl-citation.json"}</w:instrText>
      </w:r>
      <w:r w:rsidR="0065196E">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[77–79]</w:t>
      </w:r>
      <w:r w:rsidR="0065196E">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Early use of OSCEs fosters gaining important clinical skills, such as clinical reasoning, pattern recognition and problem-based learning</w:t>
      </w:r>
      <w:r w:rsidR="0065196E">
        <w:rPr>
          <w:rFonts w:eastAsia="Times New Roman"/>
          <w:color w:val="000000" w:themeColor="text1"/>
          <w:sz w:val="20"/>
          <w:szCs w:val="20"/>
          <w:lang w:val="en-US"/>
        </w:rPr>
        <w:t>.</w:t>
      </w:r>
      <w:r w:rsidR="0065196E">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{"citationItems":[{"id":"ITEM-1","itemData":{"DOI":"10.5688/ajpe76344","ISSN":"15536467","PMID":"22544961","abstract":"Objectives. To compare pharmacy students' performance on an objective structured clinical examination (OSCE) to their performance on a written examination for the assessment of problem-based learning (PBL); and to determine students' and faculty members' perceptions of OSCEs for PBL evaluations. Design. Four OSCEs were added to the written examination to assess 4 PBL cases in a third-year pharmacotherapy course. OSCE scores were compared to written examination scores. Faculty members evaluated student performance. Assessment. OSCE performance did not correlate with the written-examination scores. Most students (≥ 75%) agreed that OSCEs reflected their learning from PBL and measured knowledge, communication, and clinical skills. A majority of faculty members (≥75%) agreed that OSCEs should be part of PBL assessment. Conclusions. Addition of an OSCE to written examinations was valued and provided a more comprehensive assessment of the PBL experience. © 2011 American Journal of Pharmaceutical Education.","author":[{"dropping-particle":"","family":"Salinitri","given":"Francine D.","non-dropping-particle":"","parse-names":false,"suffix":""},{"dropping-particle":"","family":"O'Connell","given":"Mary Beth","non-dropping-particle":"","parse-names":false,"suffix":""},{"dropping-particle":"","family":"Garwood","given":"Candice L.","non-dropping-particle":"","parse-names":false,"suffix":""},{"dropping-particle":"","family":"Lehr","given":"Victoria Tutag","non-dropping-particle":"","parse-names":false,"suffix":""},{"dropping-particle":"","family":"Abdallah","given":"Karina","non-dropping-particle":"","parse-names":false,"suffix":""}],"container-title":"American Journal of Pharmaceutical Education","id":"ITEM-1","issue":"3","issued":{"date-parts":[["2012"]]},"title":"An objective structured clinical examination to assess problem-based learning","type":"article-journal","volume":"76"},"uris":["http://www.mendeley.com/documents/?uuid=367aa8e3-9f5c-31f4-88fe-3b51454bb1b7"]}],"mendeley":{"formattedCitation":"[80]","plainTextFormattedCitation":"[80]","previouslyFormattedCitation":"[80]"},"properties":{"noteIndex":0},"schema":"https://github.com/citation-style-language/schema/raw/master/csl-citation.json"}</w:instrText>
      </w:r>
      <w:r w:rsidR="0065196E">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[80]</w:t>
      </w:r>
      <w:r w:rsidR="0065196E">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OSCEs effectively evaluated communication skills among pharmacy students and qualified pharmacists</w:t>
      </w:r>
      <w:r w:rsidR="0065196E">
        <w:rPr>
          <w:rFonts w:eastAsia="Times New Roman"/>
          <w:color w:val="000000" w:themeColor="text1"/>
          <w:sz w:val="20"/>
          <w:szCs w:val="20"/>
          <w:lang w:val="en-US"/>
        </w:rPr>
        <w:t>.</w:t>
      </w:r>
      <w:r w:rsidR="0065196E">
        <w:rPr>
          <w:rFonts w:eastAsia="Times New Roman"/>
          <w:color w:val="000000" w:themeColor="text1"/>
          <w:sz w:val="20"/>
          <w:szCs w:val="20"/>
          <w:lang w:val="en-US"/>
        </w:rPr>
        <w:fldChar w:fldCharType="begin" w:fldLock="1"/>
      </w:r>
      <w:r w:rsidR="00351E6D">
        <w:rPr>
          <w:rFonts w:eastAsia="Times New Roman"/>
          <w:color w:val="000000" w:themeColor="text1"/>
          <w:sz w:val="20"/>
          <w:szCs w:val="20"/>
          <w:lang w:val="en-US"/>
        </w:rPr>
        <w:instrText>ADDIN CSL_CITATION {"citationItems":[{"id":"ITEM-1","itemData":{"DOI":"10.5688/ajpe798122","ISSN":"15536467","PMID":"26690286","abstract":"Objective. To evaluate how effectively pharmacy students and practicing pharmacists communicate and apply knowledge to simulations of commonly encountered patient scenarios using an objective structured clinical examination (OSCE). Design. Second-, third-, and fourth-year pharmacy students completed an OSCE as part of their required courses in 2012 and 2013. All students in both years completed identical OSCE cases. Licensed pharmacists were recruited to complete the OSCE and serve as controls in 2012. A survey assessed student perception and acceptance of the OSCE as well as student confidence in performance. Assessment. Licensed pharmacists had significantly higher clinical and communication skills scores than did pharmacy students. Student progression in communication and clinical skills improved significantly over time. Survey results indicated that students felt the OSCE was well-structured and assessed clinical skills taught in pharmacy school; 86% of students felt confident they could provide these skills. Conclusion. Objective structured clinical examinations can evaluate clinical competence and communication skills among professional students. Implementation of OSCEs may be an effective tool for assessment of the Center for the Advancement of Pharmacy Education domains.","author":[{"dropping-particle":"","family":"Urteaga","given":"Elizabeth M.","non-dropping-particle":"","parse-names":false,"suffix":""},{"dropping-particle":"","family":"Attridge","given":"Rebecca L.","non-dropping-particle":"","parse-names":false,"suffix":""},{"dropping-particle":"","family":"Tovar","given":"John M.","non-dropping-particle":"","parse-names":false,"suffix":""},{"dropping-particle":"","family":"Witte","given":"Amy P.","non-dropping-particle":"","parse-names":false,"suffix":""}],"container-title":"American Journal of Pharmaceutical Education","id":"ITEM-1","issue":"8","issued":{"date-parts":[["2015"]]},"page":"122","title":"Evaluation of clinical and communication skills of pharmacy students and pharmacists with an objective structured clinical examination","type":"article-journal","volume":"79"},"uris":["http://www.mendeley.com/documents/?uuid=6a3a73af-302b-3306-9d3b-f5eea7eadb40"]}],"mendeley":{"formattedCitation":"[55]","plainTextFormattedCitation":"[55]","previouslyFormattedCitation":"[55]"},"properties":{"noteIndex":0},"schema":"https://github.com/citation-style-language/schema/raw/master/csl-citation.json"}</w:instrText>
      </w:r>
      <w:r w:rsidR="0065196E">
        <w:rPr>
          <w:rFonts w:eastAsia="Times New Roman"/>
          <w:color w:val="000000" w:themeColor="text1"/>
          <w:sz w:val="20"/>
          <w:szCs w:val="20"/>
          <w:lang w:val="en-US"/>
        </w:rPr>
        <w:fldChar w:fldCharType="separate"/>
      </w:r>
      <w:r w:rsidR="00444200" w:rsidRPr="00444200">
        <w:rPr>
          <w:rFonts w:eastAsia="Times New Roman"/>
          <w:noProof/>
          <w:color w:val="000000" w:themeColor="text1"/>
          <w:sz w:val="20"/>
          <w:szCs w:val="20"/>
          <w:lang w:val="en-US"/>
        </w:rPr>
        <w:t>[55]</w:t>
      </w:r>
      <w:r w:rsidR="0065196E">
        <w:rPr>
          <w:rFonts w:eastAsia="Times New Roman"/>
          <w:color w:val="000000" w:themeColor="text1"/>
          <w:sz w:val="20"/>
          <w:szCs w:val="20"/>
          <w:lang w:val="en-US"/>
        </w:rPr>
        <w:fldChar w:fldCharType="end"/>
      </w:r>
      <w:r w:rsidRPr="00E55AE6">
        <w:rPr>
          <w:rFonts w:eastAsia="Times New Roman"/>
          <w:color w:val="000000" w:themeColor="text1"/>
          <w:sz w:val="20"/>
          <w:szCs w:val="20"/>
          <w:lang w:val="en-US"/>
        </w:rPr>
        <w:t xml:space="preserve"> However, OSCEs can be expensive and require more administrative time, material, and human resources in terms of examiners, support staff and access to patients in a clinical</w:t>
      </w:r>
    </w:p>
    <w:p w14:paraId="128CD3A6" w14:textId="46076EBA" w:rsidR="00CD3C9A" w:rsidRDefault="00764C60" w:rsidP="00CD3C9A">
      <w:pPr>
        <w:spacing w:line="360" w:lineRule="auto"/>
        <w:rPr>
          <w:color w:val="000000" w:themeColor="text1"/>
          <w:sz w:val="20"/>
          <w:szCs w:val="20"/>
        </w:rPr>
      </w:pPr>
      <w:r w:rsidRPr="00CD3C9A">
        <w:rPr>
          <w:color w:val="000000" w:themeColor="text1"/>
          <w:sz w:val="20"/>
          <w:szCs w:val="20"/>
        </w:rPr>
        <w:t>situation</w:t>
      </w:r>
      <w:r w:rsidR="00CD7251" w:rsidRPr="00CD3C9A">
        <w:rPr>
          <w:color w:val="000000" w:themeColor="text1"/>
          <w:sz w:val="20"/>
          <w:szCs w:val="20"/>
        </w:rPr>
        <w:t>,</w:t>
      </w:r>
      <w:r w:rsidRPr="00CD3C9A">
        <w:rPr>
          <w:color w:val="000000" w:themeColor="text1"/>
          <w:sz w:val="20"/>
          <w:szCs w:val="20"/>
        </w:rPr>
        <w:t xml:space="preserve"> mak</w:t>
      </w:r>
      <w:r w:rsidR="00CD7251" w:rsidRPr="00CD3C9A">
        <w:rPr>
          <w:color w:val="000000" w:themeColor="text1"/>
          <w:sz w:val="20"/>
          <w:szCs w:val="20"/>
        </w:rPr>
        <w:t>ing</w:t>
      </w:r>
      <w:r w:rsidRPr="00CD3C9A">
        <w:rPr>
          <w:color w:val="000000" w:themeColor="text1"/>
          <w:sz w:val="20"/>
          <w:szCs w:val="20"/>
        </w:rPr>
        <w:t xml:space="preserve"> it difficult to assess large number of students</w:t>
      </w:r>
      <w:r w:rsidR="00FB78F4">
        <w:rPr>
          <w:color w:val="000000" w:themeColor="text1"/>
          <w:sz w:val="20"/>
          <w:szCs w:val="20"/>
        </w:rPr>
        <w:t>.</w:t>
      </w:r>
      <w:r w:rsidR="0065196E">
        <w:rPr>
          <w:color w:val="000000" w:themeColor="text1"/>
          <w:sz w:val="20"/>
          <w:szCs w:val="20"/>
        </w:rPr>
        <w:fldChar w:fldCharType="begin" w:fldLock="1"/>
      </w:r>
      <w:r w:rsidR="00351E6D">
        <w:rPr>
          <w:color w:val="000000" w:themeColor="text1"/>
          <w:sz w:val="20"/>
          <w:szCs w:val="20"/>
        </w:rPr>
        <w:instrText>ADDIN CSL_CITATION {"citationItems":[{"id":"ITEM-1","itemData":{"ISSN":"03044602","PMID":"16205824","abstract":"Introduction: The main aim of medical education is to foster the development of clinical competence in students at all levels. Differences in experiences, methods of instruction and ambiguous forms of assessment are obstacles to attaining this goal. Dissatisfaction with the conventional methods of clinical assessment on the part of teachers and students led assessors to search for appropriate alternatives and in 1975, Harden and his colleagues introduced the objective structured clinical examination (OSCE). It is nearly impossible to have a test that satisfies all the criteria of a good test. Sometimes, a compromise has to be made between the available resources (in terms of man, money and time), and the method and quality of assessment (in terms of reliability, validity, objectivity and practicability). Methods: This critique on the OSCE is based on the published findings of researchers from its inception in 1975 to 2004. Results: The reliability, validity, objectivity and practicability or feasibility of this examination are based on the number of stations, construction of stations, method of scoring (checklists and/ or global scoring) and number of students assessed. For a comprehensive assessment of clinical competence, other methods should be used in conjunction with the OSCE. Conclusion: The OSCE can be a reasonably reliable, valid and objective method of assessment, but its main drawback is that it is resource-intensive.","author":[{"dropping-particle":"","family":"Barman","given":"Arunodaya","non-dropping-particle":"","parse-names":false,"suffix":""}],"container-title":"Annals of the Academy of Medicine Singapore","id":"ITEM-1","issue":"8","issued":{"date-parts":[["2005"]]},"page":"478-482","title":"Critiques on the objective structured clinical examination","type":"article","volume":"34"},"uris":["http://www.mendeley.com/documents/?uuid=7efb3f13-6806-37d8-88e8-b3fcd1c49eb2"]}],"mendeley":{"formattedCitation":"[81]","plainTextFormattedCitation":"[81]","previouslyFormattedCitation":"[81]"},"properties":{"noteIndex":0},"schema":"https://github.com/citation-style-language/schema/raw/master/csl-citation.json"}</w:instrText>
      </w:r>
      <w:r w:rsidR="0065196E">
        <w:rPr>
          <w:color w:val="000000" w:themeColor="text1"/>
          <w:sz w:val="20"/>
          <w:szCs w:val="20"/>
        </w:rPr>
        <w:fldChar w:fldCharType="separate"/>
      </w:r>
      <w:r w:rsidR="00444200" w:rsidRPr="00444200">
        <w:rPr>
          <w:noProof/>
          <w:color w:val="000000" w:themeColor="text1"/>
          <w:sz w:val="20"/>
          <w:szCs w:val="20"/>
        </w:rPr>
        <w:t>[81]</w:t>
      </w:r>
      <w:r w:rsidR="0065196E">
        <w:rPr>
          <w:color w:val="000000" w:themeColor="text1"/>
          <w:sz w:val="20"/>
          <w:szCs w:val="20"/>
        </w:rPr>
        <w:fldChar w:fldCharType="end"/>
      </w:r>
    </w:p>
    <w:p w14:paraId="07B5CE25" w14:textId="469FAA2E" w:rsidR="00CD3C9A" w:rsidRPr="00CD3C9A" w:rsidRDefault="00CD3C9A" w:rsidP="00CD3C9A">
      <w:pPr>
        <w:spacing w:line="360" w:lineRule="auto"/>
        <w:rPr>
          <w:rFonts w:eastAsia="Calibri"/>
          <w:color w:val="000000" w:themeColor="text1"/>
          <w:sz w:val="20"/>
          <w:szCs w:val="20"/>
        </w:rPr>
      </w:pPr>
      <w:r w:rsidRPr="00CD3C9A">
        <w:rPr>
          <w:rFonts w:eastAsia="Calibri"/>
          <w:color w:val="000000" w:themeColor="text1"/>
          <w:sz w:val="20"/>
          <w:szCs w:val="20"/>
        </w:rPr>
        <w:t>OSCEs do have limitations as there is no relationship between students’ knowledge and clinical performance</w:t>
      </w:r>
      <w:r w:rsidR="0065196E">
        <w:rPr>
          <w:rFonts w:eastAsia="Calibri"/>
          <w:color w:val="000000" w:themeColor="text1"/>
          <w:sz w:val="20"/>
          <w:szCs w:val="20"/>
        </w:rPr>
        <w:t>.</w:t>
      </w:r>
      <w:r w:rsidR="00A43EC3">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{"citationItems":[{"id":"ITEM-1","itemData":{"abstract":"CONTEXT Many students experience a tough transition from pre-clinical to clinical training and previous studies suggest that this may constrict studentsÕ progress. However, clear empirical evidence of this is lacking. The aim of this study was to determine: whether the perceived difficulty of transition influences student performance during the first 2 weeks of clerkships; whether it influences studentsÕ overall performance in their first clerkship, and the degree to which the difficulty of transition is influenced by studentsÕ pre-clinical knowledge and skills levels. METHODS Clerks (n = 83) from a university hospital and eight affiliated hospitals completed a questionnaire measuring the perceived difficulty of the transition period. Data collected included student scores on pre-clinical knowledge and skills, their performance during the second week of the first clerkship, and their overall performance in the first clerkship. Univariate and multivariate multiple regression analyses were used to analyse the data. RESULTS The perceived difficulty of transition was neither predictive of student performance during the transition period (adjusted R 2 = 11.8%, P = NS), nor of their overall clerkship performance (adjusted R 2 = 8.6%, P = NS). StudentsÕ pre-clinical knowledge and skills played a minor role in the perceived difficulty of the transition period. CONCLUSIONS The negative effect of the transition period on student progress suggested in the literature was not found in this study. A possible explanation for the limited influence of studentsÕ knowledge and skills on performance during the transition period is that the workload in this period causes a cognitive overload, interfering with studentsÕ abilities to apply their pre-clinical knowledge and skills.","author":[{"dropping-particle":"","family":"Hell","given":"Elisabeth A","non-dropping-particle":"Van","parse-names":false,"suffix":""},{"dropping-particle":"","family":"Kuks","given":"Jan B M","non-dropping-particle":"","parse-names":false,"suffix":""},{"dropping-particle":"","family":"Schönrock-Adema","given":"Johanna","non-dropping-particle":"","parse-names":false,"suffix":""},{"dropping-particle":"","family":"Lohuizen","given":"Mirjam T","non-dropping-particle":"Van","parse-names":false,"suffix":""},{"dropping-particle":"","family":"Cohen-Schotanus","given":"Janke","non-dropping-particle":"","parse-names":false,"suffix":""}],"container-title":"Medical Education","id":"ITEM-1","issued":{"date-parts":[["2008"]]},"note":"doi: 10.1111/j.1365-2923.2008.03106.x","page":"830-837","title":"Transition to clinical training: influence of pre-clinical knowledge and skills, and consequences for clinical performance","type":"article-journal","volume":"42"},"uris":["http://www.mendeley.com/documents/?uuid=473a7594-69a2-495e-9860-8a0b48084f62"]},{"id":"ITEM-2","itemData":{"ISSN":"01479563","PMID":"19944876","abstract":"Purpose: The purpose of this study was to measure directly the knowledge and performance of novice and experienced critical care nurses in a simulated task environment. Methods: Nurses were required to control the physiologic deterioration of patients with respiratory compromise in 4 scenarios and were also tested on their knowledge of the constructs present in the scenarios. Results: The results indicate that experienced nurses possessed highly superior knowledge when compared with novice nurses (P &lt; .001). The results further demonstrated a lack of reliable differences in actual clinical performance when nurses were considered solely on the basis of their term of experience. Group differences in performance were demonstrated only when nurses who had achieved board certification in critical care nursing were compared with the remaining participants. Conclusion: The results demonstrate the lack of linkage between knowledge and clinical performance, which calls into question the supposition by many in nursing that knowledge and performance are inextricably linked. © 2009 Mosby, Inc. All rights reserved.","author":[{"dropping-particle":"","family":"Whyte IV","given":"James","non-dropping-particle":"","parse-names":false,"suffix":""},{"dropping-particle":"","family":"Ward","given":"Paul","non-dropping-particle":"","parse-names":false,"suffix":""},{"dropping-particle":"","family":"Eccles","given":"David W","non-dropping-particle":"","parse-names":false,"suffix":""}],"container-title":"Heart and Lung: Journal of Acute and Critical Care","id":"ITEM-2","issue":"6","issued":{"date-parts":[["2009"]]},"note":"doi:10.1016/j.hrtlng.2008.12.006","page":"517-525","title":"The relationship between knowledge and clinical performance in novice and experienced critical care nurses","type":"article-journal","volume":"38"},"uris":["http://www.mendeley.com/documents/?uuid=514a8b2a-e035-4669-9399-89a38fd0d532"]}],"mendeley":{"formattedCitation":"[82,83]","plainTextFormattedCitation":"[82,83]","previouslyFormattedCitation":"[82,83]"},"properties":{"noteIndex":0},"schema":"https://github.com/citation-style-language/schema/raw/master/csl-citation.json"}</w:instrText>
      </w:r>
      <w:r w:rsidR="00A43EC3">
        <w:rPr>
          <w:rFonts w:eastAsia="Calibri"/>
          <w:color w:val="000000" w:themeColor="text1"/>
          <w:sz w:val="20"/>
          <w:szCs w:val="20"/>
        </w:rPr>
        <w:fldChar w:fldCharType="separate"/>
      </w:r>
      <w:r w:rsidR="00444200" w:rsidRPr="00444200">
        <w:rPr>
          <w:rFonts w:eastAsia="Calibri"/>
          <w:noProof/>
          <w:color w:val="000000" w:themeColor="text1"/>
          <w:sz w:val="20"/>
          <w:szCs w:val="20"/>
        </w:rPr>
        <w:t>[82,83]</w:t>
      </w:r>
      <w:r w:rsidR="00A43EC3">
        <w:rPr>
          <w:rFonts w:eastAsia="Calibri"/>
          <w:color w:val="000000" w:themeColor="text1"/>
          <w:sz w:val="20"/>
          <w:szCs w:val="20"/>
        </w:rPr>
        <w:fldChar w:fldCharType="end"/>
      </w:r>
      <w:r w:rsidRPr="00CD3C9A">
        <w:rPr>
          <w:rFonts w:eastAsia="Calibri"/>
          <w:color w:val="000000" w:themeColor="text1"/>
          <w:sz w:val="20"/>
          <w:szCs w:val="20"/>
        </w:rPr>
        <w:t xml:space="preserve"> A good clinical performance during an OSCE does not indicate that the student possesses the required clinical knowledge. </w:t>
      </w:r>
      <w:r>
        <w:rPr>
          <w:rFonts w:eastAsia="Calibri"/>
          <w:color w:val="000000" w:themeColor="text1"/>
          <w:sz w:val="20"/>
          <w:szCs w:val="20"/>
        </w:rPr>
        <w:t xml:space="preserve">Furthermore, </w:t>
      </w:r>
      <w:r>
        <w:rPr>
          <w:color w:val="000000" w:themeColor="text1"/>
          <w:sz w:val="20"/>
          <w:szCs w:val="20"/>
        </w:rPr>
        <w:t>n</w:t>
      </w:r>
      <w:r w:rsidR="00F54CE1" w:rsidRPr="00CD3C9A">
        <w:rPr>
          <w:sz w:val="20"/>
          <w:szCs w:val="20"/>
        </w:rPr>
        <w:t>ot all conditions and investigations lend themselves to an OSCE. Acute care and invasive procedures can</w:t>
      </w:r>
      <w:r>
        <w:rPr>
          <w:sz w:val="20"/>
          <w:szCs w:val="20"/>
        </w:rPr>
        <w:t xml:space="preserve"> only</w:t>
      </w:r>
      <w:r w:rsidR="00F54CE1" w:rsidRPr="00CD3C9A">
        <w:rPr>
          <w:sz w:val="20"/>
          <w:szCs w:val="20"/>
        </w:rPr>
        <w:t xml:space="preserve"> be assessed </w:t>
      </w:r>
      <w:r>
        <w:rPr>
          <w:sz w:val="20"/>
          <w:szCs w:val="20"/>
        </w:rPr>
        <w:t>when</w:t>
      </w:r>
      <w:r w:rsidR="00F54CE1" w:rsidRPr="00CD3C9A">
        <w:rPr>
          <w:sz w:val="20"/>
          <w:szCs w:val="20"/>
        </w:rPr>
        <w:t xml:space="preserve"> they are well simulated. Example</w:t>
      </w:r>
      <w:r w:rsidR="00377BDA" w:rsidRPr="00CD3C9A">
        <w:rPr>
          <w:sz w:val="20"/>
          <w:szCs w:val="20"/>
        </w:rPr>
        <w:t>s</w:t>
      </w:r>
      <w:r w:rsidR="00F54CE1" w:rsidRPr="00CD3C9A">
        <w:rPr>
          <w:sz w:val="20"/>
          <w:szCs w:val="20"/>
        </w:rPr>
        <w:t xml:space="preserve"> in C</w:t>
      </w:r>
      <w:r w:rsidR="00377BDA" w:rsidRPr="00CD3C9A">
        <w:rPr>
          <w:sz w:val="20"/>
          <w:szCs w:val="20"/>
        </w:rPr>
        <w:t>LE</w:t>
      </w:r>
      <w:r w:rsidR="00F54CE1" w:rsidRPr="00CD3C9A">
        <w:rPr>
          <w:sz w:val="20"/>
          <w:szCs w:val="20"/>
        </w:rPr>
        <w:t xml:space="preserve"> </w:t>
      </w:r>
      <w:r w:rsidR="00377BDA" w:rsidRPr="00CD3C9A">
        <w:rPr>
          <w:sz w:val="20"/>
          <w:szCs w:val="20"/>
        </w:rPr>
        <w:t>are any acute condition such</w:t>
      </w:r>
      <w:r w:rsidR="00F54CE1" w:rsidRPr="00CD3C9A">
        <w:rPr>
          <w:sz w:val="20"/>
          <w:szCs w:val="20"/>
        </w:rPr>
        <w:t xml:space="preserve"> an active keratitis</w:t>
      </w:r>
      <w:r w:rsidR="00377BDA" w:rsidRPr="00CD3C9A">
        <w:rPr>
          <w:sz w:val="20"/>
          <w:szCs w:val="20"/>
        </w:rPr>
        <w:t xml:space="preserve"> </w:t>
      </w:r>
      <w:r>
        <w:rPr>
          <w:sz w:val="20"/>
          <w:szCs w:val="20"/>
        </w:rPr>
        <w:t>or</w:t>
      </w:r>
      <w:r w:rsidR="00377BDA" w:rsidRPr="00CD3C9A">
        <w:rPr>
          <w:sz w:val="20"/>
          <w:szCs w:val="20"/>
        </w:rPr>
        <w:t xml:space="preserve"> </w:t>
      </w:r>
      <w:r w:rsidR="00E16F70">
        <w:rPr>
          <w:sz w:val="20"/>
          <w:szCs w:val="20"/>
        </w:rPr>
        <w:t>CL</w:t>
      </w:r>
      <w:r w:rsidR="00377BDA" w:rsidRPr="00CD3C9A">
        <w:rPr>
          <w:sz w:val="20"/>
          <w:szCs w:val="20"/>
        </w:rPr>
        <w:t xml:space="preserve"> associated red eye.</w:t>
      </w:r>
      <w:r>
        <w:rPr>
          <w:sz w:val="20"/>
          <w:szCs w:val="20"/>
        </w:rPr>
        <w:t xml:space="preserve"> </w:t>
      </w:r>
      <w:r w:rsidRPr="00CD3C9A">
        <w:rPr>
          <w:color w:val="222222"/>
          <w:sz w:val="20"/>
          <w:szCs w:val="20"/>
          <w:shd w:val="clear" w:color="auto" w:fill="FFFFFF"/>
        </w:rPr>
        <w:t xml:space="preserve">Although </w:t>
      </w:r>
      <w:r>
        <w:rPr>
          <w:color w:val="222222"/>
          <w:sz w:val="20"/>
          <w:szCs w:val="20"/>
          <w:shd w:val="clear" w:color="auto" w:fill="FFFFFF"/>
        </w:rPr>
        <w:t xml:space="preserve">OSCEs </w:t>
      </w:r>
      <w:r w:rsidRPr="00CD3C9A">
        <w:rPr>
          <w:color w:val="222222"/>
          <w:sz w:val="20"/>
          <w:szCs w:val="20"/>
          <w:shd w:val="clear" w:color="auto" w:fill="FFFFFF"/>
        </w:rPr>
        <w:t>are a common assessment tool they lack an evidence base in the realm of CLE.</w:t>
      </w:r>
    </w:p>
    <w:p w14:paraId="07B89D9F" w14:textId="77777777" w:rsidR="00764C60" w:rsidRPr="00CD3C9A" w:rsidRDefault="00764C60" w:rsidP="00CD3C9A">
      <w:pPr>
        <w:spacing w:line="360" w:lineRule="auto"/>
        <w:rPr>
          <w:rFonts w:eastAsia="Calibri"/>
          <w:color w:val="000000" w:themeColor="text1"/>
          <w:sz w:val="20"/>
          <w:szCs w:val="20"/>
        </w:rPr>
      </w:pPr>
    </w:p>
    <w:p w14:paraId="0CB46FF6" w14:textId="2E375E7F" w:rsidR="00C03656" w:rsidRPr="00CD3C9A" w:rsidRDefault="00F54CE1" w:rsidP="00CD3C9A">
      <w:pPr>
        <w:pStyle w:val="Heading3"/>
        <w:spacing w:before="0" w:after="0" w:line="360" w:lineRule="auto"/>
        <w:rPr>
          <w:color w:val="000000" w:themeColor="text1"/>
          <w:sz w:val="20"/>
          <w:szCs w:val="20"/>
          <w:u w:val="single"/>
        </w:rPr>
      </w:pPr>
      <w:r w:rsidRPr="00CD3C9A">
        <w:rPr>
          <w:color w:val="000000" w:themeColor="text1"/>
          <w:sz w:val="20"/>
          <w:szCs w:val="20"/>
          <w:u w:val="single"/>
        </w:rPr>
        <w:t>O</w:t>
      </w:r>
      <w:r w:rsidR="00BB302A" w:rsidRPr="00CD3C9A">
        <w:rPr>
          <w:color w:val="000000" w:themeColor="text1"/>
          <w:sz w:val="20"/>
          <w:szCs w:val="20"/>
          <w:u w:val="single"/>
        </w:rPr>
        <w:t>bjectively structured practical examinations</w:t>
      </w:r>
    </w:p>
    <w:p w14:paraId="779514F2" w14:textId="547A274D" w:rsidR="00CD3C9A" w:rsidRPr="00CD3C9A" w:rsidRDefault="00BB302A" w:rsidP="00CD3C9A">
      <w:pPr>
        <w:spacing w:line="360" w:lineRule="auto"/>
        <w:rPr>
          <w:rFonts w:eastAsia="Calibri"/>
          <w:color w:val="000000" w:themeColor="text1"/>
          <w:sz w:val="20"/>
          <w:szCs w:val="20"/>
        </w:rPr>
      </w:pPr>
      <w:bookmarkStart w:id="12" w:name="_Hlk120827192"/>
      <w:r w:rsidRPr="00CD3C9A">
        <w:rPr>
          <w:rFonts w:eastAsia="Calibri"/>
          <w:color w:val="000000" w:themeColor="text1"/>
          <w:sz w:val="20"/>
          <w:szCs w:val="20"/>
        </w:rPr>
        <w:t>Objectively structured practical examination</w:t>
      </w:r>
      <w:r w:rsidR="00CD3C9A">
        <w:rPr>
          <w:rFonts w:eastAsia="Calibri"/>
          <w:color w:val="000000" w:themeColor="text1"/>
          <w:sz w:val="20"/>
          <w:szCs w:val="20"/>
        </w:rPr>
        <w:t>s</w:t>
      </w:r>
      <w:r w:rsidRPr="00CD3C9A">
        <w:rPr>
          <w:rFonts w:eastAsia="Calibri"/>
          <w:color w:val="000000" w:themeColor="text1"/>
          <w:sz w:val="20"/>
          <w:szCs w:val="20"/>
        </w:rPr>
        <w:t xml:space="preserve"> (OSPE</w:t>
      </w:r>
      <w:r w:rsidR="00CD3C9A">
        <w:rPr>
          <w:rFonts w:eastAsia="Calibri"/>
          <w:color w:val="000000" w:themeColor="text1"/>
          <w:sz w:val="20"/>
          <w:szCs w:val="20"/>
        </w:rPr>
        <w:t>s</w:t>
      </w:r>
      <w:r w:rsidRPr="00CD3C9A">
        <w:rPr>
          <w:rFonts w:eastAsia="Calibri"/>
          <w:color w:val="000000" w:themeColor="text1"/>
          <w:sz w:val="20"/>
          <w:szCs w:val="20"/>
        </w:rPr>
        <w:t>)</w:t>
      </w:r>
      <w:bookmarkEnd w:id="12"/>
      <w:r w:rsidRPr="00CD3C9A">
        <w:rPr>
          <w:rFonts w:eastAsia="Calibri"/>
          <w:color w:val="000000" w:themeColor="text1"/>
          <w:sz w:val="20"/>
          <w:szCs w:val="20"/>
        </w:rPr>
        <w:t xml:space="preserve"> may overcome </w:t>
      </w:r>
      <w:r w:rsidR="00CD3C9A">
        <w:rPr>
          <w:rFonts w:eastAsia="Calibri"/>
          <w:color w:val="000000" w:themeColor="text1"/>
          <w:sz w:val="20"/>
          <w:szCs w:val="20"/>
        </w:rPr>
        <w:t>the</w:t>
      </w:r>
      <w:r w:rsidR="00CD3C9A" w:rsidRPr="00CD3C9A">
        <w:rPr>
          <w:rFonts w:eastAsia="Calibri"/>
          <w:color w:val="000000" w:themeColor="text1"/>
          <w:sz w:val="20"/>
          <w:szCs w:val="20"/>
        </w:rPr>
        <w:t xml:space="preserve"> </w:t>
      </w:r>
      <w:r w:rsidRPr="00CD3C9A">
        <w:rPr>
          <w:rFonts w:eastAsia="Calibri"/>
          <w:color w:val="000000" w:themeColor="text1"/>
          <w:sz w:val="20"/>
          <w:szCs w:val="20"/>
        </w:rPr>
        <w:t>limitation</w:t>
      </w:r>
      <w:r w:rsidR="00CD3C9A">
        <w:rPr>
          <w:rFonts w:eastAsia="Calibri"/>
          <w:color w:val="000000" w:themeColor="text1"/>
          <w:sz w:val="20"/>
          <w:szCs w:val="20"/>
        </w:rPr>
        <w:t>s of OSCEs</w:t>
      </w:r>
      <w:r w:rsidR="00A43EC3">
        <w:rPr>
          <w:rFonts w:eastAsia="Calibri"/>
          <w:color w:val="000000" w:themeColor="text1"/>
          <w:sz w:val="20"/>
          <w:szCs w:val="20"/>
        </w:rPr>
        <w:t xml:space="preserve">, </w:t>
      </w:r>
      <w:r w:rsidR="00A43EC3">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{"citationItems":[{"id":"ITEM-1","itemData":{"ISSN":"1470174X","abstract":"The assessment of practical skills is often neglected. A contributing factor is the unsatisfactory nature of the assessment instruments commonly used. The objective structured practical examination (OSPE) is a practical, reliable and valid alternative. The main features of the OSPE are: (1) separate assessment of process and product through observation of performance and assessment of end result; (2) adequate sampling of skills and content to be tested; (3) an analytical approach to the assessment; (4) objectivity; (5) feedback to teacher and students. The OSPE approach merits consideration in any subject where practical skills should be assessed. © 1980, Taylor &amp; Francis Group. All rights reserved.","author":[{"dropping-particle":"","family":"Harden","given":"Ronald M.","non-dropping-particle":"","parse-names":false,"suffix":""},{"dropping-particle":"","family":"Cairncross","given":"Robert G.","non-dropping-particle":"","parse-names":false,"suffix":""}],"container-title":"Studies in Higher Education","id":"ITEM-1","issue":"2","issued":{"date-parts":[["1980","1","1"]]},"note":"doi: 10.1080/03075078012331377216","page":"187-196","publisher":"Taylor &amp; Francis Group","title":"Assessment of Practical Skills: The objective structured practical examination (OSPE)","type":"article-journal","volume":"5"},"uris":["http://www.mendeley.com/documents/?uuid=fe49e12a-e1f1-4b1f-8f09-939b034b15a1"]}],"mendeley":{"formattedCitation":"[84]","plainTextFormattedCitation":"[84]","previouslyFormattedCitation":"[84]"},"properties":{"noteIndex":0},"schema":"https://github.com/citation-style-language/schema/raw/master/csl-citation.json"}</w:instrText>
      </w:r>
      <w:r w:rsidR="00A43EC3">
        <w:rPr>
          <w:rFonts w:eastAsia="Calibri"/>
          <w:color w:val="000000" w:themeColor="text1"/>
          <w:sz w:val="20"/>
          <w:szCs w:val="20"/>
        </w:rPr>
        <w:fldChar w:fldCharType="separate"/>
      </w:r>
      <w:r w:rsidR="00444200" w:rsidRPr="00444200">
        <w:rPr>
          <w:rFonts w:eastAsia="Calibri"/>
          <w:noProof/>
          <w:color w:val="000000" w:themeColor="text1"/>
          <w:sz w:val="20"/>
          <w:szCs w:val="20"/>
        </w:rPr>
        <w:t>[84]</w:t>
      </w:r>
      <w:r w:rsidR="00A43EC3">
        <w:rPr>
          <w:rFonts w:eastAsia="Calibri"/>
          <w:color w:val="000000" w:themeColor="text1"/>
          <w:sz w:val="20"/>
          <w:szCs w:val="20"/>
        </w:rPr>
        <w:fldChar w:fldCharType="end"/>
      </w:r>
      <w:r w:rsidR="00756070" w:rsidRPr="00CD3C9A">
        <w:rPr>
          <w:rFonts w:eastAsia="Calibri"/>
          <w:color w:val="000000" w:themeColor="text1"/>
          <w:sz w:val="20"/>
          <w:szCs w:val="20"/>
        </w:rPr>
        <w:t xml:space="preserve"> </w:t>
      </w:r>
      <w:r w:rsidRPr="00CD3C9A">
        <w:rPr>
          <w:rFonts w:eastAsia="Calibri"/>
          <w:color w:val="000000" w:themeColor="text1"/>
          <w:sz w:val="20"/>
          <w:szCs w:val="20"/>
        </w:rPr>
        <w:t xml:space="preserve"> by incorporating knowledge and performance levels of Miller’s pyramid in </w:t>
      </w:r>
      <w:r w:rsidR="00CD3C9A">
        <w:rPr>
          <w:rFonts w:eastAsia="Calibri"/>
          <w:color w:val="000000" w:themeColor="text1"/>
          <w:sz w:val="20"/>
          <w:szCs w:val="20"/>
        </w:rPr>
        <w:t>the</w:t>
      </w:r>
      <w:r w:rsidR="00CD3C9A" w:rsidRPr="00CD3C9A">
        <w:rPr>
          <w:rFonts w:eastAsia="Calibri"/>
          <w:color w:val="000000" w:themeColor="text1"/>
          <w:sz w:val="20"/>
          <w:szCs w:val="20"/>
        </w:rPr>
        <w:t xml:space="preserve"> </w:t>
      </w:r>
      <w:r w:rsidRPr="00CD3C9A">
        <w:rPr>
          <w:rFonts w:eastAsia="Calibri"/>
          <w:color w:val="000000" w:themeColor="text1"/>
          <w:sz w:val="20"/>
          <w:szCs w:val="20"/>
        </w:rPr>
        <w:t xml:space="preserve">assessment format. Although OSCE and OSPE formats may seem similar, there are differences. Both </w:t>
      </w:r>
      <w:r w:rsidR="00CD3C9A">
        <w:rPr>
          <w:rFonts w:eastAsia="Calibri"/>
          <w:color w:val="000000" w:themeColor="text1"/>
          <w:sz w:val="20"/>
          <w:szCs w:val="20"/>
        </w:rPr>
        <w:t xml:space="preserve">use </w:t>
      </w:r>
      <w:r w:rsidRPr="00CD3C9A">
        <w:rPr>
          <w:rFonts w:eastAsia="Calibri"/>
          <w:color w:val="000000" w:themeColor="text1"/>
          <w:sz w:val="20"/>
          <w:szCs w:val="20"/>
        </w:rPr>
        <w:t xml:space="preserve">procedure stations where students are required to demonstrate their </w:t>
      </w:r>
      <w:r w:rsidR="00CD3C9A">
        <w:rPr>
          <w:rFonts w:eastAsia="Calibri"/>
          <w:color w:val="000000" w:themeColor="text1"/>
          <w:sz w:val="20"/>
          <w:szCs w:val="20"/>
        </w:rPr>
        <w:t xml:space="preserve">clinical </w:t>
      </w:r>
      <w:r w:rsidRPr="00CD3C9A">
        <w:rPr>
          <w:rFonts w:eastAsia="Calibri"/>
          <w:color w:val="000000" w:themeColor="text1"/>
          <w:sz w:val="20"/>
          <w:szCs w:val="20"/>
        </w:rPr>
        <w:t>skill competencies on given tasks and the examiner assesses the performance on a checklist. However, in OSPE</w:t>
      </w:r>
      <w:r w:rsidR="00CD3C9A">
        <w:rPr>
          <w:rFonts w:eastAsia="Calibri"/>
          <w:color w:val="000000" w:themeColor="text1"/>
          <w:sz w:val="20"/>
          <w:szCs w:val="20"/>
        </w:rPr>
        <w:t>s</w:t>
      </w:r>
      <w:r w:rsidRPr="00CD3C9A">
        <w:rPr>
          <w:rFonts w:eastAsia="Calibri"/>
          <w:color w:val="000000" w:themeColor="text1"/>
          <w:sz w:val="20"/>
          <w:szCs w:val="20"/>
        </w:rPr>
        <w:t xml:space="preserve">, each procedure station is followed by a question station, where students must answer questions relating to the task(s) demonstrated </w:t>
      </w:r>
      <w:r w:rsidR="00CD3C9A">
        <w:rPr>
          <w:rFonts w:eastAsia="Calibri"/>
          <w:color w:val="000000" w:themeColor="text1"/>
          <w:sz w:val="20"/>
          <w:szCs w:val="20"/>
        </w:rPr>
        <w:t>at</w:t>
      </w:r>
      <w:r w:rsidR="00CD3C9A" w:rsidRPr="00CD3C9A">
        <w:rPr>
          <w:rFonts w:eastAsia="Calibri"/>
          <w:color w:val="000000" w:themeColor="text1"/>
          <w:sz w:val="20"/>
          <w:szCs w:val="20"/>
        </w:rPr>
        <w:t xml:space="preserve"> </w:t>
      </w:r>
      <w:r w:rsidRPr="00CD3C9A">
        <w:rPr>
          <w:rFonts w:eastAsia="Calibri"/>
          <w:color w:val="000000" w:themeColor="text1"/>
          <w:sz w:val="20"/>
          <w:szCs w:val="20"/>
        </w:rPr>
        <w:t xml:space="preserve">the station. The questions must be answered on an answer sheet, which are in </w:t>
      </w:r>
      <w:r w:rsidR="00CD3C9A">
        <w:rPr>
          <w:rFonts w:eastAsia="Calibri"/>
          <w:color w:val="000000" w:themeColor="text1"/>
          <w:sz w:val="20"/>
          <w:szCs w:val="20"/>
        </w:rPr>
        <w:t>MCQ</w:t>
      </w:r>
      <w:r w:rsidRPr="00CD3C9A">
        <w:rPr>
          <w:rFonts w:eastAsia="Calibri"/>
          <w:color w:val="000000" w:themeColor="text1"/>
          <w:sz w:val="20"/>
          <w:szCs w:val="20"/>
        </w:rPr>
        <w:t xml:space="preserve"> or short answer type formats</w:t>
      </w:r>
      <w:r w:rsidR="00A43EC3">
        <w:rPr>
          <w:rFonts w:eastAsia="Calibri"/>
          <w:color w:val="000000" w:themeColor="text1"/>
          <w:sz w:val="20"/>
          <w:szCs w:val="20"/>
        </w:rPr>
        <w:t>.</w:t>
      </w:r>
      <w:r w:rsidR="00A43EC3">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{"citationItems":[{"id":"ITEM-1","itemData":{"ISSN":"13652923","PMID":"3724576","abstract":"Summary. The objective structured practical examination (OSPE) was used as an objective instrument for assessment of laboratory exercises in preclinical sciences, particularly physiology. It was adapted from the objective structured clinical examination (OSCE). The OSPE was administered to two consecutive classes in conjunction with the conventional examination in which the candidate is expected to perform a given experiment. The scores of the students in the two components of the examination were used to compare the OSPE with the conventional examination and to evaluate the new instrument of assessment. The OSPE appears to be a reliable device with a good capacity for discriminating between different categories of students. It is better in these respects than the conventional practical examination. Moreover, it has scope for being structured in such a way that all the objectives of laboratory teaching can be tested and each aspect can be assigned the desired weightage. 1986 Blackwell Publishing","author":[{"dropping-particle":"","family":"Nayar","given":"U.","non-dropping-particle":"","parse-names":false,"suffix":""},{"dropping-particle":"","family":"Malik","given":"S. L.","non-dropping-particle":"","parse-names":false,"suffix":""},{"dropping-particle":"","family":"Bijlani","given":"R. L.","non-dropping-particle":"","parse-names":false,"suffix":""}],"container-title":"Medical Education","id":"ITEM-1","issue":"3","issued":{"date-parts":[["1986"]]},"note":"doi:10.1111/j.1365-2923.1986.tb01169.x","page":"204-209","title":"Objective structured practical examination: a new concept in assessment of laboratory exercises in preclinical sciences","type":"article-journal","volume":"20"},"uris":["http://www.mendeley.com/documents/?uuid=c62d087d-408b-49e7-82d8-c6c218cf1a42"]}],"mendeley":{"formattedCitation":"[85]","plainTextFormattedCitation":"[85]","previouslyFormattedCitation":"[85]"},"properties":{"noteIndex":0},"schema":"https://github.com/citation-style-language/schema/raw/master/csl-citation.json"}</w:instrText>
      </w:r>
      <w:r w:rsidR="00A43EC3">
        <w:rPr>
          <w:rFonts w:eastAsia="Calibri"/>
          <w:color w:val="000000" w:themeColor="text1"/>
          <w:sz w:val="20"/>
          <w:szCs w:val="20"/>
        </w:rPr>
        <w:fldChar w:fldCharType="separate"/>
      </w:r>
      <w:r w:rsidR="00444200" w:rsidRPr="00444200">
        <w:rPr>
          <w:rFonts w:eastAsia="Calibri"/>
          <w:noProof/>
          <w:color w:val="000000" w:themeColor="text1"/>
          <w:sz w:val="20"/>
          <w:szCs w:val="20"/>
        </w:rPr>
        <w:t>[85]</w:t>
      </w:r>
      <w:r w:rsidR="00A43EC3">
        <w:rPr>
          <w:rFonts w:eastAsia="Calibri"/>
          <w:color w:val="000000" w:themeColor="text1"/>
          <w:sz w:val="20"/>
          <w:szCs w:val="20"/>
        </w:rPr>
        <w:fldChar w:fldCharType="end"/>
      </w:r>
      <w:r w:rsidR="00CD3C9A">
        <w:rPr>
          <w:rFonts w:eastAsia="Calibri"/>
          <w:color w:val="000000" w:themeColor="text1"/>
          <w:sz w:val="20"/>
          <w:szCs w:val="20"/>
        </w:rPr>
        <w:t xml:space="preserve"> </w:t>
      </w:r>
      <w:r w:rsidRPr="00CD3C9A">
        <w:rPr>
          <w:rFonts w:eastAsia="Calibri"/>
          <w:color w:val="000000" w:themeColor="text1"/>
          <w:sz w:val="20"/>
          <w:szCs w:val="20"/>
        </w:rPr>
        <w:t xml:space="preserve">OSPEs can be applied when assessing competencies in optometry and specifically for </w:t>
      </w:r>
      <w:r w:rsidR="00F54CE1" w:rsidRPr="00CD3C9A">
        <w:rPr>
          <w:rFonts w:eastAsia="Calibri"/>
          <w:color w:val="000000" w:themeColor="text1"/>
          <w:sz w:val="20"/>
          <w:szCs w:val="20"/>
        </w:rPr>
        <w:t>CLs</w:t>
      </w:r>
      <w:r w:rsidRPr="00CD3C9A">
        <w:rPr>
          <w:rFonts w:eastAsia="Calibri"/>
          <w:color w:val="000000" w:themeColor="text1"/>
          <w:sz w:val="20"/>
          <w:szCs w:val="20"/>
        </w:rPr>
        <w:t xml:space="preserve">, where question stations </w:t>
      </w:r>
      <w:r w:rsidR="00697FBB" w:rsidRPr="00CD3C9A">
        <w:rPr>
          <w:rFonts w:eastAsia="Calibri"/>
          <w:color w:val="000000" w:themeColor="text1"/>
          <w:sz w:val="20"/>
          <w:szCs w:val="20"/>
        </w:rPr>
        <w:t>are</w:t>
      </w:r>
      <w:r w:rsidRPr="00CD3C9A">
        <w:rPr>
          <w:rFonts w:eastAsia="Calibri"/>
          <w:color w:val="000000" w:themeColor="text1"/>
          <w:sz w:val="20"/>
          <w:szCs w:val="20"/>
        </w:rPr>
        <w:t xml:space="preserve"> incorporated immediately after demonstrating a specific skill. While some initial studies showed consistency in OSPEs performance, its validity is yet not tested</w:t>
      </w:r>
      <w:r w:rsidR="00A43EC3">
        <w:rPr>
          <w:rFonts w:eastAsia="Calibri"/>
          <w:color w:val="000000" w:themeColor="text1"/>
          <w:sz w:val="20"/>
          <w:szCs w:val="20"/>
        </w:rPr>
        <w:t>.</w:t>
      </w:r>
      <w:r w:rsidR="00A43EC3">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{"citationItems":[{"id":"ITEM-1","itemData":{"ISSN":"13652923","PMID":"3724576","abstract":"Summary. The objective structured practical examination (OSPE) was used as an objective instrument for assessment of laboratory exercises in preclinical sciences, particularly physiology. It was adapted from the objective structured clinical examination (OSCE). The OSPE was administered to two consecutive classes in conjunction with the conventional examination in which the candidate is expected to perform a given experiment. The scores of the students in the two components of the examination were used to compare the OSPE with the conventional examination and to evaluate the new instrument of assessment. The OSPE appears to be a reliable device with a good capacity for discriminating between different categories of students. It is better in these respects than the conventional practical examination. Moreover, it has scope for being structured in such a way that all the objectives of laboratory teaching can be tested and each aspect can be assigned the desired weightage. 1986 Blackwell Publishing","author":[{"dropping-particle":"","family":"Nayar","given":"U.","non-dropping-particle":"","parse-names":false,"suffix":""},{"dropping-particle":"","family":"Malik","given":"S. L.","non-dropping-particle":"","parse-names":false,"suffix":""},{"dropping-particle":"","family":"Bijlani","given":"R. L.","non-dropping-particle":"","parse-names":false,"suffix":""}],"container-title":"Medical Education","id":"ITEM-1","issue":"3","issued":{"date-parts":[["1986"]]},"note":"doi:10.1111/j.1365-2923.1986.tb01169.x","page":"204-209","title":"Objective structured practical examination: a new concept in assessment of laboratory exercises in preclinical sciences","type":"article-journal","volume":"20"},"uris":["http://www.mendeley.com/documents/?uuid=c62d087d-408b-49e7-82d8-c6c218cf1a42"]}],"mendeley":{"formattedCitation":"[85]","plainTextFormattedCitation":"[85]","previouslyFormattedCitation":"[85]"},"properties":{"noteIndex":0},"schema":"https://github.com/citation-style-language/schema/raw/master/csl-citation.json"}</w:instrText>
      </w:r>
      <w:r w:rsidR="00A43EC3">
        <w:rPr>
          <w:rFonts w:eastAsia="Calibri"/>
          <w:color w:val="000000" w:themeColor="text1"/>
          <w:sz w:val="20"/>
          <w:szCs w:val="20"/>
        </w:rPr>
        <w:fldChar w:fldCharType="separate"/>
      </w:r>
      <w:r w:rsidR="00444200" w:rsidRPr="00444200">
        <w:rPr>
          <w:rFonts w:eastAsia="Calibri"/>
          <w:noProof/>
          <w:color w:val="000000" w:themeColor="text1"/>
          <w:sz w:val="20"/>
          <w:szCs w:val="20"/>
        </w:rPr>
        <w:t>[85]</w:t>
      </w:r>
      <w:r w:rsidR="00A43EC3">
        <w:rPr>
          <w:rFonts w:eastAsia="Calibri"/>
          <w:color w:val="000000" w:themeColor="text1"/>
          <w:sz w:val="20"/>
          <w:szCs w:val="20"/>
        </w:rPr>
        <w:fldChar w:fldCharType="end"/>
      </w:r>
      <w:r w:rsidR="00CD3C9A">
        <w:rPr>
          <w:rFonts w:eastAsia="Calibri"/>
          <w:color w:val="000000" w:themeColor="text1"/>
          <w:sz w:val="20"/>
          <w:szCs w:val="20"/>
        </w:rPr>
        <w:t xml:space="preserve"> </w:t>
      </w:r>
      <w:r w:rsidR="00CD3C9A" w:rsidRPr="00CD3C9A">
        <w:rPr>
          <w:color w:val="222222"/>
          <w:sz w:val="20"/>
          <w:szCs w:val="20"/>
          <w:shd w:val="clear" w:color="auto" w:fill="FFFFFF"/>
        </w:rPr>
        <w:t xml:space="preserve">Although </w:t>
      </w:r>
      <w:r w:rsidR="00A40BBB">
        <w:rPr>
          <w:color w:val="222222"/>
          <w:sz w:val="20"/>
          <w:szCs w:val="20"/>
          <w:shd w:val="clear" w:color="auto" w:fill="FFFFFF"/>
        </w:rPr>
        <w:t>OSPEs</w:t>
      </w:r>
      <w:r w:rsidR="00CD3C9A">
        <w:rPr>
          <w:color w:val="222222"/>
          <w:sz w:val="20"/>
          <w:szCs w:val="20"/>
          <w:shd w:val="clear" w:color="auto" w:fill="FFFFFF"/>
        </w:rPr>
        <w:t xml:space="preserve"> </w:t>
      </w:r>
      <w:r w:rsidR="00CD3C9A" w:rsidRPr="00CD3C9A">
        <w:rPr>
          <w:color w:val="222222"/>
          <w:sz w:val="20"/>
          <w:szCs w:val="20"/>
          <w:shd w:val="clear" w:color="auto" w:fill="FFFFFF"/>
        </w:rPr>
        <w:t>are a common assessment tool they lack an evidence base in the realm of CLE.</w:t>
      </w:r>
    </w:p>
    <w:p w14:paraId="57692FEF" w14:textId="77777777" w:rsidR="00C03656" w:rsidRPr="00F8338D" w:rsidRDefault="00C03656" w:rsidP="00CD3C9A">
      <w:pPr>
        <w:spacing w:line="360" w:lineRule="auto"/>
        <w:rPr>
          <w:rFonts w:eastAsia="Calibri"/>
          <w:bCs/>
          <w:color w:val="000000" w:themeColor="text1"/>
          <w:sz w:val="20"/>
          <w:szCs w:val="20"/>
        </w:rPr>
      </w:pPr>
    </w:p>
    <w:p w14:paraId="7960C8E7" w14:textId="2A86DEEA" w:rsidR="00C03656" w:rsidRPr="00CD3C9A" w:rsidRDefault="00BF0D7D" w:rsidP="00CD3C9A">
      <w:pPr>
        <w:pStyle w:val="Heading3"/>
        <w:spacing w:before="0" w:after="0" w:line="360" w:lineRule="auto"/>
        <w:rPr>
          <w:color w:val="000000" w:themeColor="text1"/>
          <w:sz w:val="20"/>
          <w:szCs w:val="20"/>
          <w:u w:val="single"/>
        </w:rPr>
      </w:pPr>
      <w:r w:rsidRPr="00CD3C9A">
        <w:rPr>
          <w:color w:val="000000" w:themeColor="text1"/>
          <w:sz w:val="20"/>
          <w:szCs w:val="20"/>
          <w:u w:val="single"/>
        </w:rPr>
        <w:lastRenderedPageBreak/>
        <w:t>H</w:t>
      </w:r>
      <w:r w:rsidR="00BB302A" w:rsidRPr="00CD3C9A">
        <w:rPr>
          <w:color w:val="000000" w:themeColor="text1"/>
          <w:sz w:val="20"/>
          <w:szCs w:val="20"/>
          <w:u w:val="single"/>
        </w:rPr>
        <w:t>olistic assessments</w:t>
      </w:r>
    </w:p>
    <w:p w14:paraId="11082C7F" w14:textId="3AA6CDFD" w:rsidR="00C03656" w:rsidRPr="00F8338D" w:rsidRDefault="00BF0D7D" w:rsidP="00CD3C9A">
      <w:pPr>
        <w:spacing w:line="360" w:lineRule="auto"/>
        <w:rPr>
          <w:rFonts w:eastAsia="Calibri"/>
          <w:color w:val="000000" w:themeColor="text1"/>
          <w:sz w:val="20"/>
          <w:szCs w:val="20"/>
        </w:rPr>
      </w:pPr>
      <w:r w:rsidRPr="00CD3C9A">
        <w:rPr>
          <w:rFonts w:eastAsia="Calibri"/>
          <w:color w:val="000000" w:themeColor="text1"/>
          <w:sz w:val="20"/>
          <w:szCs w:val="20"/>
        </w:rPr>
        <w:t>Some in the m</w:t>
      </w:r>
      <w:r w:rsidR="00BB302A" w:rsidRPr="00CD3C9A">
        <w:rPr>
          <w:rFonts w:eastAsia="Calibri"/>
          <w:color w:val="000000" w:themeColor="text1"/>
          <w:sz w:val="20"/>
          <w:szCs w:val="20"/>
        </w:rPr>
        <w:t>edical fraternity argue that standardisation of an assessment (</w:t>
      </w:r>
      <w:r w:rsidR="00CD3C9A">
        <w:rPr>
          <w:rFonts w:eastAsia="Calibri"/>
          <w:color w:val="000000" w:themeColor="text1"/>
          <w:sz w:val="20"/>
          <w:szCs w:val="20"/>
        </w:rPr>
        <w:t xml:space="preserve">such as </w:t>
      </w:r>
      <w:r w:rsidR="00BB302A" w:rsidRPr="00CD3C9A">
        <w:rPr>
          <w:rFonts w:eastAsia="Calibri"/>
          <w:color w:val="000000" w:themeColor="text1"/>
          <w:sz w:val="20"/>
          <w:szCs w:val="20"/>
        </w:rPr>
        <w:t>OSCE</w:t>
      </w:r>
      <w:r w:rsidR="00CD3C9A">
        <w:rPr>
          <w:rFonts w:eastAsia="Calibri"/>
          <w:color w:val="000000" w:themeColor="text1"/>
          <w:sz w:val="20"/>
          <w:szCs w:val="20"/>
        </w:rPr>
        <w:t>s</w:t>
      </w:r>
      <w:r w:rsidR="00BB302A" w:rsidRPr="00CD3C9A">
        <w:rPr>
          <w:rFonts w:eastAsia="Calibri"/>
          <w:color w:val="000000" w:themeColor="text1"/>
          <w:sz w:val="20"/>
          <w:szCs w:val="20"/>
        </w:rPr>
        <w:t xml:space="preserve"> </w:t>
      </w:r>
      <w:r w:rsidR="00CD3C9A">
        <w:rPr>
          <w:rFonts w:eastAsia="Calibri"/>
          <w:color w:val="000000" w:themeColor="text1"/>
          <w:sz w:val="20"/>
          <w:szCs w:val="20"/>
        </w:rPr>
        <w:t>and</w:t>
      </w:r>
      <w:r w:rsidR="00CD3C9A" w:rsidRPr="00CD3C9A">
        <w:rPr>
          <w:rFonts w:eastAsia="Calibri"/>
          <w:color w:val="000000" w:themeColor="text1"/>
          <w:sz w:val="20"/>
          <w:szCs w:val="20"/>
        </w:rPr>
        <w:t xml:space="preserve"> </w:t>
      </w:r>
      <w:r w:rsidR="00BB302A" w:rsidRPr="00CD3C9A">
        <w:rPr>
          <w:rFonts w:eastAsia="Calibri"/>
          <w:color w:val="000000" w:themeColor="text1"/>
          <w:sz w:val="20"/>
          <w:szCs w:val="20"/>
        </w:rPr>
        <w:t>OSPE</w:t>
      </w:r>
      <w:r w:rsidR="00CD3C9A">
        <w:rPr>
          <w:rFonts w:eastAsia="Calibri"/>
          <w:color w:val="000000" w:themeColor="text1"/>
          <w:sz w:val="20"/>
          <w:szCs w:val="20"/>
        </w:rPr>
        <w:t>s</w:t>
      </w:r>
      <w:r w:rsidR="00BB302A" w:rsidRPr="00CD3C9A">
        <w:rPr>
          <w:rFonts w:eastAsia="Calibri"/>
          <w:color w:val="000000" w:themeColor="text1"/>
          <w:sz w:val="20"/>
          <w:szCs w:val="20"/>
        </w:rPr>
        <w:t>) achieves objectivity and reliability, but risks losing validity when applied to real clinical environments</w:t>
      </w:r>
      <w:r w:rsidR="00A43EC3">
        <w:rPr>
          <w:rFonts w:eastAsia="Calibri"/>
          <w:color w:val="000000" w:themeColor="text1"/>
          <w:sz w:val="20"/>
          <w:szCs w:val="20"/>
        </w:rPr>
        <w:t>.</w:t>
      </w:r>
      <w:r w:rsidR="00A43EC3">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{"citationItems":[{"id":"ITEM-1","itemData":{"ISBN":"0123456789","ISSN":"15731677","PMID":"33779895","abstract":"Assessing competence is a tremendous challenge in medical education. There are two contrasting approaches in competence assessment: an analytic approach that aims to precisely measure observable constituents and facets of competence and a holistic approach that focuses on a comprehensive assessment of competences in complex real situations reflecting actual performance. We would like to contribute to the existing discourse about medical competence and its assessment by proposing an approach that can provide orientation for the development of competence-based assessment concepts in undergraduate and postgraduate medical education. The approach follows Kane's framework of an “argument-based approach” to validity and is based on insights into task complexity, testing and learning theories as well as the importance of the learning environment. It describes a continuum from analytic to holistic approaches to assess the constituents and facets of competence to performance. We conclude that the complexity of a task should determine the selection of the assessment and suggest to use this approach to reorganize and adapt competence assessment.","author":[{"dropping-particle":"","family":"Rotthoff","given":"Thomas","non-dropping-particle":"","parse-names":false,"suffix":""},{"dropping-particle":"","family":"Kadmon","given":"Martina","non-dropping-particle":"","parse-names":false,"suffix":""},{"dropping-particle":"","family":"Harendza","given":"Sigrid","non-dropping-particle":"","parse-names":false,"suffix":""}],"container-title":"Advances in Health Sciences Education","id":"ITEM-1","issue":"5","issued":{"date-parts":[["2021"]]},"note":"doi:10.1007/s10459-021-10043-0","page":"1659-1673","title":"It does not have to be either or! Assessing competence in medicine should be a continuum between an analytic and a holistic approach","type":"article-journal","volume":"26"},"uris":["http://www.mendeley.com/documents/?uuid=0c0d8dbf-1851-4e0e-9672-d07f7a9030c1"]}],"mendeley":{"formattedCitation":"[86]","plainTextFormattedCitation":"[86]","previouslyFormattedCitation":"[86]"},"properties":{"noteIndex":0},"schema":"https://github.com/citation-style-language/schema/raw/master/csl-citation.json"}</w:instrText>
      </w:r>
      <w:r w:rsidR="00A43EC3">
        <w:rPr>
          <w:rFonts w:eastAsia="Calibri"/>
          <w:color w:val="000000" w:themeColor="text1"/>
          <w:sz w:val="20"/>
          <w:szCs w:val="20"/>
        </w:rPr>
        <w:fldChar w:fldCharType="separate"/>
      </w:r>
      <w:r w:rsidR="00444200" w:rsidRPr="00444200">
        <w:rPr>
          <w:rFonts w:eastAsia="Calibri"/>
          <w:noProof/>
          <w:color w:val="000000" w:themeColor="text1"/>
          <w:sz w:val="20"/>
          <w:szCs w:val="20"/>
        </w:rPr>
        <w:t>[86]</w:t>
      </w:r>
      <w:r w:rsidR="00A43EC3">
        <w:rPr>
          <w:rFonts w:eastAsia="Calibri"/>
          <w:color w:val="000000" w:themeColor="text1"/>
          <w:sz w:val="20"/>
          <w:szCs w:val="20"/>
        </w:rPr>
        <w:fldChar w:fldCharType="end"/>
      </w:r>
      <w:r w:rsidR="00BB302A" w:rsidRPr="00CD3C9A">
        <w:rPr>
          <w:rFonts w:eastAsia="Calibri"/>
          <w:color w:val="000000" w:themeColor="text1"/>
          <w:sz w:val="20"/>
          <w:szCs w:val="20"/>
        </w:rPr>
        <w:t xml:space="preserve"> In other words, an outcome derived from multiple single assessments in a test environment is not comparable to an outcome from assessing competencies in real clinical situation</w:t>
      </w:r>
      <w:r w:rsidR="00697FBB" w:rsidRPr="00CD3C9A">
        <w:rPr>
          <w:rFonts w:eastAsia="Calibri"/>
          <w:color w:val="000000" w:themeColor="text1"/>
          <w:sz w:val="20"/>
          <w:szCs w:val="20"/>
        </w:rPr>
        <w:t>s</w:t>
      </w:r>
      <w:r w:rsidR="00BB302A" w:rsidRPr="00CD3C9A">
        <w:rPr>
          <w:rFonts w:eastAsia="Calibri"/>
          <w:color w:val="000000" w:themeColor="text1"/>
          <w:sz w:val="20"/>
          <w:szCs w:val="20"/>
        </w:rPr>
        <w:t>. Holistic assessment, in contrast, assesses not only analytic components (e.g., knowledge, skills and attitudes) but also critical thinking and problem</w:t>
      </w:r>
      <w:r w:rsidR="000A009C">
        <w:rPr>
          <w:rFonts w:eastAsia="Calibri"/>
          <w:color w:val="000000" w:themeColor="text1"/>
          <w:sz w:val="20"/>
          <w:szCs w:val="20"/>
        </w:rPr>
        <w:t>-</w:t>
      </w:r>
      <w:r w:rsidR="00BB302A" w:rsidRPr="00CD3C9A">
        <w:rPr>
          <w:rFonts w:eastAsia="Calibri"/>
          <w:color w:val="000000" w:themeColor="text1"/>
          <w:sz w:val="20"/>
          <w:szCs w:val="20"/>
        </w:rPr>
        <w:t>solving dimensions</w:t>
      </w:r>
      <w:r w:rsidR="00A43EC3">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{"citationItems":[{"id":"ITEM-1","itemData":{"ISBN":"0123456789","ISSN":"15731677","PMID":"33779895","abstract":"Assessing competence is a tremendous challenge in medical education. There are two contrasting approaches in competence assessment: an analytic approach that aims to precisely measure observable constituents and facets of competence and a holistic approach that focuses on a comprehensive assessment of competences in complex real situations reflecting actual performance. We would like to contribute to the existing discourse about medical competence and its assessment by proposing an approach that can provide orientation for the development of competence-based assessment concepts in undergraduate and postgraduate medical education. The approach follows Kane's framework of an “argument-based approach” to validity and is based on insights into task complexity, testing and learning theories as well as the importance of the learning environment. It describes a continuum from analytic to holistic approaches to assess the constituents and facets of competence to performance. We conclude that the complexity of a task should determine the selection of the assessment and suggest to use this approach to reorganize and adapt competence assessment.","author":[{"dropping-particle":"","family":"Rotthoff","given":"Thomas","non-dropping-particle":"","parse-names":false,"suffix":""},{"dropping-particle":"","family":"Kadmon","given":"Martina","non-dropping-particle":"","parse-names":false,"suffix":""},{"dropping-particle":"","family":"Harendza","given":"Sigrid","non-dropping-particle":"","parse-names":false,"suffix":""}],"container-title":"Advances in Health Sciences Education","id":"ITEM-1","issue":"5","issued":{"date-parts":[["2021"]]},"note":"doi:10.1007/s10459-021-10043-0","page":"1659-1673","title":"It does not have to be either or! Assessing competence in medicine should be a continuum between an analytic and a holistic approach","type":"article-journal","volume":"26"},"uris":["http://www.mendeley.com/documents/?uuid=0c0d8dbf-1851-4e0e-9672-d07f7a9030c1"]},{"id":"ITEM-2","itemData":{"ISSN":"14715953","PMID":"20727825","abstract":"Aim: This paper describes the design, implementation and evaluation of the Structured Observation and Assessment of Practice (SOAP), a model used to assess third year undergraduate nursing students' clinical competence. Background: Competence is a complex concept that is difficult to define and measure. The assessment of nursing students' clinical competence has confronted universities with problems of validity, reliability, subjectivity and bias for many years. This presents particular problems in nursing as patient outcomes may be compromised by incompetent practice. Too often assessments of nursing students' competence comprise brief assessments of psychomotor skills, vague global assessment of generic skills/attributes or assessments undertaken in simulated laboratory settings rather than the real world of practice. Methods: The Structured Observation and Assessment of Practice (SOAP), is a full day holistic practice-driven clinical competence assessment approach that motivates nursing students' learning, promotes critical reflection and confirms graduates' readiness for professional practice. This model was introduced in 2004 and since then 1031 students have been assessed. Quantitative and qualitative data has been collected via an anonymous online evaluation. Results: Survey results have been statistically analysed using The Statistical Package for the Social Sciences (SPSS) (Version 13) with exploratory factor analysis employed to ascertain construct validity. This paper will report on the four components that showed acceptable factor loadings and that together accounted for 77.65 per cent of the variance: perceived learning outcomes, consistency with general clinical performance, quality of assessors, and anxiety/stress impact. Conclusion: The results of the SOAP approach supports the premise that quality clinical assessment requires nursing students' exposure to complex challenges undertaken in authentic clinical contexts, observed by registered nurses who are trained as assessors and have a strong educational and clinical background. © 2010.","author":[{"dropping-particle":"","family":"Levett-Jones","given":"Tracy","non-dropping-particle":"","parse-names":false,"suffix":""},{"dropping-particle":"","family":"Gersbach","given":"Jean","non-dropping-particle":"","parse-names":false,"suffix":""},{"dropping-particle":"","family":"Arthur","given":"Carol","non-dropping-particle":"","parse-names":false,"suffix":""},{"dropping-particle":"","family":"Roche","given":"Jan","non-dropping-particle":"","parse-names":false,"suffix":""}],"container-title":"Nurse Education in Practice","id":"ITEM-2","issue":"1","issued":{"date-parts":[["2011"]]},"note":"doi: 10.1016/j.nepr.2010.07.004","page":"64-69","title":"Implementing a clinical competency assessment model that promotes critical reflection and ensures nursing graduates' readiness for professional practice","type":"article-journal","volume":"11"},"uris":["http://www.mendeley.com/documents/?uuid=09f97f41-b4a8-4697-8117-50bf863a4e05"]}],"mendeley":{"formattedCitation":"[86,87]","plainTextFormattedCitation":"[86,87]","previouslyFormattedCitation":"[86,87]"},"properties":{"noteIndex":0},"schema":"https://github.com/citation-style-language/schema/raw/master/csl-citation.json"}</w:instrText>
      </w:r>
      <w:r w:rsidR="00A43EC3">
        <w:rPr>
          <w:rFonts w:eastAsia="Calibri"/>
          <w:color w:val="000000" w:themeColor="text1"/>
          <w:sz w:val="20"/>
          <w:szCs w:val="20"/>
        </w:rPr>
        <w:fldChar w:fldCharType="separate"/>
      </w:r>
      <w:r w:rsidR="00444200" w:rsidRPr="00444200">
        <w:rPr>
          <w:rFonts w:eastAsia="Calibri"/>
          <w:noProof/>
          <w:color w:val="000000" w:themeColor="text1"/>
          <w:sz w:val="20"/>
          <w:szCs w:val="20"/>
        </w:rPr>
        <w:t>[86,87]</w:t>
      </w:r>
      <w:r w:rsidR="00A43EC3">
        <w:rPr>
          <w:rFonts w:eastAsia="Calibri"/>
          <w:color w:val="000000" w:themeColor="text1"/>
          <w:sz w:val="20"/>
          <w:szCs w:val="20"/>
        </w:rPr>
        <w:fldChar w:fldCharType="end"/>
      </w:r>
      <w:r w:rsidR="00BB302A" w:rsidRPr="00CD3C9A">
        <w:rPr>
          <w:rFonts w:eastAsia="Calibri"/>
          <w:color w:val="000000" w:themeColor="text1"/>
          <w:sz w:val="20"/>
          <w:szCs w:val="20"/>
        </w:rPr>
        <w:t xml:space="preserve"> </w:t>
      </w:r>
      <w:r w:rsidR="00697FBB" w:rsidRPr="00CD3C9A">
        <w:rPr>
          <w:rFonts w:eastAsia="Calibri"/>
          <w:color w:val="000000" w:themeColor="text1"/>
          <w:sz w:val="20"/>
          <w:szCs w:val="20"/>
        </w:rPr>
        <w:t>reflecting</w:t>
      </w:r>
      <w:r w:rsidR="00BB302A" w:rsidRPr="00CD3C9A">
        <w:rPr>
          <w:rFonts w:eastAsia="Calibri"/>
          <w:color w:val="000000" w:themeColor="text1"/>
          <w:sz w:val="20"/>
          <w:szCs w:val="20"/>
        </w:rPr>
        <w:t xml:space="preserve"> real-world setting</w:t>
      </w:r>
      <w:r w:rsidR="00697FBB" w:rsidRPr="00CD3C9A">
        <w:rPr>
          <w:rFonts w:eastAsia="Calibri"/>
          <w:color w:val="000000" w:themeColor="text1"/>
          <w:sz w:val="20"/>
          <w:szCs w:val="20"/>
        </w:rPr>
        <w:t>s</w:t>
      </w:r>
      <w:r w:rsidR="00BB302A" w:rsidRPr="00CD3C9A">
        <w:rPr>
          <w:rFonts w:eastAsia="Calibri"/>
          <w:color w:val="000000" w:themeColor="text1"/>
          <w:sz w:val="20"/>
          <w:szCs w:val="20"/>
        </w:rPr>
        <w:t xml:space="preserve">. Therefore, competencies assessed in real practice </w:t>
      </w:r>
      <w:r w:rsidR="00697FBB" w:rsidRPr="00CD3C9A">
        <w:rPr>
          <w:rFonts w:eastAsia="Calibri"/>
          <w:color w:val="000000" w:themeColor="text1"/>
          <w:sz w:val="20"/>
          <w:szCs w:val="20"/>
        </w:rPr>
        <w:t>allow an</w:t>
      </w:r>
      <w:r w:rsidR="00BB302A" w:rsidRPr="00CD3C9A">
        <w:rPr>
          <w:rFonts w:eastAsia="Calibri"/>
          <w:color w:val="000000" w:themeColor="text1"/>
          <w:sz w:val="20"/>
          <w:szCs w:val="20"/>
        </w:rPr>
        <w:t xml:space="preserve"> overall understanding of students</w:t>
      </w:r>
      <w:r w:rsidR="008E7843" w:rsidRPr="00CD3C9A">
        <w:rPr>
          <w:rFonts w:eastAsia="Calibri"/>
          <w:color w:val="000000" w:themeColor="text1"/>
          <w:sz w:val="20"/>
          <w:szCs w:val="20"/>
        </w:rPr>
        <w:t>’</w:t>
      </w:r>
      <w:r w:rsidR="00BB302A" w:rsidRPr="00CD3C9A">
        <w:rPr>
          <w:rFonts w:eastAsia="Calibri"/>
          <w:color w:val="000000" w:themeColor="text1"/>
          <w:sz w:val="20"/>
          <w:szCs w:val="20"/>
        </w:rPr>
        <w:t xml:space="preserve"> knowledge and performance. Such a format of clinical competency assessment involves observation, interviewing (viva), mapping, and feedback</w:t>
      </w:r>
      <w:r w:rsidR="00A43EC3">
        <w:rPr>
          <w:rFonts w:eastAsia="Calibri"/>
          <w:color w:val="000000" w:themeColor="text1"/>
          <w:sz w:val="20"/>
          <w:szCs w:val="20"/>
        </w:rPr>
        <w:t>,</w:t>
      </w:r>
      <w:r w:rsidR="00A43EC3">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{"citationItems":[{"id":"ITEM-1","itemData":{"ISSN":"14715953","PMID":"20727825","abstract":"Aim: This paper describes the design, implementation and evaluation of the Structured Observation and Assessment of Practice (SOAP), a model used to assess third year undergraduate nursing students' clinical competence. Background: Competence is a complex concept that is difficult to define and measure. The assessment of nursing students' clinical competence has confronted universities with problems of validity, reliability, subjectivity and bias for many years. This presents particular problems in nursing as patient outcomes may be compromised by incompetent practice. Too often assessments of nursing students' competence comprise brief assessments of psychomotor skills, vague global assessment of generic skills/attributes or assessments undertaken in simulated laboratory settings rather than the real world of practice. Methods: The Structured Observation and Assessment of Practice (SOAP), is a full day holistic practice-driven clinical competence assessment approach that motivates nursing students' learning, promotes critical reflection and confirms graduates' readiness for professional practice. This model was introduced in 2004 and since then 1031 students have been assessed. Quantitative and qualitative data has been collected via an anonymous online evaluation. Results: Survey results have been statistically analysed using The Statistical Package for the Social Sciences (SPSS) (Version 13) with exploratory factor analysis employed to ascertain construct validity. This paper will report on the four components that showed acceptable factor loadings and that together accounted for 77.65 per cent of the variance: perceived learning outcomes, consistency with general clinical performance, quality of assessors, and anxiety/stress impact. Conclusion: The results of the SOAP approach supports the premise that quality clinical assessment requires nursing students' exposure to complex challenges undertaken in authentic clinical contexts, observed by registered nurses who are trained as assessors and have a strong educational and clinical background. © 2010.","author":[{"dropping-particle":"","family":"Levett-Jones","given":"Tracy","non-dropping-particle":"","parse-names":false,"suffix":""},{"dropping-particle":"","family":"Gersbach","given":"Jean","non-dropping-particle":"","parse-names":false,"suffix":""},{"dropping-particle":"","family":"Arthur","given":"Carol","non-dropping-particle":"","parse-names":false,"suffix":""},{"dropping-particle":"","family":"Roche","given":"Jan","non-dropping-particle":"","parse-names":false,"suffix":""}],"container-title":"Nurse Education in Practice","id":"ITEM-1","issue":"1","issued":{"date-parts":[["2011"]]},"note":"doi: 10.1016/j.nepr.2010.07.004","page":"64-69","title":"Implementing a clinical competency assessment model that promotes critical reflection and ensures nursing graduates' readiness for professional practice","type":"article-journal","volume":"11"},"uris":["http://www.mendeley.com/documents/?uuid=09f97f41-b4a8-4697-8117-50bf863a4e05"]}],"mendeley":{"formattedCitation":"[87]","plainTextFormattedCitation":"[87]","previouslyFormattedCitation":"[87]"},"properties":{"noteIndex":0},"schema":"https://github.com/citation-style-language/schema/raw/master/csl-citation.json"}</w:instrText>
      </w:r>
      <w:r w:rsidR="00A43EC3">
        <w:rPr>
          <w:rFonts w:eastAsia="Calibri"/>
          <w:color w:val="000000" w:themeColor="text1"/>
          <w:sz w:val="20"/>
          <w:szCs w:val="20"/>
        </w:rPr>
        <w:fldChar w:fldCharType="separate"/>
      </w:r>
      <w:r w:rsidR="00444200" w:rsidRPr="00444200">
        <w:rPr>
          <w:rFonts w:eastAsia="Calibri"/>
          <w:noProof/>
          <w:color w:val="000000" w:themeColor="text1"/>
          <w:sz w:val="20"/>
          <w:szCs w:val="20"/>
        </w:rPr>
        <w:t>[87]</w:t>
      </w:r>
      <w:r w:rsidR="00A43EC3">
        <w:rPr>
          <w:rFonts w:eastAsia="Calibri"/>
          <w:color w:val="000000" w:themeColor="text1"/>
          <w:sz w:val="20"/>
          <w:szCs w:val="20"/>
        </w:rPr>
        <w:fldChar w:fldCharType="end"/>
      </w:r>
      <w:r w:rsidR="00BB302A" w:rsidRPr="00CD3C9A">
        <w:rPr>
          <w:rFonts w:eastAsia="Calibri"/>
          <w:color w:val="000000" w:themeColor="text1"/>
          <w:sz w:val="20"/>
          <w:szCs w:val="20"/>
        </w:rPr>
        <w:t xml:space="preserve"> suggesting competency assessment is a continuous process</w:t>
      </w:r>
      <w:r w:rsidR="00A43EC3">
        <w:rPr>
          <w:rFonts w:eastAsia="Calibri"/>
          <w:color w:val="000000" w:themeColor="text1"/>
          <w:sz w:val="20"/>
          <w:szCs w:val="20"/>
        </w:rPr>
        <w:t>.</w:t>
      </w:r>
      <w:r w:rsidR="00A43EC3">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{"citationItems":[{"id":"ITEM-1","itemData":{"ISBN":"0123456789","ISSN":"15731677","PMID":"33779895","abstract":"Assessing competence is a tremendous challenge in medical education. There are two contrasting approaches in competence assessment: an analytic approach that aims to precisely measure observable constituents and facets of competence and a holistic approach that focuses on a comprehensive assessment of competences in complex real situations reflecting actual performance. We would like to contribute to the existing discourse about medical competence and its assessment by proposing an approach that can provide orientation for the development of competence-based assessment concepts in undergraduate and postgraduate medical education. The approach follows Kane's framework of an “argument-based approach” to validity and is based on insights into task complexity, testing and learning theories as well as the importance of the learning environment. It describes a continuum from analytic to holistic approaches to assess the constituents and facets of competence to performance. We conclude that the complexity of a task should determine the selection of the assessment and suggest to use this approach to reorganize and adapt competence assessment.","author":[{"dropping-particle":"","family":"Rotthoff","given":"Thomas","non-dropping-particle":"","parse-names":false,"suffix":""},{"dropping-particle":"","family":"Kadmon","given":"Martina","non-dropping-particle":"","parse-names":false,"suffix":""},{"dropping-particle":"","family":"Harendza","given":"Sigrid","non-dropping-particle":"","parse-names":false,"suffix":""}],"container-title":"Advances in Health Sciences Education","id":"ITEM-1","issue":"5","issued":{"date-parts":[["2021"]]},"note":"doi:10.1007/s10459-021-10043-0","page":"1659-1673","title":"It does not have to be either or! Assessing competence in medicine should be a continuum between an analytic and a holistic approach","type":"article-journal","volume":"26"},"uris":["http://www.mendeley.com/documents/?uuid=0c0d8dbf-1851-4e0e-9672-d07f7a9030c1"]}],"mendeley":{"formattedCitation":"[86]","plainTextFormattedCitation":"[86]","previouslyFormattedCitation":"[86]"},"properties":{"noteIndex":0},"schema":"https://github.com/citation-style-language/schema/raw/master/csl-citation.json"}</w:instrText>
      </w:r>
      <w:r w:rsidR="00A43EC3">
        <w:rPr>
          <w:rFonts w:eastAsia="Calibri"/>
          <w:color w:val="000000" w:themeColor="text1"/>
          <w:sz w:val="20"/>
          <w:szCs w:val="20"/>
        </w:rPr>
        <w:fldChar w:fldCharType="separate"/>
      </w:r>
      <w:r w:rsidR="00444200" w:rsidRPr="00444200">
        <w:rPr>
          <w:rFonts w:eastAsia="Calibri"/>
          <w:noProof/>
          <w:color w:val="000000" w:themeColor="text1"/>
          <w:sz w:val="20"/>
          <w:szCs w:val="20"/>
        </w:rPr>
        <w:t>[86]</w:t>
      </w:r>
      <w:r w:rsidR="00A43EC3">
        <w:rPr>
          <w:rFonts w:eastAsia="Calibri"/>
          <w:color w:val="000000" w:themeColor="text1"/>
          <w:sz w:val="20"/>
          <w:szCs w:val="20"/>
        </w:rPr>
        <w:fldChar w:fldCharType="end"/>
      </w:r>
      <w:r w:rsidR="00756070" w:rsidRPr="00CD3C9A">
        <w:rPr>
          <w:rFonts w:eastAsia="Calibri"/>
          <w:color w:val="000000" w:themeColor="text1"/>
          <w:sz w:val="20"/>
          <w:szCs w:val="20"/>
        </w:rPr>
        <w:t xml:space="preserve"> </w:t>
      </w:r>
      <w:r w:rsidR="00BB302A" w:rsidRPr="00CD3C9A">
        <w:rPr>
          <w:rFonts w:eastAsia="Calibri"/>
          <w:color w:val="000000" w:themeColor="text1"/>
          <w:sz w:val="20"/>
          <w:szCs w:val="20"/>
        </w:rPr>
        <w:t xml:space="preserve">An example of holistic </w:t>
      </w:r>
      <w:r w:rsidR="00697FBB" w:rsidRPr="00CD3C9A">
        <w:rPr>
          <w:rFonts w:eastAsia="Calibri"/>
          <w:color w:val="000000" w:themeColor="text1"/>
          <w:sz w:val="20"/>
          <w:szCs w:val="20"/>
        </w:rPr>
        <w:t xml:space="preserve">assessment </w:t>
      </w:r>
      <w:r w:rsidR="00BB302A" w:rsidRPr="00CD3C9A">
        <w:rPr>
          <w:rFonts w:eastAsia="Calibri"/>
          <w:color w:val="000000" w:themeColor="text1"/>
          <w:sz w:val="20"/>
          <w:szCs w:val="20"/>
        </w:rPr>
        <w:t xml:space="preserve">is observing students examining a real patient in a usual practice on several occasions. This approach can be applied </w:t>
      </w:r>
      <w:r w:rsidR="0074646A">
        <w:rPr>
          <w:rFonts w:eastAsia="Calibri"/>
          <w:color w:val="000000" w:themeColor="text1"/>
          <w:sz w:val="20"/>
          <w:szCs w:val="20"/>
        </w:rPr>
        <w:t xml:space="preserve">to </w:t>
      </w:r>
      <w:r w:rsidRPr="00CD3C9A">
        <w:rPr>
          <w:rFonts w:eastAsia="Calibri"/>
          <w:color w:val="000000" w:themeColor="text1"/>
          <w:sz w:val="20"/>
          <w:szCs w:val="20"/>
        </w:rPr>
        <w:t>CL</w:t>
      </w:r>
      <w:r w:rsidR="00BB302A" w:rsidRPr="00CD3C9A">
        <w:rPr>
          <w:rFonts w:eastAsia="Calibri"/>
          <w:color w:val="000000" w:themeColor="text1"/>
          <w:sz w:val="20"/>
          <w:szCs w:val="20"/>
        </w:rPr>
        <w:t xml:space="preserve"> skill competency assessments during students’ clinical rotations or placements. However, some limitations with this kind of assessment include long duration, requirement to train assessors, </w:t>
      </w:r>
      <w:r w:rsidRPr="00CD3C9A">
        <w:rPr>
          <w:rFonts w:eastAsia="Calibri"/>
          <w:color w:val="000000" w:themeColor="text1"/>
          <w:sz w:val="20"/>
          <w:szCs w:val="20"/>
        </w:rPr>
        <w:t xml:space="preserve">and the </w:t>
      </w:r>
      <w:r w:rsidR="00BB302A" w:rsidRPr="00CD3C9A">
        <w:rPr>
          <w:rFonts w:eastAsia="Calibri"/>
          <w:color w:val="000000" w:themeColor="text1"/>
          <w:sz w:val="20"/>
          <w:szCs w:val="20"/>
        </w:rPr>
        <w:t xml:space="preserve">stress the student experiences. </w:t>
      </w:r>
      <w:r w:rsidR="00CD3C9A" w:rsidRPr="00CD3C9A">
        <w:rPr>
          <w:color w:val="222222"/>
          <w:sz w:val="20"/>
          <w:szCs w:val="20"/>
          <w:shd w:val="clear" w:color="auto" w:fill="FFFFFF"/>
        </w:rPr>
        <w:t xml:space="preserve">Although </w:t>
      </w:r>
      <w:r w:rsidR="00CD3C9A">
        <w:rPr>
          <w:color w:val="222222"/>
          <w:sz w:val="20"/>
          <w:szCs w:val="20"/>
          <w:shd w:val="clear" w:color="auto" w:fill="FFFFFF"/>
        </w:rPr>
        <w:t xml:space="preserve">holistic assessments </w:t>
      </w:r>
      <w:r w:rsidR="00CD3C9A" w:rsidRPr="00CD3C9A">
        <w:rPr>
          <w:color w:val="222222"/>
          <w:sz w:val="20"/>
          <w:szCs w:val="20"/>
          <w:shd w:val="clear" w:color="auto" w:fill="FFFFFF"/>
        </w:rPr>
        <w:t xml:space="preserve">are a common assessment </w:t>
      </w:r>
      <w:proofErr w:type="gramStart"/>
      <w:r w:rsidR="00CD3C9A" w:rsidRPr="00CD3C9A">
        <w:rPr>
          <w:color w:val="222222"/>
          <w:sz w:val="20"/>
          <w:szCs w:val="20"/>
          <w:shd w:val="clear" w:color="auto" w:fill="FFFFFF"/>
        </w:rPr>
        <w:t>tool</w:t>
      </w:r>
      <w:proofErr w:type="gramEnd"/>
      <w:r w:rsidR="00CD3C9A" w:rsidRPr="00CD3C9A">
        <w:rPr>
          <w:color w:val="222222"/>
          <w:sz w:val="20"/>
          <w:szCs w:val="20"/>
          <w:shd w:val="clear" w:color="auto" w:fill="FFFFFF"/>
        </w:rPr>
        <w:t xml:space="preserve"> they lack an evidence base in the realm of CLE.</w:t>
      </w:r>
    </w:p>
    <w:p w14:paraId="585ECD30" w14:textId="77777777" w:rsidR="00CD3C9A" w:rsidRPr="00F8338D" w:rsidRDefault="00CD3C9A" w:rsidP="00F8338D"/>
    <w:p w14:paraId="0AA7752E" w14:textId="09223840" w:rsidR="00764C60" w:rsidRPr="00CD3C9A" w:rsidRDefault="00BF0D7D" w:rsidP="00CD3C9A">
      <w:pPr>
        <w:pStyle w:val="Heading3"/>
        <w:spacing w:before="0" w:after="0" w:line="360" w:lineRule="auto"/>
        <w:rPr>
          <w:bCs/>
          <w:color w:val="000000" w:themeColor="text1"/>
          <w:sz w:val="20"/>
          <w:szCs w:val="20"/>
          <w:u w:val="single"/>
        </w:rPr>
      </w:pPr>
      <w:r w:rsidRPr="00CD3C9A">
        <w:rPr>
          <w:color w:val="000000" w:themeColor="text1"/>
          <w:sz w:val="20"/>
          <w:szCs w:val="20"/>
          <w:u w:val="single"/>
        </w:rPr>
        <w:t>S</w:t>
      </w:r>
      <w:r w:rsidR="00764C60" w:rsidRPr="00CD3C9A">
        <w:rPr>
          <w:color w:val="000000" w:themeColor="text1"/>
          <w:sz w:val="20"/>
          <w:szCs w:val="20"/>
          <w:u w:val="single"/>
        </w:rPr>
        <w:t>elf-assessment</w:t>
      </w:r>
    </w:p>
    <w:p w14:paraId="235EDAF5" w14:textId="51519A24" w:rsidR="00764C60" w:rsidRPr="00CD3C9A" w:rsidRDefault="00764C60" w:rsidP="00CD3C9A">
      <w:pPr>
        <w:spacing w:line="360" w:lineRule="auto"/>
        <w:rPr>
          <w:rFonts w:eastAsia="Times New Roman"/>
          <w:color w:val="000000" w:themeColor="text1"/>
          <w:sz w:val="20"/>
          <w:szCs w:val="20"/>
        </w:rPr>
      </w:pPr>
      <w:r w:rsidRPr="00CD3C9A">
        <w:rPr>
          <w:rFonts w:eastAsia="Times New Roman"/>
          <w:color w:val="000000" w:themeColor="text1"/>
          <w:sz w:val="20"/>
          <w:szCs w:val="20"/>
        </w:rPr>
        <w:t>Self-assessment</w:t>
      </w:r>
      <w:r w:rsidR="00CD3C9A">
        <w:rPr>
          <w:rFonts w:eastAsia="Times New Roman"/>
          <w:color w:val="000000" w:themeColor="text1"/>
          <w:sz w:val="20"/>
          <w:szCs w:val="20"/>
        </w:rPr>
        <w:t xml:space="preserve">, sometimes called </w:t>
      </w:r>
      <w:r w:rsidR="008E7843" w:rsidRPr="00CD3C9A">
        <w:rPr>
          <w:rFonts w:eastAsia="Times New Roman"/>
          <w:color w:val="000000" w:themeColor="text1"/>
          <w:sz w:val="20"/>
          <w:szCs w:val="20"/>
        </w:rPr>
        <w:t>reflection</w:t>
      </w:r>
      <w:r w:rsidR="00CD3C9A">
        <w:rPr>
          <w:rFonts w:eastAsia="Times New Roman"/>
          <w:color w:val="000000" w:themeColor="text1"/>
          <w:sz w:val="20"/>
          <w:szCs w:val="20"/>
        </w:rPr>
        <w:t>,</w:t>
      </w:r>
      <w:r w:rsidRPr="00CD3C9A">
        <w:rPr>
          <w:rFonts w:eastAsia="Times New Roman"/>
          <w:color w:val="000000" w:themeColor="text1"/>
          <w:sz w:val="20"/>
          <w:szCs w:val="20"/>
        </w:rPr>
        <w:t xml:space="preserve"> is an important aspect of learning as it enables an individual to understand their level of knowledge as well as developing meta-cognitive skills which are an important aspect of learning throughout their professional life.</w:t>
      </w:r>
      <w:r w:rsidR="0021375F">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{"citationItems":[{"id":"ITEM-1","itemData":{"DOI":"10.1016/j.learninstruc.2011.08.004","ISSN":"09594752","abstract":"For self-regulated learning to be effective, students need to be able to accurately assess their own performance on a learning task and use this assessment for the selection of a new learning task. Evidence suggests, however, that students have difficulties with accurate self-assessment and task selection, which may explain the poor learning outcomes often found with self-regulated learning. In experiment 1, the hypothesis was investigated and confirmed that observing a human model engaging in self-assessment, task selection, or both could be effective for secondary education students' (N = 80) acquisition of self-assessment and task-selection skills. Experiment 2 investigated and confirmed the hypothesis that secondary education students' (N = 90) acquisition of self-assessment and task-selection skills, either through examples or through practice, would enhance the effectiveness of self-regulated learning. It can be concluded that self-assessment and task-selection skills indeed play an important role in self-regulated learning and that training these skills can significantly increase the amount of knowledge students can gain from self-regulated learning in which they choose their own learning tasks. © 2011 Elsevier Ltd.","author":[{"dropping-particle":"","family":"Kostons","given":"Danny","non-dropping-particle":"","parse-names":false,"suffix":""},{"dropping-particle":"","family":"Gog","given":"Tamara","non-dropping-particle":"van","parse-names":false,"suffix":""},{"dropping-particle":"","family":"Paas","given":"Fred","non-dropping-particle":"","parse-names":false,"suffix":""}],"container-title":"Learning and Instruction","id":"ITEM-1","issue":"2","issued":{"date-parts":[["2012"]]},"title":"Training self-assessment and task-selection skills: A cognitive approach to improving self-regulated learning","type":"article-journal","volume":"22"},"uris":["http://www.mendeley.com/documents/?uuid=1d6466ec-1413-3bb7-89a2-90b485a84909"]}],"mendeley":{"formattedCitation":"[88]","plainTextFormattedCitation":"[88]","previouslyFormattedCitation":"[88]"},"properties":{"noteIndex":0},"schema":"https://github.com/citation-style-language/schema/raw/master/csl-citation.json"}</w:instrText>
      </w:r>
      <w:r w:rsidR="0021375F">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[88]</w:t>
      </w:r>
      <w:r w:rsidR="0021375F">
        <w:rPr>
          <w:rFonts w:eastAsia="Times New Roman"/>
          <w:color w:val="000000" w:themeColor="text1"/>
          <w:sz w:val="20"/>
          <w:szCs w:val="20"/>
        </w:rPr>
        <w:fldChar w:fldCharType="end"/>
      </w:r>
      <w:r w:rsidRPr="00CD3C9A">
        <w:rPr>
          <w:rFonts w:eastAsia="Times New Roman"/>
          <w:color w:val="000000" w:themeColor="text1"/>
          <w:sz w:val="20"/>
          <w:szCs w:val="20"/>
        </w:rPr>
        <w:t xml:space="preserve"> To achieve this, learners need to be aware of the learning objectives </w:t>
      </w:r>
      <w:r w:rsidR="007B2631" w:rsidRPr="00CD3C9A">
        <w:rPr>
          <w:rFonts w:eastAsia="Times New Roman"/>
          <w:color w:val="000000" w:themeColor="text1"/>
          <w:sz w:val="20"/>
          <w:szCs w:val="20"/>
        </w:rPr>
        <w:t xml:space="preserve">as these </w:t>
      </w:r>
      <w:r w:rsidRPr="00CD3C9A">
        <w:rPr>
          <w:rFonts w:eastAsia="Times New Roman"/>
          <w:color w:val="000000" w:themeColor="text1"/>
          <w:sz w:val="20"/>
          <w:szCs w:val="20"/>
        </w:rPr>
        <w:t>are a guide for planning. Also, self-assessment activities enable the learners to value the worthiness of each activity as support in aiding learning.</w:t>
      </w:r>
      <w:r w:rsidR="0021375F">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{"citationItems":[{"id":"ITEM-1","itemData":{"DOI":"10.1207/S15326985EP3602_4","ISSN":"00461520","abstract":"This article describes how self-regulated learning (SRL) has become a popular topic in research in educational psychology and how the research has been translated into classroom practices. Research during the past 30 years on students' learning and achievement has progressively included emphases on cognitive strategies, metacognition, motivation, task engagement, and social supports in classrooms. SRL emerged as a construct that encompassed these various aspects of academic learning and provided more holistic views of the skills, knowledge, and motivation that students acquire. The complexity of SRL has been appealing to educational researchers who seek to provide effective interventions in schools that benefit teachers and students directly. Examples of SRL in classrooms are provided for three areas of research: strategies for reading and writing, cognitive engagement in tasks, and self-assessment. The pedagogical principles and underlying research are discussed for each area. Whether SRL is viewed as a set of skills that can be taught explicitly or as developmental processes of self-regulation that emerge from experience, teachers can provide information and opportunities to students of all ages that will help them become strategic, motivated, and independent learners.","author":[{"dropping-particle":"","family":"Paris","given":"Scott G.","non-dropping-particle":"","parse-names":false,"suffix":""},{"dropping-particle":"","family":"Paris","given":"Alison H.","non-dropping-particle":"","parse-names":false,"suffix":""}],"container-title":"Educational Psychologist","id":"ITEM-1","issue":"2","issued":{"date-parts":[["2001"]]},"page":"89-101","title":"Classroom applications of research on self-regulated learning","type":"article-journal","volume":"36"},"uris":["http://www.mendeley.com/documents/?uuid=cf9d24c6-799c-395c-99c8-690e6e28d556"]}],"mendeley":{"formattedCitation":"[89]","plainTextFormattedCitation":"[89]","previouslyFormattedCitation":"[89]"},"properties":{"noteIndex":0},"schema":"https://github.com/citation-style-language/schema/raw/master/csl-citation.json"}</w:instrText>
      </w:r>
      <w:r w:rsidR="0021375F">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[89]</w:t>
      </w:r>
      <w:r w:rsidR="0021375F">
        <w:rPr>
          <w:rFonts w:eastAsia="Times New Roman"/>
          <w:color w:val="000000" w:themeColor="text1"/>
          <w:sz w:val="20"/>
          <w:szCs w:val="20"/>
        </w:rPr>
        <w:fldChar w:fldCharType="end"/>
      </w:r>
    </w:p>
    <w:p w14:paraId="0902A9F8" w14:textId="77777777" w:rsidR="00764C60" w:rsidRPr="00CD3C9A" w:rsidRDefault="00764C60" w:rsidP="00CD3C9A">
      <w:pPr>
        <w:spacing w:line="360" w:lineRule="auto"/>
        <w:rPr>
          <w:rFonts w:eastAsia="Times New Roman"/>
          <w:bCs/>
          <w:color w:val="000000" w:themeColor="text1"/>
          <w:sz w:val="20"/>
          <w:szCs w:val="20"/>
        </w:rPr>
      </w:pPr>
    </w:p>
    <w:p w14:paraId="06AFACC5" w14:textId="3E1E6B54" w:rsidR="00764C60" w:rsidRPr="00CD3C9A" w:rsidRDefault="00764C60" w:rsidP="00CD3C9A">
      <w:pPr>
        <w:spacing w:line="360" w:lineRule="auto"/>
        <w:rPr>
          <w:rFonts w:eastAsia="Times New Roman"/>
          <w:color w:val="000000" w:themeColor="text1"/>
          <w:sz w:val="20"/>
          <w:szCs w:val="20"/>
        </w:rPr>
      </w:pPr>
      <w:r w:rsidRPr="00CD3C9A">
        <w:rPr>
          <w:rFonts w:eastAsia="Times New Roman"/>
          <w:color w:val="000000" w:themeColor="text1"/>
          <w:sz w:val="20"/>
          <w:szCs w:val="20"/>
        </w:rPr>
        <w:t>One of the established methods of self-assessment is self-regulated learning (SRL)</w:t>
      </w:r>
      <w:r w:rsidR="0021375F">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{"citationItems":[{"id":"ITEM-1","itemData":{"abstract":"The past years, the scientific research and literature have paid a gr eat deal of attention to the ability of students to self-regulate thei r learning, a development clearly demonstrated by the considerable number of NWO-funded studies into metacognitive abilities and self-regulated learning. This focus is hardly surprising, considering the vi ew of the OECD (2004) that in this day and age people need to be able to continue to learn through out their lives. Until the 1990s, learning mostly entailed memorizi ng and reproducing information provided by others, whereas nowadays it is regarded far more important to acquire knowledge and skills by oneself. This vision has led curric ula at schools to focus increasingly on the teaching of self-regulated learning skills to faci litate the acquisition of knowledge. Based on the expectation that self-regulated learning will better prepare students for the demands of higher education, secondary ed ucation has for some time now put a clear emphasis on this approach. Also in primary education the teaching of se lf-regulated learning skills has increased, here with the aim of preparing studen ts for secondary education. However, particularly within primary education, students tend to be ill -equipped to deal with the demands of self-regulated learning. Students appear to l ack the essential strategies required for this type of learning, such as making proper summaries (Brown &amp; Palincsar, 1989; Cromley, Snyder-Hogan, &amp; Luciw-Dubas, 2010), monitoring and ev aluating their own performance (Azevedo &amp; Cromley, 2004; Kostons, Van Gog, &amp; Paas, 2010), or keeping their motivation high (Pintrich, 2004; Zimmerman, 1990). Without strategy instruction, students are unlikely to develop effective lear ning strategies on their own. Thus far, many studies have demonstrated the effectiveness of st rategy instruction. But although some earlier meta-analyses have tried to summarize th e findings of these studies, little concrete knowledge is presently available about which specific st rategy or combination of strategies is the most effective in im proving student performance in both primary and secondary education. The purpose of this meta-analysis has been to provi de further insights into the effectiveness of learning strategies aimed at enhancing students’ performance in various domains and on different educational le vels (primary and secondary education). First, we will present the theoretical framew ork used in this meta-analysis…","author":[{"dropping-particle":"","family":"Boer","given":"H.","non-dropping-particle":"de","parse-names":false,"suffix":""},{"dropping-particle":"","family":"Donker-Bergstra","given":"A.S.","non-dropping-particle":"","parse-names":false,"suffix":""},{"dropping-particle":"","family":"Kostons","given":"D.D.N.M.","non-dropping-particle":"","parse-names":false,"suffix":""}],"container-title":"Educational Research Review","id":"ITEM-1","issued":{"date-parts":[["2012"]]},"title":"Effective Strategies for Self-regulated Learning : A Meta-Analysis","type":"book","volume":"11"},"uris":["http://www.mendeley.com/documents/?uuid=dfd467e2-9f8c-3ae3-bd20-b07227f05698"]}],"mendeley":{"formattedCitation":"[90]","plainTextFormattedCitation":"[90]","previouslyFormattedCitation":"[90]"},"properties":{"noteIndex":0},"schema":"https://github.com/citation-style-language/schema/raw/master/csl-citation.json"}</w:instrText>
      </w:r>
      <w:r w:rsidR="0021375F">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[90]</w:t>
      </w:r>
      <w:r w:rsidR="0021375F">
        <w:rPr>
          <w:rFonts w:eastAsia="Times New Roman"/>
          <w:color w:val="000000" w:themeColor="text1"/>
          <w:sz w:val="20"/>
          <w:szCs w:val="20"/>
        </w:rPr>
        <w:fldChar w:fldCharType="end"/>
      </w:r>
      <w:r w:rsidRPr="00CD3C9A">
        <w:rPr>
          <w:rFonts w:eastAsia="Times New Roman"/>
          <w:color w:val="000000" w:themeColor="text1"/>
          <w:sz w:val="20"/>
          <w:szCs w:val="20"/>
        </w:rPr>
        <w:t xml:space="preserve"> which includes feedback from teachers or peers,</w:t>
      </w:r>
      <w:r w:rsidR="00782040">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{"citationItems":[{"id":"ITEM-1","itemData":{"DOI":"10.3102/003465430298487","ISSN":"00346543","abstract":"Feedback is one of the most powerful influences on learning and achievement, but this impact can be either positive or negative. Its power is frequently mentioned in articles about learning and teaching, but surprisingly few recent studies have systematically investigated its meaning. This article provides a conceptual analysis of feedback and reviews the evidence related to its impact on learning and achievement. This evidence shows that although feedback is among the major influences, the type of feedback and the way it is given can be differentially effective. A model of feedback is then proposed that identifies the particular properties and circumstances that make it effective, and some typically thorny issues are discussed, including the timing of feedback and the effects of positive and negative feedback. Finally, this analysis is used to suggest ways in which feedback can be used to enhance its effectiveness in classrooms.","author":[{"dropping-particle":"","family":"Hattie","given":"John","non-dropping-particle":"","parse-names":false,"suffix":""},{"dropping-particle":"","family":"Timperley","given":"Helen","non-dropping-particle":"","parse-names":false,"suffix":""}],"container-title":"Review of Educational Research","id":"ITEM-1","issue":"1","issued":{"date-parts":[["2007"]]},"page":"81-112","title":"The power of feedback","type":"article","volume":"77"},"uris":["http://www.mendeley.com/documents/?uuid=df714332-54cb-3ab0-ad94-21f3f2ba4ad6"]}],"mendeley":{"formattedCitation":"[91]","plainTextFormattedCitation":"[91]","previouslyFormattedCitation":"[91]"},"properties":{"noteIndex":0},"schema":"https://github.com/citation-style-language/schema/raw/master/csl-citation.json"}</w:instrText>
      </w:r>
      <w:r w:rsidR="00782040">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[91]</w:t>
      </w:r>
      <w:r w:rsidR="00782040">
        <w:rPr>
          <w:rFonts w:eastAsia="Times New Roman"/>
          <w:color w:val="000000" w:themeColor="text1"/>
          <w:sz w:val="20"/>
          <w:szCs w:val="20"/>
        </w:rPr>
        <w:fldChar w:fldCharType="end"/>
      </w:r>
      <w:r w:rsidRPr="00CD3C9A">
        <w:rPr>
          <w:rFonts w:eastAsia="Times New Roman"/>
          <w:color w:val="000000" w:themeColor="text1"/>
          <w:sz w:val="20"/>
          <w:szCs w:val="20"/>
        </w:rPr>
        <w:t xml:space="preserve"> recall and reflection of what was taught,</w:t>
      </w:r>
      <w:r w:rsidR="00782040">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{"citationItems":[{"id":"ITEM-1","itemData":{"DOI":"10.1080/09658210802647009","ISSN":"09658211","PMID":"19358016","abstract":"Basic research on human learning and memory has shown that practising retrieval of information (by testing the information) has powerful effects on learning and long-term retention. Repeated testing enhances learning more than repeated reading, which often confers limited benefit beyond that gained from the initial reading of the material. Laboratory research also suggests that students lack metacognitive awareness of the mnemonic benefits of testing. The implication is that in real-world educational settings students may not engage in retrieval practise to enhance learning. To investigate students' real-world study behaviours, we surveyed 177 college students and asked them (1) to list strategies they used when studying (an open-ended free report question) and (2) to choose whether they would reread or practise recall after studying a textbook chapter (a forced report question). The results of both questions point to the same conclusion: A majority of students repeatedly read their notes or textbook (despite the limited benefits of this strategy), but relatively few engage in self-testing or retrieval practise while studying. We propose that many students experience illusions of competence while studying and that these illusions have significant consequences for the strategies students select when they monitor and regulate their own learning.","author":[{"dropping-particle":"","family":"Karpicke","given":"Jeffrey D.","non-dropping-particle":"","parse-names":false,"suffix":""},{"dropping-particle":"","family":"Butler","given":"Andrew C.","non-dropping-particle":"","parse-names":false,"suffix":""},{"dropping-particle":"","family":"Roediger","given":"Henry L.","non-dropping-particle":"","parse-names":false,"suffix":""}],"container-title":"Memory","id":"ITEM-1","issue":"4","issued":{"date-parts":[["2009"]]},"page":"471-479","title":"Metacognitive strategies in student learning: Do students practise retrieval when they study on their own?","type":"article-journal","volume":"17"},"uris":["http://www.mendeley.com/documents/?uuid=5a6e3f86-00a1-3fca-af3b-0590ea3b17dc"]}],"mendeley":{"formattedCitation":"[92]","plainTextFormattedCitation":"[92]","previouslyFormattedCitation":"[92]"},"properties":{"noteIndex":0},"schema":"https://github.com/citation-style-language/schema/raw/master/csl-citation.json"}</w:instrText>
      </w:r>
      <w:r w:rsidR="00782040">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[92]</w:t>
      </w:r>
      <w:r w:rsidR="00782040">
        <w:rPr>
          <w:rFonts w:eastAsia="Times New Roman"/>
          <w:color w:val="000000" w:themeColor="text1"/>
          <w:sz w:val="20"/>
          <w:szCs w:val="20"/>
        </w:rPr>
        <w:fldChar w:fldCharType="end"/>
      </w:r>
      <w:r w:rsidRPr="00CD3C9A">
        <w:rPr>
          <w:rFonts w:eastAsia="Times New Roman"/>
          <w:color w:val="000000" w:themeColor="text1"/>
          <w:sz w:val="20"/>
          <w:szCs w:val="20"/>
        </w:rPr>
        <w:t xml:space="preserve"> and application of information.</w:t>
      </w:r>
      <w:r w:rsidR="00782040">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{"citationItems":[{"id":"ITEM-1","itemData":{"DOI":"10.1016/j.acalib.2012.08.006","ISSN":"00991333","abstract":"The study was carried out with students of official doctoral programs of Information Science in four universities in Spain and Latin America with the purpose of finding out, through self-assessments, student perceptions of their own information competence. A survey was designed to determine self-perceptions of knowledge, skills and attitudes regarding information competence, and it was distributed to students of two universities in Spain, one in Cuba and one in Mexico. Student perceptions of the levels of their own information competence in terms of knowledge, skills and attitudes are, in general, high. Nevertheless, despite being immersed in research processes that require these information competencies, they recognize that they are lacking in certain skills related tothe organization, evaluation and presentation of information. Having a self-assessment that identifies those areas of information competence in which students consider themselves to be weak will be a significant help in planning activities designed to strengthen these areas in doctoral programs. © 2012 Elsevier Inc..","author":[{"dropping-particle":"","family":"Pinto","given":"María","non-dropping-particle":"","parse-names":false,"suffix":""},{"dropping-particle":"","family":"Fernández-Ramos","given":"Andrés","non-dropping-particle":"","parse-names":false,"suffix":""},{"dropping-particle":"","family":"Sánchez","given":"Gerardo","non-dropping-particle":"","parse-names":false,"suffix":""},{"dropping-particle":"","family":"Meneses","given":"Grizly","non-dropping-particle":"","parse-names":false,"suffix":""}],"container-title":"Journal of Academic Librarianship","id":"ITEM-1","issue":"2","issued":{"date-parts":[["2013"]]},"page":"144-154","title":"Information Competence of Doctoral Students in Information Science in Spain and Latin America: A Self-assessment","type":"article-journal","volume":"39"},"uris":["http://www.mendeley.com/documents/?uuid=522d1ec8-417a-3f64-9e49-84f01d85bdb0"]}],"mendeley":{"formattedCitation":"[93]","plainTextFormattedCitation":"[93]","previouslyFormattedCitation":"[93]"},"properties":{"noteIndex":0},"schema":"https://github.com/citation-style-language/schema/raw/master/csl-citation.json"}</w:instrText>
      </w:r>
      <w:r w:rsidR="00782040">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[93]</w:t>
      </w:r>
      <w:r w:rsidR="00782040">
        <w:rPr>
          <w:rFonts w:eastAsia="Times New Roman"/>
          <w:color w:val="000000" w:themeColor="text1"/>
          <w:sz w:val="20"/>
          <w:szCs w:val="20"/>
        </w:rPr>
        <w:fldChar w:fldCharType="end"/>
      </w:r>
      <w:r w:rsidRPr="00CD3C9A">
        <w:rPr>
          <w:rFonts w:eastAsia="Times New Roman"/>
          <w:color w:val="000000" w:themeColor="text1"/>
          <w:sz w:val="20"/>
          <w:szCs w:val="20"/>
        </w:rPr>
        <w:t xml:space="preserve"> This is important for optometry students as there is a direct relationship between understanding a concept and its application to patients.</w:t>
      </w:r>
      <w:r w:rsidR="00782040">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{"citationItems":[{"id":"ITEM-1","itemData":{"DOI":"10.1371/journal.pone.0209004","ISSN":"19326203","abstract":"Today’s students have increased expectations for flexible learning options and evidence-based practice resources to be available to support curricular activities. We investigated: (i) the suitability of a static website for teaching ocular anatomy and physiology and an interactive version of the website with quiz and self-assessment activities and (ii) the usefulness of a blended online and in-lab environment to teach in Optometry. We administered a survey to compare responses of optometry students who had access to the interactive website, with those from students from a previous year who used the static version. We examined learning preferences of students in a focus group. Students were positive about the value of the website for their learning and the clarity of the website content. Nevertheless, objective comparison of pass rates for students using the static and interactive websites did not show significant changes. The majority of students commenting on the static website felt they did not get sufficient feedback via the website (67%) compared with only 22% from students who used self-assessments in the interactive website. Interestingly, users of the static website commented that it was perceived as just another resource while users of the interactive website commented on the usefulness of the material to review knowledge before laboratories. In the focus group, students reported they preferred a blended learning over the website alone even by students using the interactive website as they felt the need to revise content with the educator before the test. We conclude that there is acceptance of online learning methods due to the technologically ‘savvy’ environment of students in the first year of the Optometry programme but there is still dependence on the educator as the main administrator of their learning.","author":[{"dropping-particle":"","family":"Acosta","given":"Monica L.","non-dropping-particle":"","parse-names":false,"suffix":""},{"dropping-particle":"","family":"Sisley","given":"Aran","non-dropping-particle":"","parse-names":false,"suffix":""},{"dropping-particle":"","family":"Ross","given":"Jacqueline","non-dropping-particle":"","parse-names":false,"suffix":""},{"dropping-particle":"","family":"Brailsford","given":"Ian","non-dropping-particle":"","parse-names":false,"suffix":""},{"dropping-particle":"","family":"Bhargava","given":"Anuj","non-dropping-particle":"","parse-names":false,"suffix":""},{"dropping-particle":"","family":"Jacobs","given":"Robert","non-dropping-particle":"","parse-names":false,"suffix":""},{"dropping-particle":"","family":"Anstice","given":"Nicola","non-dropping-particle":"","parse-names":false,"suffix":""}],"container-title":"PLoS ONE","id":"ITEM-1","issue":"12","issued":{"date-parts":[["2018"]]},"title":"Student acceptance of e-learning methods in the laboratory class in optometry","type":"article-journal","volume":"13"},"uris":["http://www.mendeley.com/documents/?uuid=ced0d84f-49e4-3648-ab8e-12e45e4e66d4"]}],"mendeley":{"formattedCitation":"[94]","plainTextFormattedCitation":"[94]","previouslyFormattedCitation":"[94]"},"properties":{"noteIndex":0},"schema":"https://github.com/citation-style-language/schema/raw/master/csl-citation.json"}</w:instrText>
      </w:r>
      <w:r w:rsidR="00782040">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[94]</w:t>
      </w:r>
      <w:r w:rsidR="00782040">
        <w:rPr>
          <w:rFonts w:eastAsia="Times New Roman"/>
          <w:color w:val="000000" w:themeColor="text1"/>
          <w:sz w:val="20"/>
          <w:szCs w:val="20"/>
        </w:rPr>
        <w:fldChar w:fldCharType="end"/>
      </w:r>
      <w:r w:rsidRPr="00CD3C9A">
        <w:rPr>
          <w:rFonts w:eastAsia="Times New Roman"/>
          <w:color w:val="000000" w:themeColor="text1"/>
          <w:sz w:val="20"/>
          <w:szCs w:val="20"/>
        </w:rPr>
        <w:t xml:space="preserve"> This strategy was authenticated in an exploratory study where a group of </w:t>
      </w:r>
      <w:r w:rsidR="00CD3C9A">
        <w:rPr>
          <w:rFonts w:eastAsia="Times New Roman"/>
          <w:color w:val="000000" w:themeColor="text1"/>
          <w:sz w:val="20"/>
          <w:szCs w:val="20"/>
        </w:rPr>
        <w:t xml:space="preserve">optometry </w:t>
      </w:r>
      <w:r w:rsidRPr="00CD3C9A">
        <w:rPr>
          <w:rFonts w:eastAsia="Times New Roman"/>
          <w:color w:val="000000" w:themeColor="text1"/>
          <w:sz w:val="20"/>
          <w:szCs w:val="20"/>
        </w:rPr>
        <w:t>students who received feedback showed an improvement in their communication skills with patients as opposed to a group of students who did not receive any feedback.</w:t>
      </w:r>
      <w:r w:rsidR="00615F8E">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{"citationItems":[{"id":"ITEM-1","itemData":{"author":[{"dropping-particle":"","family":"Anderson","given":"Heather A.","non-dropping-particle":"","parse-names":false,"suffix":""},{"dropping-particle":"","family":"Young","given":"J","non-dropping-particle":"","parse-names":false,"suffix":""},{"dropping-particle":"","family":"Marrelli","given":"D","non-dropping-particle":"","parse-names":false,"suffix":""},{"dropping-particle":"","family":"Black","given":"R","non-dropping-particle":"","parse-names":false,"suffix":""},{"dropping-particle":"","family":"Lambreghts","given":"K","non-dropping-particle":"","parse-names":false,"suffix":""},{"dropping-particle":"","family":"Twa","given":"M.D.","non-dropping-particle":"","parse-names":false,"suffix":""}],"container-title":"Optometry and Vision Science","id":"ITEM-1","issue":"1","issued":{"date-parts":[["2014"]]},"page":"121-128","title":"Training students with patient actors improves communication: a pilot study.","type":"article-journal","volume":"91."},"uris":["http://www.mendeley.com/documents/?uuid=af2668b0-a2f6-4d2a-98ed-07f073b0592c"]}],"mendeley":{"formattedCitation":"[95]","plainTextFormattedCitation":"[95]","previouslyFormattedCitation":"[95]"},"properties":{"noteIndex":0},"schema":"https://github.com/citation-style-language/schema/raw/master/csl-citation.json"}</w:instrText>
      </w:r>
      <w:r w:rsidR="00615F8E">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[95]</w:t>
      </w:r>
      <w:r w:rsidR="00615F8E">
        <w:rPr>
          <w:rFonts w:eastAsia="Times New Roman"/>
          <w:color w:val="000000" w:themeColor="text1"/>
          <w:sz w:val="20"/>
          <w:szCs w:val="20"/>
        </w:rPr>
        <w:fldChar w:fldCharType="end"/>
      </w:r>
      <w:r w:rsidRPr="00CD3C9A">
        <w:rPr>
          <w:rFonts w:eastAsia="Times New Roman"/>
          <w:color w:val="000000" w:themeColor="text1"/>
          <w:sz w:val="20"/>
          <w:szCs w:val="20"/>
        </w:rPr>
        <w:t xml:space="preserve"> </w:t>
      </w:r>
    </w:p>
    <w:p w14:paraId="1C83C681" w14:textId="77777777" w:rsidR="00764C60" w:rsidRPr="00CD3C9A" w:rsidRDefault="00764C60" w:rsidP="00CD3C9A">
      <w:pPr>
        <w:spacing w:line="360" w:lineRule="auto"/>
        <w:rPr>
          <w:rFonts w:eastAsia="Times New Roman"/>
          <w:color w:val="000000" w:themeColor="text1"/>
          <w:sz w:val="20"/>
          <w:szCs w:val="20"/>
        </w:rPr>
      </w:pPr>
    </w:p>
    <w:p w14:paraId="0662FA8A" w14:textId="1BBD93C3" w:rsidR="00764C60" w:rsidRPr="00CD3C9A" w:rsidRDefault="00764C60" w:rsidP="00CD3C9A">
      <w:pPr>
        <w:spacing w:line="360" w:lineRule="auto"/>
        <w:rPr>
          <w:rFonts w:eastAsia="Times New Roman"/>
          <w:color w:val="000000" w:themeColor="text1"/>
          <w:sz w:val="20"/>
          <w:szCs w:val="20"/>
        </w:rPr>
      </w:pPr>
      <w:r w:rsidRPr="00CD3C9A">
        <w:rPr>
          <w:rFonts w:eastAsia="Times New Roman"/>
          <w:color w:val="000000" w:themeColor="text1"/>
          <w:sz w:val="20"/>
          <w:szCs w:val="20"/>
        </w:rPr>
        <w:t xml:space="preserve">The importance of </w:t>
      </w:r>
      <w:r w:rsidR="00BF0D7D" w:rsidRPr="00CD3C9A">
        <w:rPr>
          <w:rFonts w:eastAsia="Times New Roman"/>
          <w:color w:val="000000" w:themeColor="text1"/>
          <w:sz w:val="20"/>
          <w:szCs w:val="20"/>
        </w:rPr>
        <w:t xml:space="preserve">self-assessment </w:t>
      </w:r>
      <w:r w:rsidRPr="00CD3C9A">
        <w:rPr>
          <w:rFonts w:eastAsia="Times New Roman"/>
          <w:color w:val="000000" w:themeColor="text1"/>
          <w:sz w:val="20"/>
          <w:szCs w:val="20"/>
        </w:rPr>
        <w:t>on what the students learned helps in the long-term retention of information. In another study, it was noted that frequent recall testing improves learning more than repetitive reading of content.</w:t>
      </w:r>
      <w:r w:rsidR="00185708">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{"citationItems":[{"id":"ITEM-1","itemData":{"DOI":"10.1080/09658210802647009","ISSN":"09658211","PMID":"19358016","abstract":"Basic research on human learning and memory has shown that practising retrieval of information (by testing the information) has powerful effects on learning and long-term retention. Repeated testing enhances learning more than repeated reading, which often confers limited benefit beyond that gained from the initial reading of the material. Laboratory research also suggests that students lack metacognitive awareness of the mnemonic benefits of testing. The implication is that in real-world educational settings students may not engage in retrieval practise to enhance learning. To investigate students' real-world study behaviours, we surveyed 177 college students and asked them (1) to list strategies they used when studying (an open-ended free report question) and (2) to choose whether they would reread or practise recall after studying a textbook chapter (a forced report question). The results of both questions point to the same conclusion: A majority of students repeatedly read their notes or textbook (despite the limited benefits of this strategy), but relatively few engage in self-testing or retrieval practise while studying. We propose that many students experience illusions of competence while studying and that these illusions have significant consequences for the strategies students select when they monitor and regulate their own learning.","author":[{"dropping-particle":"","family":"Karpicke","given":"Jeffrey D.","non-dropping-particle":"","parse-names":false,"suffix":""},{"dropping-particle":"","family":"Butler","given":"Andrew C.","non-dropping-particle":"","parse-names":false,"suffix":""},{"dropping-particle":"","family":"Roediger","given":"Henry L.","non-dropping-particle":"","parse-names":false,"suffix":""}],"container-title":"Memory","id":"ITEM-1","issue":"4","issued":{"date-parts":[["2009"]]},"page":"471-479","title":"Metacognitive strategies in student learning: Do students practise retrieval when they study on their own?","type":"article-journal","volume":"17"},"uris":["http://www.mendeley.com/documents/?uuid=5a6e3f86-00a1-3fca-af3b-0590ea3b17dc"]}],"mendeley":{"formattedCitation":"[92]","plainTextFormattedCitation":"[92]","previouslyFormattedCitation":"[92]"},"properties":{"noteIndex":0},"schema":"https://github.com/citation-style-language/schema/raw/master/csl-citation.json"}</w:instrText>
      </w:r>
      <w:r w:rsidR="00185708">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[92]</w:t>
      </w:r>
      <w:r w:rsidR="00185708">
        <w:rPr>
          <w:rFonts w:eastAsia="Times New Roman"/>
          <w:color w:val="000000" w:themeColor="text1"/>
          <w:sz w:val="20"/>
          <w:szCs w:val="20"/>
        </w:rPr>
        <w:fldChar w:fldCharType="end"/>
      </w:r>
      <w:r w:rsidRPr="00CD3C9A">
        <w:rPr>
          <w:rFonts w:eastAsia="Times New Roman"/>
          <w:color w:val="000000" w:themeColor="text1"/>
          <w:sz w:val="20"/>
          <w:szCs w:val="20"/>
        </w:rPr>
        <w:t xml:space="preserve"> Learning is further enhanced with feedback.</w:t>
      </w:r>
    </w:p>
    <w:p w14:paraId="1E32320A" w14:textId="77777777" w:rsidR="00764C60" w:rsidRPr="00CD3C9A" w:rsidRDefault="00764C60" w:rsidP="00CD3C9A">
      <w:pPr>
        <w:spacing w:line="360" w:lineRule="auto"/>
        <w:rPr>
          <w:rFonts w:eastAsia="Times New Roman"/>
          <w:color w:val="000000" w:themeColor="text1"/>
          <w:sz w:val="20"/>
          <w:szCs w:val="20"/>
        </w:rPr>
      </w:pPr>
    </w:p>
    <w:p w14:paraId="70010F3C" w14:textId="1BBFFE32" w:rsidR="00764C60" w:rsidRPr="00CD3C9A" w:rsidRDefault="00764C60" w:rsidP="00CD3C9A">
      <w:pPr>
        <w:spacing w:line="360" w:lineRule="auto"/>
        <w:rPr>
          <w:rFonts w:eastAsia="Times New Roman"/>
          <w:color w:val="000000" w:themeColor="text1"/>
          <w:sz w:val="20"/>
          <w:szCs w:val="20"/>
          <w:vertAlign w:val="superscript"/>
        </w:rPr>
      </w:pPr>
      <w:r w:rsidRPr="00CD3C9A">
        <w:rPr>
          <w:rFonts w:eastAsia="Times New Roman"/>
          <w:color w:val="000000" w:themeColor="text1"/>
          <w:sz w:val="20"/>
          <w:szCs w:val="20"/>
        </w:rPr>
        <w:t xml:space="preserve">Creating rubrics/scales and training learners to grade themselves based on these provides more accuracy in their assessments. Sadler and Good state that learners who were trained to grade themselves with appropriate rubrics showed a high correlation with grades from teachers. The study </w:t>
      </w:r>
      <w:r w:rsidRPr="00CD3C9A">
        <w:rPr>
          <w:rFonts w:eastAsia="Times New Roman"/>
          <w:color w:val="000000" w:themeColor="text1"/>
          <w:sz w:val="20"/>
          <w:szCs w:val="20"/>
        </w:rPr>
        <w:lastRenderedPageBreak/>
        <w:t>also emphasised that students showed improvement in their learning outcomes when tested on the same topic a week later.</w:t>
      </w:r>
      <w:r w:rsidR="00185708">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{"citationItems":[{"id":"ITEM-1","itemData":{"DOI":"10.1207/s15326977ea1101_1","ISSN":"10627197","abstract":"The 2001 U.S. Supreme Court Case of Falvo v. Owasso School System (Owasso Independent School District No I-011 v. Falvo) has focused national attention on the common classroom practice of peer-grading. In a unanimous decision the court reaffirmed the popular view that students grading each others' tests is valuable, saving teachers' time and augmenting student learning. Our study puts these presumed benefits to the test in 4 middle school science classrooms. We compared teacher-assigned grades to those awarded either by students to themselves or by their peers. By training students to grade with the help of a scoring rubric, a very high correlation was obtained between students and their teacher on test questions (r = 0.91 to 0.94). We found patterns of bias when students assigned grades. When grading others, students awarded lower grades to the best performing students than their teacher did. When grading themselves, lower performing students tended to inflate their own low scores. Performance on an unannounced, 2nd administration of the same test 1 week later measured the degree to which student-grading resulted in any increased understanding. Students who graded their peers' tests did not gain significantly more than a control group of students who did not correct any papers but simply took the same test again. Those students who corrected their own tests improved dramatically. Self-grading and peer-grading appear to be reasonable aids to saving teachers' time. Self-grading appears to result in increased student learning; peer-grading does not. Copyright © 2006, Lawrence Erlbaum Associates, Inc.","author":[{"dropping-particle":"","family":"Sadler","given":"Philip M.","non-dropping-particle":"","parse-names":false,"suffix":""},{"dropping-particle":"","family":"Good","given":"Eddie","non-dropping-particle":"","parse-names":false,"suffix":""}],"container-title":"Educational Assessment","id":"ITEM-1","issued":{"date-parts":[["2006"]]},"title":"The impact of self- And peer-grading on student learning","type":"article-journal"},"uris":["http://www.mendeley.com/documents/?uuid=cff96b96-a7ca-43cb-8a9d-15017e113589"]}],"mendeley":{"formattedCitation":"[96]","plainTextFormattedCitation":"[96]","previouslyFormattedCitation":"[96]"},"properties":{"noteIndex":0},"schema":"https://github.com/citation-style-language/schema/raw/master/csl-citation.json"}</w:instrText>
      </w:r>
      <w:r w:rsidR="00185708">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[96]</w:t>
      </w:r>
      <w:r w:rsidR="00185708">
        <w:rPr>
          <w:rFonts w:eastAsia="Times New Roman"/>
          <w:color w:val="000000" w:themeColor="text1"/>
          <w:sz w:val="20"/>
          <w:szCs w:val="20"/>
        </w:rPr>
        <w:fldChar w:fldCharType="end"/>
      </w:r>
    </w:p>
    <w:p w14:paraId="27F6D604" w14:textId="6383B809" w:rsidR="00BF0D7D" w:rsidRPr="00CD3C9A" w:rsidRDefault="00BF0D7D" w:rsidP="00CD3C9A">
      <w:pPr>
        <w:spacing w:line="360" w:lineRule="auto"/>
        <w:rPr>
          <w:rFonts w:eastAsia="Times New Roman"/>
          <w:color w:val="000000" w:themeColor="text1"/>
          <w:sz w:val="20"/>
          <w:szCs w:val="20"/>
        </w:rPr>
      </w:pPr>
      <w:r w:rsidRPr="00CD3C9A">
        <w:rPr>
          <w:rFonts w:eastAsia="Times New Roman"/>
          <w:color w:val="000000" w:themeColor="text1"/>
          <w:sz w:val="20"/>
          <w:szCs w:val="20"/>
        </w:rPr>
        <w:t>On</w:t>
      </w:r>
      <w:r w:rsidR="00CD3C9A">
        <w:rPr>
          <w:rFonts w:eastAsia="Times New Roman"/>
          <w:color w:val="000000" w:themeColor="text1"/>
          <w:sz w:val="20"/>
          <w:szCs w:val="20"/>
        </w:rPr>
        <w:t>e</w:t>
      </w:r>
      <w:r w:rsidRPr="00CD3C9A">
        <w:rPr>
          <w:rFonts w:eastAsia="Times New Roman"/>
          <w:color w:val="000000" w:themeColor="text1"/>
          <w:sz w:val="20"/>
          <w:szCs w:val="20"/>
        </w:rPr>
        <w:t xml:space="preserve"> of the authors (CW) </w:t>
      </w:r>
      <w:r w:rsidRPr="00CD3C9A">
        <w:rPr>
          <w:sz w:val="20"/>
          <w:szCs w:val="20"/>
        </w:rPr>
        <w:t>note</w:t>
      </w:r>
      <w:r w:rsidR="00CD3C9A">
        <w:rPr>
          <w:sz w:val="20"/>
          <w:szCs w:val="20"/>
        </w:rPr>
        <w:t>d</w:t>
      </w:r>
      <w:r w:rsidRPr="00CD3C9A">
        <w:rPr>
          <w:sz w:val="20"/>
          <w:szCs w:val="20"/>
        </w:rPr>
        <w:t xml:space="preserve"> that rubrics may be viewed by students as definitive - which they are not - so important aspects of the learning may not be in the rubric, as rubrics cannot be all inclusive, and students fail to learn </w:t>
      </w:r>
      <w:r w:rsidR="00CD3C9A">
        <w:rPr>
          <w:sz w:val="20"/>
          <w:szCs w:val="20"/>
        </w:rPr>
        <w:t>what is not in. the rubric</w:t>
      </w:r>
      <w:r w:rsidRPr="00CD3C9A">
        <w:rPr>
          <w:sz w:val="20"/>
          <w:szCs w:val="20"/>
        </w:rPr>
        <w:t xml:space="preserve">. Rubrics should be a very </w:t>
      </w:r>
      <w:proofErr w:type="gramStart"/>
      <w:r w:rsidRPr="00CD3C9A">
        <w:rPr>
          <w:sz w:val="20"/>
          <w:szCs w:val="20"/>
        </w:rPr>
        <w:t>high level</w:t>
      </w:r>
      <w:proofErr w:type="gramEnd"/>
      <w:r w:rsidRPr="00CD3C9A">
        <w:rPr>
          <w:sz w:val="20"/>
          <w:szCs w:val="20"/>
        </w:rPr>
        <w:t xml:space="preserve"> guide but can be criticised as not providing sufficient </w:t>
      </w:r>
      <w:r w:rsidRPr="001C1B52">
        <w:rPr>
          <w:sz w:val="20"/>
          <w:szCs w:val="20"/>
        </w:rPr>
        <w:t>detail</w:t>
      </w:r>
      <w:r w:rsidR="00CD3C9A" w:rsidRPr="001C1B52">
        <w:rPr>
          <w:sz w:val="20"/>
          <w:szCs w:val="20"/>
        </w:rPr>
        <w:t xml:space="preserve"> (C Woods, personal communication, January 2023).</w:t>
      </w:r>
    </w:p>
    <w:p w14:paraId="1CC5FFDB" w14:textId="181A0D00" w:rsidR="00764C60" w:rsidRPr="00CD3C9A" w:rsidRDefault="00935006" w:rsidP="00CD3C9A">
      <w:pPr>
        <w:spacing w:line="360" w:lineRule="auto"/>
        <w:rPr>
          <w:rFonts w:eastAsia="Times New Roman"/>
          <w:bCs/>
          <w:color w:val="000000" w:themeColor="text1"/>
          <w:sz w:val="20"/>
          <w:szCs w:val="20"/>
        </w:rPr>
      </w:pPr>
      <w:r w:rsidRPr="00CD3C9A">
        <w:rPr>
          <w:rFonts w:eastAsia="Times New Roman"/>
          <w:bCs/>
          <w:color w:val="000000" w:themeColor="text1"/>
          <w:sz w:val="20"/>
          <w:szCs w:val="20"/>
        </w:rPr>
        <w:t xml:space="preserve">The </w:t>
      </w:r>
      <w:r w:rsidR="00BF0D7D" w:rsidRPr="00CD3C9A">
        <w:rPr>
          <w:rFonts w:eastAsia="Times New Roman"/>
          <w:bCs/>
          <w:color w:val="000000" w:themeColor="text1"/>
          <w:sz w:val="20"/>
          <w:szCs w:val="20"/>
        </w:rPr>
        <w:t>b</w:t>
      </w:r>
      <w:r w:rsidR="00764C60" w:rsidRPr="00CD3C9A">
        <w:rPr>
          <w:rFonts w:eastAsia="Times New Roman"/>
          <w:bCs/>
          <w:color w:val="000000" w:themeColor="text1"/>
          <w:sz w:val="20"/>
          <w:szCs w:val="20"/>
        </w:rPr>
        <w:t>enefits of self-assessment</w:t>
      </w:r>
      <w:r w:rsidRPr="00CD3C9A">
        <w:rPr>
          <w:rFonts w:eastAsia="Times New Roman"/>
          <w:bCs/>
          <w:color w:val="000000" w:themeColor="text1"/>
          <w:sz w:val="20"/>
          <w:szCs w:val="20"/>
        </w:rPr>
        <w:t xml:space="preserve"> can be summarised as follows:</w:t>
      </w:r>
    </w:p>
    <w:p w14:paraId="72F541CF" w14:textId="2204C07D" w:rsidR="00764C60" w:rsidRPr="00CD3C9A" w:rsidRDefault="00764C60" w:rsidP="00CD3C9A">
      <w:pPr>
        <w:pStyle w:val="ListParagraph"/>
        <w:numPr>
          <w:ilvl w:val="0"/>
          <w:numId w:val="3"/>
        </w:numPr>
        <w:spacing w:line="360" w:lineRule="auto"/>
        <w:rPr>
          <w:rFonts w:eastAsia="Times New Roman"/>
          <w:color w:val="000000" w:themeColor="text1"/>
          <w:sz w:val="20"/>
          <w:szCs w:val="20"/>
        </w:rPr>
      </w:pPr>
      <w:r w:rsidRPr="00CD3C9A">
        <w:rPr>
          <w:rFonts w:eastAsia="Times New Roman"/>
          <w:color w:val="000000" w:themeColor="text1"/>
          <w:sz w:val="20"/>
          <w:szCs w:val="20"/>
        </w:rPr>
        <w:t xml:space="preserve">Improves learning ability </w:t>
      </w:r>
      <w:r w:rsidR="00697FBB" w:rsidRPr="00CD3C9A">
        <w:rPr>
          <w:rFonts w:eastAsia="Times New Roman"/>
          <w:color w:val="000000" w:themeColor="text1"/>
          <w:sz w:val="20"/>
          <w:szCs w:val="20"/>
        </w:rPr>
        <w:t>becoming</w:t>
      </w:r>
      <w:r w:rsidRPr="00CD3C9A">
        <w:rPr>
          <w:rFonts w:eastAsia="Times New Roman"/>
          <w:color w:val="000000" w:themeColor="text1"/>
          <w:sz w:val="20"/>
          <w:szCs w:val="20"/>
        </w:rPr>
        <w:t xml:space="preserve"> a deep integral lifelong process.</w:t>
      </w:r>
    </w:p>
    <w:p w14:paraId="45EA8674" w14:textId="77777777" w:rsidR="00764C60" w:rsidRPr="00CD3C9A" w:rsidRDefault="00764C60" w:rsidP="00CD3C9A">
      <w:pPr>
        <w:pStyle w:val="ListParagraph"/>
        <w:numPr>
          <w:ilvl w:val="0"/>
          <w:numId w:val="3"/>
        </w:numPr>
        <w:spacing w:line="360" w:lineRule="auto"/>
        <w:rPr>
          <w:rFonts w:eastAsia="Times New Roman"/>
          <w:color w:val="000000" w:themeColor="text1"/>
          <w:sz w:val="20"/>
          <w:szCs w:val="20"/>
        </w:rPr>
      </w:pPr>
      <w:r w:rsidRPr="00CD3C9A">
        <w:rPr>
          <w:rFonts w:eastAsia="Times New Roman"/>
          <w:color w:val="000000" w:themeColor="text1"/>
          <w:sz w:val="20"/>
          <w:szCs w:val="20"/>
        </w:rPr>
        <w:t>Develops a better understanding of the concepts, enhances learners’ autonomy, cognitive and meta-cognitive abilities.</w:t>
      </w:r>
    </w:p>
    <w:p w14:paraId="5134EB7A" w14:textId="5C881414" w:rsidR="00764C60" w:rsidRPr="00CD3C9A" w:rsidRDefault="00764C60" w:rsidP="00CD3C9A">
      <w:pPr>
        <w:pStyle w:val="ListParagraph"/>
        <w:numPr>
          <w:ilvl w:val="0"/>
          <w:numId w:val="3"/>
        </w:numPr>
        <w:spacing w:line="360" w:lineRule="auto"/>
        <w:rPr>
          <w:rFonts w:eastAsia="Times New Roman"/>
          <w:color w:val="000000" w:themeColor="text1"/>
          <w:sz w:val="20"/>
          <w:szCs w:val="20"/>
        </w:rPr>
      </w:pPr>
      <w:r w:rsidRPr="00CD3C9A">
        <w:rPr>
          <w:rFonts w:eastAsia="Times New Roman"/>
          <w:color w:val="000000" w:themeColor="text1"/>
          <w:sz w:val="20"/>
          <w:szCs w:val="20"/>
        </w:rPr>
        <w:t>Learners are involved in the process by making a conscious effort in understanding the assignments/projects rather than passively accepting the</w:t>
      </w:r>
      <w:r w:rsidR="00697FBB" w:rsidRPr="00CD3C9A">
        <w:rPr>
          <w:rFonts w:eastAsia="Times New Roman"/>
          <w:color w:val="000000" w:themeColor="text1"/>
          <w:sz w:val="20"/>
          <w:szCs w:val="20"/>
        </w:rPr>
        <w:t>ir</w:t>
      </w:r>
      <w:r w:rsidRPr="00CD3C9A">
        <w:rPr>
          <w:rFonts w:eastAsia="Times New Roman"/>
          <w:color w:val="000000" w:themeColor="text1"/>
          <w:sz w:val="20"/>
          <w:szCs w:val="20"/>
        </w:rPr>
        <w:t xml:space="preserve"> grades.</w:t>
      </w:r>
    </w:p>
    <w:p w14:paraId="763A9144" w14:textId="77777777" w:rsidR="00764C60" w:rsidRPr="00CD3C9A" w:rsidRDefault="00764C60" w:rsidP="00CD3C9A">
      <w:pPr>
        <w:pStyle w:val="ListParagraph"/>
        <w:numPr>
          <w:ilvl w:val="0"/>
          <w:numId w:val="3"/>
        </w:numPr>
        <w:spacing w:line="360" w:lineRule="auto"/>
        <w:rPr>
          <w:rFonts w:eastAsia="Times New Roman"/>
          <w:color w:val="000000" w:themeColor="text1"/>
          <w:sz w:val="20"/>
          <w:szCs w:val="20"/>
        </w:rPr>
      </w:pPr>
      <w:r w:rsidRPr="00CD3C9A">
        <w:rPr>
          <w:rFonts w:eastAsia="Times New Roman"/>
          <w:color w:val="000000" w:themeColor="text1"/>
          <w:sz w:val="20"/>
          <w:szCs w:val="20"/>
        </w:rPr>
        <w:t>Diminishes learners’ apprehension about the grading process and improves the learner-teacher relationship.</w:t>
      </w:r>
    </w:p>
    <w:p w14:paraId="3FE3D7C3" w14:textId="5C221E04" w:rsidR="00764C60" w:rsidRPr="00CD3C9A" w:rsidRDefault="00764C60" w:rsidP="00CD3C9A">
      <w:pPr>
        <w:pStyle w:val="ListParagraph"/>
        <w:numPr>
          <w:ilvl w:val="0"/>
          <w:numId w:val="3"/>
        </w:numPr>
        <w:spacing w:line="360" w:lineRule="auto"/>
        <w:rPr>
          <w:rFonts w:eastAsia="Times New Roman"/>
          <w:color w:val="000000" w:themeColor="text1"/>
          <w:sz w:val="20"/>
          <w:szCs w:val="20"/>
        </w:rPr>
      </w:pPr>
      <w:r w:rsidRPr="00CD3C9A">
        <w:rPr>
          <w:rFonts w:eastAsia="Times New Roman"/>
          <w:color w:val="000000" w:themeColor="text1"/>
          <w:sz w:val="20"/>
          <w:szCs w:val="20"/>
        </w:rPr>
        <w:t>Aids in personal, cognitive, and conceptual growth along with the development of interpersonal and communication skills.</w:t>
      </w:r>
      <w:r w:rsidR="00185708">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{"citationItems":[{"id":"ITEM-1","itemData":{"URL":"https://www.tcd.ie/academicpractice/Assets/pdf/Academic Practice Resources/Guide to Student Self Assessment.pdf","author":[{"dropping-particle":"","family":"Wride","given":"M","non-dropping-particle":"","parse-names":false,"suffix":""}],"id":"ITEM-1","issued":{"date-parts":[["2017"]]},"publisher":"Academic Practice, University of Dublin Trinity College","publisher-place":"Dublin","title":"Guide to self-assessment","type":"webpage"},"uris":["http://www.mendeley.com/documents/?uuid=e27395b2-ed33-4a06-aff0-66cd6dfed6da"]}],"mendeley":{"formattedCitation":"[97]","plainTextFormattedCitation":"[97]","previouslyFormattedCitation":"[97]"},"properties":{"noteIndex":0},"schema":"https://github.com/citation-style-language/schema/raw/master/csl-citation.json"}</w:instrText>
      </w:r>
      <w:r w:rsidR="00185708">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[97]</w:t>
      </w:r>
      <w:r w:rsidR="00185708">
        <w:rPr>
          <w:rFonts w:eastAsia="Times New Roman"/>
          <w:color w:val="000000" w:themeColor="text1"/>
          <w:sz w:val="20"/>
          <w:szCs w:val="20"/>
        </w:rPr>
        <w:fldChar w:fldCharType="end"/>
      </w:r>
    </w:p>
    <w:p w14:paraId="410A8A65" w14:textId="102A570E" w:rsidR="00764C60" w:rsidRPr="00CD3C9A" w:rsidRDefault="00764C60" w:rsidP="00CD3C9A">
      <w:pPr>
        <w:spacing w:line="360" w:lineRule="auto"/>
        <w:rPr>
          <w:rFonts w:eastAsia="Times New Roman"/>
          <w:color w:val="000000" w:themeColor="text1"/>
          <w:sz w:val="20"/>
          <w:szCs w:val="20"/>
        </w:rPr>
      </w:pPr>
      <w:r w:rsidRPr="00CD3C9A">
        <w:rPr>
          <w:rFonts w:eastAsia="Times New Roman"/>
          <w:color w:val="000000" w:themeColor="text1"/>
          <w:sz w:val="20"/>
          <w:szCs w:val="20"/>
        </w:rPr>
        <w:t xml:space="preserve">Introducing self-assessment as part of the learning curriculum is gaining more importance as concepts </w:t>
      </w:r>
      <w:r w:rsidR="00BF0D7D" w:rsidRPr="00CD3C9A">
        <w:rPr>
          <w:rFonts w:eastAsia="Times New Roman"/>
          <w:color w:val="000000" w:themeColor="text1"/>
          <w:sz w:val="20"/>
          <w:szCs w:val="20"/>
        </w:rPr>
        <w:t xml:space="preserve">such as </w:t>
      </w:r>
      <w:r w:rsidRPr="00CD3C9A">
        <w:rPr>
          <w:rFonts w:eastAsia="Times New Roman"/>
          <w:color w:val="000000" w:themeColor="text1"/>
          <w:sz w:val="20"/>
          <w:szCs w:val="20"/>
        </w:rPr>
        <w:t xml:space="preserve">the Integrated Student Self-Assessment </w:t>
      </w:r>
      <w:r w:rsidR="00BF0D7D" w:rsidRPr="00CD3C9A">
        <w:rPr>
          <w:rFonts w:eastAsia="Times New Roman"/>
          <w:color w:val="000000" w:themeColor="text1"/>
          <w:sz w:val="20"/>
          <w:szCs w:val="20"/>
        </w:rPr>
        <w:t xml:space="preserve">(SSA) </w:t>
      </w:r>
      <w:r w:rsidRPr="00CD3C9A">
        <w:rPr>
          <w:rFonts w:eastAsia="Times New Roman"/>
          <w:color w:val="000000" w:themeColor="text1"/>
          <w:sz w:val="20"/>
          <w:szCs w:val="20"/>
        </w:rPr>
        <w:t>model and Learning Contract Design (LCD) have shown improved cognition.</w:t>
      </w:r>
      <w:r w:rsidR="00820783">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{"citationItems":[{"id":"ITEM-1","itemData":{"DOI":"10.1080/02602938.2012.674484","ISSN":"02602938","abstract":"One of the goals of current education is to ensure that graduates can act as independent lifelong learners. Graduates need to be able to assess their own learning and interpret assessment results. The central question in this article is how to acquire sustainable assessment skills, enabling students to assess their performance and learning throughout life, and preparing them to meet their own future learning needs. This article presents an integrated model for developing sustainable assessment skills, consisting of three components: conditions necessary for the development of sustainable assessment skills, elements of sustainable assessment and instructional methods for guiding students in the development of sustainable assessment skills. The article concludes with suggestions for future research to further develop the proposed model. © 2013 Copyright Taylor and Francis Group, LLC.","author":[{"dropping-particle":"","family":"Fastré","given":"Greet M.J.","non-dropping-particle":"","parse-names":false,"suffix":""},{"dropping-particle":"","family":"Klink","given":"Marcel R.","non-dropping-particle":"van der","parse-names":false,"suffix":""},{"dropping-particle":"","family":"Sluijsmans","given":"Dominique","non-dropping-particle":"","parse-names":false,"suffix":""},{"dropping-particle":"","family":"Merriënboer","given":"Jeroen J.G.","non-dropping-particle":"van","parse-names":false,"suffix":""}],"container-title":"Assessment and Evaluation in Higher Education","id":"ITEM-1","issue":"5","issued":{"date-parts":[["2013"]]},"page":"611-630","title":"Towards an integrated model for developing sustainable assessment skills","type":"article-journal","volume":"38"},"uris":["http://www.mendeley.com/documents/?uuid=d5b7d1c4-9160-3c15-a336-eec5f4a0909d"]}],"mendeley":{"formattedCitation":"[98]","plainTextFormattedCitation":"[98]","previouslyFormattedCitation":"[98]"},"properties":{"noteIndex":0},"schema":"https://github.com/citation-style-language/schema/raw/master/csl-citation.json"}</w:instrText>
      </w:r>
      <w:r w:rsidR="00820783">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[98]</w:t>
      </w:r>
      <w:r w:rsidR="00820783">
        <w:rPr>
          <w:rFonts w:eastAsia="Times New Roman"/>
          <w:color w:val="000000" w:themeColor="text1"/>
          <w:sz w:val="20"/>
          <w:szCs w:val="20"/>
        </w:rPr>
        <w:fldChar w:fldCharType="end"/>
      </w:r>
      <w:r w:rsidR="003B1DA4">
        <w:rPr>
          <w:rFonts w:eastAsia="Times New Roman"/>
          <w:color w:val="000000" w:themeColor="text1"/>
          <w:sz w:val="20"/>
          <w:szCs w:val="20"/>
          <w:vertAlign w:val="superscript"/>
        </w:rPr>
        <w:t xml:space="preserve">    </w:t>
      </w:r>
    </w:p>
    <w:p w14:paraId="14D0D151" w14:textId="7FF9530B" w:rsidR="00764C60" w:rsidRPr="00CD3C9A" w:rsidRDefault="00764C60" w:rsidP="00CD3C9A">
      <w:pPr>
        <w:spacing w:line="360" w:lineRule="auto"/>
        <w:rPr>
          <w:rFonts w:eastAsia="Times New Roman"/>
          <w:color w:val="000000" w:themeColor="text1"/>
          <w:sz w:val="20"/>
          <w:szCs w:val="20"/>
        </w:rPr>
      </w:pPr>
      <w:r w:rsidRPr="00CD3C9A">
        <w:rPr>
          <w:rFonts w:eastAsia="Times New Roman"/>
          <w:color w:val="000000" w:themeColor="text1"/>
          <w:sz w:val="20"/>
          <w:szCs w:val="20"/>
        </w:rPr>
        <w:t>The Integrated SSA model provides learners with score sheets, defined criteria and standardi</w:t>
      </w:r>
      <w:r w:rsidR="00BF0D7D" w:rsidRPr="00CD3C9A">
        <w:rPr>
          <w:rFonts w:eastAsia="Times New Roman"/>
          <w:color w:val="000000" w:themeColor="text1"/>
          <w:sz w:val="20"/>
          <w:szCs w:val="20"/>
        </w:rPr>
        <w:t>s</w:t>
      </w:r>
      <w:r w:rsidRPr="00CD3C9A">
        <w:rPr>
          <w:rFonts w:eastAsia="Times New Roman"/>
          <w:color w:val="000000" w:themeColor="text1"/>
          <w:sz w:val="20"/>
          <w:szCs w:val="20"/>
        </w:rPr>
        <w:t xml:space="preserve">ed guidelines. Once the learner submits the self-graded answer </w:t>
      </w:r>
      <w:r w:rsidR="007B2631" w:rsidRPr="00CD3C9A">
        <w:rPr>
          <w:rFonts w:eastAsia="Times New Roman"/>
          <w:color w:val="000000" w:themeColor="text1"/>
          <w:sz w:val="20"/>
          <w:szCs w:val="20"/>
        </w:rPr>
        <w:t xml:space="preserve">and </w:t>
      </w:r>
      <w:r w:rsidR="00351E6D" w:rsidRPr="00CD3C9A">
        <w:rPr>
          <w:rFonts w:eastAsia="Times New Roman"/>
          <w:color w:val="000000" w:themeColor="text1"/>
          <w:sz w:val="20"/>
          <w:szCs w:val="20"/>
        </w:rPr>
        <w:t>scoresheets,</w:t>
      </w:r>
      <w:r w:rsidRPr="00CD3C9A">
        <w:rPr>
          <w:rFonts w:eastAsia="Times New Roman"/>
          <w:color w:val="000000" w:themeColor="text1"/>
          <w:sz w:val="20"/>
          <w:szCs w:val="20"/>
        </w:rPr>
        <w:t xml:space="preserve"> they are graded by tutors based on the same criteria </w:t>
      </w:r>
      <w:r w:rsidR="00BF0D7D" w:rsidRPr="00CD3C9A">
        <w:rPr>
          <w:rFonts w:eastAsia="Times New Roman"/>
          <w:color w:val="000000" w:themeColor="text1"/>
          <w:sz w:val="20"/>
          <w:szCs w:val="20"/>
        </w:rPr>
        <w:t xml:space="preserve">and </w:t>
      </w:r>
      <w:r w:rsidRPr="00CD3C9A">
        <w:rPr>
          <w:rFonts w:eastAsia="Times New Roman"/>
          <w:color w:val="000000" w:themeColor="text1"/>
          <w:sz w:val="20"/>
          <w:szCs w:val="20"/>
        </w:rPr>
        <w:t>feedback</w:t>
      </w:r>
      <w:r w:rsidR="00BF0D7D" w:rsidRPr="00CD3C9A">
        <w:rPr>
          <w:rFonts w:eastAsia="Times New Roman"/>
          <w:color w:val="000000" w:themeColor="text1"/>
          <w:sz w:val="20"/>
          <w:szCs w:val="20"/>
        </w:rPr>
        <w:t xml:space="preserve"> provided</w:t>
      </w:r>
      <w:r w:rsidRPr="00CD3C9A">
        <w:rPr>
          <w:rFonts w:eastAsia="Times New Roman"/>
          <w:color w:val="000000" w:themeColor="text1"/>
          <w:sz w:val="20"/>
          <w:szCs w:val="20"/>
        </w:rPr>
        <w:t xml:space="preserve">. This is shared with peers for further feedback. After the learner has received feedback from </w:t>
      </w:r>
      <w:r w:rsidR="00BF0D7D" w:rsidRPr="00CD3C9A">
        <w:rPr>
          <w:rFonts w:eastAsia="Times New Roman"/>
          <w:color w:val="000000" w:themeColor="text1"/>
          <w:sz w:val="20"/>
          <w:szCs w:val="20"/>
        </w:rPr>
        <w:t xml:space="preserve">the tutor </w:t>
      </w:r>
      <w:r w:rsidRPr="00CD3C9A">
        <w:rPr>
          <w:rFonts w:eastAsia="Times New Roman"/>
          <w:color w:val="000000" w:themeColor="text1"/>
          <w:sz w:val="20"/>
          <w:szCs w:val="20"/>
        </w:rPr>
        <w:t xml:space="preserve">and </w:t>
      </w:r>
      <w:r w:rsidR="00BF0D7D" w:rsidRPr="00CD3C9A">
        <w:rPr>
          <w:rFonts w:eastAsia="Times New Roman"/>
          <w:color w:val="000000" w:themeColor="text1"/>
          <w:sz w:val="20"/>
          <w:szCs w:val="20"/>
        </w:rPr>
        <w:t>peers</w:t>
      </w:r>
      <w:r w:rsidRPr="00CD3C9A">
        <w:rPr>
          <w:rFonts w:eastAsia="Times New Roman"/>
          <w:color w:val="000000" w:themeColor="text1"/>
          <w:sz w:val="20"/>
          <w:szCs w:val="20"/>
        </w:rPr>
        <w:t xml:space="preserve">, they revisit and re-grade </w:t>
      </w:r>
      <w:r w:rsidR="00697FBB" w:rsidRPr="00CD3C9A">
        <w:rPr>
          <w:rFonts w:eastAsia="Times New Roman"/>
          <w:color w:val="000000" w:themeColor="text1"/>
          <w:sz w:val="20"/>
          <w:szCs w:val="20"/>
        </w:rPr>
        <w:t>themselves</w:t>
      </w:r>
      <w:r w:rsidRPr="00CD3C9A">
        <w:rPr>
          <w:rFonts w:eastAsia="Times New Roman"/>
          <w:color w:val="000000" w:themeColor="text1"/>
          <w:sz w:val="20"/>
          <w:szCs w:val="20"/>
        </w:rPr>
        <w:t>. The advantage of this method is that the learners do not have any grade pressure; they understand their shortfalls and learn through positive criticism</w:t>
      </w:r>
      <w:r w:rsidR="00BF0D7D" w:rsidRPr="00CD3C9A">
        <w:rPr>
          <w:rFonts w:eastAsia="Times New Roman"/>
          <w:color w:val="000000" w:themeColor="text1"/>
          <w:sz w:val="20"/>
          <w:szCs w:val="20"/>
        </w:rPr>
        <w:t>.</w:t>
      </w:r>
      <w:r w:rsidR="00820783">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{"citationItems":[{"id":"ITEM-1","itemData":{"DOI":"10.1080/02602938.2012.674484","ISSN":"02602938","abstract":"One of the goals of current education is to ensure that graduates can act as independent lifelong learners. Graduates need to be able to assess their own learning and interpret assessment results. The central question in this article is how to acquire sustainable assessment skills, enabling students to assess their performance and learning throughout life, and preparing them to meet their own future learning needs. This article presents an integrated model for developing sustainable assessment skills, consisting of three components: conditions necessary for the development of sustainable assessment skills, elements of sustainable assessment and instructional methods for guiding students in the development of sustainable assessment skills. The article concludes with suggestions for future research to further develop the proposed model. © 2013 Copyright Taylor and Francis Group, LLC.","author":[{"dropping-particle":"","family":"Fastré","given":"Greet M.J.","non-dropping-particle":"","parse-names":false,"suffix":""},{"dropping-particle":"","family":"Klink","given":"Marcel R.","non-dropping-particle":"van der","parse-names":false,"suffix":""},{"dropping-particle":"","family":"Sluijsmans","given":"Dominique","non-dropping-particle":"","parse-names":false,"suffix":""},{"dropping-particle":"","family":"Merriënboer","given":"Jeroen J.G.","non-dropping-particle":"van","parse-names":false,"suffix":""}],"container-title":"Assessment and Evaluation in Higher Education","id":"ITEM-1","issue":"5","issued":{"date-parts":[["2013"]]},"page":"611-630","title":"Towards an integrated model for developing sustainable assessment skills","type":"article-journal","volume":"38"},"uris":["http://www.mendeley.com/documents/?uuid=d5b7d1c4-9160-3c15-a336-eec5f4a0909d"]}],"mendeley":{"formattedCitation":"[98]","plainTextFormattedCitation":"[98]","previouslyFormattedCitation":"[98]"},"properties":{"noteIndex":0},"schema":"https://github.com/citation-style-language/schema/raw/master/csl-citation.json"}</w:instrText>
      </w:r>
      <w:r w:rsidR="00820783">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[98]</w:t>
      </w:r>
      <w:r w:rsidR="00820783">
        <w:rPr>
          <w:rFonts w:eastAsia="Times New Roman"/>
          <w:color w:val="000000" w:themeColor="text1"/>
          <w:sz w:val="20"/>
          <w:szCs w:val="20"/>
        </w:rPr>
        <w:fldChar w:fldCharType="end"/>
      </w:r>
    </w:p>
    <w:p w14:paraId="5300847D" w14:textId="44B833C3" w:rsidR="00CD3C9A" w:rsidRPr="00E719F9" w:rsidRDefault="00BF0D7D" w:rsidP="00CD3C9A">
      <w:pPr>
        <w:spacing w:line="360" w:lineRule="auto"/>
        <w:rPr>
          <w:rFonts w:eastAsia="Calibri"/>
          <w:color w:val="000000" w:themeColor="text1"/>
          <w:sz w:val="20"/>
          <w:szCs w:val="20"/>
        </w:rPr>
      </w:pPr>
      <w:r w:rsidRPr="00CD3C9A">
        <w:rPr>
          <w:rFonts w:eastAsia="Times New Roman"/>
          <w:color w:val="000000" w:themeColor="text1"/>
          <w:sz w:val="20"/>
          <w:szCs w:val="20"/>
        </w:rPr>
        <w:t>LCD</w:t>
      </w:r>
      <w:r w:rsidR="00764C60" w:rsidRPr="00CD3C9A">
        <w:rPr>
          <w:rFonts w:eastAsia="Times New Roman"/>
          <w:color w:val="000000" w:themeColor="text1"/>
          <w:sz w:val="20"/>
          <w:szCs w:val="20"/>
        </w:rPr>
        <w:t xml:space="preserve"> is where learners are the primary decision-makers. There are three contributors. Learner, tutor, and learning resources.</w:t>
      </w:r>
      <w:r w:rsidR="001C1B52">
        <w:rPr>
          <w:rFonts w:eastAsia="Times New Roman"/>
          <w:color w:val="000000" w:themeColor="text1"/>
          <w:sz w:val="20"/>
          <w:szCs w:val="20"/>
        </w:rPr>
        <w:t xml:space="preserve"> </w:t>
      </w:r>
      <w:r w:rsidR="00764C60" w:rsidRPr="00CD3C9A">
        <w:rPr>
          <w:rFonts w:eastAsia="Times New Roman"/>
          <w:color w:val="000000" w:themeColor="text1"/>
          <w:sz w:val="20"/>
          <w:szCs w:val="20"/>
        </w:rPr>
        <w:t xml:space="preserve">The learners decide on the assessment tasks, along with an appropriate timeline which is </w:t>
      </w:r>
      <w:r w:rsidRPr="00CD3C9A">
        <w:rPr>
          <w:rFonts w:eastAsia="Times New Roman"/>
          <w:color w:val="000000" w:themeColor="text1"/>
          <w:sz w:val="20"/>
          <w:szCs w:val="20"/>
        </w:rPr>
        <w:t xml:space="preserve">discussed with </w:t>
      </w:r>
      <w:r w:rsidR="00764C60" w:rsidRPr="00CD3C9A">
        <w:rPr>
          <w:rFonts w:eastAsia="Times New Roman"/>
          <w:color w:val="000000" w:themeColor="text1"/>
          <w:sz w:val="20"/>
          <w:szCs w:val="20"/>
        </w:rPr>
        <w:t xml:space="preserve">the tutor. The learner proceeds with the relevant learning resources. </w:t>
      </w:r>
      <w:r w:rsidR="007B2631" w:rsidRPr="00CD3C9A">
        <w:rPr>
          <w:rFonts w:eastAsia="Times New Roman"/>
          <w:color w:val="000000" w:themeColor="text1"/>
          <w:sz w:val="20"/>
          <w:szCs w:val="20"/>
        </w:rPr>
        <w:t>Agreed a</w:t>
      </w:r>
      <w:r w:rsidR="00764C60" w:rsidRPr="00CD3C9A">
        <w:rPr>
          <w:rFonts w:eastAsia="Times New Roman"/>
          <w:color w:val="000000" w:themeColor="text1"/>
          <w:sz w:val="20"/>
          <w:szCs w:val="20"/>
        </w:rPr>
        <w:t xml:space="preserve">ppropriate criteria are </w:t>
      </w:r>
      <w:r w:rsidR="007B2631" w:rsidRPr="00CD3C9A">
        <w:rPr>
          <w:rFonts w:eastAsia="Times New Roman"/>
          <w:color w:val="000000" w:themeColor="text1"/>
          <w:sz w:val="20"/>
          <w:szCs w:val="20"/>
        </w:rPr>
        <w:t>used</w:t>
      </w:r>
      <w:r w:rsidR="00764C60" w:rsidRPr="00CD3C9A">
        <w:rPr>
          <w:rFonts w:eastAsia="Times New Roman"/>
          <w:color w:val="000000" w:themeColor="text1"/>
          <w:sz w:val="20"/>
          <w:szCs w:val="20"/>
        </w:rPr>
        <w:t xml:space="preserve"> and the learner conducts regular self-assessment as per the</w:t>
      </w:r>
      <w:r w:rsidR="007B2631" w:rsidRPr="00CD3C9A">
        <w:rPr>
          <w:rFonts w:eastAsia="Times New Roman"/>
          <w:color w:val="000000" w:themeColor="text1"/>
          <w:sz w:val="20"/>
          <w:szCs w:val="20"/>
        </w:rPr>
        <w:t>se</w:t>
      </w:r>
      <w:r w:rsidR="00764C60" w:rsidRPr="00CD3C9A">
        <w:rPr>
          <w:rFonts w:eastAsia="Times New Roman"/>
          <w:color w:val="000000" w:themeColor="text1"/>
          <w:sz w:val="20"/>
          <w:szCs w:val="20"/>
        </w:rPr>
        <w:t xml:space="preserve"> criteria. After submission of the final assignment, the tutor grades the work.</w:t>
      </w:r>
      <w:r w:rsidR="00416060">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{"citationItems":[{"id":"ITEM-1","itemData":{"DOI":"10.5539/ies.v8n1p1","ISSN":"19139039","abstract":"Avant-garde educational systems are striving to find lifelong learning methods. Different fields and majors have tested a variety of proposed models and found varying difficulties and strengths. Architecture is one of the most critical areas of education because of its special characteristics, such as learning by doing and complicated evaluation and assessment methods. A learning contract is an alternative way to track students' progress and evaluate their achievements while serving as an agreement on learning goals. Results from studies in other fields have confirmed the positive impact of learning contract on students' learning needs, confidence, and motivation, and thus prompting us to implement this model in architectural design studio. In an implemented contract with the studio, students were asked to use the existing possibility of a contract to perform self-assessment, examine their progress, and identify whether the learning contracts were deficient or whether they would like to continue developing more expertise by using same method. Results show the students' positive feedback on the use of learning contract and how it accommodates their individual learning needs.","author":[{"dropping-particle":"","family":"Hassanpour","given":"B.","non-dropping-particle":"","parse-names":false,"suffix":""},{"dropping-particle":"","family":"Che-Ani","given":"A. I.","non-dropping-particle":"","parse-names":false,"suffix":""},{"dropping-particle":"","family":"Usman","given":"I. M.S.","non-dropping-particle":"","parse-names":false,"suffix":""},{"dropping-particle":"","family":"Johar","given":"S.","non-dropping-particle":"","parse-names":false,"suffix":""},{"dropping-particle":"","family":"Tawil","given":"N. M.","non-dropping-particle":"","parse-names":false,"suffix":""}],"container-title":"International Education Studies","id":"ITEM-1","issue":"1","issued":{"date-parts":[["2015"]]},"page":"1-8","title":"Lifelong learning in architectural design studio: The learning contract approach","type":"article-journal","volume":"8"},"uris":["http://www.mendeley.com/documents/?uuid=9b4b1b77-6d51-3668-bfe9-62d1bb2c65d8"]}],"mendeley":{"formattedCitation":"[99]","plainTextFormattedCitation":"[99]","previouslyFormattedCitation":"[99]"},"properties":{"noteIndex":0},"schema":"https://github.com/citation-style-language/schema/raw/master/csl-citation.json"}</w:instrText>
      </w:r>
      <w:r w:rsidR="00416060">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[99]</w:t>
      </w:r>
      <w:r w:rsidR="00416060">
        <w:rPr>
          <w:rFonts w:eastAsia="Times New Roman"/>
          <w:color w:val="000000" w:themeColor="text1"/>
          <w:sz w:val="20"/>
          <w:szCs w:val="20"/>
        </w:rPr>
        <w:fldChar w:fldCharType="end"/>
      </w:r>
      <w:r w:rsidR="00764C60" w:rsidRPr="00CD3C9A">
        <w:rPr>
          <w:rFonts w:eastAsia="Times New Roman"/>
          <w:color w:val="000000" w:themeColor="text1"/>
          <w:sz w:val="20"/>
          <w:szCs w:val="20"/>
        </w:rPr>
        <w:t xml:space="preserve"> </w:t>
      </w:r>
      <w:r w:rsidRPr="00CD3C9A">
        <w:rPr>
          <w:rFonts w:eastAsia="Times New Roman"/>
          <w:color w:val="000000" w:themeColor="text1"/>
          <w:sz w:val="20"/>
          <w:szCs w:val="20"/>
        </w:rPr>
        <w:t xml:space="preserve">A </w:t>
      </w:r>
      <w:r w:rsidR="00764C60" w:rsidRPr="00CD3C9A">
        <w:rPr>
          <w:rFonts w:eastAsia="Times New Roman"/>
          <w:color w:val="000000" w:themeColor="text1"/>
          <w:sz w:val="20"/>
          <w:szCs w:val="20"/>
        </w:rPr>
        <w:t>study carried out among final year nursing students revealed that the factors which influenced successful completion were appropriate skills, an understanding of theoretical knowledge, and support from tutors. Three types of learners were identified; happy, pragmatic, and fearful, and the outcome was successful learners with a good holistic approach to learning.</w:t>
      </w:r>
      <w:r w:rsidR="00416060">
        <w:rPr>
          <w:rFonts w:eastAsia="Times New Roman"/>
          <w:color w:val="000000" w:themeColor="text1"/>
          <w:sz w:val="20"/>
          <w:szCs w:val="20"/>
        </w:rPr>
        <w:fldChar w:fldCharType="begin" w:fldLock="1"/>
      </w:r>
      <w:r w:rsidR="00351E6D">
        <w:rPr>
          <w:rFonts w:eastAsia="Times New Roman"/>
          <w:color w:val="000000" w:themeColor="text1"/>
          <w:sz w:val="20"/>
          <w:szCs w:val="20"/>
        </w:rPr>
        <w:instrText>ADDIN CSL_CITATION {"citationItems":[{"id":"ITEM-1","itemData":{"DOI":"10.1016/j.nedt.2009.03.012","ISSN":"02606917","PMID":"19428160","abstract":"The purpose of this study was to describe final year undergraduate nurses' experiences of assessment through the use of a learning contract. Using a qualitative descriptive design, data was collected from a purposive sample of final (fourth) year undergraduate student nurses. Two approaches were taken for data collection, anonymous evaluative questionnaires and interviews. The study was approved by the local university research and ethics committee. Data was thematically analysed. This article presents and discusses the findings from the interviews. Findings suggest that students' approach to the assessment strategy influenced engagement with the learning contract. Three themes were identified: skills, perceptions, and actions. Within these themes three types of learner were identified: happy, pragmatic and fearful. Factors found to influence successful completion of the learning contract were: support, relevant skills, prior experiential learning and required theoretical knowledge. Recommendations include the need for educators to consider module assessments that recognise the learning needs and preferences of the student within a supportive environment. © 2009 Elsevier Ltd. All rights reserved.","author":[{"dropping-particle":"","family":"Bailey","given":"Maria E.","non-dropping-particle":"","parse-names":false,"suffix":""},{"dropping-particle":"","family":"Tuohy","given":"Dympna","non-dropping-particle":"","parse-names":false,"suffix":""}],"container-title":"Nurse Education Today","id":"ITEM-1","issue":"7","issued":{"date-parts":[["2009"]]},"page":"758-762","title":"Student nurses' experiences of using a learning contract as a method of assessment","type":"article-journal","volume":"29"},"uris":["http://www.mendeley.com/documents/?uuid=9991a4bf-92b2-354a-9e0d-0458e06c5302"]}],"mendeley":{"formattedCitation":"[100]","plainTextFormattedCitation":"[100]","previouslyFormattedCitation":"[100]"},"properties":{"noteIndex":0},"schema":"https://github.com/citation-style-language/schema/raw/master/csl-citation.json"}</w:instrText>
      </w:r>
      <w:r w:rsidR="00416060">
        <w:rPr>
          <w:rFonts w:eastAsia="Times New Roman"/>
          <w:color w:val="000000" w:themeColor="text1"/>
          <w:sz w:val="20"/>
          <w:szCs w:val="20"/>
        </w:rPr>
        <w:fldChar w:fldCharType="separate"/>
      </w:r>
      <w:r w:rsidR="00444200" w:rsidRPr="00444200">
        <w:rPr>
          <w:rFonts w:eastAsia="Times New Roman"/>
          <w:noProof/>
          <w:color w:val="000000" w:themeColor="text1"/>
          <w:sz w:val="20"/>
          <w:szCs w:val="20"/>
        </w:rPr>
        <w:t>[100]</w:t>
      </w:r>
      <w:r w:rsidR="00416060">
        <w:rPr>
          <w:rFonts w:eastAsia="Times New Roman"/>
          <w:color w:val="000000" w:themeColor="text1"/>
          <w:sz w:val="20"/>
          <w:szCs w:val="20"/>
        </w:rPr>
        <w:fldChar w:fldCharType="end"/>
      </w:r>
      <w:r w:rsidR="00CD3C9A">
        <w:rPr>
          <w:rFonts w:eastAsia="Times New Roman"/>
          <w:color w:val="000000" w:themeColor="text1"/>
          <w:sz w:val="20"/>
          <w:szCs w:val="20"/>
        </w:rPr>
        <w:t xml:space="preserve"> </w:t>
      </w:r>
      <w:r w:rsidR="00CD3C9A">
        <w:rPr>
          <w:color w:val="222222"/>
          <w:sz w:val="20"/>
          <w:szCs w:val="20"/>
          <w:shd w:val="clear" w:color="auto" w:fill="FFFFFF"/>
        </w:rPr>
        <w:t xml:space="preserve">Self-assessments </w:t>
      </w:r>
      <w:r w:rsidR="00CD3C9A" w:rsidRPr="00CD3C9A">
        <w:rPr>
          <w:color w:val="222222"/>
          <w:sz w:val="20"/>
          <w:szCs w:val="20"/>
          <w:shd w:val="clear" w:color="auto" w:fill="FFFFFF"/>
        </w:rPr>
        <w:t>lack an evidence base in the realm of CLE.</w:t>
      </w:r>
    </w:p>
    <w:p w14:paraId="2C8A85BD" w14:textId="77777777" w:rsidR="008E7843" w:rsidRPr="00F8338D" w:rsidRDefault="008E7843" w:rsidP="00CD3C9A">
      <w:pPr>
        <w:spacing w:line="360" w:lineRule="auto"/>
        <w:rPr>
          <w:rFonts w:eastAsia="Times New Roman"/>
          <w:bCs/>
          <w:color w:val="000000" w:themeColor="text1"/>
          <w:sz w:val="20"/>
          <w:szCs w:val="20"/>
        </w:rPr>
      </w:pPr>
    </w:p>
    <w:p w14:paraId="55621EC4" w14:textId="613C8884" w:rsidR="00764C60" w:rsidRPr="00CD3C9A" w:rsidRDefault="00BF0D7D" w:rsidP="00CD3C9A">
      <w:pPr>
        <w:pStyle w:val="Heading3"/>
        <w:spacing w:before="0" w:after="0" w:line="360" w:lineRule="auto"/>
        <w:rPr>
          <w:color w:val="000000" w:themeColor="text1"/>
          <w:sz w:val="20"/>
          <w:szCs w:val="20"/>
          <w:u w:val="single"/>
          <w:lang w:val="en-US"/>
        </w:rPr>
      </w:pPr>
      <w:r w:rsidRPr="00CD3C9A">
        <w:rPr>
          <w:color w:val="000000" w:themeColor="text1"/>
          <w:sz w:val="20"/>
          <w:szCs w:val="20"/>
          <w:u w:val="single"/>
        </w:rPr>
        <w:t>F</w:t>
      </w:r>
      <w:r w:rsidR="00764C60" w:rsidRPr="00CD3C9A">
        <w:rPr>
          <w:color w:val="000000" w:themeColor="text1"/>
          <w:sz w:val="20"/>
          <w:szCs w:val="20"/>
          <w:u w:val="single"/>
        </w:rPr>
        <w:t>o</w:t>
      </w:r>
      <w:r w:rsidR="00935006" w:rsidRPr="00CD3C9A">
        <w:rPr>
          <w:color w:val="000000" w:themeColor="text1"/>
          <w:sz w:val="20"/>
          <w:szCs w:val="20"/>
          <w:u w:val="single"/>
        </w:rPr>
        <w:t>r</w:t>
      </w:r>
      <w:r w:rsidR="00764C60" w:rsidRPr="00CD3C9A">
        <w:rPr>
          <w:color w:val="000000" w:themeColor="text1"/>
          <w:sz w:val="20"/>
          <w:szCs w:val="20"/>
          <w:u w:val="single"/>
        </w:rPr>
        <w:t>mative</w:t>
      </w:r>
      <w:r w:rsidR="00764C60" w:rsidRPr="00CD3C9A">
        <w:rPr>
          <w:color w:val="000000" w:themeColor="text1"/>
          <w:sz w:val="20"/>
          <w:szCs w:val="20"/>
          <w:u w:val="single"/>
          <w:lang w:val="en-US"/>
        </w:rPr>
        <w:t xml:space="preserve"> and summative assessment</w:t>
      </w:r>
    </w:p>
    <w:p w14:paraId="2A61D3FD" w14:textId="1B9CE096" w:rsidR="00935006" w:rsidRPr="00CD3C9A" w:rsidRDefault="00764C60" w:rsidP="00CD3C9A">
      <w:pPr>
        <w:spacing w:line="360" w:lineRule="auto"/>
        <w:rPr>
          <w:color w:val="000000" w:themeColor="text1"/>
          <w:sz w:val="20"/>
          <w:szCs w:val="20"/>
          <w:lang w:val="en-US"/>
        </w:rPr>
      </w:pPr>
      <w:r w:rsidRPr="00CD3C9A">
        <w:rPr>
          <w:color w:val="000000" w:themeColor="text1"/>
          <w:sz w:val="20"/>
          <w:szCs w:val="20"/>
          <w:lang w:val="en-US"/>
        </w:rPr>
        <w:t xml:space="preserve">It is important to </w:t>
      </w:r>
      <w:r w:rsidRPr="00CD3C9A">
        <w:rPr>
          <w:color w:val="000000" w:themeColor="text1"/>
          <w:sz w:val="20"/>
          <w:szCs w:val="20"/>
        </w:rPr>
        <w:t>maximise</w:t>
      </w:r>
      <w:r w:rsidRPr="00CD3C9A">
        <w:rPr>
          <w:color w:val="000000" w:themeColor="text1"/>
          <w:sz w:val="20"/>
          <w:szCs w:val="20"/>
          <w:lang w:val="en-US"/>
        </w:rPr>
        <w:t xml:space="preserve"> the efficacy of learning in educational institutions. Stimulating learners and increasing motivation to study is an effective way to enhance learning efficacy. Formative and summative assessment have proven to be valuable in this respect</w:t>
      </w:r>
      <w:r w:rsidR="00C92814">
        <w:rPr>
          <w:color w:val="000000" w:themeColor="text1"/>
          <w:sz w:val="20"/>
          <w:szCs w:val="20"/>
          <w:lang w:val="en-US"/>
        </w:rPr>
        <w:t>.</w:t>
      </w:r>
      <w:r w:rsidR="00C92814">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{"citationItems":[{"id":"ITEM-1","itemData":{"DOI":"10.1080/01421590701881699","ISSN":"0142159X","PMID":"18464136","abstract":"Review date: Literature search January 1990 to February 2005 (with update February 2006). Analysis completed January 2007. Background: Health professionals are increasingly expected to identify their own learning needs through a process of ongoing self-assessment. Self-assessment is integral to many appraisal systems and has been espoused as an important aspect of personal professional behaviour by several regulatory bodies and those developing learning outcomes for clinical students. In this review we considered the evidence base on self-assessment since Gordon's comprehensive review in 1991. The overall aim of the present review was to determine whether specific methods of self-assessment lead to change in learning behaviour or clinical practice. Specific objectives sought evidence for effectiveness of self-assessment interventions to: a. improve perception of learning needs; b. promote change in learning activity; c. improve clinical practice; d. improve patient outcomes. Methods: The methods for this review were developed and refined in a series of workshops with input from an expert BEME systematic reviewer, and followed BEME guidance. Databases searched included Medline, CINAHL, BNI, Embase, EBM Collection, Psychlit, HMIC, ERIC, BEI, TIMElit and RDRB. Papers addressing self-assessment in all professions in clinical practice were included, covering under- and post-graduate education, with outcomes classified using an extended version of Kirkpatrick's hierarchy. In addition we included outcome measures of accuracy of self-assessment and factors influencing it. 5,798 papers were retrieved, 194 abstracts were identified as potentially relevant and 103 papers coded independently by pairs using an electronic coding sheet adapted from the standard BEME form. This total included 12 papers identified by hand-searches, grey literature, cited references and updating. The identification of a further 12 papers during the writing-up process resulted in a total of 77 papers for final analysis. Results: Although a large number of papers resulted from our original search only a small proportion of these were of sufficient academic rigour to be included in our review. The majority of these focused on judging the accuracy of self-assessment against some external standard, which raises questions about assumed reliability and validity of this 'gold standard'. No papers were found which satisfied Kirkpatrick's hierarchy above level 2, or which looked at the association…","author":[{"dropping-particle":"","family":"Colthart","given":"Iain","non-dropping-particle":"","parse-names":false,"suffix":""},{"dropping-particle":"","family":"Bagnall","given":"Gellisse","non-dropping-particle":"","parse-names":false,"suffix":""},{"dropping-particle":"","family":"Evans","given":"Alison","non-dropping-particle":"","parse-names":false,"suffix":""},{"dropping-particle":"","family":"Allbutt","given":"Helen","non-dropping-particle":"","parse-names":false,"suffix":""},{"dropping-particle":"","family":"Haig","given":"Alex","non-dropping-particle":"","parse-names":false,"suffix":""},{"dropping-particle":"","family":"Illing","given":"Jan","non-dropping-particle":"","parse-names":false,"suffix":""},{"dropping-particle":"","family":"McKinstry","given":"Brian","non-dropping-particle":"","parse-names":false,"suffix":""}],"container-title":"Medical Teacher","id":"ITEM-1","issue":"2","issued":{"date-parts":[["2008"]]},"page":"124-145","title":"The effectiveness of self-assessment on the identification of learner needs, learner activity, and impact on clinical practice: BEME Guide no. 10","type":"article","volume":"30"},"uris":["http://www.mendeley.com/documents/?uuid=107c7dee-4672-3c79-be33-13fd6efc0c2b"]},{"id":"ITEM-2","itemData":{"DOI":"10.1111/j.1365-2923.2008.03124.x","ISSN":"03080110","abstract":"Context: In education, tests are primarily used for assessment, thus permitting teachers to assess the efficacy of their curriculum and to assign grades. However, research in cognitive psychology has shown that tests can also directly affect learning by promoting better retention of information, a phenomenon known as the testing effect. Cognitive psychology research: Cognitive psychology laboratory studies show that repeated testing of information produces superior retention relative to repeated study, especially when testing is spaced out over time. Tests that require effortful retrieval of information, such as short-answer tests, promote better retention than tests that require recognition, such as multiple-choice tests. The mnemonic benefits of testing are further enhanced by feedback, which helps students to correct errors and confirm correct answers. Application to medical education: Medical educational research has focused extensively on assessment issues. Such assessment research permits the conclusion that clinical expertise is founded on a broad fund of knowledge and effective memory networks that allow easy access to that knowledge. Test-enhanced learning can potentially strengthen clinical knowledge that will lead to improved expertise. Conclusions: Tests should be given often and spaced out in time to promote better retention of information. Questions that require effortful recall produce the greatest gains in memory. Feedback is crucial to learning from tests. Test-enhanced learning may be an effective tool for medical educators to use in promoting retention of clinical knowledge. © Blackwell Publishing Ltd 2008.","author":[{"dropping-particle":"","family":"Larsen","given":"Douglas P.","non-dropping-particle":"","parse-names":false,"suffix":""},{"dropping-particle":"","family":"Butler","given":"Andrew C.","non-dropping-particle":"","parse-names":false,"suffix":""},{"dropping-particle":"","family":"Roediger","given":"Henry L.","non-dropping-particle":"","parse-names":false,"suffix":""}],"container-title":"Medical Education","id":"ITEM-2","issue":"10","issued":{"date-parts":[["2008"]]},"page":"959-966","title":"Test-enhanced learning in medical education","type":"article","volume":"42"},"uris":["http://www.mendeley.com/documents/?uuid=e4e7c17b-4f0d-377d-b29e-229ba0c52c48"]},{"id":"ITEM-3","itemData":{"DOI":"10.1080/17439880802324178","ISSN":"17439884","abstract":"Research into student experiences of e-assessment has been neglected. Students' expectations and perceptions of e-assessment have been under-researched and their learning strategies are often unclear. This paper reports a qualitative study which investigated student expectations and perceptions of formative e-assessment. Screen-capture software was utilised to record students' on-task actions during completion of a formative e-assessment. The captured interaction was subsequently used to stimulate recall in post-assessment interviews. Participants discussed the thinking underpinning their approach to different question types, reflected on strategies employed during completion of their assessments and described in detail any difficulties encountered. Interpretative phenomenological analysis identified seven major themes. These provided an insight into the way students approach formative e-assessment tasks, the techniques they employ, issues associated with assessment design, and the provision and quality of feedback. Implications for future research and professional action to enhance the effectiveness of formative assessment were outlined.","author":[{"dropping-particle":"","family":"Walker","given":"David J.","non-dropping-particle":"","parse-names":false,"suffix":""},{"dropping-particle":"","family":"Topping","given":"Keith","non-dropping-particle":"","parse-names":false,"suffix":""},{"dropping-particle":"","family":"Rodrigues","given":"Susan","non-dropping-particle":"","parse-names":false,"suffix":""}],"container-title":"Learning, Media and Technology","id":"ITEM-3","issue":"3","issued":{"date-parts":[["2008"]]},"page":"221-234","title":"Student reflections on formative e-assessment: Expectations and perceptions","type":"article-journal","volume":"33"},"uris":["http://www.mendeley.com/documents/?uuid=37335c5a-1e31-3cb1-8e56-2aad6316dc02"]},{"id":"ITEM-4","itemData":{"DOI":"10.3109/0142159X.2011.565828","ISSN":"0142159X","PMID":"21609177","abstract":"In assessment a considerable shift in thinking has occurred from assessment of learning to assessment for learning. This has important implications for the conceptual framework from which to approach the issue of assessment, but also with respect to the research agenda. The main conceptual changes pertain to programmes of assessment. This has led to a broadened perspective on the types of construct assessment tries to capture, the way information from various sources is collected and collated, the role of human judgement and the variety of psychometric methods to determine the quality of the assessment. Research into the quality of assessment programmes, how assessment influences learning and teaching, new psychometric models and the role of human judgement is much needed. © 2011 Informa UK Ltd All rights reserved: reproduction in whole or part not permitted.","author":[{"dropping-particle":"","family":"Schuwirth","given":"Lambert W.T.","non-dropping-particle":"","parse-names":false,"suffix":""},{"dropping-particle":"","family":"Vleuten","given":"Cees P.M.","non-dropping-particle":"Van Der","parse-names":false,"suffix":""}],"container-title":"Medical Teacher","id":"ITEM-4","issue":"6","issued":{"date-parts":[["2011"]]},"page":"478-485","title":"Programmatic assessment: From assessment of learning to assessment for learning","type":"article-journal","volume":"33"},"uris":["http://www.mendeley.com/documents/?uuid=8cef7f39-a7c4-349c-97e8-53b5b114703c"]}],"mendeley":{"formattedCitation":"[101–104]","plainTextFormattedCitation":"[101–104]","previouslyFormattedCitation":"[101–104]"},"properties":{"noteIndex":0},"schema":"https://github.com/citation-style-language/schema/raw/master/csl-citation.json"}</w:instrText>
      </w:r>
      <w:r w:rsidR="00C92814">
        <w:rPr>
          <w:color w:val="000000" w:themeColor="text1"/>
          <w:sz w:val="20"/>
          <w:szCs w:val="20"/>
          <w:lang w:val="en-US"/>
        </w:rPr>
        <w:fldChar w:fldCharType="separate"/>
      </w:r>
      <w:r w:rsidR="00444200" w:rsidRPr="00444200">
        <w:rPr>
          <w:noProof/>
          <w:color w:val="000000" w:themeColor="text1"/>
          <w:sz w:val="20"/>
          <w:szCs w:val="20"/>
          <w:lang w:val="en-US"/>
        </w:rPr>
        <w:t>[101–104]</w:t>
      </w:r>
      <w:r w:rsidR="00C92814">
        <w:rPr>
          <w:color w:val="000000" w:themeColor="text1"/>
          <w:sz w:val="20"/>
          <w:szCs w:val="20"/>
          <w:lang w:val="en-US"/>
        </w:rPr>
        <w:fldChar w:fldCharType="end"/>
      </w:r>
      <w:r w:rsidR="00DB67E9">
        <w:rPr>
          <w:color w:val="000000" w:themeColor="text1"/>
          <w:sz w:val="20"/>
          <w:szCs w:val="20"/>
          <w:lang w:val="en-US"/>
        </w:rPr>
        <w:t xml:space="preserve"> </w:t>
      </w:r>
    </w:p>
    <w:p w14:paraId="1921E525" w14:textId="1644A86E" w:rsidR="00764C60" w:rsidRPr="00CD3C9A" w:rsidRDefault="00764C60" w:rsidP="00CD3C9A">
      <w:pPr>
        <w:spacing w:line="360" w:lineRule="auto"/>
        <w:rPr>
          <w:color w:val="000000" w:themeColor="text1"/>
          <w:sz w:val="20"/>
          <w:szCs w:val="20"/>
          <w:lang w:val="en-US"/>
        </w:rPr>
      </w:pPr>
      <w:r w:rsidRPr="00CD3C9A">
        <w:rPr>
          <w:color w:val="000000" w:themeColor="text1"/>
          <w:sz w:val="20"/>
          <w:szCs w:val="20"/>
          <w:lang w:val="en-US"/>
        </w:rPr>
        <w:lastRenderedPageBreak/>
        <w:t>Formative assessment determines progression during the course</w:t>
      </w:r>
      <w:r w:rsidR="00C92814">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author":[{"dropping-particle":"","family":"Billings","given":"DM","non-dropping-particle":"","parse-names":false,"suffix":""},{"dropping-particle":"","family":"Halstead","given":"JA","non-dropping-particle":"","parse-names":false,"suffix":""}],"edition":"4th","editor":[{"dropping-particle":"","family":"Elsevier","given":"","non-dropping-particle":"","parse-names":false,"suffix":""}],"id":"ITEM-1","issued":{"date-parts":[["2012"]]},"publisher-place":"St. Louis","title":"Teaching in nursing: a guide for faculty","type":"book"},"uris":["http://www.mendeley.com/documents/?uuid=fbee8fed-4539-4295-9f1c-38cdeeebb154"]}],"mendeley":{"formattedCitation":"[105]","plainTextFormattedCitation":"[105]","previouslyFormattedCitation":"[105]"},"properties":{"noteIndex":0},"schema":"https://github.com/citation-style-language/schema/raw/master/csl-citation.json"}</w:instrText>
      </w:r>
      <w:r w:rsidR="00C92814">
        <w:rPr>
          <w:color w:val="000000" w:themeColor="text1"/>
          <w:sz w:val="20"/>
          <w:szCs w:val="20"/>
          <w:lang w:val="en-US"/>
        </w:rPr>
        <w:fldChar w:fldCharType="separate"/>
      </w:r>
      <w:r w:rsidR="00444200" w:rsidRPr="00444200">
        <w:rPr>
          <w:noProof/>
          <w:color w:val="000000" w:themeColor="text1"/>
          <w:sz w:val="20"/>
          <w:szCs w:val="20"/>
          <w:lang w:val="en-US"/>
        </w:rPr>
        <w:t>[105]</w:t>
      </w:r>
      <w:r w:rsidR="00C92814">
        <w:rPr>
          <w:color w:val="000000" w:themeColor="text1"/>
          <w:sz w:val="20"/>
          <w:szCs w:val="20"/>
          <w:lang w:val="en-US"/>
        </w:rPr>
        <w:fldChar w:fldCharType="end"/>
      </w:r>
      <w:r w:rsidRPr="00CD3C9A">
        <w:rPr>
          <w:color w:val="000000" w:themeColor="text1"/>
          <w:sz w:val="20"/>
          <w:szCs w:val="20"/>
          <w:lang w:val="en-US"/>
        </w:rPr>
        <w:t xml:space="preserve"> and helps educators to identify and improve deficient areas</w:t>
      </w:r>
      <w:r w:rsidR="00C92814">
        <w:rPr>
          <w:color w:val="000000" w:themeColor="text1"/>
          <w:sz w:val="20"/>
          <w:szCs w:val="20"/>
          <w:lang w:val="en-US"/>
        </w:rPr>
        <w:t xml:space="preserve">. </w:t>
      </w:r>
      <w:r w:rsidR="00C92814">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{"citationItems":[{"id":"ITEM-1","itemData":{"DOI":"10.1111/j.1745-3992.2009.00150.x","ISSN":"07311745","abstract":"Assessments labeled as formative have been offered as a means to improve student achievement. But labels can be a powerful way to miscommunicate. For an assessment use to be appropriately labeled \"formative,\" both empirical evidence and reasoned arguments must be offered to support the claim that improvements in student achievement can be linked to the use of assessment information. Our goal in this article is to support the construction of such an argument by offering a framework within which to consider evidence-based claims that assessment information can be used to improve student achievement. We describe this framework and then illustrate its use with an example of one-on-one tutoring. Finally, we explore the framework's implications for understanding when the use of assessment information is likely to improve student achievement and for advising test developers on how to develop assessments that are intended to offer information that can be used to improve student achievement. © 2009 by the National Council on Measurement in Education.","author":[{"dropping-particle":"","family":"Nichols","given":"Paul D.","non-dropping-particle":"","parse-names":false,"suffix":""},{"dropping-particle":"","family":"Meyers","given":"Jason L.","non-dropping-particle":"","parse-names":false,"suffix":""},{"dropping-particle":"","family":"Burling","given":"Kelly S.","non-dropping-particle":"","parse-names":false,"suffix":""}],"container-title":"Educational Measurement: Issues and Practice","id":"ITEM-1","issue":"3","issued":{"date-parts":[["2009"]]},"page":"14-23","title":"A framework for evaluating and planning assessments intended to improve student achievement","type":"article-journal","volume":"28"},"uris":["http://www.mendeley.com/documents/?uuid=9fa3b6f6-6219-381d-aa42-b540c7847794"]}],"mendeley":{"formattedCitation":"[106]","plainTextFormattedCitation":"[106]","previouslyFormattedCitation":"[106]"},"properties":{"noteIndex":0},"schema":"https://github.com/citation-style-language/schema/raw/master/csl-citation.json"}</w:instrText>
      </w:r>
      <w:r w:rsidR="00C92814">
        <w:rPr>
          <w:color w:val="000000" w:themeColor="text1"/>
          <w:sz w:val="20"/>
          <w:szCs w:val="20"/>
          <w:lang w:val="en-US"/>
        </w:rPr>
        <w:fldChar w:fldCharType="separate"/>
      </w:r>
      <w:r w:rsidR="00444200" w:rsidRPr="00444200">
        <w:rPr>
          <w:noProof/>
          <w:color w:val="000000" w:themeColor="text1"/>
          <w:sz w:val="20"/>
          <w:szCs w:val="20"/>
          <w:lang w:val="en-US"/>
        </w:rPr>
        <w:t>[106]</w:t>
      </w:r>
      <w:r w:rsidR="00C92814">
        <w:rPr>
          <w:color w:val="000000" w:themeColor="text1"/>
          <w:sz w:val="20"/>
          <w:szCs w:val="20"/>
          <w:lang w:val="en-US"/>
        </w:rPr>
        <w:fldChar w:fldCharType="end"/>
      </w:r>
      <w:r w:rsidRPr="00CD3C9A">
        <w:rPr>
          <w:color w:val="000000" w:themeColor="text1"/>
          <w:sz w:val="20"/>
          <w:szCs w:val="20"/>
          <w:lang w:val="en-US"/>
        </w:rPr>
        <w:t xml:space="preserve"> </w:t>
      </w:r>
      <w:r w:rsidRPr="00CD3C9A">
        <w:rPr>
          <w:color w:val="000000" w:themeColor="text1"/>
          <w:sz w:val="20"/>
          <w:szCs w:val="20"/>
        </w:rPr>
        <w:t>Instructors can monitor</w:t>
      </w:r>
      <w:r w:rsidRPr="00CD3C9A">
        <w:rPr>
          <w:color w:val="000000" w:themeColor="text1"/>
          <w:sz w:val="20"/>
          <w:szCs w:val="20"/>
          <w:u w:val="single"/>
        </w:rPr>
        <w:t xml:space="preserve"> </w:t>
      </w:r>
      <w:r w:rsidRPr="00CD3C9A">
        <w:rPr>
          <w:color w:val="000000" w:themeColor="text1"/>
          <w:sz w:val="20"/>
          <w:szCs w:val="20"/>
        </w:rPr>
        <w:t>learning to provide ongoing feedback that can be used by instructors to improve their teaching and by learners to improve their learning. Formative assessments help learners identify strengths and weaknesses and help instructors recognise where learners are struggling</w:t>
      </w:r>
      <w:r w:rsidR="003204B9" w:rsidRPr="00CD3C9A">
        <w:rPr>
          <w:color w:val="000000" w:themeColor="text1"/>
          <w:sz w:val="20"/>
          <w:szCs w:val="20"/>
        </w:rPr>
        <w:t xml:space="preserve">. </w:t>
      </w:r>
      <w:r w:rsidRPr="00CD3C9A">
        <w:rPr>
          <w:color w:val="000000" w:themeColor="text1"/>
          <w:sz w:val="20"/>
          <w:szCs w:val="20"/>
        </w:rPr>
        <w:t xml:space="preserve">Formative assessments are generally low stakes, </w:t>
      </w:r>
      <w:r w:rsidR="003204B9" w:rsidRPr="00CD3C9A">
        <w:rPr>
          <w:color w:val="000000" w:themeColor="text1"/>
          <w:sz w:val="20"/>
          <w:szCs w:val="20"/>
        </w:rPr>
        <w:t>where</w:t>
      </w:r>
      <w:r w:rsidRPr="00CD3C9A">
        <w:rPr>
          <w:color w:val="000000" w:themeColor="text1"/>
          <w:sz w:val="20"/>
          <w:szCs w:val="20"/>
        </w:rPr>
        <w:t xml:space="preserve"> they have low or no point value. </w:t>
      </w:r>
      <w:r w:rsidRPr="00CD3C9A">
        <w:rPr>
          <w:color w:val="000000" w:themeColor="text1"/>
          <w:sz w:val="20"/>
          <w:szCs w:val="20"/>
          <w:lang w:val="en-US"/>
        </w:rPr>
        <w:t xml:space="preserve">Learners </w:t>
      </w:r>
      <w:proofErr w:type="gramStart"/>
      <w:r w:rsidRPr="00CD3C9A">
        <w:rPr>
          <w:color w:val="000000" w:themeColor="text1"/>
          <w:sz w:val="20"/>
          <w:szCs w:val="20"/>
          <w:lang w:val="en-US"/>
        </w:rPr>
        <w:t>have the opportunity to</w:t>
      </w:r>
      <w:proofErr w:type="gramEnd"/>
      <w:r w:rsidRPr="00CD3C9A">
        <w:rPr>
          <w:color w:val="000000" w:themeColor="text1"/>
          <w:sz w:val="20"/>
          <w:szCs w:val="20"/>
          <w:lang w:val="en-US"/>
        </w:rPr>
        <w:t xml:space="preserve"> self-reflect and improve. Common formative assessments include quizzes, projects, presentations, and group activities</w:t>
      </w:r>
      <w:r w:rsidR="003204B9" w:rsidRPr="00CD3C9A">
        <w:rPr>
          <w:color w:val="000000" w:themeColor="text1"/>
          <w:sz w:val="20"/>
          <w:szCs w:val="20"/>
          <w:lang w:val="en-US"/>
        </w:rPr>
        <w:t>.</w:t>
      </w:r>
    </w:p>
    <w:p w14:paraId="44608A5E" w14:textId="67812B42" w:rsidR="00764C60" w:rsidRPr="00CD3C9A" w:rsidRDefault="00764C60" w:rsidP="00CD3C9A">
      <w:pPr>
        <w:spacing w:line="360" w:lineRule="auto"/>
        <w:rPr>
          <w:color w:val="000000" w:themeColor="text1"/>
          <w:sz w:val="20"/>
          <w:szCs w:val="20"/>
          <w:lang w:val="en-US"/>
        </w:rPr>
      </w:pPr>
      <w:r w:rsidRPr="00CD3C9A">
        <w:rPr>
          <w:rFonts w:eastAsia="Times New Roman"/>
          <w:color w:val="000000" w:themeColor="text1"/>
          <w:sz w:val="20"/>
          <w:szCs w:val="20"/>
        </w:rPr>
        <w:t xml:space="preserve">The goal of summative assessment is to evaluate learning at the end of an instructional unit by comparing it against some standard or benchmark. Summative assessments are often high stakes, </w:t>
      </w:r>
      <w:r w:rsidR="003204B9" w:rsidRPr="00CD3C9A">
        <w:rPr>
          <w:rFonts w:eastAsia="Times New Roman"/>
          <w:color w:val="000000" w:themeColor="text1"/>
          <w:sz w:val="20"/>
          <w:szCs w:val="20"/>
        </w:rPr>
        <w:t>where</w:t>
      </w:r>
      <w:r w:rsidRPr="00CD3C9A">
        <w:rPr>
          <w:rFonts w:eastAsia="Times New Roman"/>
          <w:color w:val="000000" w:themeColor="text1"/>
          <w:sz w:val="20"/>
          <w:szCs w:val="20"/>
        </w:rPr>
        <w:t xml:space="preserve"> they have a high point value. Examples of summative assessments include midterm and end of term exams, and a final project. </w:t>
      </w:r>
      <w:r w:rsidRPr="00CD3C9A">
        <w:rPr>
          <w:color w:val="000000" w:themeColor="text1"/>
          <w:sz w:val="20"/>
          <w:szCs w:val="20"/>
          <w:lang w:val="en-US"/>
        </w:rPr>
        <w:t>Summative assessment determines learning results at the end of the course</w:t>
      </w:r>
      <w:r w:rsidR="00C92814">
        <w:rPr>
          <w:color w:val="000000" w:themeColor="text1"/>
          <w:sz w:val="20"/>
          <w:szCs w:val="20"/>
          <w:lang w:val="en-US"/>
        </w:rPr>
        <w:t xml:space="preserve">. </w:t>
      </w:r>
      <w:r w:rsidR="00C92814">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author":[{"dropping-particle":"","family":"Billings","given":"DM","non-dropping-particle":"","parse-names":false,"suffix":""},{"dropping-particle":"","family":"Halstead","given":"JA","non-dropping-particle":"","parse-names":false,"suffix":""}],"edition":"4th","editor":[{"dropping-particle":"","family":"Elsevier","given":"","non-dropping-particle":"","parse-names":false,"suffix":""}],"id":"ITEM-1","issued":{"date-parts":[["2012"]]},"publisher-place":"St. Louis","title":"Teaching in nursing: a guide for faculty","type":"book"},"uris":["http://www.mendeley.com/documents/?uuid=fbee8fed-4539-4295-9f1c-38cdeeebb154"]}],"mendeley":{"formattedCitation":"[105]","plainTextFormattedCitation":"[105]","previouslyFormattedCitation":"[105]"},"properties":{"noteIndex":0},"schema":"https://github.com/citation-style-language/schema/raw/master/csl-citation.json"}</w:instrText>
      </w:r>
      <w:r w:rsidR="00C92814">
        <w:rPr>
          <w:color w:val="000000" w:themeColor="text1"/>
          <w:sz w:val="20"/>
          <w:szCs w:val="20"/>
          <w:lang w:val="en-US"/>
        </w:rPr>
        <w:fldChar w:fldCharType="separate"/>
      </w:r>
      <w:r w:rsidR="00444200" w:rsidRPr="00444200">
        <w:rPr>
          <w:noProof/>
          <w:color w:val="000000" w:themeColor="text1"/>
          <w:sz w:val="20"/>
          <w:szCs w:val="20"/>
          <w:lang w:val="en-US"/>
        </w:rPr>
        <w:t>[105]</w:t>
      </w:r>
      <w:r w:rsidR="00C92814">
        <w:rPr>
          <w:color w:val="000000" w:themeColor="text1"/>
          <w:sz w:val="20"/>
          <w:szCs w:val="20"/>
          <w:lang w:val="en-US"/>
        </w:rPr>
        <w:fldChar w:fldCharType="end"/>
      </w:r>
      <w:r w:rsidRPr="00CD3C9A">
        <w:rPr>
          <w:color w:val="000000" w:themeColor="text1"/>
          <w:sz w:val="20"/>
          <w:szCs w:val="20"/>
          <w:lang w:val="en-US"/>
        </w:rPr>
        <w:t xml:space="preserve"> This assessment strategy allows instructors to determine the competencies acquired and learning achieved</w:t>
      </w:r>
      <w:r w:rsidR="00C92814">
        <w:rPr>
          <w:color w:val="000000" w:themeColor="text1"/>
          <w:sz w:val="20"/>
          <w:szCs w:val="20"/>
          <w:lang w:val="en-US"/>
        </w:rPr>
        <w:t>.</w:t>
      </w:r>
      <w:r w:rsidR="00C92814">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{"citationItems":[{"id":"ITEM-1","itemData":{"DOI":"10.1111/j.1745-3992.2009.00150.x","ISSN":"07311745","abstract":"Assessments labeled as formative have been offered as a means to improve student achievement. But labels can be a powerful way to miscommunicate. For an assessment use to be appropriately labeled \"formative,\" both empirical evidence and reasoned arguments must be offered to support the claim that improvements in student achievement can be linked to the use of assessment information. Our goal in this article is to support the construction of such an argument by offering a framework within which to consider evidence-based claims that assessment information can be used to improve student achievement. We describe this framework and then illustrate its use with an example of one-on-one tutoring. Finally, we explore the framework's implications for understanding when the use of assessment information is likely to improve student achievement and for advising test developers on how to develop assessments that are intended to offer information that can be used to improve student achievement. © 2009 by the National Council on Measurement in Education.","author":[{"dropping-particle":"","family":"Nichols","given":"Paul D.","non-dropping-particle":"","parse-names":false,"suffix":""},{"dropping-particle":"","family":"Meyers","given":"Jason L.","non-dropping-particle":"","parse-names":false,"suffix":""},{"dropping-particle":"","family":"Burling","given":"Kelly S.","non-dropping-particle":"","parse-names":false,"suffix":""}],"container-title":"Educational Measurement: Issues and Practice","id":"ITEM-1","issue":"3","issued":{"date-parts":[["2009"]]},"page":"14-23","title":"A framework for evaluating and planning assessments intended to improve student achievement","type":"article-journal","volume":"28"},"uris":["http://www.mendeley.com/documents/?uuid=9fa3b6f6-6219-381d-aa42-b540c7847794"]}],"mendeley":{"formattedCitation":"[106]","plainTextFormattedCitation":"[106]","previouslyFormattedCitation":"[106]"},"properties":{"noteIndex":0},"schema":"https://github.com/citation-style-language/schema/raw/master/csl-citation.json"}</w:instrText>
      </w:r>
      <w:r w:rsidR="00C92814">
        <w:rPr>
          <w:color w:val="000000" w:themeColor="text1"/>
          <w:sz w:val="20"/>
          <w:szCs w:val="20"/>
          <w:lang w:val="en-US"/>
        </w:rPr>
        <w:fldChar w:fldCharType="separate"/>
      </w:r>
      <w:r w:rsidR="00444200" w:rsidRPr="00444200">
        <w:rPr>
          <w:noProof/>
          <w:color w:val="000000" w:themeColor="text1"/>
          <w:sz w:val="20"/>
          <w:szCs w:val="20"/>
          <w:lang w:val="en-US"/>
        </w:rPr>
        <w:t>[106]</w:t>
      </w:r>
      <w:r w:rsidR="00C92814">
        <w:rPr>
          <w:color w:val="000000" w:themeColor="text1"/>
          <w:sz w:val="20"/>
          <w:szCs w:val="20"/>
          <w:lang w:val="en-US"/>
        </w:rPr>
        <w:fldChar w:fldCharType="end"/>
      </w:r>
    </w:p>
    <w:p w14:paraId="46A90E64" w14:textId="6F7B69A4" w:rsidR="00764C60" w:rsidRPr="00CD3C9A" w:rsidRDefault="00764C60" w:rsidP="00CD3C9A">
      <w:pPr>
        <w:spacing w:line="360" w:lineRule="auto"/>
        <w:rPr>
          <w:color w:val="000000" w:themeColor="text1"/>
          <w:sz w:val="20"/>
          <w:szCs w:val="20"/>
          <w:lang w:val="en-US"/>
        </w:rPr>
      </w:pPr>
      <w:r w:rsidRPr="00CD3C9A">
        <w:rPr>
          <w:color w:val="000000" w:themeColor="text1"/>
          <w:sz w:val="20"/>
          <w:szCs w:val="20"/>
          <w:lang w:val="en-US"/>
        </w:rPr>
        <w:t>Formative assessment can be defined as an assessment for learning and summative assessment as an assessment of learning</w:t>
      </w:r>
      <w:r w:rsidR="00C92814">
        <w:rPr>
          <w:color w:val="000000" w:themeColor="text1"/>
          <w:sz w:val="20"/>
          <w:szCs w:val="20"/>
          <w:lang w:val="en-US"/>
        </w:rPr>
        <w:t>.</w:t>
      </w:r>
      <w:r w:rsidR="00C92814">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10.1080/14739879.2013.11493462","ISSN":"14739879","PMID":"23498575","author":[{"dropping-particle":"","family":"Gavriel","given":"Jennifer","non-dropping-particle":"","parse-names":false,"suffix":""}],"container-title":"Education for Primary Care","id":"ITEM-1","issue":"2","issued":{"date-parts":[["2013"]]},"page":"93-96","title":"Assessment for learning: A wider (classroom-researched) perspective is important for formative assessment and self-directed learning in general practice","type":"article-journal","volume":"24"},"uris":["http://www.mendeley.com/documents/?uuid=9a3f3b84-8e99-3152-854d-b74281b25b33"]}],"mendeley":{"formattedCitation":"[107]","plainTextFormattedCitation":"[107]","previouslyFormattedCitation":"[107]"},"properties":{"noteIndex":0},"schema":"https://github.com/citation-style-language/schema/raw/master/csl-citation.json"}</w:instrText>
      </w:r>
      <w:r w:rsidR="00C92814">
        <w:rPr>
          <w:color w:val="000000" w:themeColor="text1"/>
          <w:sz w:val="20"/>
          <w:szCs w:val="20"/>
          <w:lang w:val="en-US"/>
        </w:rPr>
        <w:fldChar w:fldCharType="separate"/>
      </w:r>
      <w:r w:rsidR="00444200" w:rsidRPr="00444200">
        <w:rPr>
          <w:noProof/>
          <w:color w:val="000000" w:themeColor="text1"/>
          <w:sz w:val="20"/>
          <w:szCs w:val="20"/>
          <w:lang w:val="en-US"/>
        </w:rPr>
        <w:t>[107]</w:t>
      </w:r>
      <w:r w:rsidR="00C92814">
        <w:rPr>
          <w:color w:val="000000" w:themeColor="text1"/>
          <w:sz w:val="20"/>
          <w:szCs w:val="20"/>
          <w:lang w:val="en-US"/>
        </w:rPr>
        <w:fldChar w:fldCharType="end"/>
      </w:r>
      <w:r w:rsidRPr="00CD3C9A">
        <w:rPr>
          <w:color w:val="000000" w:themeColor="text1"/>
          <w:sz w:val="20"/>
          <w:szCs w:val="20"/>
          <w:lang w:val="en-US"/>
        </w:rPr>
        <w:t xml:space="preserve"> Formative and summative evaluations are complementary approaches. </w:t>
      </w:r>
      <w:r w:rsidRPr="00CD3C9A">
        <w:rPr>
          <w:rFonts w:eastAsia="Times New Roman"/>
          <w:color w:val="000000" w:themeColor="text1"/>
          <w:sz w:val="20"/>
          <w:szCs w:val="20"/>
        </w:rPr>
        <w:t>Information from summative assessments can be used formatively when students or faculty use it to guide their efforts and activities in subsequent courses.</w:t>
      </w:r>
    </w:p>
    <w:p w14:paraId="526A9AC4" w14:textId="3BCD1662" w:rsidR="00764C60" w:rsidRPr="00CD3C9A" w:rsidRDefault="00BF0D7D" w:rsidP="00CD3C9A">
      <w:pPr>
        <w:spacing w:line="360" w:lineRule="auto"/>
        <w:rPr>
          <w:color w:val="000000" w:themeColor="text1"/>
          <w:sz w:val="20"/>
          <w:szCs w:val="20"/>
          <w:lang w:val="en-US"/>
        </w:rPr>
      </w:pPr>
      <w:r w:rsidRPr="00CD3C9A">
        <w:rPr>
          <w:color w:val="000000" w:themeColor="text1"/>
          <w:sz w:val="20"/>
          <w:szCs w:val="20"/>
          <w:lang w:val="en-US"/>
        </w:rPr>
        <w:t>F</w:t>
      </w:r>
      <w:r w:rsidR="00764C60" w:rsidRPr="00CD3C9A">
        <w:rPr>
          <w:color w:val="000000" w:themeColor="text1"/>
          <w:sz w:val="20"/>
          <w:szCs w:val="20"/>
          <w:lang w:val="en-US"/>
        </w:rPr>
        <w:t>ormative assessment was associated with better learning outcomes for learners, especially those with lower grades.</w:t>
      </w:r>
      <w:r w:rsidR="00710ABB">
        <w:rPr>
          <w:color w:val="000000" w:themeColor="text1"/>
          <w:sz w:val="20"/>
          <w:szCs w:val="20"/>
          <w:lang w:val="en-US"/>
        </w:rPr>
        <w:fldChar w:fldCharType="begin" w:fldLock="1"/>
      </w:r>
      <w:r w:rsidR="00444180">
        <w:rPr>
          <w:color w:val="000000" w:themeColor="text1"/>
          <w:sz w:val="20"/>
          <w:szCs w:val="20"/>
          <w:lang w:val="en-US"/>
        </w:rPr>
        <w:instrText>ADDIN CSL_CITATION {"citationItems":[{"id":"ITEM-1","itemData":{"DOI":"10.12659/MSM.929068","ISSN":"16433750","PMID":"33484506","abstract":"Background: Previous research suggests that formative assessment (FA) enhances learning outcomes, but few studies have evaluated its impact on clinical skills training in China. We conducted this study in a clinical skills integral curriculum to further explore the educational value of FA. Material/Methods: Sixty undergraduates from the Second Clinical Medical School of the Southern Medical University in 2016 were selected as the experimental group (consecutive FA), and 50 undergraduates in 2015 were selected as the control term (only final summative assessment, SA). Undergraduates in the FA group completed the after-class questionnaire at each lesson. Teachers, teaching content, assessment objectives, and topics are the same in both groups. Results: The results of single-factor covariance (ANCOVA) analysis and Cochran-Mantel-Haenszel (CMH) analysis demonstrated that students of the FA group obtained better performance and higher success rates in summative examination than in the SA group. The students with relatively poor grades benefited more from FA, while the performance of students with higher grades was similar between the FA group and SA group. According to the results of questionnaire for students, the satisfaction of students with the course increased gradually, from 84.4% to 93.0%. Conclusions: Proper use of FA is associated with better learning outcomes for students, especially for those with poorer grades. Our results, together with previous research, indicated that the use of FA may be of great benefit to students’ academic performance and satisfaction with the clinical skills training curriculum.","author":[{"dropping-particle":"","family":"Zhu","given":"Tianxin","non-dropping-particle":"","parse-names":false,"suffix":""},{"dropping-particle":"","family":"Liang","given":"Junyi","non-dropping-particle":"","parse-names":false,"suffix":""},{"dropping-particle":"","family":"Mao","given":"Min","non-dropping-particle":"","parse-names":false,"suffix":""},{"dropping-particle":"","family":"Liu","given":"Xintong","non-dropping-particle":"","parse-names":false,"suffix":""},{"dropping-particle":"","family":"Qian","given":"Dandan","non-dropping-particle":"","parse-names":false,"suffix":""}],"container-title":"Medical Science Monitor","id":"ITEM-1","issued":{"date-parts":[["2021"]]},"page":"e929068","title":"Association between formative assessment and academic performance for undergraduate medical students in a chinese clinical skills training course","type":"article-journal","volume":"27"},"uris":["http://www.mendeley.com/documents/?uuid=30d47bb8-b41c-370e-8ad7-50992bb67ba9"]}],"mendeley":{"formattedCitation":"[108]","plainTextFormattedCitation":"[108]","previouslyFormattedCitation":"[108]"},"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[108]</w:t>
      </w:r>
      <w:r w:rsidR="00710ABB">
        <w:rPr>
          <w:color w:val="000000" w:themeColor="text1"/>
          <w:sz w:val="20"/>
          <w:szCs w:val="20"/>
          <w:lang w:val="en-US"/>
        </w:rPr>
        <w:fldChar w:fldCharType="end"/>
      </w:r>
      <w:r w:rsidR="00764C60" w:rsidRPr="00CD3C9A">
        <w:rPr>
          <w:color w:val="000000" w:themeColor="text1"/>
          <w:sz w:val="20"/>
          <w:szCs w:val="20"/>
          <w:lang w:val="en-US"/>
        </w:rPr>
        <w:t xml:space="preserve"> Interestingly, formative assessment was a predictor of final results</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{"citationItems":[{"id":"ITEM-1","itemData":{"DOI":"10.1007/s10459-007-9086-y","ISSN":"13824996","PMID":"17972153","abstract":"Although educational experts recommend the use of formative assessment, there is a dearth of empirical studies on its impact on academic achievement. In this research the authors analyse to what extent participation and performance in formative assessment are associated with positive academic outcomes of pre-graduate students of health sciences. A total of 548 students from three health science degrees (Medicine, Psychology and Biology) from four Spanish universities were involved in this study. The students who carried out mid-term formative assessment got better marks and had higher success rates in final summative assessment that the students who did not participate. In addition, success in formative assessment tests was associated with better summative marks. Interestingly, participation in formative assessment was a better predictor of final outcome than success in formative assessment, a result that supports the key role of feedback in formative assessment. Students who took the mid-term examination, irrespective of their success, obtained feedback about their achievement and probably this determined their greater involvement in the learning process. Although causal relationships between formative and summative assessment cannot be established from this research, the generalized benefits of formative assessments found here encourage the practice of them in health sciences education. © 2007 Springer Science+Business Media B.V.","author":[{"dropping-particle":"","family":"Carrillo-De-La-Peña","given":"María T.","non-dropping-particle":"","parse-names":false,"suffix":""},{"dropping-particle":"","family":"Baillès","given":"Eva","non-dropping-particle":"","parse-names":false,"suffix":""},{"dropping-particle":"","family":"Caseras","given":"Xavier","non-dropping-particle":"","parse-names":false,"suffix":""},{"dropping-particle":"","family":"Martínez","given":"Àlvar","non-dropping-particle":"","parse-names":false,"suffix":""},{"dropping-particle":"","family":"Ortet","given":"Generós","non-dropping-particle":"","parse-names":false,"suffix":""},{"dropping-particle":"","family":"Pérez","given":"Jorge","non-dropping-particle":"","parse-names":false,"suffix":""}],"container-title":"Advances in Health Sciences Education","id":"ITEM-1","issue":"1","issued":{"date-parts":[["2009"]]},"page":"61-67","title":"Formative assessment and academic achievement in pre-graduate students of health sciences","type":"article-journal","volume":"14"},"uris":["http://www.mendeley.com/documents/?uuid=089198c4-0ae4-3932-ae0e-fb4b390d396c"]},{"id":"ITEM-2","itemData":{"DOI":"10.1097/01367895-201324010-00004","ISSN":"19419430","PMID":"23858823","abstract":"purpose: This correlational research study was conducted to validate externally a previous pilot study that examined the relationship between formative and summative examinations and PANCE scores at one physician assistant (PA) program. The study was expanded to five PA programs to test the hypothesis that PA programs throughout the country could use comprehensive examinations that mirrored the Physician Assistant National Certifying Exam (PANCE) along with the Physician Assistant Clinical Knowledge Rating and Assessment Tool (PACKRAT) scores to predict future PANCE performance successfully. methods: The six participating PA programs administered the SuMM I, which is a 360-question PANCE simulation exam based upon the National Commission on Certification of Physician Assistants (NCCPA) blueprint, the SuMM II, a 700-question examination based upon the NCCPA blueprint, and the PACKRAT examination to all second-year students. Participating programs were provided cut scores for each of the test instruments that identified students at critical risk for failing the PANCE. Results: The scores of the study participants from the originating institution were gathered between 2007 and 2010 and from five additional programs in 2011-2012 to determine correlational strength between the instruments and the PANCE. The SuMM I, SuMM II, and PACKRAT scores (N = 421) were combined in a regression model to generate a predicted PANCE score. The strength of correlation between the predicted PANCE score and actual PANCE score demonstrated an R value of 0.79 and an R2 of 0.62. discussion: This correlational study suggests that summative examination instruments can be developed and triangulated with PACKRAT scores to predict future performance on the PANCE and determine thresholds of risk for failing the PANCE based upon stratified levels of past performance.","author":[{"dropping-particle":"","family":"Massey","given":"Scott L.","non-dropping-particle":"","parse-names":false,"suffix":""},{"dropping-particle":"","family":"Lee","given":"Louise","non-dropping-particle":"","parse-names":false,"suffix":""},{"dropping-particle":"","family":"Young","given":"Sonia","non-dropping-particle":"","parse-names":false,"suffix":""},{"dropping-particle":"","family":"Holmerud","given":"David","non-dropping-particle":"","parse-names":false,"suffix":""}],"container-title":"Journal of Physician Assistant Education","id":"ITEM-2","issue":"1","issued":{"date-parts":[["2013"]]},"page":"24-34","title":"The relationship between formative and summative examination and PANCE results: A multi-program study","type":"article-journal","volume":"24"},"uris":["http://www.mendeley.com/documents/?uuid=f66dae33-9708-3f01-bf52-98fa9bdba1b7"]}],"mendeley":{"formattedCitation":"[109,110]","plainTextFormattedCitation":"[109,110]","previouslyFormattedCitation":"[109,110]"},"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[109,110]</w:t>
      </w:r>
      <w:r w:rsidR="00710ABB">
        <w:rPr>
          <w:color w:val="000000" w:themeColor="text1"/>
          <w:sz w:val="20"/>
          <w:szCs w:val="20"/>
          <w:lang w:val="en-US"/>
        </w:rPr>
        <w:fldChar w:fldCharType="end"/>
      </w:r>
      <w:r w:rsidR="00764C60" w:rsidRPr="00CD3C9A">
        <w:rPr>
          <w:color w:val="000000" w:themeColor="text1"/>
          <w:sz w:val="20"/>
          <w:szCs w:val="20"/>
          <w:lang w:val="en-US"/>
        </w:rPr>
        <w:t xml:space="preserve"> Learners who are given feedback increased involvement in the learning process</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{"citationItems":[{"id":"ITEM-1","itemData":{"DOI":"10.1007/s10459-007-9086-y","ISSN":"13824996","PMID":"17972153","abstract":"Although educational experts recommend the use of formative assessment, there is a dearth of empirical studies on its impact on academic achievement. In this research the authors analyse to what extent participation and performance in formative assessment are associated with positive academic outcomes of pre-graduate students of health sciences. A total of 548 students from three health science degrees (Medicine, Psychology and Biology) from four Spanish universities were involved in this study. The students who carried out mid-term formative assessment got better marks and had higher success rates in final summative assessment that the students who did not participate. In addition, success in formative assessment tests was associated with better summative marks. Interestingly, participation in formative assessment was a better predictor of final outcome than success in formative assessment, a result that supports the key role of feedback in formative assessment. Students who took the mid-term examination, irrespective of their success, obtained feedback about their achievement and probably this determined their greater involvement in the learning process. Although causal relationships between formative and summative assessment cannot be established from this research, the generalized benefits of formative assessments found here encourage the practice of them in health sciences education. © 2007 Springer Science+Business Media B.V.","author":[{"dropping-particle":"","family":"Carrillo-De-La-Peña","given":"María T.","non-dropping-particle":"","parse-names":false,"suffix":""},{"dropping-particle":"","family":"Baillès","given":"Eva","non-dropping-particle":"","parse-names":false,"suffix":""},{"dropping-particle":"","family":"Caseras","given":"Xavier","non-dropping-particle":"","parse-names":false,"suffix":""},{"dropping-particle":"","family":"Martínez","given":"Àlvar","non-dropping-particle":"","parse-names":false,"suffix":""},{"dropping-particle":"","family":"Ortet","given":"Generós","non-dropping-particle":"","parse-names":false,"suffix":""},{"dropping-particle":"","family":"Pérez","given":"Jorge","non-dropping-particle":"","parse-names":false,"suffix":""}],"container-title":"Advances in Health Sciences Education","id":"ITEM-1","issue":"1","issued":{"date-parts":[["2009"]]},"page":"61-67","title":"Formative assessment and academic achievement in pre-graduate students of health sciences","type":"article-journal","volume":"14"},"uris":["http://www.mendeley.com/documents/?uuid=089198c4-0ae4-3932-ae0e-fb4b390d396c"]}],"mendeley":{"formattedCitation":"[109]","plainTextFormattedCitation":"[109]","previouslyFormattedCitation":"[109]"},"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[109]</w:t>
      </w:r>
      <w:r w:rsidR="00710ABB">
        <w:rPr>
          <w:color w:val="000000" w:themeColor="text1"/>
          <w:sz w:val="20"/>
          <w:szCs w:val="20"/>
          <w:lang w:val="en-US"/>
        </w:rPr>
        <w:fldChar w:fldCharType="end"/>
      </w:r>
      <w:r w:rsidR="00764C60" w:rsidRPr="00CD3C9A">
        <w:rPr>
          <w:color w:val="000000" w:themeColor="text1"/>
          <w:sz w:val="20"/>
          <w:szCs w:val="20"/>
          <w:lang w:val="en-US"/>
        </w:rPr>
        <w:t xml:space="preserve"> (Additionally, if the students perceive they have a satisfactory grade in a formative assessment, they are motivated to do the same, if not better, in a summative assessment</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{"citationItems":[{"id":"ITEM-1","itemData":{"DOI":"10.1111/j.1600-0579.2008.00524.x","ISSN":"13965883","PMID":"19021730","abstract":"Introduction: Regular, on-going formative assessments or a more comprehensive end of program summative assessment can be used to assess student's progress. The literature is scarce regarding the use of both types of assessment coincidentally and if the outcomes of formative assessments can predict the grades achieved summatively. This paper investigates whether there is any correlation between the formative assessments used in routine clinical contacts in the Newcastle course and the final summative assessment grade. Materials and methods: The logbooks of 72 third year dental students were examined to collect data on the gradings achieved for formative and summative assessments. The categories of history and presentation, local anaesthesia, extraction and overall grades for each were compared using Spearman's Rho. Results: Six logbooks were incomplete so were omitted from analysis (n = 66). In the formative assessment, the total number of teeth extracted was 1913, giving a mean per student of 29 (SD = 6.88). In the summative assessment, 15 students failed on their first attempt but all subsequently passed on resit. Discussion: Positive correlation was found within each of the two types of assessment but no correlation was found between the overall grades for the formative and summative assessment. The overall grade achieved by a student in the formative assessment does not appear to predict their grade in the summative. The use of both assessments is beneficial, however, their use together must be considered carefully to avoid confusing students. © 2008 Blackwell Munksgaard.","author":[{"dropping-particle":"","family":"Anziani","given":"Helen","non-dropping-particle":"","parse-names":false,"suffix":""},{"dropping-particle":"","family":"Durham","given":"Justin","non-dropping-particle":"","parse-names":false,"suffix":""},{"dropping-particle":"","family":"Moore","given":"Undrell","non-dropping-particle":"","parse-names":false,"suffix":""}],"container-title":"European Journal of Dental Education","id":"ITEM-1","issue":"4","issued":{"date-parts":[["2008"]]},"page":"233-238","title":"The relationship between formative and summative assessment of undergraduates in oral surgery","type":"article-journal","volume":"12"},"uris":["http://www.mendeley.com/documents/?uuid=878c3b2c-2994-3025-9c5e-9aa6d6e28962"]}],"mendeley":{"formattedCitation":"[111]","plainTextFormattedCitation":"[111]","previouslyFormattedCitation":"[111]"},"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[111]</w:t>
      </w:r>
      <w:r w:rsidR="00710ABB">
        <w:rPr>
          <w:color w:val="000000" w:themeColor="text1"/>
          <w:sz w:val="20"/>
          <w:szCs w:val="20"/>
          <w:lang w:val="en-US"/>
        </w:rPr>
        <w:fldChar w:fldCharType="end"/>
      </w:r>
      <w:r w:rsidR="00764C60" w:rsidRPr="00CD3C9A">
        <w:rPr>
          <w:color w:val="000000" w:themeColor="text1"/>
          <w:sz w:val="20"/>
          <w:szCs w:val="20"/>
          <w:lang w:val="en-US"/>
        </w:rPr>
        <w:t xml:space="preserve"> A study has shown that offering different assessment types, learners use many, and sometimes all available assessments</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{"citationItems":[{"id":"ITEM-1","itemData":{"DOI":"10.1111/joa.12117","ISSN":"00218782","PMID":"24111930","abstract":"Providing formative assessment opportunities has been recognised as a significant benefit to student learning. The outcome of any formative assessment should be one that ultimately helps improve student learning through familiarising students with the levels of learning required, informing them about gaps in their learning and providing feedback to guide the direction of learning. This article provides an example of how formative assessments can be developed into a formative assessment journey where a number of different assessments can be offered to students during the course of a module of teaching, thus utilising a spaced-education approach. As well as incorporating the specific drivers of formative assessment, we demonstrate how approaches deemed to be stimulating, interactive and entertaining with the aim of maximising enthusiasm and engagement can be incorporated. We provide an example of a mixed approach to evaluating elements of the assessment journey that focuses student reaction, appraisal of qualitative and quantitative feedback from student questionnaires, focus group analysis and teacher observations. Whilst it is not possible to determine a quantifiable effect of the assessment journey on student learning, usage data and student feedback shows that formative assessment can achieve high engagement and positive response to different assessments. Those assessments incorporating an active learning element and a quiz-based approach appear to be particularly popular. A spaced-education format encourages a building block approach to learning that is continuous in nature rather than focussed on an intense period of study prior to summative examinations. © 2013 Anatomical Society.","author":[{"dropping-particle":"","family":"Evans","given":"Darrell J.R.","non-dropping-particle":"","parse-names":false,"suffix":""},{"dropping-particle":"","family":"Zeun","given":"Paul","non-dropping-particle":"","parse-names":false,"suffix":""},{"dropping-particle":"","family":"Stanier","given":"Robert A.","non-dropping-particle":"","parse-names":false,"suffix":""}],"container-title":"Journal of Anatomy","id":"ITEM-1","issue":"3","issued":{"date-parts":[["2014"]]},"page":"296-303","title":"Motivating student learning using a formative assessment journey","type":"article","volume":"224"},"uris":["http://www.mendeley.com/documents/?uuid=8784474b-3fd8-3fa6-8bc7-98d2d6ffe959"]}],"mendeley":{"formattedCitation":"[112]","plainTextFormattedCitation":"[112]","previouslyFormattedCitation":"[112]"},"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[112]</w:t>
      </w:r>
      <w:r w:rsidR="00710ABB">
        <w:rPr>
          <w:color w:val="000000" w:themeColor="text1"/>
          <w:sz w:val="20"/>
          <w:szCs w:val="20"/>
          <w:lang w:val="en-US"/>
        </w:rPr>
        <w:fldChar w:fldCharType="end"/>
      </w:r>
      <w:r w:rsidR="00764C60" w:rsidRPr="00CD3C9A">
        <w:rPr>
          <w:color w:val="000000" w:themeColor="text1"/>
          <w:sz w:val="20"/>
          <w:szCs w:val="20"/>
          <w:lang w:val="en-US"/>
        </w:rPr>
        <w:t xml:space="preserve"> Online revision quizzes and picture quizzes were the most chosen, which was attributed to the</w:t>
      </w:r>
      <w:r w:rsidR="003204B9" w:rsidRPr="00CD3C9A">
        <w:rPr>
          <w:color w:val="000000" w:themeColor="text1"/>
          <w:sz w:val="20"/>
          <w:szCs w:val="20"/>
          <w:lang w:val="en-US"/>
        </w:rPr>
        <w:t>ir</w:t>
      </w:r>
      <w:r w:rsidR="00764C60" w:rsidRPr="00CD3C9A">
        <w:rPr>
          <w:color w:val="000000" w:themeColor="text1"/>
          <w:sz w:val="20"/>
          <w:szCs w:val="20"/>
          <w:lang w:val="en-US"/>
        </w:rPr>
        <w:t xml:space="preserve"> fun nature. Other studies have demonstrated that learners prefer stimulating and entertaining approaches because these encourage involvement</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{"citationItems":[{"id":"ITEM-1","itemData":{"DOI":"10.1080/0969594970040304","ISSN":"15497879","abstract":"The central argument of this paper is that the formative and summative purposes of assessment have become confused in practice and that as a consequence assessment fails to have a truly formative role in learning. The importance of this role is argued particularly in relation to learning with understanding (deep learning). It is pointed out that the requirements of assessment for formative and summative purposes differ in several dimensions, including reliability, the reference base of judgements and the focus of the information used. This challenges the assumption that summative judgements can be formed by simple summation of formative ones. An alternative procedure for linking formative and summative assessment is proposed such that their separate functions are preserved. © 1997, Copyright Taylor &amp; Francis Group, LLC.","author":[{"dropping-particle":"","family":"Harlen","given":"Wynne","non-dropping-particle":"","parse-names":false,"suffix":""},{"dropping-particle":"","family":"James","given":"Mary","non-dropping-particle":"","parse-names":false,"suffix":""}],"container-title":"International Journal of Phytoremediation","id":"ITEM-1","issue":"1","issued":{"date-parts":[["1997"]]},"page":"365-379","title":"Assessment and learning: Differences and relationships between formative and summative assessment","type":"article-journal","volume":"21"},"uris":["http://www.mendeley.com/documents/?uuid=9238bb4b-b0bf-3025-9367-9848ce638f85"]},{"id":"ITEM-2","itemData":{"DOI":"10.1152/advan.00040.2005","ISSN":"15221229","abstract":"An understanding of the hormonal basis of normal growth and development, including the changes occurring at puberty, is important foundation knowledge for contemporary medical practice in most fields of medicine. A quiz, testing the important physiological concepts of growth and puberty, was designed using the format of the well-known television game \"Who Wants to Be a Millionaire.\" An evaluation of this formative assessment activity revealed that a cohort of first-year undergraduate medical students valued learning with peers in an enjoyable, interactive environment, where they were able to admit to uncertainties and clarify answers. It also showed that making an educational activity fun need not detract from the focus of giving feedback on learning. Formative assessment, known to produce learning gains in a range of educational settings, is an important activity in contemporary medical education. With a greater emphasis on self-directed learning and less well-defined curriculum boundaries, feedback helps students to understand and apply the important physiological concepts that underpin the practice of medicine. Copyright © 2006 The American Physiological Society.","author":[{"dropping-particle":"","family":"Hudson","given":"J. N.","non-dropping-particle":"","parse-names":false,"suffix":""},{"dropping-particle":"","family":"Bristow","given":"D. R.","non-dropping-particle":"","parse-names":false,"suffix":""}],"container-title":"American Journal of Physiology - Advances in Physiology Education","id":"ITEM-2","issue":"1","issued":{"date-parts":[["2006"]]},"page":"33-37","title":"Formative assessment can be fun as well as educational","type":"article","volume":"30"},"uris":["http://www.mendeley.com/documents/?uuid=98be17b3-f2f9-3333-a1ac-59b53b84c6c7"]}],"mendeley":{"formattedCitation":"[113,114]","plainTextFormattedCitation":"[113,114]","previouslyFormattedCitation":"[113,114]"},"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[113,114]</w:t>
      </w:r>
      <w:r w:rsidR="00710ABB">
        <w:rPr>
          <w:color w:val="000000" w:themeColor="text1"/>
          <w:sz w:val="20"/>
          <w:szCs w:val="20"/>
          <w:lang w:val="en-US"/>
        </w:rPr>
        <w:fldChar w:fldCharType="end"/>
      </w:r>
      <w:r w:rsidR="00764C60" w:rsidRPr="00CD3C9A">
        <w:rPr>
          <w:color w:val="000000" w:themeColor="text1"/>
          <w:sz w:val="20"/>
          <w:szCs w:val="20"/>
          <w:lang w:val="en-US"/>
        </w:rPr>
        <w:t xml:space="preserve"> Including fun in the learning process reduces anxiety and stress and help</w:t>
      </w:r>
      <w:r w:rsidR="007B2631" w:rsidRPr="00CD3C9A">
        <w:rPr>
          <w:color w:val="000000" w:themeColor="text1"/>
          <w:sz w:val="20"/>
          <w:szCs w:val="20"/>
          <w:lang w:val="en-US"/>
        </w:rPr>
        <w:t>s</w:t>
      </w:r>
      <w:r w:rsidR="00764C60" w:rsidRPr="00CD3C9A">
        <w:rPr>
          <w:color w:val="000000" w:themeColor="text1"/>
          <w:sz w:val="20"/>
          <w:szCs w:val="20"/>
          <w:lang w:val="en-US"/>
        </w:rPr>
        <w:t xml:space="preserve"> reduce the </w:t>
      </w:r>
      <w:r w:rsidR="007B2631" w:rsidRPr="00CD3C9A">
        <w:rPr>
          <w:color w:val="000000" w:themeColor="text1"/>
          <w:sz w:val="20"/>
          <w:szCs w:val="20"/>
          <w:lang w:val="en-US"/>
        </w:rPr>
        <w:t xml:space="preserve">initial </w:t>
      </w:r>
      <w:r w:rsidR="00764C60" w:rsidRPr="00CD3C9A">
        <w:rPr>
          <w:color w:val="000000" w:themeColor="text1"/>
          <w:sz w:val="20"/>
          <w:szCs w:val="20"/>
          <w:lang w:val="en-US"/>
        </w:rPr>
        <w:t>overwhelm</w:t>
      </w:r>
      <w:r w:rsidR="007B2631" w:rsidRPr="00CD3C9A">
        <w:rPr>
          <w:color w:val="000000" w:themeColor="text1"/>
          <w:sz w:val="20"/>
          <w:szCs w:val="20"/>
          <w:lang w:val="en-US"/>
        </w:rPr>
        <w:t>ed</w:t>
      </w:r>
      <w:r w:rsidR="00764C60" w:rsidRPr="00CD3C9A">
        <w:rPr>
          <w:color w:val="000000" w:themeColor="text1"/>
          <w:sz w:val="20"/>
          <w:szCs w:val="20"/>
          <w:lang w:val="en-US"/>
        </w:rPr>
        <w:t xml:space="preserve"> feeling</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{"citationItems":[{"id":"ITEM-1","itemData":{"DOI":"10.1080/01421590412331285423","ISSN":"0142159X","author":[{"dropping-particle":"","family":"Allery","given":"Lynne A.","non-dropping-particle":"","parse-names":false,"suffix":""}],"container-title":"Medical Teacher","id":"ITEM-1","issue":"6","issued":{"date-parts":[["2004"]]},"title":"Educational games and structured experiences","type":"article","volume":"26"},"uris":["http://www.mendeley.com/documents/?uuid=2f872e41-ef56-3cc0-9598-efc1e399a1aa"]},{"id":"ITEM-2","itemData":{"DOI":"10.1080/01421590412331282282","ISSN":"0142159X","PMID":"15763830","abstract":"Most games used for teaching focus on either content transfer or an experiential learning experience. 'Context is Key' is a combination of both as the learners actively interact experientially with the content being taught, with fellow learners and with the facilitator(s). Using this interactive game after a didactic portion of teaching can reinforce the knowledge in ways that require synthesis of the knowledge for application and encourage group discussion and the sharing of knowledge that participants possess. This game was originally created to highlight the complexities of the differential diagnosis of bipolar disorder in adolescents. By playing the game, students can understand why psychiatric symptoms on their own are not as valuable as placing them within the context of symptom clusters, how it takes time to make an accurate diagnosis for complex presentations of symptoms, how to sort symptoms that have similar presentations and why 'Context is Key!, © 2004 Taylor &amp; Francis Ltd.","author":[{"dropping-particle":"","family":"Ballon","given":"Bruce","non-dropping-particle":"","parse-names":false,"suffix":""},{"dropping-particle":"","family":"Silver","given":"Ivan","non-dropping-particle":"","parse-names":false,"suffix":""}],"container-title":"Medical Teacher","id":"ITEM-2","issue":"6","issued":{"date-parts":[["2004"]]},"page":"525-528","title":"Context is key: An interactive experiential and content frame game","type":"article-journal","volume":"26"},"uris":["http://www.mendeley.com/documents/?uuid=fa22b195-3345-3038-b25d-c4cd568f86eb"]},{"id":"ITEM-3","itemData":{"DOI":"10.1186/1472-6920-11-87","ISSN":"14726920","PMID":"22013994","abstract":"Background: It has long been acknowledged that medical students frequently focus their learning on that which will enable them to pass examinations, and that they use a range of study approaches and resources in preparing for their examinations. A recent qualitative study identified that in addition to the formal curriculum, students are using a range of resources and study strategies which could be attributed to the informal curriculum. What is not clearly established is the extent to which these informal learning resources and strategies are utilized by medical students. The aim of this study was to establish the extent to which students in a graduate-entry medical program use various learning approaches to assist their learning and preparation for examinations, apart from those resources offered as part of the formal curriculum. Methods. A validated survey instrument was administered to 522 medical students. Factor analysis and internal consistence, descriptive analysis and comparisons with demographic variables were completed. The factor analysis identified eight scales with acceptable levels of internal consistency with an alpha coefficient between 0.72 and 0.96. Results: Nearly 80% of the students reported that they were overwhelmed by the amount of work that was perceived necessary to complete the formal curriculum, with 74.3% believing that the informal learning approaches helped them pass the examinations. 61.3% believed that they prepared them to be good doctors. A variety of informal learning activities utilized by students included using past student notes (85.8%) and PBL tutor guides (62.7%), and being part of self-organised study groups (62.6%), and peer-led tutorials (60.2%). Almost all students accessed the formal school resources for at least 10% of their study time. Students in the first year of the program were more likely to rely on the formal curriculum resources compared to those of Year 2 (p = 0.008). Conclusions: Curriculum planners should examine the level of use of informal learning activities in their schools, and investigate whether this is to enhance student progress, a result of perceived weakness in the delivery and effectiveness of formal resources, or to overcome anxiety about the volume of work expected by medical programs. © 2011 Zhang et al; licensee BioMed Central Ltd.","author":[{"dropping-particle":"","family":"Zhang","given":"Jianzhen","non-dropping-particle":"","parse-names":false,"suffix":""},{"dropping-particle":"","family":"Peterson","given":"Raymond F.","non-dropping-particle":"","parse-names":false,"suffix":""},{"dropping-particle":"","family":"Ozolins","given":"Ieva Z.","non-dropping-particle":"","parse-names":false,"suffix":""}],"container-title":"BMC Medical Education","id":"ITEM-3","issue":"1","issued":{"date-parts":[["2011"]]},"title":"Student approaches for learning in medicine: What does it tell us about the informal curriculum?","type":"article-journal","volume":"11"},"uris":["http://www.mendeley.com/documents/?uuid=581d2d2d-ae0c-33b6-8084-c99588e52267"]}],"mendeley":{"formattedCitation":"[115–117]","plainTextFormattedCitation":"[115–117]","previouslyFormattedCitation":"[115–117]"},"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[115–117]</w:t>
      </w:r>
      <w:r w:rsidR="00710ABB">
        <w:rPr>
          <w:color w:val="000000" w:themeColor="text1"/>
          <w:sz w:val="20"/>
          <w:szCs w:val="20"/>
          <w:lang w:val="en-US"/>
        </w:rPr>
        <w:fldChar w:fldCharType="end"/>
      </w:r>
      <w:r w:rsidR="00764C60" w:rsidRPr="00CD3C9A">
        <w:rPr>
          <w:color w:val="000000" w:themeColor="text1"/>
          <w:sz w:val="20"/>
          <w:szCs w:val="20"/>
          <w:lang w:val="en-US"/>
        </w:rPr>
        <w:t xml:space="preserve"> </w:t>
      </w:r>
      <w:r w:rsidR="007B2631" w:rsidRPr="00CD3C9A">
        <w:rPr>
          <w:color w:val="000000" w:themeColor="text1"/>
          <w:sz w:val="20"/>
          <w:szCs w:val="20"/>
          <w:lang w:val="en-US"/>
        </w:rPr>
        <w:t>Also, i</w:t>
      </w:r>
      <w:r w:rsidR="00764C60" w:rsidRPr="00CD3C9A">
        <w:rPr>
          <w:color w:val="000000" w:themeColor="text1"/>
          <w:sz w:val="20"/>
          <w:szCs w:val="20"/>
          <w:lang w:val="en-US"/>
        </w:rPr>
        <w:t>mmediate instructors’ feedback was appreciated by learners</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{"citationItems":[{"id":"ITEM-1","itemData":{"DOI":"10.1111/joa.12117","ISSN":"00218782","PMID":"24111930","abstract":"Providing formative assessment opportunities has been recognised as a significant benefit to student learning. The outcome of any formative assessment should be one that ultimately helps improve student learning through familiarising students with the levels of learning required, informing them about gaps in their learning and providing feedback to guide the direction of learning. This article provides an example of how formative assessments can be developed into a formative assessment journey where a number of different assessments can be offered to students during the course of a module of teaching, thus utilising a spaced-education approach. As well as incorporating the specific drivers of formative assessment, we demonstrate how approaches deemed to be stimulating, interactive and entertaining with the aim of maximising enthusiasm and engagement can be incorporated. We provide an example of a mixed approach to evaluating elements of the assessment journey that focuses student reaction, appraisal of qualitative and quantitative feedback from student questionnaires, focus group analysis and teacher observations. Whilst it is not possible to determine a quantifiable effect of the assessment journey on student learning, usage data and student feedback shows that formative assessment can achieve high engagement and positive response to different assessments. Those assessments incorporating an active learning element and a quiz-based approach appear to be particularly popular. A spaced-education format encourages a building block approach to learning that is continuous in nature rather than focussed on an intense period of study prior to summative examinations. © 2013 Anatomical Society.","author":[{"dropping-particle":"","family":"Evans","given":"Darrell J.R.","non-dropping-particle":"","parse-names":false,"suffix":""},{"dropping-particle":"","family":"Zeun","given":"Paul","non-dropping-particle":"","parse-names":false,"suffix":""},{"dropping-particle":"","family":"Stanier","given":"Robert A.","non-dropping-particle":"","parse-names":false,"suffix":""}],"container-title":"Journal of Anatomy","id":"ITEM-1","issue":"3","issued":{"date-parts":[["2014"]]},"page":"296-303","title":"Motivating student learning using a formative assessment journey","type":"article","volume":"224"},"uris":["http://www.mendeley.com/documents/?uuid=8784474b-3fd8-3fa6-8bc7-98d2d6ffe959"]}],"mendeley":{"formattedCitation":"[112]","plainTextFormattedCitation":"[112]","previouslyFormattedCitation":"[112]"},"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[112]</w:t>
      </w:r>
      <w:r w:rsidR="00710ABB">
        <w:rPr>
          <w:color w:val="000000" w:themeColor="text1"/>
          <w:sz w:val="20"/>
          <w:szCs w:val="20"/>
          <w:lang w:val="en-US"/>
        </w:rPr>
        <w:fldChar w:fldCharType="end"/>
      </w:r>
      <w:r w:rsidR="00764C60" w:rsidRPr="00CD3C9A">
        <w:rPr>
          <w:color w:val="000000" w:themeColor="text1"/>
          <w:sz w:val="20"/>
          <w:szCs w:val="20"/>
          <w:lang w:val="en-US"/>
        </w:rPr>
        <w:t xml:space="preserve"> </w:t>
      </w:r>
    </w:p>
    <w:p w14:paraId="53AE352D" w14:textId="71B4E32D" w:rsidR="003427B3" w:rsidRDefault="00764C60" w:rsidP="003427B3">
      <w:pPr>
        <w:spacing w:line="360" w:lineRule="auto"/>
        <w:rPr>
          <w:color w:val="0E101A"/>
          <w:sz w:val="20"/>
          <w:szCs w:val="20"/>
          <w:lang w:val="en-US"/>
        </w:rPr>
      </w:pPr>
      <w:r w:rsidRPr="00CD3C9A">
        <w:rPr>
          <w:color w:val="000000" w:themeColor="text1"/>
          <w:sz w:val="20"/>
          <w:szCs w:val="20"/>
          <w:lang w:val="en-US"/>
        </w:rPr>
        <w:t>For clinical competencies, the nature of the simulation environment was found to be important in formative assessments, especially those involving complex cases</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{"citationItems":[{"id":"ITEM-1","itemData":{"DOI":"10.1186/s12912-021-00614-2","ISSN":"14726955","abstract":"Background: Formative and summative evaluation are widely employed in simulated-based assessment. The aims of our study were to evaluate the acquisition of nursing competencies through clinical simulation in undergraduate nursing students and to compare their satisfaction with this methodology using these two evaluation strategies. Methods: Two hundred eighteen undergraduate nursing students participated in a cross-sectional study, using a mixed-method. MAES© (self-learning methodology in simulated environments) sessions were developed to assess students by formative evaluation. Objective Structured Clinical Examination sessions were conducted to assess students by summative evaluation. Simulated scenarios recreated clinical cases of critical patients. Students´ performance in all simulated scenarios were assessed using checklists. A validated questionnaire was used to evaluate satisfaction with clinical simulation. Quantitative data were analysed using the IBM SPSS Statistics version 24.0 software, whereas qualitative data were analysed using the ATLAS-ti version 8.0 software. Results: Most nursing students showed adequate clinical competence. Satisfaction with clinical simulation was higher when students were assessed using formative evaluation. The main students’ complaints with summative evaluation were related to reduced time for performing simulated scenarios and increased anxiety during their clinical performance. Conclusion: The best solution to reduce students’ complaints with summative evaluation is to orient them to the simulated environment. It should be recommended to combine both evaluation strategies in simulated-based assessment, providing students feedback in summative evaluation, as well as evaluating their achievement of learning outcomes in formative evaluation.","author":[{"dropping-particle":"","family":"Arrogante","given":"Oscar","non-dropping-particle":"","parse-names":false,"suffix":""},{"dropping-particle":"","family":"González-Romero","given":"Gracia María","non-dropping-particle":"","parse-names":false,"suffix":""},{"dropping-particle":"","family":"López-Torre","given":"Eva María","non-dropping-particle":"","parse-names":false,"suffix":""},{"dropping-particle":"","family":"Carrión-García","given":"Laura","non-dropping-particle":"","parse-names":false,"suffix":""},{"dropping-particle":"","family":"Polo","given":"Alberto","non-dropping-particle":"","parse-names":false,"suffix":""}],"container-title":"BMC Nursing","id":"ITEM-1","issue":"1","issued":{"date-parts":[["2021"]]},"title":"Comparing formative and summative simulation-based assessment in undergraduate nursing students: nursing competency acquisition and clinical simulation satisfaction","type":"article-journal","volume":"20"},"uris":["http://www.mendeley.com/documents/?uuid=48e09409-76af-3bf5-bdc5-e7ff4379179f"]}],"mendeley":{"formattedCitation":"[118]","plainTextFormattedCitation":"[118]","previouslyFormattedCitation":"[118]"},"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[118]</w:t>
      </w:r>
      <w:r w:rsidR="00710ABB">
        <w:rPr>
          <w:color w:val="000000" w:themeColor="text1"/>
          <w:sz w:val="20"/>
          <w:szCs w:val="20"/>
          <w:lang w:val="en-US"/>
        </w:rPr>
        <w:fldChar w:fldCharType="end"/>
      </w:r>
      <w:r w:rsidRPr="00CD3C9A">
        <w:rPr>
          <w:color w:val="000000" w:themeColor="text1"/>
          <w:sz w:val="20"/>
          <w:szCs w:val="20"/>
          <w:lang w:val="en-US"/>
        </w:rPr>
        <w:t xml:space="preserve"> Satisfaction with clinical simulation was greater when learners were assessed using formative evaluation. Some learners complained about the time constrained nature of summative assessment in simulated scenarios leading to increased anxiety during their clinical performance</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{"citationItems":[{"id":"ITEM-1","itemData":{"DOI":"10.1186/s12912-021-00614-2","ISSN":"14726955","abstract":"Background: Formative and summative evaluation are widely employed in simulated-based assessment. The aims of our study were to evaluate the acquisition of nursing competencies through clinical simulation in undergraduate nursing students and to compare their satisfaction with this methodology using these two evaluation strategies. Methods: Two hundred eighteen undergraduate nursing students participated in a cross-sectional study, using a mixed-method. MAES© (self-learning methodology in simulated environments) sessions were developed to assess students by formative evaluation. Objective Structured Clinical Examination sessions were conducted to assess students by summative evaluation. Simulated scenarios recreated clinical cases of critical patients. Students´ performance in all simulated scenarios were assessed using checklists. A validated questionnaire was used to evaluate satisfaction with clinical simulation. Quantitative data were analysed using the IBM SPSS Statistics version 24.0 software, whereas qualitative data were analysed using the ATLAS-ti version 8.0 software. Results: Most nursing students showed adequate clinical competence. Satisfaction with clinical simulation was higher when students were assessed using formative evaluation. The main students’ complaints with summative evaluation were related to reduced time for performing simulated scenarios and increased anxiety during their clinical performance. Conclusion: The best solution to reduce students’ complaints with summative evaluation is to orient them to the simulated environment. It should be recommended to combine both evaluation strategies in simulated-based assessment, providing students feedback in summative evaluation, as well as evaluating their achievement of learning outcomes in formative evaluation.","author":[{"dropping-particle":"","family":"Arrogante","given":"Oscar","non-dropping-particle":"","parse-names":false,"suffix":""},{"dropping-particle":"","family":"González-Romero","given":"Gracia María","non-dropping-particle":"","parse-names":false,"suffix":""},{"dropping-particle":"","family":"López-Torre","given":"Eva María","non-dropping-particle":"","parse-names":false,"suffix":""},{"dropping-particle":"","family":"Carrión-García","given":"Laura","non-dropping-particle":"","parse-names":false,"suffix":""},{"dropping-particle":"","family":"Polo","given":"Alberto","non-dropping-particle":"","parse-names":false,"suffix":""}],"container-title":"BMC Nursing","id":"ITEM-1","issue":"1","issued":{"date-parts":[["2021"]]},"title":"Comparing formative and summative simulation-based assessment in undergraduate nursing students: nursing competency acquisition and clinical simulation satisfaction","type":"article-journal","volume":"20"},"uris":["http://www.mendeley.com/documents/?uuid=48e09409-76af-3bf5-bdc5-e7ff4379179f"]}],"mendeley":{"formattedCitation":"[118]","plainTextFormattedCitation":"[118]","previouslyFormattedCitation":"[118]"},"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[118]</w:t>
      </w:r>
      <w:r w:rsidR="00710ABB">
        <w:rPr>
          <w:color w:val="000000" w:themeColor="text1"/>
          <w:sz w:val="20"/>
          <w:szCs w:val="20"/>
          <w:lang w:val="en-US"/>
        </w:rPr>
        <w:fldChar w:fldCharType="end"/>
      </w:r>
      <w:r w:rsidRPr="00CD3C9A">
        <w:rPr>
          <w:color w:val="000000" w:themeColor="text1"/>
          <w:sz w:val="20"/>
          <w:szCs w:val="20"/>
          <w:lang w:val="en-US"/>
        </w:rPr>
        <w:t xml:space="preserve"> Increased anxiety may negatively influence the learning process</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{"citationItems":[{"id":"ITEM-1","itemData":{"DOI":"10.3928/01484834-20170222-04","ISSN":"01484834","PMID":"28263351","abstract":"Background: The effects of stress on nursing students’ health and learning is important to educators. The purpose of this review was to critically integrate the literature related to the stress that nursing students experience regarding high-fidelity simulation (HFS). Method: Literature from multiple search engines and databases was systematically searched. Keywords and Boolean combinations included nursing students, simulation, stress, anxiety, and self-efficacy. Qualitative or quantitative studies published in English between 2010 and 2015 and studies including the effects of simulation on nursing student anxiety and stress were included. Seventeen studies were chosen. Results: Overall, students reported either moderate or high stress associated with simulation, but they rated the HFS experience as a valuable learning tool. Conclusion: This review demonstrated student acceptance of simulation as a learning strategy. However, more high-quality studies are needed to investigate techniques that can be implemented to decrease the negative effects of simulation stress on nursing students.","author":[{"dropping-particle":"","family":"Cantrell","given":"Melody L.","non-dropping-particle":"","parse-names":false,"suffix":""},{"dropping-particle":"","family":"Meyer","given":"Susan L.","non-dropping-particle":"","parse-names":false,"suffix":""},{"dropping-particle":"","family":"Mosack","given":"Victoria","non-dropping-particle":"","parse-names":false,"suffix":""}],"container-title":"Journal of Nursing Education","id":"ITEM-1","issue":"3","issued":{"date-parts":[["2017"]]},"page":"139-144","title":"Effects of simulation on nursing student stress: An integrative review","type":"article","volume":"56"},"uris":["http://www.mendeley.com/documents/?uuid=a9e80292-eb14-3f44-90e0-e1aea6228e30"]},{"id":"ITEM-2","itemData":{"DOI":"10.1016/j.ecns.2013.03.003","ISSN":"18761399","abstract":"Nursing student anxiety may be evident during the simulation experience as students experience heightened anxiety when \"onstage\" in a scenario. Identified through a review of the literature, patterns of student anxiety emerge, mediated by learning style, concerns that are specific to simulation and being observed. Using the cognitive interference theory model, performance and anxiety are addressed. The anxiety level associated with learning is discussed, followed by literature-based recommendations on ways anxiety can be moderated to enhance learning. © 2013 International Nursing Association for Clinical Simulation and Learning.","author":[{"dropping-particle":"","family":"Nielsen","given":"Beverley","non-dropping-particle":"","parse-names":false,"suffix":""},{"dropping-particle":"","family":"Harder","given":"Nicole","non-dropping-particle":"","parse-names":false,"suffix":""}],"container-title":"Clinical Simulation in Nursing","id":"ITEM-2","issue":"11","issued":{"date-parts":[["2013"]]},"title":"Causes of student anxiety during simulation: What the literature says","type":"article","volume":"9"},"uris":["http://www.mendeley.com/documents/?uuid=bc3676c6-a3ae-39d3-a424-c65cd6dce83d"]}],"mendeley":{"formattedCitation":"[119,120]","plainTextFormattedCitation":"[119,120]","previouslyFormattedCitation":"[119,120]"},"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[119,120]</w:t>
      </w:r>
      <w:r w:rsidR="00710ABB">
        <w:rPr>
          <w:color w:val="000000" w:themeColor="text1"/>
          <w:sz w:val="20"/>
          <w:szCs w:val="20"/>
          <w:lang w:val="en-US"/>
        </w:rPr>
        <w:fldChar w:fldCharType="end"/>
      </w:r>
      <w:r w:rsidRPr="00CD3C9A">
        <w:rPr>
          <w:color w:val="000000" w:themeColor="text1"/>
          <w:sz w:val="20"/>
          <w:szCs w:val="20"/>
          <w:lang w:val="en-US"/>
        </w:rPr>
        <w:t xml:space="preserve"> </w:t>
      </w:r>
      <w:r w:rsidR="00BF0D7D" w:rsidRPr="00CD3C9A">
        <w:rPr>
          <w:color w:val="000000" w:themeColor="text1"/>
          <w:sz w:val="20"/>
          <w:szCs w:val="20"/>
          <w:lang w:val="en-US"/>
        </w:rPr>
        <w:t>F</w:t>
      </w:r>
      <w:r w:rsidRPr="00CD3C9A">
        <w:rPr>
          <w:color w:val="000000" w:themeColor="text1"/>
          <w:sz w:val="20"/>
          <w:szCs w:val="20"/>
          <w:lang w:val="en-US"/>
        </w:rPr>
        <w:t xml:space="preserve">ormative assessment </w:t>
      </w:r>
      <w:r w:rsidR="00BF0D7D" w:rsidRPr="00CD3C9A">
        <w:rPr>
          <w:color w:val="000000" w:themeColor="text1"/>
          <w:sz w:val="20"/>
          <w:szCs w:val="20"/>
          <w:lang w:val="en-US"/>
        </w:rPr>
        <w:t xml:space="preserve">has been described </w:t>
      </w:r>
      <w:r w:rsidRPr="00CD3C9A">
        <w:rPr>
          <w:color w:val="000000" w:themeColor="text1"/>
          <w:sz w:val="20"/>
          <w:szCs w:val="20"/>
          <w:lang w:val="en-US"/>
        </w:rPr>
        <w:t>as a debriefing phase</w:t>
      </w:r>
      <w:r w:rsidR="00710ABB">
        <w:rPr>
          <w:color w:val="000000" w:themeColor="text1"/>
          <w:sz w:val="20"/>
          <w:szCs w:val="20"/>
          <w:lang w:val="en-US"/>
        </w:rPr>
        <w:t>.</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10.1080/14739879.2013.11493462","ISSN":"14739879","PMID":"23498575","author":[{"dropping-particle":"","family":"Gavriel","given":"Jennifer","non-dropping-particle":"","parse-names":false,"suffix":""}],"container-title":"Education for Primary Care","id":"ITEM-1","issue":"2","issued":{"date-parts":[["2013"]]},"page":"93-96","title":"Assessment for learning: A wider (classroom-researched) perspective is important for formative assessment and self-directed learning in general practice","type":"article-journal","volume":"24"},"uris":["http://www.mendeley.com/documents/?uuid=9a3f3b84-8e99-3152-854d-b74281b25b33"]}],"mendeley":{"formattedCitation":"[107]","plainTextFormattedCitation":"[107]","previouslyFormattedCitation":"[107]"},"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[107]</w:t>
      </w:r>
      <w:r w:rsidR="00710ABB">
        <w:rPr>
          <w:color w:val="000000" w:themeColor="text1"/>
          <w:sz w:val="20"/>
          <w:szCs w:val="20"/>
          <w:lang w:val="en-US"/>
        </w:rPr>
        <w:fldChar w:fldCharType="end"/>
      </w:r>
      <w:r w:rsidRPr="00CD3C9A">
        <w:rPr>
          <w:color w:val="000000" w:themeColor="text1"/>
          <w:sz w:val="20"/>
          <w:szCs w:val="20"/>
          <w:lang w:val="en-US"/>
        </w:rPr>
        <w:t xml:space="preserve"> Students consider debriefing the most rewarding phase in clinical simulation</w:t>
      </w:r>
      <w:r w:rsidR="00710ABB">
        <w:rPr>
          <w:color w:val="000000" w:themeColor="text1"/>
          <w:sz w:val="20"/>
          <w:szCs w:val="20"/>
          <w:lang w:val="en-US"/>
        </w:rPr>
        <w:t xml:space="preserve">. </w:t>
      </w:r>
      <w:r w:rsidR="00710ABB">
        <w:rPr>
          <w:color w:val="000000" w:themeColor="text1"/>
          <w:sz w:val="20"/>
          <w:szCs w:val="20"/>
          <w:lang w:val="en-US"/>
        </w:rPr>
        <w:fldChar w:fldCharType="begin" w:fldLock="1"/>
      </w:r>
      <w:r w:rsidR="00351E6D">
        <w:rPr>
          <w:color w:val="000000" w:themeColor="text1"/>
          <w:sz w:val="20"/>
          <w:szCs w:val="20"/>
          <w:lang w:val="en-US"/>
        </w:rPr>
        <w:instrText>ADDIN CSL_CITATION {"citationItems":[{"id":"ITEM-1","itemData":{"DOI":"10.1016/j.nedt.2010.10.029","ISSN":"02606917","PMID":"21074297","abstract":"Simulated learning in a clinical skills centre has become more popular within undergraduate nursing education and is increasingly used to teach and assess clinical skill acquisition. Current literature suggests that there is some validity in teaching psychomotor skills in a designated simulated clinical skills centre, whilst other sources still question its value in terms of experience. Such contradictions demand further exploration and appraisal of the current literature.The findings show that simulated learning in a clinical skills laboratory is reported to increase student confidence and prepares students for real clinical setting, however, this acquisition of skill is often achieved at different rates by different students. A standardised approach to simulated learning in nursing education and the development of further holistic clinical scenarios which are linked to related theory and lectures, would offer measurable learning outcomes to meet professional and regulatory requirements. Therefore, further evaluation of the current learning methods within simulation may offer appraisal of the preparation of students for clinical practice, to ensure that students are offered quality-learning opportunities that are flexible and responsive to both their needs and the demands of the Health Care Services. © 2010 Elsevier Ltd.","author":[{"dropping-particle":"","family":"Ricketts","given":"Barry","non-dropping-particle":"","parse-names":false,"suffix":""}],"container-title":"Nurse Education Today","id":"ITEM-1","issue":"7","issued":{"date-parts":[["2011"]]},"page":"650-654","title":"The role of simulation for learning within pre-registration nursing education - A literature review","type":"article-journal","volume":"31"},"uris":["http://www.mendeley.com/documents/?uuid=6330f808-74e3-3382-898a-70165d6bf6d9"]},{"id":"ITEM-2","itemData":{"DOI":"10.1016/j.nedt.2014.09.009","ISSN":"15322793","PMID":"25459172","abstract":"Background: The use of simulation as an educational tool is becoming increasingly prevalent in nursing education, and a variety of simulators are utilized. Based on the results of these studies, nursing facilitators must find ways to promote effective learning among students in clinical practice and classrooms. Objective: To identify the best available evidence about the effects of patient simulation in nursing education through a meta-analysis. Methods: This study explores quantitative evidence published in the electronic databases: EBSCO, Medline, ScienceDirect, and ERIC. Using a search strategy, we identified 2503 potentially relevant articles. Twenty studies were included in the final analysis. Results: We found significant post-intervention improvements in various domains for participants who received simulation education compared to the control groups, with a pooled random-effects standardized mean difference of 0.71, which is a medium-to-large effect size. In the subgroup analysis, we found that simulation education in nursing had benefits, in terms of effect sizes, when the effects were evaluated through performance, the evaluation outcome was psychomotor skills, the subject of learning was clinical, learners were clinical nurses and senior undergraduate nursing students, and simulators were high fidelity. Conclusions: These results indicate that simulation education demonstrated medium to large effect sizes and could guide nurse educators with regard to the conditions under which patient simulation is more effective than traditional learning methods.","author":[{"dropping-particle":"","family":"Shin","given":"Sujin","non-dropping-particle":"","parse-names":false,"suffix":""},{"dropping-particle":"","family":"Park","given":"Jin Hwa","non-dropping-particle":"","parse-names":false,"suffix":""},{"dropping-particle":"","family":"Kim","given":"Jung Hee","non-dropping-particle":"","parse-names":false,"suffix":""}],"container-title":"Nurse Education Today","id":"ITEM-2","issue":"1","issued":{"date-parts":[["2015"]]},"page":"176-182","title":"Effectiveness of patient simulation in nursing education: Meta-analysis","type":"article","volume":"35"},"uris":["http://www.mendeley.com/documents/?uuid=cc5c8b3e-6025-3826-acee-88036e8ffd29"]},{"id":"ITEM-3","itemData":{"author":[{"dropping-particle":"","family":"Norman","given":"J","non-dropping-particle":"","parse-names":false,"suffix":""}],"container-title":"ABNF J.","id":"ITEM-3","issued":{"date-parts":[["2012"]]},"page":"24–8","title":"Systematic review of the literature on simulation in nursing education.","type":"article-journal","volume":"23"},"uris":["http://www.mendeley.com/documents/?uuid=551d07cb-d9f2-4183-831b-24b7c069672f"]}],"mendeley":{"formattedCitation":"[121–123]","plainTextFormattedCitation":"[121–123]","previouslyFormattedCitation":"[121–123]"},"properties":{"noteIndex":0},"schema":"https://github.com/citation-style-language/schema/raw/master/csl-citation.json"}</w:instrText>
      </w:r>
      <w:r w:rsidR="00710ABB">
        <w:rPr>
          <w:color w:val="000000" w:themeColor="text1"/>
          <w:sz w:val="20"/>
          <w:szCs w:val="20"/>
          <w:lang w:val="en-US"/>
        </w:rPr>
        <w:fldChar w:fldCharType="separate"/>
      </w:r>
      <w:r w:rsidR="00444200" w:rsidRPr="00444200">
        <w:rPr>
          <w:noProof/>
          <w:color w:val="000000" w:themeColor="text1"/>
          <w:sz w:val="20"/>
          <w:szCs w:val="20"/>
          <w:lang w:val="en-US"/>
        </w:rPr>
        <w:t>[121–123]</w:t>
      </w:r>
      <w:r w:rsidR="00710ABB">
        <w:rPr>
          <w:color w:val="000000" w:themeColor="text1"/>
          <w:sz w:val="20"/>
          <w:szCs w:val="20"/>
          <w:lang w:val="en-US"/>
        </w:rPr>
        <w:fldChar w:fldCharType="end"/>
      </w:r>
      <w:r w:rsidRPr="00CD3C9A">
        <w:rPr>
          <w:color w:val="000000" w:themeColor="text1"/>
          <w:sz w:val="20"/>
          <w:szCs w:val="20"/>
          <w:lang w:val="en-US"/>
        </w:rPr>
        <w:t xml:space="preserve"> Formative and summative assessment help to evaluate learners’ knowledge, progress, and acquisition of competencies to apply them in and theoretical clinical settings.</w:t>
      </w:r>
      <w:r w:rsidR="00BF0D7D" w:rsidRPr="00CD3C9A">
        <w:rPr>
          <w:color w:val="000000" w:themeColor="text1"/>
          <w:sz w:val="20"/>
          <w:szCs w:val="20"/>
          <w:lang w:val="en-US"/>
        </w:rPr>
        <w:t xml:space="preserve"> Our search of the peer reviewed literature did not find any studies on the use of formative and/or summative assessment in CL</w:t>
      </w:r>
      <w:r w:rsidR="00CD3C9A">
        <w:rPr>
          <w:color w:val="000000" w:themeColor="text1"/>
          <w:sz w:val="20"/>
          <w:szCs w:val="20"/>
          <w:lang w:val="en-US"/>
        </w:rPr>
        <w:t>E</w:t>
      </w:r>
      <w:r w:rsidR="00BF0D7D" w:rsidRPr="00CD3C9A">
        <w:rPr>
          <w:color w:val="000000" w:themeColor="text1"/>
          <w:sz w:val="20"/>
          <w:szCs w:val="20"/>
          <w:lang w:val="en-US"/>
        </w:rPr>
        <w:t>.</w:t>
      </w:r>
      <w:r w:rsidR="00351D79">
        <w:rPr>
          <w:color w:val="000000" w:themeColor="text1"/>
          <w:sz w:val="20"/>
          <w:szCs w:val="20"/>
          <w:lang w:val="en-US"/>
        </w:rPr>
        <w:t xml:space="preserve"> </w:t>
      </w:r>
      <w:r w:rsidR="003427B3">
        <w:rPr>
          <w:color w:val="0E101A"/>
          <w:sz w:val="20"/>
          <w:szCs w:val="20"/>
          <w:lang w:val="en-US"/>
        </w:rPr>
        <w:t xml:space="preserve">There was evidence that the following teaching and learning methods helped health care and general optometry students meet the intended learning outcomes; clinical teaching and learning, </w:t>
      </w:r>
      <w:r w:rsidR="003427B3">
        <w:rPr>
          <w:color w:val="0E101A"/>
          <w:sz w:val="20"/>
          <w:szCs w:val="20"/>
          <w:lang w:val="en-US"/>
        </w:rPr>
        <w:lastRenderedPageBreak/>
        <w:t xml:space="preserve">flipped classrooms, clinical skills </w:t>
      </w:r>
      <w:proofErr w:type="gramStart"/>
      <w:r w:rsidR="003427B3">
        <w:rPr>
          <w:color w:val="0E101A"/>
          <w:sz w:val="20"/>
          <w:szCs w:val="20"/>
          <w:lang w:val="en-US"/>
        </w:rPr>
        <w:t>videos</w:t>
      </w:r>
      <w:proofErr w:type="gramEnd"/>
      <w:r w:rsidR="003427B3">
        <w:rPr>
          <w:color w:val="0E101A"/>
          <w:sz w:val="20"/>
          <w:szCs w:val="20"/>
          <w:lang w:val="en-US"/>
        </w:rPr>
        <w:t xml:space="preserve"> and clerkships. For assessment these methods </w:t>
      </w:r>
      <w:r w:rsidR="000A009C">
        <w:rPr>
          <w:color w:val="0E101A"/>
          <w:sz w:val="20"/>
          <w:szCs w:val="20"/>
          <w:lang w:val="en-US"/>
        </w:rPr>
        <w:t>were</w:t>
      </w:r>
      <w:r w:rsidR="003427B3">
        <w:rPr>
          <w:color w:val="0E101A"/>
          <w:sz w:val="20"/>
          <w:szCs w:val="20"/>
          <w:lang w:val="en-US"/>
        </w:rPr>
        <w:t xml:space="preserve"> essays, case presentations, OSCEs, self-assessment and formative assessment. There was no evidence that </w:t>
      </w:r>
      <w:r w:rsidR="000A009C">
        <w:rPr>
          <w:color w:val="0E101A"/>
          <w:sz w:val="20"/>
          <w:szCs w:val="20"/>
          <w:lang w:val="en-US"/>
        </w:rPr>
        <w:t>journal clubs and case discussions</w:t>
      </w:r>
      <w:r w:rsidR="000A009C" w:rsidDel="000A009C">
        <w:rPr>
          <w:color w:val="0E101A"/>
          <w:sz w:val="20"/>
          <w:szCs w:val="20"/>
          <w:lang w:val="en-US"/>
        </w:rPr>
        <w:t xml:space="preserve"> </w:t>
      </w:r>
      <w:r w:rsidR="003427B3">
        <w:rPr>
          <w:color w:val="0E101A"/>
          <w:sz w:val="20"/>
          <w:szCs w:val="20"/>
          <w:lang w:val="en-US"/>
        </w:rPr>
        <w:t xml:space="preserve">helped health care and general optometry students meet the intended learning outcomes. Nor was any evidence found for the following assessment methods; MCQs, oral examinations, </w:t>
      </w:r>
      <w:r w:rsidR="00A40BBB">
        <w:rPr>
          <w:color w:val="0E101A"/>
          <w:sz w:val="20"/>
          <w:szCs w:val="20"/>
          <w:lang w:val="en-US"/>
        </w:rPr>
        <w:t>OSPEs</w:t>
      </w:r>
      <w:r w:rsidR="003427B3">
        <w:rPr>
          <w:color w:val="0E101A"/>
          <w:sz w:val="20"/>
          <w:szCs w:val="20"/>
          <w:lang w:val="en-US"/>
        </w:rPr>
        <w:t>, holistic assessment, and summative assessment.</w:t>
      </w:r>
    </w:p>
    <w:p w14:paraId="715465B1" w14:textId="77777777" w:rsidR="001B6131" w:rsidRPr="00F078A8" w:rsidRDefault="001B6131" w:rsidP="001B6131"/>
    <w:p w14:paraId="4DCE23CC" w14:textId="77777777" w:rsidR="001B6131" w:rsidRPr="00CD3C9A" w:rsidRDefault="001B6131" w:rsidP="001B6131">
      <w:pPr>
        <w:pStyle w:val="Heading1"/>
        <w:spacing w:before="0" w:after="0" w:line="360" w:lineRule="auto"/>
        <w:rPr>
          <w:b/>
          <w:bCs/>
          <w:color w:val="000000" w:themeColor="text1"/>
          <w:sz w:val="20"/>
          <w:szCs w:val="20"/>
        </w:rPr>
      </w:pPr>
      <w:r w:rsidRPr="00CD3C9A">
        <w:rPr>
          <w:b/>
          <w:bCs/>
          <w:color w:val="000000" w:themeColor="text1"/>
          <w:sz w:val="20"/>
          <w:szCs w:val="20"/>
        </w:rPr>
        <w:t>Post graduate learning</w:t>
      </w:r>
    </w:p>
    <w:p w14:paraId="7840238B" w14:textId="4314DADD" w:rsidR="001B6131" w:rsidRPr="00CD3C9A" w:rsidRDefault="001B6131" w:rsidP="001B6131">
      <w:pPr>
        <w:spacing w:line="360" w:lineRule="auto"/>
        <w:rPr>
          <w:rFonts w:eastAsia="Calibri"/>
          <w:color w:val="000000" w:themeColor="text1"/>
          <w:sz w:val="20"/>
          <w:szCs w:val="20"/>
        </w:rPr>
      </w:pPr>
      <w:r>
        <w:rPr>
          <w:rFonts w:eastAsia="Calibri"/>
          <w:color w:val="000000" w:themeColor="text1"/>
          <w:sz w:val="20"/>
          <w:szCs w:val="20"/>
        </w:rPr>
        <w:t xml:space="preserve">Finally, as learning is considered a </w:t>
      </w:r>
      <w:r w:rsidR="000A009C">
        <w:rPr>
          <w:rFonts w:eastAsia="Calibri"/>
          <w:color w:val="000000" w:themeColor="text1"/>
          <w:sz w:val="20"/>
          <w:szCs w:val="20"/>
        </w:rPr>
        <w:t>lifelong</w:t>
      </w:r>
      <w:r>
        <w:rPr>
          <w:rFonts w:eastAsia="Calibri"/>
          <w:color w:val="000000" w:themeColor="text1"/>
          <w:sz w:val="20"/>
          <w:szCs w:val="20"/>
        </w:rPr>
        <w:t xml:space="preserve"> journey, and with the expectation that health care practitioners maintain their clinical competency, many registration bodies require ongoing continuing professional development (CPD). The </w:t>
      </w:r>
      <w:r w:rsidRPr="00CD3C9A">
        <w:rPr>
          <w:rFonts w:eastAsia="Calibri"/>
          <w:color w:val="000000" w:themeColor="text1"/>
          <w:sz w:val="20"/>
          <w:szCs w:val="20"/>
        </w:rPr>
        <w:t>regulatory and legislative environment</w:t>
      </w:r>
      <w:r>
        <w:rPr>
          <w:rFonts w:eastAsia="Calibri"/>
          <w:color w:val="000000" w:themeColor="text1"/>
          <w:sz w:val="20"/>
          <w:szCs w:val="20"/>
        </w:rPr>
        <w:t>s</w:t>
      </w:r>
      <w:r w:rsidRPr="00CD3C9A">
        <w:rPr>
          <w:rFonts w:eastAsia="Calibri"/>
          <w:color w:val="000000" w:themeColor="text1"/>
          <w:sz w:val="20"/>
          <w:szCs w:val="20"/>
        </w:rPr>
        <w:t xml:space="preserve"> which encodes the training and qualification for optometry and </w:t>
      </w:r>
      <w:r w:rsidR="00E16F70">
        <w:rPr>
          <w:rFonts w:eastAsia="Calibri"/>
          <w:color w:val="000000" w:themeColor="text1"/>
          <w:sz w:val="20"/>
          <w:szCs w:val="20"/>
        </w:rPr>
        <w:t>CL</w:t>
      </w:r>
      <w:r w:rsidRPr="00CD3C9A">
        <w:rPr>
          <w:rFonts w:eastAsia="Calibri"/>
          <w:color w:val="000000" w:themeColor="text1"/>
          <w:sz w:val="20"/>
          <w:szCs w:val="20"/>
        </w:rPr>
        <w:t xml:space="preserve"> practitioners and governs the sale of </w:t>
      </w:r>
      <w:r w:rsidR="00E16F70">
        <w:rPr>
          <w:rFonts w:eastAsia="Calibri"/>
          <w:color w:val="000000" w:themeColor="text1"/>
          <w:sz w:val="20"/>
          <w:szCs w:val="20"/>
        </w:rPr>
        <w:t>CL</w:t>
      </w:r>
      <w:r w:rsidRPr="00CD3C9A">
        <w:rPr>
          <w:rFonts w:eastAsia="Calibri"/>
          <w:color w:val="000000" w:themeColor="text1"/>
          <w:sz w:val="20"/>
          <w:szCs w:val="20"/>
        </w:rPr>
        <w:t>s to consumers</w:t>
      </w:r>
      <w:r>
        <w:rPr>
          <w:rFonts w:eastAsia="Calibri"/>
          <w:color w:val="000000" w:themeColor="text1"/>
          <w:sz w:val="20"/>
          <w:szCs w:val="20"/>
        </w:rPr>
        <w:t xml:space="preserve"> is diverse matching the </w:t>
      </w:r>
      <w:r w:rsidRPr="00CD3C9A">
        <w:rPr>
          <w:rFonts w:eastAsia="Calibri"/>
          <w:color w:val="000000" w:themeColor="text1"/>
          <w:sz w:val="20"/>
          <w:szCs w:val="20"/>
        </w:rPr>
        <w:t>diversity</w:t>
      </w:r>
      <w:r>
        <w:rPr>
          <w:rFonts w:eastAsia="Calibri"/>
          <w:color w:val="000000" w:themeColor="text1"/>
          <w:sz w:val="20"/>
          <w:szCs w:val="20"/>
        </w:rPr>
        <w:t xml:space="preserve"> in </w:t>
      </w:r>
      <w:r w:rsidRPr="00CD3C9A">
        <w:rPr>
          <w:rFonts w:eastAsia="Calibri"/>
          <w:color w:val="000000" w:themeColor="text1"/>
          <w:sz w:val="20"/>
          <w:szCs w:val="20"/>
        </w:rPr>
        <w:t xml:space="preserve">global </w:t>
      </w:r>
      <w:r>
        <w:rPr>
          <w:rFonts w:eastAsia="Calibri"/>
          <w:color w:val="000000" w:themeColor="text1"/>
          <w:sz w:val="20"/>
          <w:szCs w:val="20"/>
        </w:rPr>
        <w:t>consumer expectations</w:t>
      </w:r>
      <w:r w:rsidRPr="00CD3C9A">
        <w:rPr>
          <w:rFonts w:eastAsia="Calibri"/>
          <w:color w:val="000000" w:themeColor="text1"/>
          <w:sz w:val="20"/>
          <w:szCs w:val="20"/>
        </w:rPr>
        <w:t xml:space="preserve">. At one end of the spectrum, disposable soft </w:t>
      </w:r>
      <w:r w:rsidR="00E16F70">
        <w:rPr>
          <w:rFonts w:eastAsia="Calibri"/>
          <w:color w:val="000000" w:themeColor="text1"/>
          <w:sz w:val="20"/>
          <w:szCs w:val="20"/>
        </w:rPr>
        <w:t>CL</w:t>
      </w:r>
      <w:r w:rsidRPr="00CD3C9A">
        <w:rPr>
          <w:rFonts w:eastAsia="Calibri"/>
          <w:color w:val="000000" w:themeColor="text1"/>
          <w:sz w:val="20"/>
          <w:szCs w:val="20"/>
        </w:rPr>
        <w:t xml:space="preserve">s </w:t>
      </w:r>
      <w:r>
        <w:rPr>
          <w:rFonts w:eastAsia="Calibri"/>
          <w:color w:val="000000" w:themeColor="text1"/>
          <w:sz w:val="20"/>
          <w:szCs w:val="20"/>
        </w:rPr>
        <w:t>are</w:t>
      </w:r>
      <w:r w:rsidRPr="00CD3C9A">
        <w:rPr>
          <w:rFonts w:eastAsia="Calibri"/>
          <w:color w:val="000000" w:themeColor="text1"/>
          <w:sz w:val="20"/>
          <w:szCs w:val="20"/>
        </w:rPr>
        <w:t xml:space="preserve"> bought</w:t>
      </w:r>
      <w:r>
        <w:rPr>
          <w:rFonts w:eastAsia="Calibri"/>
          <w:color w:val="000000" w:themeColor="text1"/>
          <w:sz w:val="20"/>
          <w:szCs w:val="20"/>
        </w:rPr>
        <w:t xml:space="preserve"> online</w:t>
      </w:r>
      <w:r w:rsidRPr="00CD3C9A">
        <w:rPr>
          <w:rFonts w:eastAsia="Calibri"/>
          <w:color w:val="000000" w:themeColor="text1"/>
          <w:sz w:val="20"/>
          <w:szCs w:val="20"/>
        </w:rPr>
        <w:t xml:space="preserve"> as fast-moving consumer goods, without the input of an eyecare practitioner</w:t>
      </w:r>
      <w:r w:rsidR="00351D79">
        <w:rPr>
          <w:rFonts w:eastAsia="Calibri"/>
          <w:color w:val="000000" w:themeColor="text1"/>
          <w:sz w:val="20"/>
          <w:szCs w:val="20"/>
        </w:rPr>
        <w:t>.</w:t>
      </w:r>
      <w:r w:rsidR="00351D79">
        <w:rPr>
          <w:rFonts w:eastAsia="Calibri"/>
          <w:color w:val="000000" w:themeColor="text1"/>
          <w:sz w:val="20"/>
          <w:szCs w:val="20"/>
        </w:rPr>
        <w:fldChar w:fldCharType="begin" w:fldLock="1"/>
      </w:r>
      <w:r w:rsidR="00351E6D">
        <w:rPr>
          <w:rFonts w:eastAsia="Calibri"/>
          <w:color w:val="000000" w:themeColor="text1"/>
          <w:sz w:val="20"/>
          <w:szCs w:val="20"/>
        </w:rPr>
        <w:instrText>ADDIN CSL_CITATION {"citationItems":[{"id":"ITEM-1","itemData":{"author":[{"dropping-particle":"","family":"Worp","given":"Eef","non-dropping-particle":"Van der","parse-names":false,"suffix":""},{"dropping-particle":"","family":"Chen","given":"Zhi","non-dropping-particle":"","parse-names":false,"suffix":""}],"container-title":"Contact Lens Spectrum","id":"ITEM-1","issued":{"date-parts":[["2017","6","1"]]},"title":"International Perspectives. The Great Wall of China","type":"article-magazine"},"uris":["http://www.mendeley.com/documents/?uuid=78f90159-40df-342f-86b5-f575bdbb0c30"]}],"mendeley":{"formattedCitation":"[124]","plainTextFormattedCitation":"[124]","previouslyFormattedCitation":"[124]"},"properties":{"noteIndex":0},"schema":"https://github.com/citation-style-language/schema/raw/master/csl-citation.json"}</w:instrText>
      </w:r>
      <w:r w:rsidR="00351D79">
        <w:rPr>
          <w:rFonts w:eastAsia="Calibri"/>
          <w:color w:val="000000" w:themeColor="text1"/>
          <w:sz w:val="20"/>
          <w:szCs w:val="20"/>
        </w:rPr>
        <w:fldChar w:fldCharType="separate"/>
      </w:r>
      <w:r w:rsidR="00444200" w:rsidRPr="00444200">
        <w:rPr>
          <w:rFonts w:eastAsia="Calibri"/>
          <w:noProof/>
          <w:color w:val="000000" w:themeColor="text1"/>
          <w:sz w:val="20"/>
          <w:szCs w:val="20"/>
        </w:rPr>
        <w:t>[124]</w:t>
      </w:r>
      <w:r w:rsidR="00351D79">
        <w:rPr>
          <w:rFonts w:eastAsia="Calibri"/>
          <w:color w:val="000000" w:themeColor="text1"/>
          <w:sz w:val="20"/>
          <w:szCs w:val="20"/>
        </w:rPr>
        <w:fldChar w:fldCharType="end"/>
      </w:r>
      <w:r w:rsidRPr="00CD3C9A">
        <w:rPr>
          <w:rFonts w:eastAsia="Calibri"/>
          <w:color w:val="000000" w:themeColor="text1"/>
          <w:sz w:val="20"/>
          <w:szCs w:val="20"/>
        </w:rPr>
        <w:t xml:space="preserve"> </w:t>
      </w:r>
      <w:r w:rsidR="00C316AA">
        <w:rPr>
          <w:rFonts w:eastAsia="Calibri"/>
          <w:color w:val="000000" w:themeColor="text1"/>
          <w:sz w:val="20"/>
          <w:szCs w:val="20"/>
        </w:rPr>
        <w:fldChar w:fldCharType="begin" w:fldLock="1"/>
      </w:r>
      <w:r w:rsidR="00C316AA">
        <w:rPr>
          <w:rFonts w:eastAsia="Calibri"/>
          <w:color w:val="000000" w:themeColor="text1"/>
          <w:sz w:val="20"/>
          <w:szCs w:val="20"/>
        </w:rPr>
        <w:instrText>ADDIN CSL_CITATION {"citationItems":[{"id":"ITEM-1","itemData":{"URL":"https://www.info.gov.hk/gia/general/201811/28/P2018112800498.htm","accessed":{"date-parts":[["2022","9","30"]]},"id":"ITEM-1","issued":{"date-parts":[["0"]]},"title":"The Government of Hong Kong Special Administrative Regions. Press Releases.","type":"webpage"},"uris":["http://www.mendeley.com/documents/?uuid=2fb0f16e-fff3-4a2f-a9cf-703bb7753ec0"]}],"mendeley":{"formattedCitation":"[125]","plainTextFormattedCitation":"[125]","previouslyFormattedCitation":"[125]"},"properties":{"noteIndex":0},"schema":"https://github.com/citation-style-language/schema/raw/master/csl-citation.json"}</w:instrText>
      </w:r>
      <w:r w:rsidR="00C316AA">
        <w:rPr>
          <w:rFonts w:eastAsia="Calibri"/>
          <w:color w:val="000000" w:themeColor="text1"/>
          <w:sz w:val="20"/>
          <w:szCs w:val="20"/>
        </w:rPr>
        <w:fldChar w:fldCharType="separate"/>
      </w:r>
      <w:r w:rsidR="00C316AA" w:rsidRPr="00C316AA">
        <w:rPr>
          <w:rFonts w:eastAsia="Calibri"/>
          <w:noProof/>
          <w:color w:val="000000" w:themeColor="text1"/>
          <w:sz w:val="20"/>
          <w:szCs w:val="20"/>
        </w:rPr>
        <w:t>[125]</w:t>
      </w:r>
      <w:r w:rsidR="00C316AA">
        <w:rPr>
          <w:rFonts w:eastAsia="Calibri"/>
          <w:color w:val="000000" w:themeColor="text1"/>
          <w:sz w:val="20"/>
          <w:szCs w:val="20"/>
        </w:rPr>
        <w:fldChar w:fldCharType="end"/>
      </w:r>
      <w:r w:rsidRPr="00CD3C9A">
        <w:rPr>
          <w:rFonts w:eastAsia="Calibri"/>
          <w:color w:val="000000" w:themeColor="text1"/>
          <w:sz w:val="20"/>
          <w:szCs w:val="20"/>
        </w:rPr>
        <w:t xml:space="preserve"> At the other end, specialty rigid gas permeable (RGP) lenses are fitted by an optometry or ophthalmology degree trained practitioner with additional post-graduate training or certification in </w:t>
      </w:r>
      <w:r w:rsidR="00E16F70">
        <w:rPr>
          <w:rFonts w:eastAsia="Calibri"/>
          <w:color w:val="000000" w:themeColor="text1"/>
          <w:sz w:val="20"/>
          <w:szCs w:val="20"/>
        </w:rPr>
        <w:t>CL</w:t>
      </w:r>
      <w:r w:rsidRPr="00CD3C9A">
        <w:rPr>
          <w:rFonts w:eastAsia="Calibri"/>
          <w:color w:val="000000" w:themeColor="text1"/>
          <w:sz w:val="20"/>
          <w:szCs w:val="20"/>
        </w:rPr>
        <w:t xml:space="preserve"> practice</w:t>
      </w:r>
      <w:r w:rsidR="003B1DA4">
        <w:rPr>
          <w:rFonts w:eastAsia="Calibri"/>
          <w:color w:val="000000" w:themeColor="text1"/>
          <w:sz w:val="20"/>
          <w:szCs w:val="20"/>
        </w:rPr>
        <w:t>.</w:t>
      </w:r>
      <w:r w:rsidR="00C316AA">
        <w:rPr>
          <w:rFonts w:eastAsia="Calibri"/>
          <w:color w:val="000000" w:themeColor="text1"/>
          <w:sz w:val="20"/>
          <w:szCs w:val="20"/>
        </w:rPr>
        <w:fldChar w:fldCharType="begin" w:fldLock="1"/>
      </w:r>
      <w:r w:rsidR="00C316AA">
        <w:rPr>
          <w:rFonts w:eastAsia="Calibri"/>
          <w:color w:val="000000" w:themeColor="text1"/>
          <w:sz w:val="20"/>
          <w:szCs w:val="20"/>
        </w:rPr>
        <w:instrText>ADDIN CSL_CITATION {"citationItems":[{"id":"ITEM-1","itemData":{"URL":"https://optometriceducation.org/","accessed":{"date-parts":[["2023","2","7"]]},"id":"ITEM-1","issued":{"date-parts":[["0"]]},"title":"ASCO – Association of Schools and Colleges of Optometry","type":"webpage"},"uris":["http://www.mendeley.com/documents/?uuid=ee3199a2-1086-49a3-80b4-56428a93d33d"]}],"mendeley":{"formattedCitation":"[126]","plainTextFormattedCitation":"[126]","previouslyFormattedCitation":"[126]"},"properties":{"noteIndex":0},"schema":"https://github.com/citation-style-language/schema/raw/master/csl-citation.json"}</w:instrText>
      </w:r>
      <w:r w:rsidR="00C316AA">
        <w:rPr>
          <w:rFonts w:eastAsia="Calibri"/>
          <w:color w:val="000000" w:themeColor="text1"/>
          <w:sz w:val="20"/>
          <w:szCs w:val="20"/>
        </w:rPr>
        <w:fldChar w:fldCharType="separate"/>
      </w:r>
      <w:r w:rsidR="00C316AA" w:rsidRPr="00C316AA">
        <w:rPr>
          <w:rFonts w:eastAsia="Calibri"/>
          <w:noProof/>
          <w:color w:val="000000" w:themeColor="text1"/>
          <w:sz w:val="20"/>
          <w:szCs w:val="20"/>
        </w:rPr>
        <w:t>[126]</w:t>
      </w:r>
      <w:r w:rsidR="00C316AA">
        <w:rPr>
          <w:rFonts w:eastAsia="Calibri"/>
          <w:color w:val="000000" w:themeColor="text1"/>
          <w:sz w:val="20"/>
          <w:szCs w:val="20"/>
        </w:rPr>
        <w:fldChar w:fldCharType="end"/>
      </w:r>
      <w:r w:rsidRPr="00CD3C9A">
        <w:rPr>
          <w:rFonts w:eastAsia="Calibri"/>
          <w:color w:val="000000" w:themeColor="text1"/>
          <w:sz w:val="20"/>
          <w:szCs w:val="20"/>
        </w:rPr>
        <w:t xml:space="preserve"> Within this spectrum, there are many eye care practitioner qualifications which allow the fitting, prescription and sale of </w:t>
      </w:r>
      <w:r w:rsidR="00E16F70">
        <w:rPr>
          <w:rFonts w:eastAsia="Calibri"/>
          <w:color w:val="000000" w:themeColor="text1"/>
          <w:sz w:val="20"/>
          <w:szCs w:val="20"/>
        </w:rPr>
        <w:t>CL</w:t>
      </w:r>
      <w:r w:rsidRPr="00CD3C9A">
        <w:rPr>
          <w:rFonts w:eastAsia="Calibri"/>
          <w:color w:val="000000" w:themeColor="text1"/>
          <w:sz w:val="20"/>
          <w:szCs w:val="20"/>
        </w:rPr>
        <w:t>s. These qualifications can be categorised as providing: vision function services (typically a certified dispensing optician); ocular diagnostic services (typically a degree qualified optometrist); and ocular therapeutic services (typically a post-graduate degree qualified optometrist or ophthalmologist)</w:t>
      </w:r>
      <w:r w:rsidR="003B1DA4">
        <w:rPr>
          <w:rFonts w:eastAsia="Calibri"/>
          <w:color w:val="000000" w:themeColor="text1"/>
          <w:sz w:val="20"/>
          <w:szCs w:val="20"/>
        </w:rPr>
        <w:t>.</w:t>
      </w:r>
      <w:r w:rsidRPr="00CD3C9A">
        <w:rPr>
          <w:rFonts w:eastAsia="Calibri"/>
          <w:color w:val="000000" w:themeColor="text1"/>
          <w:sz w:val="20"/>
          <w:szCs w:val="20"/>
        </w:rPr>
        <w:t xml:space="preserve"> </w:t>
      </w:r>
      <w:r w:rsidR="00C316AA">
        <w:rPr>
          <w:rFonts w:eastAsia="Calibri"/>
          <w:color w:val="000000" w:themeColor="text1"/>
          <w:sz w:val="20"/>
          <w:szCs w:val="20"/>
        </w:rPr>
        <w:fldChar w:fldCharType="begin" w:fldLock="1"/>
      </w:r>
      <w:r w:rsidR="00C316AA">
        <w:rPr>
          <w:rFonts w:eastAsia="Calibri"/>
          <w:color w:val="000000" w:themeColor="text1"/>
          <w:sz w:val="20"/>
          <w:szCs w:val="20"/>
        </w:rPr>
        <w:instrText>ADDIN CSL_CITATION {"citationItems":[{"id":"ITEM-1","itemData":{"URL":"https://www.ecoo.info/wp-content/uploads/2020/10/ECOO_BlueBook_2021_7.pdf","accessed":{"date-parts":[["2023","2","7"]]},"id":"ITEM-1","issued":{"date-parts":[["0"]]},"title":"European Council of Optometry and Optics | Blue Book 2020 Trends in optics and optometry comparative European data","type":"webpage"},"uris":["http://www.mendeley.com/documents/?uuid=8506b8d1-9261-4c5c-8145-71543f785431"]}],"mendeley":{"formattedCitation":"[127]","plainTextFormattedCitation":"[127]","previouslyFormattedCitation":"[127]"},"properties":{"noteIndex":0},"schema":"https://github.com/citation-style-language/schema/raw/master/csl-citation.json"}</w:instrText>
      </w:r>
      <w:r w:rsidR="00C316AA">
        <w:rPr>
          <w:rFonts w:eastAsia="Calibri"/>
          <w:color w:val="000000" w:themeColor="text1"/>
          <w:sz w:val="20"/>
          <w:szCs w:val="20"/>
        </w:rPr>
        <w:fldChar w:fldCharType="separate"/>
      </w:r>
      <w:r w:rsidR="00C316AA" w:rsidRPr="00C316AA">
        <w:rPr>
          <w:rFonts w:eastAsia="Calibri"/>
          <w:noProof/>
          <w:color w:val="000000" w:themeColor="text1"/>
          <w:sz w:val="20"/>
          <w:szCs w:val="20"/>
        </w:rPr>
        <w:t>[127]</w:t>
      </w:r>
      <w:r w:rsidR="00C316AA">
        <w:rPr>
          <w:rFonts w:eastAsia="Calibri"/>
          <w:color w:val="000000" w:themeColor="text1"/>
          <w:sz w:val="20"/>
          <w:szCs w:val="20"/>
        </w:rPr>
        <w:fldChar w:fldCharType="end"/>
      </w:r>
    </w:p>
    <w:p w14:paraId="5E7DB3F1" w14:textId="66DE7A8D" w:rsidR="001B6131" w:rsidRDefault="001B6131" w:rsidP="001B6131">
      <w:pPr>
        <w:spacing w:line="360" w:lineRule="auto"/>
        <w:rPr>
          <w:rFonts w:eastAsia="Calibri"/>
          <w:color w:val="000000" w:themeColor="text1"/>
          <w:sz w:val="20"/>
          <w:szCs w:val="20"/>
        </w:rPr>
      </w:pPr>
      <w:r w:rsidRPr="00CD3C9A">
        <w:rPr>
          <w:rFonts w:eastAsia="Calibri"/>
          <w:color w:val="000000" w:themeColor="text1"/>
          <w:sz w:val="20"/>
          <w:szCs w:val="20"/>
        </w:rPr>
        <w:t xml:space="preserve">Globally, significant efforts to harmonise both the legislative and regulatory environment of eyecare provision and </w:t>
      </w:r>
      <w:r w:rsidR="00E16F70">
        <w:rPr>
          <w:rFonts w:eastAsia="Calibri"/>
          <w:color w:val="000000" w:themeColor="text1"/>
          <w:sz w:val="20"/>
          <w:szCs w:val="20"/>
        </w:rPr>
        <w:t>CL</w:t>
      </w:r>
      <w:r w:rsidRPr="00CD3C9A">
        <w:rPr>
          <w:rFonts w:eastAsia="Calibri"/>
          <w:color w:val="000000" w:themeColor="text1"/>
          <w:sz w:val="20"/>
          <w:szCs w:val="20"/>
        </w:rPr>
        <w:t xml:space="preserve"> supply, as well as the education of eyecare and </w:t>
      </w:r>
      <w:r w:rsidR="00E16F70">
        <w:rPr>
          <w:rFonts w:eastAsia="Calibri"/>
          <w:color w:val="000000" w:themeColor="text1"/>
          <w:sz w:val="20"/>
          <w:szCs w:val="20"/>
        </w:rPr>
        <w:t>CL</w:t>
      </w:r>
      <w:r w:rsidRPr="00CD3C9A">
        <w:rPr>
          <w:rFonts w:eastAsia="Calibri"/>
          <w:color w:val="000000" w:themeColor="text1"/>
          <w:sz w:val="20"/>
          <w:szCs w:val="20"/>
        </w:rPr>
        <w:t xml:space="preserve"> practitioners, are underway. Reflecting that the majority of </w:t>
      </w:r>
      <w:r w:rsidR="00E16F70">
        <w:rPr>
          <w:rFonts w:eastAsia="Calibri"/>
          <w:color w:val="000000" w:themeColor="text1"/>
          <w:sz w:val="20"/>
          <w:szCs w:val="20"/>
        </w:rPr>
        <w:t>CL</w:t>
      </w:r>
      <w:r w:rsidRPr="00CD3C9A">
        <w:rPr>
          <w:rFonts w:eastAsia="Calibri"/>
          <w:color w:val="000000" w:themeColor="text1"/>
          <w:sz w:val="20"/>
          <w:szCs w:val="20"/>
        </w:rPr>
        <w:t xml:space="preserve"> fitting is done by optometrists, this effort is being spearheaded by international organisations such as the European Council of Optometry (31 member countries), The World Council of Optometry (44 member countries), The Asia Pacific Council of Optometry (18 countries), the African Council of Optometry (14 member countries), and is supported by many educational and professional bodies</w:t>
      </w:r>
      <w:r w:rsidR="003B1DA4">
        <w:rPr>
          <w:rFonts w:eastAsia="Calibri"/>
          <w:color w:val="000000" w:themeColor="text1"/>
          <w:sz w:val="20"/>
          <w:szCs w:val="20"/>
        </w:rPr>
        <w:t>.</w:t>
      </w:r>
      <w:r w:rsidR="00C316AA">
        <w:rPr>
          <w:rFonts w:eastAsia="Calibri"/>
          <w:color w:val="000000" w:themeColor="text1"/>
          <w:sz w:val="20"/>
          <w:szCs w:val="20"/>
        </w:rPr>
        <w:fldChar w:fldCharType="begin" w:fldLock="1"/>
      </w:r>
      <w:r w:rsidR="00FB4602">
        <w:rPr>
          <w:rFonts w:eastAsia="Calibri"/>
          <w:color w:val="000000" w:themeColor="text1"/>
          <w:sz w:val="20"/>
          <w:szCs w:val="20"/>
        </w:rPr>
        <w:instrText>ADDIN CSL_CITATION {"citationItems":[{"id":"ITEM-1","itemData":{"URL":"https://www.ecoo.info/wp-content/uploads/2020/10/ECOO_BlueBook_2021_7.pdf","accessed":{"date-parts":[["2023","2","7"]]},"id":"ITEM-1","issued":{"date-parts":[["0"]]},"title":"European Council of Optometry and Optics | Blue Book 2020 Trends in optics and optometry comparative European data","type":"webpage"},"uris":["http://www.mendeley.com/documents/?uuid=8506b8d1-9261-4c5c-8145-71543f785431"]},{"id":"ITEM-2","itemData":{"URL":"https://worldcouncilofoptometry.info/our-members/","accessed":{"date-parts":[["2022","9","30"]]},"id":"ITEM-2","issued":{"date-parts":[["0"]]},"title":"Our Members - World Council of Optometry","type":"webpage"},"uris":["http://www.mendeley.com/documents/?uuid=c2bb30ef-4b9b-47fa-a4bf-bf6f38161c13"]},{"id":"ITEM-3","itemData":{"URL":"https://asiapacificoptometry.org/","accessed":{"date-parts":[["2023","2","7"]]},"id":"ITEM-3","issued":{"date-parts":[["0"]]},"title":"Asia Pacific Council of Optometry","type":"webpage"},"uris":["http://www.mendeley.com/documents/?uuid=7fbaade4-b417-431a-845a-b3064d096a6d"]},{"id":"ITEM-4","itemData":{"URL":"https://www.optometryafrica.com/","accessed":{"date-parts":[["2023","2","7"]]},"id":"ITEM-4","issued":{"date-parts":[["0"]]},"title":"AFCO |The African Council of Optometry |","type":"webpage"},"uris":["http://www.mendeley.com/documents/?uuid=cade0a8c-f520-49a9-be2f-fabcc54b2a0e"]},{"id":"ITEM-5","itemData":{"URL":"https://iacle.org/","accessed":{"date-parts":[["2023","2","7"]]},"id":"ITEM-5","issued":{"date-parts":[["0"]]},"title":"IACLE – International Association of Contact Lens Educators","type":"webpage"},"uris":["http://www.mendeley.com/documents/?uuid=ec5d6bf2-6301-4ce5-9210-70c408c319d5"]}],"mendeley":{"formattedCitation":"[127–131]","plainTextFormattedCitation":"[127–131]","previouslyFormattedCitation":"[127–131]"},"properties":{"noteIndex":0},"schema":"https://github.com/citation-style-language/schema/raw/master/csl-citation.json"}</w:instrText>
      </w:r>
      <w:r w:rsidR="00C316AA">
        <w:rPr>
          <w:rFonts w:eastAsia="Calibri"/>
          <w:color w:val="000000" w:themeColor="text1"/>
          <w:sz w:val="20"/>
          <w:szCs w:val="20"/>
        </w:rPr>
        <w:fldChar w:fldCharType="separate"/>
      </w:r>
      <w:r w:rsidR="002340F1" w:rsidRPr="002340F1">
        <w:rPr>
          <w:rFonts w:eastAsia="Calibri"/>
          <w:noProof/>
          <w:color w:val="000000" w:themeColor="text1"/>
          <w:sz w:val="20"/>
          <w:szCs w:val="20"/>
        </w:rPr>
        <w:t>[127–131]</w:t>
      </w:r>
      <w:r w:rsidR="00C316AA">
        <w:rPr>
          <w:rFonts w:eastAsia="Calibri"/>
          <w:color w:val="000000" w:themeColor="text1"/>
          <w:sz w:val="20"/>
          <w:szCs w:val="20"/>
        </w:rPr>
        <w:fldChar w:fldCharType="end"/>
      </w:r>
      <w:r w:rsidR="002340F1">
        <w:rPr>
          <w:rFonts w:eastAsia="Calibri"/>
          <w:color w:val="000000" w:themeColor="text1"/>
          <w:sz w:val="20"/>
          <w:szCs w:val="20"/>
        </w:rPr>
        <w:t xml:space="preserve"> </w:t>
      </w:r>
      <w:r w:rsidRPr="00CD3C9A">
        <w:rPr>
          <w:rFonts w:eastAsia="Calibri"/>
          <w:color w:val="000000" w:themeColor="text1"/>
          <w:sz w:val="20"/>
          <w:szCs w:val="20"/>
        </w:rPr>
        <w:t xml:space="preserve">Not all </w:t>
      </w:r>
      <w:r w:rsidR="00E16F70">
        <w:rPr>
          <w:rFonts w:eastAsia="Calibri"/>
          <w:color w:val="000000" w:themeColor="text1"/>
          <w:sz w:val="20"/>
          <w:szCs w:val="20"/>
        </w:rPr>
        <w:t>CL</w:t>
      </w:r>
      <w:r w:rsidRPr="00CD3C9A">
        <w:rPr>
          <w:rFonts w:eastAsia="Calibri"/>
          <w:color w:val="000000" w:themeColor="text1"/>
          <w:sz w:val="20"/>
          <w:szCs w:val="20"/>
        </w:rPr>
        <w:t xml:space="preserve"> practitioners are regulated or licensed. Opticianry and optometry are regulated as a profession in most countries where accredited degree or diploma qualifications are offered</w:t>
      </w:r>
      <w:r w:rsidR="003B1DA4">
        <w:rPr>
          <w:rFonts w:eastAsia="Calibri"/>
          <w:color w:val="000000" w:themeColor="text1"/>
          <w:sz w:val="20"/>
          <w:szCs w:val="20"/>
        </w:rPr>
        <w:t>.</w:t>
      </w:r>
      <w:r w:rsidR="00941CDB">
        <w:rPr>
          <w:rFonts w:eastAsia="Calibri"/>
          <w:color w:val="000000" w:themeColor="text1"/>
          <w:sz w:val="20"/>
          <w:szCs w:val="20"/>
        </w:rPr>
        <w:fldChar w:fldCharType="begin" w:fldLock="1"/>
      </w:r>
      <w:r w:rsidR="00FB4602">
        <w:rPr>
          <w:rFonts w:eastAsia="Calibri"/>
          <w:color w:val="000000" w:themeColor="text1"/>
          <w:sz w:val="20"/>
          <w:szCs w:val="20"/>
        </w:rPr>
        <w:instrText>ADDIN CSL_CITATION {"citationItems":[{"id":"ITEM-1","itemData":{"URL":"https://www.bclaws.gov.bc.ca/civix/document/id/loo65/loo65/487_94; 1996 ","accessed":{"date-parts":[["2022","9","30"]]},"id":"ITEM-1","issued":{"date-parts":[["0"]]},"title":"Queen's Printer, Victoria, British Columbia, Canada. Health Professions Act. Opticians Regulation.","type":"webpage"},"uris":["http://www.mendeley.com/documents/?uuid=33f61714-f60e-49dd-92f3-88b3eb87a15a"]},{"id":"ITEM-2","itemData":{"URL":"https://www.legislation.gov.uk/ukpga/1989/44/contents.","accessed":{"date-parts":[["2022","9","30"]]},"id":"ITEM-2","issued":{"date-parts":[["0"]]},"title":"The National Archives. Opticians Act 1989","type":"webpage"},"uris":["http://www.mendeley.com/documents/?uuid=d1fcb49d-e905-4dee-9ae8-d4029d128de8"]},{"id":"ITEM-3","itemData":{"URL":"https://ec.europa.eu/growth/tools-databases/regprof/index.cfm?action=regprof&amp;id_regprof=1148&amp;tab=pro Optometrist (ophthalmic optician) (United Kingdom); 2005","accessed":{"date-parts":[["2022","9","30"]]},"id":"ITEM-3","issued":{"date-parts":[["0"]]},"title":"European Commission. The EU Single Market Regulated Professions database.","type":"webpage"},"uris":["http://www.mendeley.com/documents/?uuid=b225514a-6c4b-494d-b52c-df3bc1a8269a"]}],"mendeley":{"formattedCitation":"[132–134]","plainTextFormattedCitation":"[132–134]","previouslyFormattedCitation":"[132–134]"},"properties":{"noteIndex":0},"schema":"https://github.com/citation-style-language/schema/raw/master/csl-citation.json"}</w:instrText>
      </w:r>
      <w:r w:rsidR="00941CDB">
        <w:rPr>
          <w:rFonts w:eastAsia="Calibri"/>
          <w:color w:val="000000" w:themeColor="text1"/>
          <w:sz w:val="20"/>
          <w:szCs w:val="20"/>
        </w:rPr>
        <w:fldChar w:fldCharType="separate"/>
      </w:r>
      <w:r w:rsidR="00941CDB" w:rsidRPr="00941CDB">
        <w:rPr>
          <w:rFonts w:eastAsia="Calibri"/>
          <w:noProof/>
          <w:color w:val="000000" w:themeColor="text1"/>
          <w:sz w:val="20"/>
          <w:szCs w:val="20"/>
        </w:rPr>
        <w:t>[132–134]</w:t>
      </w:r>
      <w:r w:rsidR="00941CDB">
        <w:rPr>
          <w:rFonts w:eastAsia="Calibri"/>
          <w:color w:val="000000" w:themeColor="text1"/>
          <w:sz w:val="20"/>
          <w:szCs w:val="20"/>
        </w:rPr>
        <w:fldChar w:fldCharType="end"/>
      </w:r>
      <w:r w:rsidRPr="00CD3C9A">
        <w:rPr>
          <w:rFonts w:eastAsia="Calibri"/>
          <w:color w:val="000000" w:themeColor="text1"/>
          <w:sz w:val="20"/>
          <w:szCs w:val="20"/>
        </w:rPr>
        <w:t xml:space="preserve">  </w:t>
      </w:r>
    </w:p>
    <w:p w14:paraId="176D03B6" w14:textId="39286102" w:rsidR="001B6131" w:rsidRPr="00CD3C9A" w:rsidRDefault="001B6131" w:rsidP="001B6131">
      <w:pPr>
        <w:spacing w:line="360" w:lineRule="auto"/>
        <w:rPr>
          <w:rFonts w:eastAsia="Calibri"/>
          <w:b/>
          <w:color w:val="000000" w:themeColor="text1"/>
          <w:sz w:val="20"/>
          <w:szCs w:val="20"/>
        </w:rPr>
      </w:pPr>
      <w:r w:rsidRPr="00CD3C9A">
        <w:rPr>
          <w:rFonts w:eastAsia="Calibri"/>
          <w:color w:val="000000" w:themeColor="text1"/>
          <w:sz w:val="20"/>
          <w:szCs w:val="20"/>
        </w:rPr>
        <w:t>Graduating optometrists have obligations around scope of practice and ongoing continuing education in order to maintain and renew registration each year.</w:t>
      </w:r>
      <w:r>
        <w:rPr>
          <w:rFonts w:eastAsia="Calibri"/>
          <w:color w:val="000000" w:themeColor="text1"/>
          <w:sz w:val="20"/>
          <w:szCs w:val="20"/>
        </w:rPr>
        <w:t xml:space="preserve"> </w:t>
      </w:r>
      <w:r w:rsidRPr="00CD3C9A">
        <w:rPr>
          <w:rFonts w:eastAsia="Calibri"/>
          <w:color w:val="000000" w:themeColor="text1"/>
          <w:sz w:val="20"/>
          <w:szCs w:val="20"/>
        </w:rPr>
        <w:t>Before registration, most degrees include a period of internship or external clinical placements within the course or program and some degrees also require an external one-year residency or pre-registration year. This period of external clinical immersion allows students to acquire clinical acumen which is hard to gain in a university teaching environment. Post-graduate external licensing examinations, administered by the national registering body or department of health, are required after this period of clinical placement for optometrists practising in Canada, Ireland, Saudi Arabia, Thailand, UK and USA.</w:t>
      </w:r>
      <w:r w:rsidR="00941CDB">
        <w:rPr>
          <w:rFonts w:eastAsia="Calibri"/>
          <w:color w:val="000000" w:themeColor="text1"/>
          <w:sz w:val="20"/>
          <w:szCs w:val="20"/>
        </w:rPr>
        <w:fldChar w:fldCharType="begin" w:fldLock="1"/>
      </w:r>
      <w:r w:rsidR="00BE3748">
        <w:rPr>
          <w:rFonts w:eastAsia="Calibri"/>
          <w:color w:val="000000" w:themeColor="text1"/>
          <w:sz w:val="20"/>
          <w:szCs w:val="20"/>
        </w:rPr>
        <w:instrText>ADDIN CSL_CITATION {"citationItems":[{"id":"ITEM-1","itemData":{"URL":"https://nbeo.optometry.org/about; 2023 ","accessed":{"date-parts":[["2023","2","4"]]},"id":"ITEM-1","issued":{"date-parts":[["0"]]},"title":"National Board of Examiners in Optometry (USA)","type":"webpage"},"uris":["http://www.mendeley.com/documents/?uuid=52dc6e08-673a-40a2-999c-11d7c048ddc4"]},{"id":"ITEM-2","itemData":{"URL":"https://oebc.ca/; 2023","accessed":{"date-parts":[["2023","2","4"]]},"id":"ITEM-2","issued":{"date-parts":[["0"]]},"title":"Optometry Examining Board of Canada","type":"webpage"},"uris":["http://www.mendeley.com/documents/?uuid=1709d351-a816-4014-bf18-393cd3d45a50"]},{"id":"ITEM-3","itemData":{"URL":"https://www.college-optometrists.org/qualifying","accessed":{"date-parts":[["2023","2","4"]]},"id":"ITEM-3","issued":{"date-parts":[["0"]]},"title":"The College of Optometrists, Qualifying","type":"webpage"},"uris":["http://www.mendeley.com/documents/?uuid=d934e276-8ce6-42f9-943e-5abab9001ff3"]},{"id":"ITEM-4","itemData":{"URL":"https://coru.ie/about-us/registration-boards/optical-registration-board/about-the-optical-registration-board/","accessed":{"date-parts":[["2023","2","7"]]},"id":"ITEM-4","issued":{"date-parts":[["0"]]},"title":"About the Optical Registration Board - Coru","type":"webpage"},"uris":["http://www.mendeley.com/documents/?uuid=f4a8aaa3-af2d-444b-9315-f36f074f4c2c"]},{"id":"ITEM-5","itemData":{"URL":"https://news.iu.edu/stories/features/thailand/university-partnership-helped-establish-optometry-in-thailand.html","accessed":{"date-parts":[["2023","2","7"]]},"id":"ITEM-5","issued":{"date-parts":[["0"]]},"title":"IU in Thailand: News at IU: Indiana University","type":"webpage"},"uris":["http://www.mendeley.com/documents/?uuid=ab272003-51ab-4938-995f-f298346c19aa"]},{"id":"ITEM-6","itemData":{"URL":"https://scfhs.org.sa/en/classification-exams?exam=Optometry Technician","accessed":{"date-parts":[["2023","2","7"]]},"id":"ITEM-6","issued":{"date-parts":[["0"]]},"title":"Classification Exams | Saudi Commission for Health Specialties","type":"webpage"},"uris":["http://www.mendeley.com/documents/?uuid=287968b4-30ec-4adb-be69-1d2d3139ed80"]}],"mendeley":{"formattedCitation":"[135–140]","plainTextFormattedCitation":"[135–140]","previouslyFormattedCitation":"[135–140]"},"properties":{"noteIndex":0},"schema":"https://github.com/citation-style-language/schema/raw/master/csl-citation.json"}</w:instrText>
      </w:r>
      <w:r w:rsidR="00941CDB">
        <w:rPr>
          <w:rFonts w:eastAsia="Calibri"/>
          <w:color w:val="000000" w:themeColor="text1"/>
          <w:sz w:val="20"/>
          <w:szCs w:val="20"/>
        </w:rPr>
        <w:fldChar w:fldCharType="separate"/>
      </w:r>
      <w:r w:rsidR="005E582A" w:rsidRPr="005E582A">
        <w:rPr>
          <w:rFonts w:eastAsia="Calibri"/>
          <w:noProof/>
          <w:color w:val="000000" w:themeColor="text1"/>
          <w:sz w:val="20"/>
          <w:szCs w:val="20"/>
        </w:rPr>
        <w:t>[135–140]</w:t>
      </w:r>
      <w:r w:rsidR="00941CDB">
        <w:rPr>
          <w:rFonts w:eastAsia="Calibri"/>
          <w:color w:val="000000" w:themeColor="text1"/>
          <w:sz w:val="20"/>
          <w:szCs w:val="20"/>
        </w:rPr>
        <w:fldChar w:fldCharType="end"/>
      </w:r>
      <w:r w:rsidRPr="00CD3C9A">
        <w:rPr>
          <w:rFonts w:eastAsia="Calibri"/>
          <w:color w:val="000000" w:themeColor="text1"/>
          <w:sz w:val="20"/>
          <w:szCs w:val="20"/>
        </w:rPr>
        <w:t xml:space="preserve"> </w:t>
      </w:r>
    </w:p>
    <w:p w14:paraId="5663686D" w14:textId="77777777" w:rsidR="001B6131" w:rsidRDefault="001B6131" w:rsidP="001B6131">
      <w:pPr>
        <w:spacing w:line="360" w:lineRule="auto"/>
        <w:rPr>
          <w:rFonts w:eastAsia="Calibri"/>
          <w:color w:val="000000" w:themeColor="text1"/>
          <w:sz w:val="20"/>
          <w:szCs w:val="20"/>
        </w:rPr>
      </w:pPr>
    </w:p>
    <w:p w14:paraId="4C342AD1" w14:textId="1E4393D6" w:rsidR="001B6131" w:rsidRPr="00CD3C9A" w:rsidRDefault="001B6131" w:rsidP="001B6131">
      <w:pPr>
        <w:spacing w:line="360" w:lineRule="auto"/>
        <w:rPr>
          <w:rFonts w:eastAsia="Calibri"/>
          <w:color w:val="000000" w:themeColor="text1"/>
          <w:sz w:val="20"/>
          <w:szCs w:val="20"/>
        </w:rPr>
      </w:pPr>
      <w:r>
        <w:rPr>
          <w:rFonts w:eastAsia="Calibri"/>
          <w:color w:val="000000" w:themeColor="text1"/>
          <w:sz w:val="20"/>
          <w:szCs w:val="20"/>
        </w:rPr>
        <w:t>While t</w:t>
      </w:r>
      <w:r w:rsidRPr="00CD3C9A">
        <w:rPr>
          <w:rFonts w:eastAsia="Calibri"/>
          <w:color w:val="000000" w:themeColor="text1"/>
          <w:sz w:val="20"/>
          <w:szCs w:val="20"/>
        </w:rPr>
        <w:t xml:space="preserve">here are pockets of reciprocal registration or mutual recognition in optometry, with Canada recognising many USA qualifications and Australia and New Zealand offering mutual </w:t>
      </w:r>
      <w:r w:rsidRPr="00CD3C9A">
        <w:rPr>
          <w:rFonts w:eastAsia="Calibri"/>
          <w:color w:val="000000" w:themeColor="text1"/>
          <w:sz w:val="20"/>
          <w:szCs w:val="20"/>
        </w:rPr>
        <w:lastRenderedPageBreak/>
        <w:t>registration</w:t>
      </w:r>
      <w:r w:rsidR="005E582A">
        <w:rPr>
          <w:rFonts w:eastAsia="Calibri"/>
          <w:color w:val="000000" w:themeColor="text1"/>
          <w:sz w:val="20"/>
          <w:szCs w:val="20"/>
        </w:rPr>
        <w:t>.</w:t>
      </w:r>
      <w:r w:rsidR="005E582A">
        <w:rPr>
          <w:rFonts w:eastAsia="Calibri"/>
          <w:color w:val="000000" w:themeColor="text1"/>
          <w:sz w:val="20"/>
          <w:szCs w:val="20"/>
        </w:rPr>
        <w:fldChar w:fldCharType="begin" w:fldLock="1"/>
      </w:r>
      <w:r w:rsidR="005E582A">
        <w:rPr>
          <w:rFonts w:eastAsia="Calibri"/>
          <w:color w:val="000000" w:themeColor="text1"/>
          <w:sz w:val="20"/>
          <w:szCs w:val="20"/>
        </w:rPr>
        <w:instrText>ADDIN CSL_CITATION {"citationItems":[{"id":"ITEM-1","itemData":{"URL":"https://www.ocanz.org/assets/Accreditation/6f8f3995c2/OCANZ-Part-1-FINAL.pdf","accessed":{"date-parts":[["2023","2","7"]]},"id":"ITEM-1","issued":{"date-parts":[["0"]]},"title":"Accreditation Manual for Optometry Programs in Australia and New Zealand | Optometry Council of Australia and New Zealand","type":"webpage"},"uris":["http://www.mendeley.com/documents/?uuid=9d4c73fb-f792-4624-b9a2-59adbd8d3635"]},{"id":"ITEM-2","itemData":{"URL":"https://opto.ca/becoming-a-doctor-of-optometry","accessed":{"date-parts":[["2023","2","7"]]},"id":"ITEM-2","issued":{"date-parts":[["0"]]},"title":"Becoming a Doctor of Optometry | The Canadian Association of Optometrists","type":"webpage"},"uris":["http://www.mendeley.com/documents/?uuid=1838a5dd-06c9-43a3-a82a-c7dab1ba5d9e"]}],"mendeley":{"formattedCitation":"[141,142]","plainTextFormattedCitation":"[141,142]","previouslyFormattedCitation":"[141,142]"},"properties":{"noteIndex":0},"schema":"https://github.com/citation-style-language/schema/raw/master/csl-citation.json"}</w:instrText>
      </w:r>
      <w:r w:rsidR="005E582A">
        <w:rPr>
          <w:rFonts w:eastAsia="Calibri"/>
          <w:color w:val="000000" w:themeColor="text1"/>
          <w:sz w:val="20"/>
          <w:szCs w:val="20"/>
        </w:rPr>
        <w:fldChar w:fldCharType="separate"/>
      </w:r>
      <w:r w:rsidR="005E582A" w:rsidRPr="005E582A">
        <w:rPr>
          <w:rFonts w:eastAsia="Calibri"/>
          <w:noProof/>
          <w:color w:val="000000" w:themeColor="text1"/>
          <w:sz w:val="20"/>
          <w:szCs w:val="20"/>
        </w:rPr>
        <w:t>[141,142]</w:t>
      </w:r>
      <w:r w:rsidR="005E582A">
        <w:rPr>
          <w:rFonts w:eastAsia="Calibri"/>
          <w:color w:val="000000" w:themeColor="text1"/>
          <w:sz w:val="20"/>
          <w:szCs w:val="20"/>
        </w:rPr>
        <w:fldChar w:fldCharType="end"/>
      </w:r>
      <w:r w:rsidRPr="00CD3C9A">
        <w:rPr>
          <w:rFonts w:eastAsia="Calibri"/>
          <w:color w:val="000000" w:themeColor="text1"/>
          <w:sz w:val="20"/>
          <w:szCs w:val="20"/>
        </w:rPr>
        <w:t xml:space="preserve"> </w:t>
      </w:r>
      <w:r>
        <w:rPr>
          <w:rFonts w:eastAsia="Calibri"/>
          <w:color w:val="000000" w:themeColor="text1"/>
          <w:sz w:val="20"/>
          <w:szCs w:val="20"/>
        </w:rPr>
        <w:t>F</w:t>
      </w:r>
      <w:r w:rsidRPr="00CD3C9A">
        <w:rPr>
          <w:rFonts w:eastAsia="Calibri"/>
          <w:color w:val="000000" w:themeColor="text1"/>
          <w:sz w:val="20"/>
          <w:szCs w:val="20"/>
        </w:rPr>
        <w:t>or the most part, optometry is regulated within national borders or even within state borders, as is the case in the USA and Canada</w:t>
      </w:r>
      <w:r w:rsidR="00BE3748">
        <w:rPr>
          <w:rFonts w:eastAsia="Calibri"/>
          <w:color w:val="000000" w:themeColor="text1"/>
          <w:sz w:val="20"/>
          <w:szCs w:val="20"/>
        </w:rPr>
        <w:t>.</w:t>
      </w:r>
      <w:r w:rsidR="00BE3748">
        <w:rPr>
          <w:rFonts w:eastAsia="Calibri"/>
          <w:color w:val="000000" w:themeColor="text1"/>
          <w:sz w:val="20"/>
          <w:szCs w:val="20"/>
        </w:rPr>
        <w:fldChar w:fldCharType="begin" w:fldLock="1"/>
      </w:r>
      <w:r w:rsidR="00FB4602">
        <w:rPr>
          <w:rFonts w:eastAsia="Calibri"/>
          <w:color w:val="000000" w:themeColor="text1"/>
          <w:sz w:val="20"/>
          <w:szCs w:val="20"/>
        </w:rPr>
        <w:instrText>ADDIN CSL_CITATION {"citationItems":[{"id":"ITEM-1","itemData":{"URL":"https://www.aoa.org/advocacy/state/state-boards-of-optometry?sso=y; 2023","accessed":{"date-parts":[["2023","2","4"]]},"id":"ITEM-1","issued":{"date-parts":[["0"]]},"title":"American Optometric Association State Boards of Optometry","type":"webpage"},"uris":["http://www.mendeley.com/documents/?uuid=1e808932-e6a2-4b16-a053-cd5b904a5a29"]},{"id":"ITEM-2","itemData":{"id":"ITEM-2","issued":{"date-parts":[["0"]]},"title":"Federation of Optometric Regulatory Authorities of Canada, Provincial Regulatory Authorities","type":"webpage"},"uris":["http://www.mendeley.com/documents/?uuid=05cb2ff8-d641-4314-9e5f-902150cffcb9"]}],"mendeley":{"formattedCitation":"[143,144]","plainTextFormattedCitation":"[143,144]","previouslyFormattedCitation":"[143,144]"},"properties":{"noteIndex":0},"schema":"https://github.com/citation-style-language/schema/raw/master/csl-citation.json"}</w:instrText>
      </w:r>
      <w:r w:rsidR="00BE3748">
        <w:rPr>
          <w:rFonts w:eastAsia="Calibri"/>
          <w:color w:val="000000" w:themeColor="text1"/>
          <w:sz w:val="20"/>
          <w:szCs w:val="20"/>
        </w:rPr>
        <w:fldChar w:fldCharType="separate"/>
      </w:r>
      <w:r w:rsidR="00BE3748" w:rsidRPr="00BE3748">
        <w:rPr>
          <w:rFonts w:eastAsia="Calibri"/>
          <w:noProof/>
          <w:color w:val="000000" w:themeColor="text1"/>
          <w:sz w:val="20"/>
          <w:szCs w:val="20"/>
        </w:rPr>
        <w:t>[143,144]</w:t>
      </w:r>
      <w:r w:rsidR="00BE3748">
        <w:rPr>
          <w:rFonts w:eastAsia="Calibri"/>
          <w:color w:val="000000" w:themeColor="text1"/>
          <w:sz w:val="20"/>
          <w:szCs w:val="20"/>
        </w:rPr>
        <w:fldChar w:fldCharType="end"/>
      </w:r>
      <w:r w:rsidRPr="00CD3C9A">
        <w:rPr>
          <w:rFonts w:eastAsia="Calibri"/>
          <w:color w:val="000000" w:themeColor="text1"/>
          <w:sz w:val="20"/>
          <w:szCs w:val="20"/>
        </w:rPr>
        <w:t xml:space="preserve">Within the USA there is variation between state boards on scope of practice for opticians, ophthalmologists, and optometrists with regards to </w:t>
      </w:r>
      <w:r w:rsidR="00E16F70">
        <w:rPr>
          <w:rFonts w:eastAsia="Calibri"/>
          <w:color w:val="000000" w:themeColor="text1"/>
          <w:sz w:val="20"/>
          <w:szCs w:val="20"/>
        </w:rPr>
        <w:t>CL</w:t>
      </w:r>
      <w:r w:rsidRPr="00CD3C9A">
        <w:rPr>
          <w:rFonts w:eastAsia="Calibri"/>
          <w:color w:val="000000" w:themeColor="text1"/>
          <w:sz w:val="20"/>
          <w:szCs w:val="20"/>
        </w:rPr>
        <w:t xml:space="preserve"> fitting and prescription</w:t>
      </w:r>
      <w:r w:rsidR="003B1DA4">
        <w:rPr>
          <w:rFonts w:eastAsia="Calibri"/>
          <w:color w:val="000000" w:themeColor="text1"/>
          <w:sz w:val="20"/>
          <w:szCs w:val="20"/>
        </w:rPr>
        <w:t>.</w:t>
      </w:r>
      <w:r w:rsidR="003B1DA4">
        <w:rPr>
          <w:rFonts w:eastAsia="Calibri"/>
          <w:color w:val="000000" w:themeColor="text1"/>
          <w:sz w:val="20"/>
          <w:szCs w:val="20"/>
        </w:rPr>
        <w:fldChar w:fldCharType="begin" w:fldLock="1"/>
      </w:r>
      <w:r w:rsidR="00BE3748">
        <w:rPr>
          <w:rFonts w:eastAsia="Calibri"/>
          <w:color w:val="000000" w:themeColor="text1"/>
          <w:sz w:val="20"/>
          <w:szCs w:val="20"/>
        </w:rPr>
        <w:instrText>ADDIN CSL_CITATION {"citationItems":[{"id":"ITEM-1","itemData":{"URL":"https://www.cato.org/sites/cato.org/files/serials/files/regulation/1992/10/reg15n4d.html","accessed":{"date-parts":[["2022","9","23"]]},"author":[{"dropping-particle":"","family":"Hass-Wilson","given":"Deborah","non-dropping-particle":"","parse-names":false,"suffix":""}],"container-title":"https://www.cato.org/sites/cato.org/files/serials/files/regulation/1992/10/reg15n4d.html","id":"ITEM-1","issued":{"date-parts":[["1992","10"]]},"title":"The Regulation of Health Care Professionals Other than Physicians","type":"webpage"},"uris":["http://www.mendeley.com/documents/?uuid=77b2e0af-3ef2-3bcf-87fb-f39704d364df"]}],"mendeley":{"formattedCitation":"[145]","plainTextFormattedCitation":"[145]","previouslyFormattedCitation":"[145]"},"properties":{"noteIndex":0},"schema":"https://github.com/citation-style-language/schema/raw/master/csl-citation.json"}</w:instrText>
      </w:r>
      <w:r w:rsidR="003B1DA4">
        <w:rPr>
          <w:rFonts w:eastAsia="Calibri"/>
          <w:color w:val="000000" w:themeColor="text1"/>
          <w:sz w:val="20"/>
          <w:szCs w:val="20"/>
        </w:rPr>
        <w:fldChar w:fldCharType="separate"/>
      </w:r>
      <w:r w:rsidR="00BE3748" w:rsidRPr="00BE3748">
        <w:rPr>
          <w:rFonts w:eastAsia="Calibri"/>
          <w:noProof/>
          <w:color w:val="000000" w:themeColor="text1"/>
          <w:sz w:val="20"/>
          <w:szCs w:val="20"/>
        </w:rPr>
        <w:t>[145]</w:t>
      </w:r>
      <w:r w:rsidR="003B1DA4">
        <w:rPr>
          <w:rFonts w:eastAsia="Calibri"/>
          <w:color w:val="000000" w:themeColor="text1"/>
          <w:sz w:val="20"/>
          <w:szCs w:val="20"/>
        </w:rPr>
        <w:fldChar w:fldCharType="end"/>
      </w:r>
    </w:p>
    <w:p w14:paraId="085B7BA1" w14:textId="47D38AEC" w:rsidR="001B6131" w:rsidRPr="00CD3C9A" w:rsidRDefault="001B6131" w:rsidP="001B6131">
      <w:pPr>
        <w:spacing w:line="360" w:lineRule="auto"/>
        <w:rPr>
          <w:rFonts w:eastAsia="Calibri"/>
          <w:color w:val="000000" w:themeColor="text1"/>
          <w:sz w:val="20"/>
          <w:szCs w:val="20"/>
        </w:rPr>
      </w:pPr>
      <w:r w:rsidRPr="00CD3C9A">
        <w:rPr>
          <w:rFonts w:eastAsia="Calibri"/>
          <w:color w:val="000000" w:themeColor="text1"/>
          <w:sz w:val="20"/>
          <w:szCs w:val="20"/>
        </w:rPr>
        <w:t xml:space="preserve">In China and Taiwan, optometry is considered a subspecialty of medicine.  In the UK, USA and Russia optometry graduates can work within the hospital system where a lot of specialist </w:t>
      </w:r>
      <w:r w:rsidR="00E16F70">
        <w:rPr>
          <w:rFonts w:eastAsia="Calibri"/>
          <w:color w:val="000000" w:themeColor="text1"/>
          <w:sz w:val="20"/>
          <w:szCs w:val="20"/>
        </w:rPr>
        <w:t>CL</w:t>
      </w:r>
      <w:r w:rsidRPr="00CD3C9A">
        <w:rPr>
          <w:rFonts w:eastAsia="Calibri"/>
          <w:color w:val="000000" w:themeColor="text1"/>
          <w:sz w:val="20"/>
          <w:szCs w:val="20"/>
        </w:rPr>
        <w:t xml:space="preserve"> fitting is done and scope of </w:t>
      </w:r>
      <w:r w:rsidR="00E16F70">
        <w:rPr>
          <w:rFonts w:eastAsia="Calibri"/>
          <w:color w:val="000000" w:themeColor="text1"/>
          <w:sz w:val="20"/>
          <w:szCs w:val="20"/>
        </w:rPr>
        <w:t>CL</w:t>
      </w:r>
      <w:r w:rsidRPr="00CD3C9A">
        <w:rPr>
          <w:rFonts w:eastAsia="Calibri"/>
          <w:color w:val="000000" w:themeColor="text1"/>
          <w:sz w:val="20"/>
          <w:szCs w:val="20"/>
        </w:rPr>
        <w:t xml:space="preserve"> practice is gradually increasing</w:t>
      </w:r>
      <w:r w:rsidR="003B1DA4">
        <w:rPr>
          <w:rFonts w:eastAsia="Calibri"/>
          <w:color w:val="000000" w:themeColor="text1"/>
          <w:sz w:val="20"/>
          <w:szCs w:val="20"/>
        </w:rPr>
        <w:t>.</w:t>
      </w:r>
      <w:r w:rsidR="003B1DA4">
        <w:rPr>
          <w:rFonts w:eastAsia="Calibri"/>
          <w:color w:val="000000" w:themeColor="text1"/>
          <w:sz w:val="20"/>
          <w:szCs w:val="20"/>
        </w:rPr>
        <w:fldChar w:fldCharType="begin" w:fldLock="1"/>
      </w:r>
      <w:r w:rsidR="00BE3748">
        <w:rPr>
          <w:rFonts w:eastAsia="Calibri"/>
          <w:color w:val="000000" w:themeColor="text1"/>
          <w:sz w:val="20"/>
          <w:szCs w:val="20"/>
        </w:rPr>
        <w:instrText>ADDIN CSL_CITATION {"citationItems":[{"id":"ITEM-1","itemData":{"DOI":"10.1111/opo.12952","ISSN":"14751313","PMID":"35150447","abstract":"Purpose: As the landscape in ophthalmology and related commissioning continues to change, there is a pressing need to re-evaluate the current scope of practice of hospital optometrists working within secondary care in the UK. We aim to establish if the skills or services delivered by optometrists have changed to meet varying demands, and to better understand what changes in practice may have arisen as a result of COVID-19. Method: A survey developed from that used in 2015 was disseminated to 129 optometry Hospital Eye Service (HES) leads in September 2020, including questions on department workforce; core services; extended roles; procedures undertaken within extended roles; level of autonomy; arrangements for prescribing; training and accreditation, and service changes in response to COVID-19. Results: Ninety responses were received (70% response rate) from within England (76%), Scotland (22%) and Northern Ireland (2%). Whole time equivalents within units ranged from 0.4–79.2 (median of 2.5). In comparison to the 2015 survey, there was an increase in the proportion of units delivering extended roles, with glaucoma (88%) remaining the most common extended role, and new areas of practice in uveitis (21%) and vitreoretinal (13%) services. There was increased use of independent prescribing (67%) in comparison to 18% in 2015 and there was an increase in optometrists delivering laser interventions. In response to COVID-19, optometrists were increasingly delivering telephone consultations and there were new collaborations between primary and secondary care. Conclusions: Optometrists’ scope of practice continues to develop in the HES with an increased variety of roles and an apparent increase in the number of units employing optometrists, often working in roles historically performed by medical practitioners. Such changes appear necessary in recovery and transformation within ophthalmology, alongside wider optometry changes arising at the interface of primary and secondary care.","author":[{"dropping-particle":"","family":"Gunn","given":"Patrick J.G.","non-dropping-particle":"","parse-names":false,"suffix":""},{"dropping-particle":"","family":"Creer","given":"Rosalind C.","non-dropping-particle":"","parse-names":false,"suffix":""},{"dropping-particle":"","family":"Bowen","given":"Michael","non-dropping-particle":"","parse-names":false,"suffix":""},{"dropping-particle":"","family":"Tromans","given":"Cindy","non-dropping-particle":"","parse-names":false,"suffix":""},{"dropping-particle":"","family":"Jackson","given":"Andrew Jonathan","non-dropping-particle":"","parse-names":false,"suffix":""},{"dropping-particle":"","family":"Tompkin","given":"Andrew P.","non-dropping-particle":"","parse-names":false,"suffix":""},{"dropping-particle":"","family":"Harper","given":"Robert A.","non-dropping-particle":"","parse-names":false,"suffix":""}],"container-title":"Ophthalmic and Physiological Optics","id":"ITEM-1","issue":"3","issued":{"date-parts":[["2022"]]},"page":"428-439","title":"Scope of practice of optometrists working in the UK Hospital Eye Service: Second national survey","type":"article-journal","volume":"42"},"uris":["http://www.mendeley.com/documents/?uuid=9ee1d739-eb0f-3a40-9c3d-44f5f3c74e0f"]}],"mendeley":{"formattedCitation":"[146]","plainTextFormattedCitation":"[146]","previouslyFormattedCitation":"[146]"},"properties":{"noteIndex":0},"schema":"https://github.com/citation-style-language/schema/raw/master/csl-citation.json"}</w:instrText>
      </w:r>
      <w:r w:rsidR="003B1DA4">
        <w:rPr>
          <w:rFonts w:eastAsia="Calibri"/>
          <w:color w:val="000000" w:themeColor="text1"/>
          <w:sz w:val="20"/>
          <w:szCs w:val="20"/>
        </w:rPr>
        <w:fldChar w:fldCharType="separate"/>
      </w:r>
      <w:r w:rsidR="00BE3748" w:rsidRPr="00BE3748">
        <w:rPr>
          <w:rFonts w:eastAsia="Calibri"/>
          <w:noProof/>
          <w:color w:val="000000" w:themeColor="text1"/>
          <w:sz w:val="20"/>
          <w:szCs w:val="20"/>
        </w:rPr>
        <w:t>[146]</w:t>
      </w:r>
      <w:r w:rsidR="003B1DA4">
        <w:rPr>
          <w:rFonts w:eastAsia="Calibri"/>
          <w:color w:val="000000" w:themeColor="text1"/>
          <w:sz w:val="20"/>
          <w:szCs w:val="20"/>
        </w:rPr>
        <w:fldChar w:fldCharType="end"/>
      </w:r>
      <w:r w:rsidR="00BE3748">
        <w:rPr>
          <w:rFonts w:eastAsia="Calibri"/>
          <w:color w:val="000000" w:themeColor="text1"/>
          <w:sz w:val="20"/>
          <w:szCs w:val="20"/>
        </w:rPr>
        <w:fldChar w:fldCharType="begin" w:fldLock="1"/>
      </w:r>
      <w:r w:rsidR="00BE3748">
        <w:rPr>
          <w:rFonts w:eastAsia="Calibri"/>
          <w:color w:val="000000" w:themeColor="text1"/>
          <w:sz w:val="20"/>
          <w:szCs w:val="20"/>
        </w:rPr>
        <w:instrText>ADDIN CSL_CITATION {"citationItems":[{"id":"ITEM-1","itemData":{"URL":"https://www.reviewob.com/advantages-challenges-practicing-optometry-hospital/","accessed":{"date-parts":[["2023","2","7"]]},"id":"ITEM-1","issued":{"date-parts":[["0"]]},"title":"The Advantages &amp; Challenges of Practicing Optometry in a Hospital - Review of Optometric Business","type":"webpage"},"uris":["http://www.mendeley.com/documents/?uuid=37f3c418-4013-48af-b364-8ca07c8dbbc2"]}],"mendeley":{"formattedCitation":"[147]","plainTextFormattedCitation":"[147]","previouslyFormattedCitation":"[147]"},"properties":{"noteIndex":0},"schema":"https://github.com/citation-style-language/schema/raw/master/csl-citation.json"}</w:instrText>
      </w:r>
      <w:r w:rsidR="00BE3748">
        <w:rPr>
          <w:rFonts w:eastAsia="Calibri"/>
          <w:color w:val="000000" w:themeColor="text1"/>
          <w:sz w:val="20"/>
          <w:szCs w:val="20"/>
        </w:rPr>
        <w:fldChar w:fldCharType="separate"/>
      </w:r>
      <w:r w:rsidR="00BE3748" w:rsidRPr="00BE3748">
        <w:rPr>
          <w:rFonts w:eastAsia="Calibri"/>
          <w:noProof/>
          <w:color w:val="000000" w:themeColor="text1"/>
          <w:sz w:val="20"/>
          <w:szCs w:val="20"/>
        </w:rPr>
        <w:t>[147]</w:t>
      </w:r>
      <w:r w:rsidR="00BE3748">
        <w:rPr>
          <w:rFonts w:eastAsia="Calibri"/>
          <w:color w:val="000000" w:themeColor="text1"/>
          <w:sz w:val="20"/>
          <w:szCs w:val="20"/>
        </w:rPr>
        <w:fldChar w:fldCharType="end"/>
      </w:r>
      <w:r w:rsidRPr="00CD3C9A">
        <w:rPr>
          <w:rFonts w:eastAsia="Calibri"/>
          <w:color w:val="000000" w:themeColor="text1"/>
          <w:sz w:val="20"/>
          <w:szCs w:val="20"/>
        </w:rPr>
        <w:t xml:space="preserve"> Most universities offer post-graduate master of science and doctor of philosophy qualifications in </w:t>
      </w:r>
      <w:r w:rsidR="00E16F70">
        <w:rPr>
          <w:rFonts w:eastAsia="Calibri"/>
          <w:color w:val="000000" w:themeColor="text1"/>
          <w:sz w:val="20"/>
          <w:szCs w:val="20"/>
        </w:rPr>
        <w:t>CL</w:t>
      </w:r>
      <w:r w:rsidRPr="00CD3C9A">
        <w:rPr>
          <w:rFonts w:eastAsia="Calibri"/>
          <w:color w:val="000000" w:themeColor="text1"/>
          <w:sz w:val="20"/>
          <w:szCs w:val="20"/>
        </w:rPr>
        <w:t xml:space="preserve"> and anterior eye research, or a master of public health degree.</w:t>
      </w:r>
    </w:p>
    <w:p w14:paraId="6FBADD26" w14:textId="65E280F7" w:rsidR="001B6131" w:rsidRPr="00CD3C9A" w:rsidRDefault="001B6131" w:rsidP="001C1B52">
      <w:pPr>
        <w:spacing w:line="360" w:lineRule="auto"/>
        <w:jc w:val="both"/>
        <w:rPr>
          <w:rFonts w:eastAsia="Calibri"/>
          <w:color w:val="000000" w:themeColor="text1"/>
          <w:sz w:val="20"/>
          <w:szCs w:val="20"/>
        </w:rPr>
      </w:pPr>
      <w:r w:rsidRPr="00CD3C9A">
        <w:rPr>
          <w:rFonts w:eastAsia="Calibri"/>
          <w:color w:val="000000" w:themeColor="text1"/>
          <w:sz w:val="20"/>
          <w:szCs w:val="20"/>
        </w:rPr>
        <w:t xml:space="preserve">Many countries offer voluntary post-graduate courses in </w:t>
      </w:r>
      <w:r w:rsidR="00E16F70">
        <w:rPr>
          <w:rFonts w:eastAsia="Calibri"/>
          <w:color w:val="000000" w:themeColor="text1"/>
          <w:sz w:val="20"/>
          <w:szCs w:val="20"/>
        </w:rPr>
        <w:t>CL</w:t>
      </w:r>
      <w:r w:rsidRPr="00CD3C9A">
        <w:rPr>
          <w:rFonts w:eastAsia="Calibri"/>
          <w:color w:val="000000" w:themeColor="text1"/>
          <w:sz w:val="20"/>
          <w:szCs w:val="20"/>
        </w:rPr>
        <w:t xml:space="preserve"> practice. In Norway, graduates complete a three-year optometry degree, then an additional six-month post-graduate qualification in </w:t>
      </w:r>
      <w:r w:rsidR="00E16F70">
        <w:rPr>
          <w:rFonts w:eastAsia="Calibri"/>
          <w:color w:val="000000" w:themeColor="text1"/>
          <w:sz w:val="20"/>
          <w:szCs w:val="20"/>
        </w:rPr>
        <w:t>CL</w:t>
      </w:r>
      <w:r w:rsidRPr="00CD3C9A">
        <w:rPr>
          <w:rFonts w:eastAsia="Calibri"/>
          <w:color w:val="000000" w:themeColor="text1"/>
          <w:sz w:val="20"/>
          <w:szCs w:val="20"/>
        </w:rPr>
        <w:t xml:space="preserve"> fitting</w:t>
      </w:r>
      <w:r w:rsidR="00BE3748">
        <w:rPr>
          <w:rFonts w:eastAsia="Calibri"/>
          <w:color w:val="000000" w:themeColor="text1"/>
          <w:sz w:val="20"/>
          <w:szCs w:val="20"/>
        </w:rPr>
        <w:t>.</w:t>
      </w:r>
      <w:r w:rsidR="00154E9A">
        <w:rPr>
          <w:rFonts w:eastAsia="Calibri"/>
          <w:color w:val="000000" w:themeColor="text1"/>
          <w:sz w:val="20"/>
          <w:szCs w:val="20"/>
        </w:rPr>
        <w:fldChar w:fldCharType="begin" w:fldLock="1"/>
      </w:r>
      <w:r w:rsidR="00401C22">
        <w:rPr>
          <w:rFonts w:eastAsia="Calibri"/>
          <w:color w:val="000000" w:themeColor="text1"/>
          <w:sz w:val="20"/>
          <w:szCs w:val="20"/>
        </w:rPr>
        <w:instrText>ADDIN CSL_CITATION {"citationItems":[{"id":"ITEM-1","itemData":{"URL":"https://www.usn.no/english/academics/find-programmes/msc-in-optometry-and-visual-science/; 2023","accessed":{"date-parts":[["2023","2","4"]]},"id":"ITEM-1","issued":{"date-parts":[["0"]]},"title":"University of South-Eastern Norway","type":"webpage"},"uris":["http://www.mendeley.com/documents/?uuid=dab450f9-35e3-42ca-ae6b-7a48ec0ec511"]}],"mendeley":{"formattedCitation":"[148]","plainTextFormattedCitation":"[148]","previouslyFormattedCitation":"[148]"},"properties":{"noteIndex":0},"schema":"https://github.com/citation-style-language/schema/raw/master/csl-citation.json"}</w:instrText>
      </w:r>
      <w:r w:rsidR="00154E9A">
        <w:rPr>
          <w:rFonts w:eastAsia="Calibri"/>
          <w:color w:val="000000" w:themeColor="text1"/>
          <w:sz w:val="20"/>
          <w:szCs w:val="20"/>
        </w:rPr>
        <w:fldChar w:fldCharType="separate"/>
      </w:r>
      <w:r w:rsidR="00154E9A" w:rsidRPr="00154E9A">
        <w:rPr>
          <w:rFonts w:eastAsia="Calibri"/>
          <w:noProof/>
          <w:color w:val="000000" w:themeColor="text1"/>
          <w:sz w:val="20"/>
          <w:szCs w:val="20"/>
        </w:rPr>
        <w:t>[148]</w:t>
      </w:r>
      <w:r w:rsidR="00154E9A">
        <w:rPr>
          <w:rFonts w:eastAsia="Calibri"/>
          <w:color w:val="000000" w:themeColor="text1"/>
          <w:sz w:val="20"/>
          <w:szCs w:val="20"/>
        </w:rPr>
        <w:fldChar w:fldCharType="end"/>
      </w:r>
      <w:r w:rsidR="00BE3748">
        <w:rPr>
          <w:rFonts w:eastAsia="Calibri"/>
          <w:color w:val="000000" w:themeColor="text1"/>
          <w:sz w:val="20"/>
          <w:szCs w:val="20"/>
        </w:rPr>
        <w:t xml:space="preserve"> </w:t>
      </w:r>
      <w:r w:rsidRPr="00CD3C9A">
        <w:rPr>
          <w:rFonts w:eastAsia="Calibri"/>
          <w:color w:val="000000" w:themeColor="text1"/>
          <w:sz w:val="20"/>
          <w:szCs w:val="20"/>
        </w:rPr>
        <w:t xml:space="preserve">Other voluntary post-graduate courses allow the use of the addition of post-nominals letters to a practitioner’s name, allowing recognition of their specialist qualifications. Whilst it does not entitle them to the use of the term </w:t>
      </w:r>
      <w:r w:rsidR="00E16F70">
        <w:rPr>
          <w:rFonts w:eastAsia="Calibri"/>
          <w:color w:val="000000" w:themeColor="text1"/>
          <w:sz w:val="20"/>
          <w:szCs w:val="20"/>
        </w:rPr>
        <w:t>CL</w:t>
      </w:r>
      <w:r w:rsidRPr="00CD3C9A">
        <w:rPr>
          <w:rFonts w:eastAsia="Calibri"/>
          <w:color w:val="000000" w:themeColor="text1"/>
          <w:sz w:val="20"/>
          <w:szCs w:val="20"/>
        </w:rPr>
        <w:t xml:space="preserve"> specialist, Australian optometrists can complete post-graduate certificates of advanced </w:t>
      </w:r>
      <w:r w:rsidR="00E16F70">
        <w:rPr>
          <w:rFonts w:eastAsia="Calibri"/>
          <w:color w:val="000000" w:themeColor="text1"/>
          <w:sz w:val="20"/>
          <w:szCs w:val="20"/>
        </w:rPr>
        <w:t>CL</w:t>
      </w:r>
      <w:r w:rsidRPr="00CD3C9A">
        <w:rPr>
          <w:rFonts w:eastAsia="Calibri"/>
          <w:color w:val="000000" w:themeColor="text1"/>
          <w:sz w:val="20"/>
          <w:szCs w:val="20"/>
        </w:rPr>
        <w:t xml:space="preserve"> practice, or specialty </w:t>
      </w:r>
      <w:r w:rsidR="00E16F70">
        <w:rPr>
          <w:rFonts w:eastAsia="Calibri"/>
          <w:color w:val="000000" w:themeColor="text1"/>
          <w:sz w:val="20"/>
          <w:szCs w:val="20"/>
        </w:rPr>
        <w:t>CL</w:t>
      </w:r>
      <w:r w:rsidRPr="00CD3C9A">
        <w:rPr>
          <w:rFonts w:eastAsia="Calibri"/>
          <w:color w:val="000000" w:themeColor="text1"/>
          <w:sz w:val="20"/>
          <w:szCs w:val="20"/>
        </w:rPr>
        <w:t xml:space="preserve"> studies, and this allows practitioners the use of post-nominal letters after </w:t>
      </w:r>
      <w:r w:rsidRPr="001C1B52">
        <w:rPr>
          <w:rFonts w:eastAsia="Calibri"/>
          <w:color w:val="000000" w:themeColor="text1"/>
          <w:sz w:val="20"/>
          <w:szCs w:val="20"/>
        </w:rPr>
        <w:t>their name</w:t>
      </w:r>
      <w:r w:rsidR="00BE3748" w:rsidRPr="001C1B52">
        <w:rPr>
          <w:rFonts w:eastAsia="Calibri"/>
          <w:color w:val="000000" w:themeColor="text1"/>
          <w:sz w:val="20"/>
          <w:szCs w:val="20"/>
        </w:rPr>
        <w:t>.</w:t>
      </w:r>
      <w:r w:rsidR="00BE3748" w:rsidRPr="001C1B52">
        <w:rPr>
          <w:rFonts w:eastAsia="Calibri"/>
          <w:color w:val="000000" w:themeColor="text1"/>
          <w:sz w:val="20"/>
          <w:szCs w:val="20"/>
        </w:rPr>
        <w:fldChar w:fldCharType="begin" w:fldLock="1"/>
      </w:r>
      <w:r w:rsidR="00401C22" w:rsidRPr="001C1B52">
        <w:rPr>
          <w:rFonts w:eastAsia="Calibri"/>
          <w:color w:val="000000" w:themeColor="text1"/>
          <w:sz w:val="20"/>
          <w:szCs w:val="20"/>
        </w:rPr>
        <w:instrText>ADDIN CSL_CITATION {"citationItems":[{"id":"ITEM-1","itemData":{"URL":"https://www.aco.org.au/certificate-in-advanced-contact-lenses/","accessed":{"date-parts":[["2023","2","7"]]},"id":"ITEM-1","issued":{"date-parts":[["0"]]},"title":"Australian College of Optometry | Certificate in Advanced Contact Lenses - Australian College of Optometry","type":"webpage"},"uris":["http://www.mendeley.com/documents/?uuid=c991aa0f-a1c7-41b9-a691-9b0d59541587"]},{"id":"ITEM-2","itemData":{"URL":"https://www.handbook.unsw.edu.au/postgraduate/courses/2023/OPTM7205; 2023","accessed":{"date-parts":[["2022","9","23"]]},"id":"ITEM-2","issued":{"date-parts":[["0"]]},"title":"University of New South Wales Sydney Handbook. Specialty Contact Lens Studies.","type":"webpage"},"uris":["http://www.mendeley.com/documents/?uuid=8eb5ac25-5d5f-4c16-9b3f-8fcbb94f79d7"]}],"mendeley":{"formattedCitation":"[149,150]","plainTextFormattedCitation":"[149,150]","previouslyFormattedCitation":"[149,150]"},"properties":{"noteIndex":0},"schema":"https://github.com/citation-style-language/schema/raw/master/csl-citation.json"}</w:instrText>
      </w:r>
      <w:r w:rsidR="00BE3748" w:rsidRPr="001C1B52">
        <w:rPr>
          <w:rFonts w:eastAsia="Calibri"/>
          <w:color w:val="000000" w:themeColor="text1"/>
          <w:sz w:val="20"/>
          <w:szCs w:val="20"/>
        </w:rPr>
        <w:fldChar w:fldCharType="separate"/>
      </w:r>
      <w:r w:rsidR="00154E9A" w:rsidRPr="001C1B52">
        <w:rPr>
          <w:rFonts w:eastAsia="Calibri"/>
          <w:noProof/>
          <w:color w:val="000000" w:themeColor="text1"/>
          <w:sz w:val="20"/>
          <w:szCs w:val="20"/>
        </w:rPr>
        <w:t>[149,150]</w:t>
      </w:r>
      <w:r w:rsidR="00BE3748" w:rsidRPr="001C1B52">
        <w:rPr>
          <w:rFonts w:eastAsia="Calibri"/>
          <w:color w:val="000000" w:themeColor="text1"/>
          <w:sz w:val="20"/>
          <w:szCs w:val="20"/>
        </w:rPr>
        <w:fldChar w:fldCharType="end"/>
      </w:r>
      <w:r w:rsidRPr="001C1B52">
        <w:rPr>
          <w:rFonts w:eastAsia="Calibri"/>
          <w:color w:val="000000" w:themeColor="text1"/>
          <w:sz w:val="20"/>
          <w:szCs w:val="20"/>
        </w:rPr>
        <w:t xml:space="preserve"> </w:t>
      </w:r>
      <w:r w:rsidR="00E16F70" w:rsidRPr="001C1B52">
        <w:rPr>
          <w:rFonts w:eastAsia="Calibri"/>
          <w:color w:val="000000" w:themeColor="text1"/>
          <w:sz w:val="20"/>
          <w:szCs w:val="20"/>
        </w:rPr>
        <w:t>CL</w:t>
      </w:r>
      <w:r w:rsidRPr="00CD3C9A">
        <w:rPr>
          <w:rFonts w:eastAsia="Calibri"/>
          <w:color w:val="000000" w:themeColor="text1"/>
          <w:sz w:val="20"/>
          <w:szCs w:val="20"/>
        </w:rPr>
        <w:t xml:space="preserve"> educators around the world can study the IACLE course materials and sit the IACLE Fellowship examination in </w:t>
      </w:r>
      <w:r w:rsidR="00E16F70">
        <w:rPr>
          <w:rFonts w:eastAsia="Calibri"/>
          <w:color w:val="000000" w:themeColor="text1"/>
          <w:sz w:val="20"/>
          <w:szCs w:val="20"/>
        </w:rPr>
        <w:t>CL</w:t>
      </w:r>
      <w:r w:rsidRPr="00CD3C9A">
        <w:rPr>
          <w:rFonts w:eastAsia="Calibri"/>
          <w:color w:val="000000" w:themeColor="text1"/>
          <w:sz w:val="20"/>
          <w:szCs w:val="20"/>
        </w:rPr>
        <w:t xml:space="preserve"> practice, successful completion of the examination allows the use of FIACLE as post-nominal</w:t>
      </w:r>
      <w:r w:rsidR="00154E9A">
        <w:rPr>
          <w:rFonts w:eastAsia="Calibri"/>
          <w:color w:val="000000" w:themeColor="text1"/>
          <w:sz w:val="20"/>
          <w:szCs w:val="20"/>
        </w:rPr>
        <w:t>.</w:t>
      </w:r>
      <w:r w:rsidR="00154E9A">
        <w:rPr>
          <w:rFonts w:eastAsia="Calibri"/>
          <w:color w:val="000000" w:themeColor="text1"/>
          <w:sz w:val="20"/>
          <w:szCs w:val="20"/>
        </w:rPr>
        <w:fldChar w:fldCharType="begin" w:fldLock="1"/>
      </w:r>
      <w:r w:rsidR="00401C22">
        <w:rPr>
          <w:rFonts w:eastAsia="Calibri"/>
          <w:color w:val="000000" w:themeColor="text1"/>
          <w:sz w:val="20"/>
          <w:szCs w:val="20"/>
        </w:rPr>
        <w:instrText>ADDIN CSL_CITATION {"citationItems":[{"id":"ITEM-1","itemData":{"URL":"https://iacle.org/","accessed":{"date-parts":[["2023","2","7"]]},"id":"ITEM-1","issued":{"date-parts":[["0"]]},"title":"IACLE – International Association of Contact Lens Educators","type":"webpage"},"uris":["http://www.mendeley.com/documents/?uuid=ec5d6bf2-6301-4ce5-9210-70c408c319d5"]}],"mendeley":{"formattedCitation":"[131]","plainTextFormattedCitation":"[131]","previouslyFormattedCitation":"[131]"},"properties":{"noteIndex":0},"schema":"https://github.com/citation-style-language/schema/raw/master/csl-citation.json"}</w:instrText>
      </w:r>
      <w:r w:rsidR="00154E9A">
        <w:rPr>
          <w:rFonts w:eastAsia="Calibri"/>
          <w:color w:val="000000" w:themeColor="text1"/>
          <w:sz w:val="20"/>
          <w:szCs w:val="20"/>
        </w:rPr>
        <w:fldChar w:fldCharType="separate"/>
      </w:r>
      <w:r w:rsidR="00154E9A" w:rsidRPr="00154E9A">
        <w:rPr>
          <w:rFonts w:eastAsia="Calibri"/>
          <w:noProof/>
          <w:color w:val="000000" w:themeColor="text1"/>
          <w:sz w:val="20"/>
          <w:szCs w:val="20"/>
        </w:rPr>
        <w:t>[131]</w:t>
      </w:r>
      <w:r w:rsidR="00154E9A">
        <w:rPr>
          <w:rFonts w:eastAsia="Calibri"/>
          <w:color w:val="000000" w:themeColor="text1"/>
          <w:sz w:val="20"/>
          <w:szCs w:val="20"/>
        </w:rPr>
        <w:fldChar w:fldCharType="end"/>
      </w:r>
      <w:r w:rsidRPr="00CD3C9A">
        <w:rPr>
          <w:rFonts w:eastAsia="Calibri"/>
          <w:color w:val="000000" w:themeColor="text1"/>
          <w:sz w:val="20"/>
          <w:szCs w:val="20"/>
        </w:rPr>
        <w:t xml:space="preserve"> In the US, registered practising optometrists can apply for additional post-doctoral residency programs. This allows graduates to effectively demonstrate competency in a specialist area and assessment of this competency can take place at any point following graduation as there is no time limit on commencement. The </w:t>
      </w:r>
      <w:r w:rsidR="00E16F70">
        <w:rPr>
          <w:rFonts w:eastAsia="Calibri"/>
          <w:color w:val="000000" w:themeColor="text1"/>
          <w:sz w:val="20"/>
          <w:szCs w:val="20"/>
        </w:rPr>
        <w:t>CL</w:t>
      </w:r>
      <w:r w:rsidRPr="00CD3C9A">
        <w:rPr>
          <w:rFonts w:eastAsia="Calibri"/>
          <w:color w:val="000000" w:themeColor="text1"/>
          <w:sz w:val="20"/>
          <w:szCs w:val="20"/>
        </w:rPr>
        <w:t xml:space="preserve"> residency programs currently on offer in the US receive a high number of applicants per program compared to other optometry specialist residency programs on offer</w:t>
      </w:r>
      <w:r w:rsidR="003B1DA4">
        <w:rPr>
          <w:rFonts w:eastAsia="Calibri"/>
          <w:color w:val="000000" w:themeColor="text1"/>
          <w:sz w:val="20"/>
          <w:szCs w:val="20"/>
        </w:rPr>
        <w:t>.</w:t>
      </w:r>
      <w:r w:rsidR="00401C22">
        <w:rPr>
          <w:rFonts w:eastAsia="Calibri"/>
          <w:color w:val="000000" w:themeColor="text1"/>
          <w:sz w:val="20"/>
          <w:szCs w:val="20"/>
        </w:rPr>
        <w:fldChar w:fldCharType="begin" w:fldLock="1"/>
      </w:r>
      <w:r w:rsidR="00401C22">
        <w:rPr>
          <w:rFonts w:eastAsia="Calibri"/>
          <w:color w:val="000000" w:themeColor="text1"/>
          <w:sz w:val="20"/>
          <w:szCs w:val="20"/>
        </w:rPr>
        <w:instrText>ADDIN CSL_CITATION {"citationItems":[{"id":"ITEM-1","itemData":{"URL":"https://natmatch.com/ormatch/statistics.html/; 2023.","accessed":{"date-parts":[["2023","2","4"]]},"id":"ITEM-1","issued":{"date-parts":[["0"]]},"title":"National matching services. 2023 Match Statistics.","type":"webpage"},"uris":["http://www.mendeley.com/documents/?uuid=186eb2b4-60ce-4092-b108-dfad712cf965"]}],"mendeley":{"formattedCitation":"[151]","plainTextFormattedCitation":"[151]","previouslyFormattedCitation":"[151]"},"properties":{"noteIndex":0},"schema":"https://github.com/citation-style-language/schema/raw/master/csl-citation.json"}</w:instrText>
      </w:r>
      <w:r w:rsidR="00401C22">
        <w:rPr>
          <w:rFonts w:eastAsia="Calibri"/>
          <w:color w:val="000000" w:themeColor="text1"/>
          <w:sz w:val="20"/>
          <w:szCs w:val="20"/>
        </w:rPr>
        <w:fldChar w:fldCharType="separate"/>
      </w:r>
      <w:r w:rsidR="00401C22" w:rsidRPr="00401C22">
        <w:rPr>
          <w:rFonts w:eastAsia="Calibri"/>
          <w:noProof/>
          <w:color w:val="000000" w:themeColor="text1"/>
          <w:sz w:val="20"/>
          <w:szCs w:val="20"/>
        </w:rPr>
        <w:t>[151]</w:t>
      </w:r>
      <w:r w:rsidR="00401C22">
        <w:rPr>
          <w:rFonts w:eastAsia="Calibri"/>
          <w:color w:val="000000" w:themeColor="text1"/>
          <w:sz w:val="20"/>
          <w:szCs w:val="20"/>
        </w:rPr>
        <w:fldChar w:fldCharType="end"/>
      </w:r>
      <w:r w:rsidRPr="00CD3C9A">
        <w:rPr>
          <w:rFonts w:eastAsia="Calibri"/>
          <w:color w:val="000000" w:themeColor="text1"/>
          <w:sz w:val="20"/>
          <w:szCs w:val="20"/>
        </w:rPr>
        <w:t xml:space="preserve"> Completion of this program, or of three years of practice, entitles the optometrist to sit an additional Board certification examination, a credential which entitles them to be a diplomate of American Board of Optometry</w:t>
      </w:r>
      <w:r w:rsidR="003B1DA4">
        <w:rPr>
          <w:rFonts w:eastAsia="Calibri"/>
          <w:color w:val="000000" w:themeColor="text1"/>
          <w:sz w:val="20"/>
          <w:szCs w:val="20"/>
        </w:rPr>
        <w:t>.</w:t>
      </w:r>
      <w:r w:rsidR="00401C22">
        <w:rPr>
          <w:rFonts w:eastAsia="Calibri"/>
          <w:color w:val="000000" w:themeColor="text1"/>
          <w:sz w:val="20"/>
          <w:szCs w:val="20"/>
        </w:rPr>
        <w:fldChar w:fldCharType="begin" w:fldLock="1"/>
      </w:r>
      <w:r w:rsidR="00401C22">
        <w:rPr>
          <w:rFonts w:eastAsia="Calibri"/>
          <w:color w:val="000000" w:themeColor="text1"/>
          <w:sz w:val="20"/>
          <w:szCs w:val="20"/>
        </w:rPr>
        <w:instrText>ADDIN CSL_CITATION {"citationItems":[{"id":"ITEM-1","itemData":{"URL":"https://americanboardofoptometry.org/become-certified/what-is-board-certification/","accessed":{"date-parts":[["2023","2","7"]]},"id":"ITEM-1","issued":{"date-parts":[["0"]]},"title":"What is American Board of Optometry Board Certification?","type":"webpage"},"uris":["http://www.mendeley.com/documents/?uuid=a32808c6-cd78-4376-a4f2-6ca81aaf914f"]}],"mendeley":{"formattedCitation":"[152]","plainTextFormattedCitation":"[152]","previouslyFormattedCitation":"[152]"},"properties":{"noteIndex":0},"schema":"https://github.com/citation-style-language/schema/raw/master/csl-citation.json"}</w:instrText>
      </w:r>
      <w:r w:rsidR="00401C22">
        <w:rPr>
          <w:rFonts w:eastAsia="Calibri"/>
          <w:color w:val="000000" w:themeColor="text1"/>
          <w:sz w:val="20"/>
          <w:szCs w:val="20"/>
        </w:rPr>
        <w:fldChar w:fldCharType="separate"/>
      </w:r>
      <w:r w:rsidR="00401C22" w:rsidRPr="00401C22">
        <w:rPr>
          <w:rFonts w:eastAsia="Calibri"/>
          <w:noProof/>
          <w:color w:val="000000" w:themeColor="text1"/>
          <w:sz w:val="20"/>
          <w:szCs w:val="20"/>
        </w:rPr>
        <w:t>[152]</w:t>
      </w:r>
      <w:r w:rsidR="00401C22">
        <w:rPr>
          <w:rFonts w:eastAsia="Calibri"/>
          <w:color w:val="000000" w:themeColor="text1"/>
          <w:sz w:val="20"/>
          <w:szCs w:val="20"/>
        </w:rPr>
        <w:fldChar w:fldCharType="end"/>
      </w:r>
      <w:r w:rsidRPr="00CD3C9A">
        <w:rPr>
          <w:rFonts w:eastAsia="Calibri"/>
          <w:color w:val="000000" w:themeColor="text1"/>
          <w:sz w:val="20"/>
          <w:szCs w:val="20"/>
        </w:rPr>
        <w:t xml:space="preserve"> American Academy of Optometry offers additional recognition for expertise in </w:t>
      </w:r>
      <w:r w:rsidR="00E16F70">
        <w:rPr>
          <w:rFonts w:eastAsia="Calibri"/>
          <w:color w:val="000000" w:themeColor="text1"/>
          <w:sz w:val="20"/>
          <w:szCs w:val="20"/>
        </w:rPr>
        <w:t>CL</w:t>
      </w:r>
      <w:r w:rsidRPr="00CD3C9A">
        <w:rPr>
          <w:rFonts w:eastAsia="Calibri"/>
          <w:color w:val="000000" w:themeColor="text1"/>
          <w:sz w:val="20"/>
          <w:szCs w:val="20"/>
        </w:rPr>
        <w:t xml:space="preserve"> and anterior eye through its fellowship and diplomate of anterior eye programs, successful candidates can use FAAO or Diplomate AAO</w:t>
      </w:r>
      <w:r w:rsidR="003B1DA4">
        <w:rPr>
          <w:rFonts w:eastAsia="Calibri"/>
          <w:color w:val="000000" w:themeColor="text1"/>
          <w:sz w:val="20"/>
          <w:szCs w:val="20"/>
        </w:rPr>
        <w:t>.</w:t>
      </w:r>
      <w:r w:rsidR="00FB4602">
        <w:rPr>
          <w:rFonts w:eastAsia="Calibri"/>
          <w:color w:val="000000" w:themeColor="text1"/>
          <w:sz w:val="20"/>
          <w:szCs w:val="20"/>
        </w:rPr>
        <w:fldChar w:fldCharType="begin" w:fldLock="1"/>
      </w:r>
      <w:r w:rsidR="00FB4602">
        <w:rPr>
          <w:rFonts w:eastAsia="Calibri"/>
          <w:color w:val="000000" w:themeColor="text1"/>
          <w:sz w:val="20"/>
          <w:szCs w:val="20"/>
        </w:rPr>
        <w:instrText>ADDIN CSL_CITATION {"citationItems":[{"id":"ITEM-1","itemData":{"URL":"https://aaopt.org/membership/sections-special-interest-groups/; 2023 ","accessed":{"date-parts":[["2023","2","4"]]},"id":"ITEM-1","issued":{"date-parts":[["0"]]},"title":"American Academy of Optometry, Sections and Special Interest Groups.","type":"webpage"},"uris":["http://www.mendeley.com/documents/?uuid=18b740cb-3ca2-47fa-98fd-50224f5fc5d2"]}],"mendeley":{"formattedCitation":"[153]","plainTextFormattedCitation":"[153]","previouslyFormattedCitation":"[153]"},"properties":{"noteIndex":0},"schema":"https://github.com/citation-style-language/schema/raw/master/csl-citation.json"}</w:instrText>
      </w:r>
      <w:r w:rsidR="00FB4602">
        <w:rPr>
          <w:rFonts w:eastAsia="Calibri"/>
          <w:color w:val="000000" w:themeColor="text1"/>
          <w:sz w:val="20"/>
          <w:szCs w:val="20"/>
        </w:rPr>
        <w:fldChar w:fldCharType="separate"/>
      </w:r>
      <w:r w:rsidR="00FB4602" w:rsidRPr="00FB4602">
        <w:rPr>
          <w:rFonts w:eastAsia="Calibri"/>
          <w:noProof/>
          <w:color w:val="000000" w:themeColor="text1"/>
          <w:sz w:val="20"/>
          <w:szCs w:val="20"/>
        </w:rPr>
        <w:t>[153]</w:t>
      </w:r>
      <w:r w:rsidR="00FB4602">
        <w:rPr>
          <w:rFonts w:eastAsia="Calibri"/>
          <w:color w:val="000000" w:themeColor="text1"/>
          <w:sz w:val="20"/>
          <w:szCs w:val="20"/>
        </w:rPr>
        <w:fldChar w:fldCharType="end"/>
      </w:r>
      <w:r w:rsidR="00FB4602">
        <w:rPr>
          <w:rFonts w:eastAsia="Calibri"/>
          <w:color w:val="000000" w:themeColor="text1"/>
          <w:sz w:val="20"/>
          <w:szCs w:val="20"/>
        </w:rPr>
        <w:t xml:space="preserve"> </w:t>
      </w:r>
      <w:r w:rsidRPr="00CD3C9A">
        <w:rPr>
          <w:rFonts w:eastAsia="Calibri"/>
          <w:color w:val="000000" w:themeColor="text1"/>
          <w:sz w:val="20"/>
          <w:szCs w:val="20"/>
        </w:rPr>
        <w:t xml:space="preserve">Membership with a </w:t>
      </w:r>
      <w:r w:rsidR="00E16F70">
        <w:rPr>
          <w:rFonts w:eastAsia="Calibri"/>
          <w:color w:val="000000" w:themeColor="text1"/>
          <w:sz w:val="20"/>
          <w:szCs w:val="20"/>
        </w:rPr>
        <w:t>CL</w:t>
      </w:r>
      <w:r w:rsidRPr="00CD3C9A">
        <w:rPr>
          <w:rFonts w:eastAsia="Calibri"/>
          <w:color w:val="000000" w:themeColor="text1"/>
          <w:sz w:val="20"/>
          <w:szCs w:val="20"/>
        </w:rPr>
        <w:t xml:space="preserve"> society can also develop practitioner expertise, provide a hub for networking and support research through sponsorship and publication. </w:t>
      </w:r>
      <w:r w:rsidR="00FB4602">
        <w:rPr>
          <w:rFonts w:eastAsia="Calibri"/>
          <w:color w:val="000000" w:themeColor="text1"/>
          <w:sz w:val="20"/>
          <w:szCs w:val="20"/>
        </w:rPr>
        <w:t>CL</w:t>
      </w:r>
      <w:r w:rsidRPr="00CD3C9A">
        <w:rPr>
          <w:rFonts w:eastAsia="Calibri"/>
          <w:color w:val="000000" w:themeColor="text1"/>
          <w:sz w:val="20"/>
          <w:szCs w:val="20"/>
        </w:rPr>
        <w:t xml:space="preserve"> societies such as the British Contact Lens Association</w:t>
      </w:r>
      <w:r w:rsidR="00E16F70">
        <w:rPr>
          <w:rFonts w:eastAsia="Calibri"/>
          <w:color w:val="000000" w:themeColor="text1"/>
          <w:sz w:val="20"/>
          <w:szCs w:val="20"/>
        </w:rPr>
        <w:t xml:space="preserve"> (BCLA)</w:t>
      </w:r>
      <w:r w:rsidRPr="00CD3C9A">
        <w:rPr>
          <w:rFonts w:eastAsia="Calibri"/>
          <w:color w:val="000000" w:themeColor="text1"/>
          <w:sz w:val="20"/>
          <w:szCs w:val="20"/>
        </w:rPr>
        <w:t xml:space="preserve"> hold clinical conferences and also offer Fellowship credentials, which members apply for via submission of evidence of their </w:t>
      </w:r>
      <w:r w:rsidR="00E16F70">
        <w:rPr>
          <w:rFonts w:eastAsia="Calibri"/>
          <w:color w:val="000000" w:themeColor="text1"/>
          <w:sz w:val="20"/>
          <w:szCs w:val="20"/>
        </w:rPr>
        <w:t>CL</w:t>
      </w:r>
      <w:r w:rsidRPr="00CD3C9A">
        <w:rPr>
          <w:rFonts w:eastAsia="Calibri"/>
          <w:color w:val="000000" w:themeColor="text1"/>
          <w:sz w:val="20"/>
          <w:szCs w:val="20"/>
        </w:rPr>
        <w:t xml:space="preserve"> and anterior eye expertise and passing an oral examination</w:t>
      </w:r>
      <w:r w:rsidR="003B1DA4">
        <w:rPr>
          <w:rFonts w:eastAsia="Calibri"/>
          <w:color w:val="000000" w:themeColor="text1"/>
          <w:sz w:val="20"/>
          <w:szCs w:val="20"/>
        </w:rPr>
        <w:t>.</w:t>
      </w:r>
      <w:r w:rsidR="00FB4602">
        <w:rPr>
          <w:rFonts w:eastAsia="Calibri"/>
          <w:color w:val="000000" w:themeColor="text1"/>
          <w:sz w:val="20"/>
          <w:szCs w:val="20"/>
        </w:rPr>
        <w:fldChar w:fldCharType="begin" w:fldLock="1"/>
      </w:r>
      <w:r w:rsidR="001E6973">
        <w:rPr>
          <w:rFonts w:eastAsia="Calibri"/>
          <w:color w:val="000000" w:themeColor="text1"/>
          <w:sz w:val="20"/>
          <w:szCs w:val="20"/>
        </w:rPr>
        <w:instrText>ADDIN CSL_CITATION {"citationItems":[{"id":"ITEM-1","itemData":{"URL":"https://www.bcla.org.uk/Public/Public/About/Fellowship___Awards.aspx?hkey=58af76fd-23be-48e4-8fd7-c280674b0534; 2023","accessed":{"date-parts":[["2023","2","4"]]},"id":"ITEM-1","issued":{"date-parts":[["0"]]},"title":"British Contact Lens Assocation, Fellowship and Awards.","type":"webpage"},"uris":["http://www.mendeley.com/documents/?uuid=0cb5871a-c019-49bf-a388-7bee5d4c753b"]}],"mendeley":{"formattedCitation":"[154]","plainTextFormattedCitation":"[154]","previouslyFormattedCitation":"[154]"},"properties":{"noteIndex":0},"schema":"https://github.com/citation-style-language/schema/raw/master/csl-citation.json"}</w:instrText>
      </w:r>
      <w:r w:rsidR="00FB4602">
        <w:rPr>
          <w:rFonts w:eastAsia="Calibri"/>
          <w:color w:val="000000" w:themeColor="text1"/>
          <w:sz w:val="20"/>
          <w:szCs w:val="20"/>
        </w:rPr>
        <w:fldChar w:fldCharType="separate"/>
      </w:r>
      <w:r w:rsidR="00FB4602" w:rsidRPr="00FB4602">
        <w:rPr>
          <w:rFonts w:eastAsia="Calibri"/>
          <w:noProof/>
          <w:color w:val="000000" w:themeColor="text1"/>
          <w:sz w:val="20"/>
          <w:szCs w:val="20"/>
        </w:rPr>
        <w:t>[154]</w:t>
      </w:r>
      <w:r w:rsidR="00FB4602">
        <w:rPr>
          <w:rFonts w:eastAsia="Calibri"/>
          <w:color w:val="000000" w:themeColor="text1"/>
          <w:sz w:val="20"/>
          <w:szCs w:val="20"/>
        </w:rPr>
        <w:fldChar w:fldCharType="end"/>
      </w:r>
      <w:r w:rsidRPr="00CD3C9A">
        <w:rPr>
          <w:rFonts w:eastAsia="Calibri"/>
          <w:color w:val="000000" w:themeColor="text1"/>
          <w:sz w:val="20"/>
          <w:szCs w:val="20"/>
        </w:rPr>
        <w:t xml:space="preserve"> The BCLA Contact Lens Evidence-based Academic Report, comprising a series of journal articles, was recently published offering evidence-based guidance for many aspects of </w:t>
      </w:r>
      <w:r w:rsidR="00E16F70">
        <w:rPr>
          <w:rFonts w:eastAsia="Calibri"/>
          <w:color w:val="000000" w:themeColor="text1"/>
          <w:sz w:val="20"/>
          <w:szCs w:val="20"/>
        </w:rPr>
        <w:t>CL</w:t>
      </w:r>
      <w:r w:rsidRPr="00CD3C9A">
        <w:rPr>
          <w:rFonts w:eastAsia="Calibri"/>
          <w:color w:val="000000" w:themeColor="text1"/>
          <w:sz w:val="20"/>
          <w:szCs w:val="20"/>
        </w:rPr>
        <w:t xml:space="preserve"> practice</w:t>
      </w:r>
      <w:r w:rsidR="003B1DA4">
        <w:rPr>
          <w:rFonts w:eastAsia="Calibri"/>
          <w:color w:val="000000" w:themeColor="text1"/>
          <w:sz w:val="20"/>
          <w:szCs w:val="20"/>
        </w:rPr>
        <w:t>.</w:t>
      </w:r>
      <w:r w:rsidR="003B1DA4">
        <w:rPr>
          <w:rFonts w:eastAsia="Calibri"/>
          <w:color w:val="000000" w:themeColor="text1"/>
          <w:sz w:val="20"/>
          <w:szCs w:val="20"/>
        </w:rPr>
        <w:fldChar w:fldCharType="begin" w:fldLock="1"/>
      </w:r>
      <w:r w:rsidR="001E6973">
        <w:rPr>
          <w:rFonts w:eastAsia="Calibri"/>
          <w:color w:val="000000" w:themeColor="text1"/>
          <w:sz w:val="20"/>
          <w:szCs w:val="20"/>
        </w:rPr>
        <w:instrText>ADDIN CSL_CITATION {"citationItems":[{"id":"ITEM-1","itemData":{"DOI":"10.1016/j.clae.2021.02.011","ISSN":"14765411","PMID":"33775374","author":[{"dropping-particle":"","family":"Wolffsohn","given":"James S.","non-dropping-particle":"","parse-names":false,"suffix":""},{"dropping-particle":"","family":"Morgan","given":"Philip B.","non-dropping-particle":"","parse-names":false,"suffix":""},{"dropping-particle":"","family":"Barnett","given":"Melissa","non-dropping-particle":"","parse-names":false,"suffix":""},{"dropping-particle":"","family":"Downie","given":"Laura E.","non-dropping-particle":"","parse-names":false,"suffix":""},{"dropping-particle":"","family":"Jacobs","given":"Deborah S.","non-dropping-particle":"","parse-names":false,"suffix":""},{"dropping-particle":"","family":"Jones","given":"Lyndon","non-dropping-particle":"","parse-names":false,"suffix":""},{"dropping-particle":"","family":"Richdale","given":"Kathryn","non-dropping-particle":"","parse-names":false,"suffix":""},{"dropping-particle":"","family":"Stapleton","given":"Fiona","non-dropping-particle":"","parse-names":false,"suffix":""},{"dropping-particle":"","family":"Vincent","given":"Stephen J.","non-dropping-particle":"","parse-names":false,"suffix":""},{"dropping-particle":"","family":"Willcox","given":"Mark","non-dropping-particle":"","parse-names":false,"suffix":""}],"container-title":"Contact Lens and Anterior Eye","id":"ITEM-1","issue":"2","issued":{"date-parts":[["2021"]]},"page":"129-131","title":"Contact Lens Evidence-Based Academic Reports (CLEAR)","type":"article-journal","volume":"44"},"uris":["http://www.mendeley.com/documents/?uuid=dd68eec6-b64c-36bb-b816-04c07e682768"]}],"mendeley":{"formattedCitation":"[155]","plainTextFormattedCitation":"[155]","previouslyFormattedCitation":"[155]"},"properties":{"noteIndex":0},"schema":"https://github.com/citation-style-language/schema/raw/master/csl-citation.json"}</w:instrText>
      </w:r>
      <w:r w:rsidR="003B1DA4">
        <w:rPr>
          <w:rFonts w:eastAsia="Calibri"/>
          <w:color w:val="000000" w:themeColor="text1"/>
          <w:sz w:val="20"/>
          <w:szCs w:val="20"/>
        </w:rPr>
        <w:fldChar w:fldCharType="separate"/>
      </w:r>
      <w:r w:rsidR="00FB4602" w:rsidRPr="00FB4602">
        <w:rPr>
          <w:rFonts w:eastAsia="Calibri"/>
          <w:noProof/>
          <w:color w:val="000000" w:themeColor="text1"/>
          <w:sz w:val="20"/>
          <w:szCs w:val="20"/>
        </w:rPr>
        <w:t>[155]</w:t>
      </w:r>
      <w:r w:rsidR="003B1DA4">
        <w:rPr>
          <w:rFonts w:eastAsia="Calibri"/>
          <w:color w:val="000000" w:themeColor="text1"/>
          <w:sz w:val="20"/>
          <w:szCs w:val="20"/>
        </w:rPr>
        <w:fldChar w:fldCharType="end"/>
      </w:r>
      <w:r w:rsidRPr="00CD3C9A">
        <w:rPr>
          <w:rFonts w:eastAsia="Calibri"/>
          <w:color w:val="000000" w:themeColor="text1"/>
          <w:sz w:val="20"/>
          <w:szCs w:val="20"/>
        </w:rPr>
        <w:t xml:space="preserve"> The Cornea and Contact Lens Society of Australia hosts the International Cornea and Contact Lens Congress allowing practitioners to learn from international experts in the field, and also holds regular continuing professional development meetings for local chapters in each state</w:t>
      </w:r>
      <w:r w:rsidR="003B1DA4">
        <w:rPr>
          <w:rFonts w:eastAsia="Calibri"/>
          <w:color w:val="000000" w:themeColor="text1"/>
          <w:sz w:val="20"/>
          <w:szCs w:val="20"/>
        </w:rPr>
        <w:t>.</w:t>
      </w:r>
      <w:r w:rsidR="001E6973">
        <w:rPr>
          <w:rFonts w:eastAsia="Calibri"/>
          <w:color w:val="000000" w:themeColor="text1"/>
          <w:sz w:val="20"/>
          <w:szCs w:val="20"/>
        </w:rPr>
        <w:fldChar w:fldCharType="begin" w:fldLock="1"/>
      </w:r>
      <w:r w:rsidR="00444180">
        <w:rPr>
          <w:rFonts w:eastAsia="Calibri"/>
          <w:color w:val="000000" w:themeColor="text1"/>
          <w:sz w:val="20"/>
          <w:szCs w:val="20"/>
        </w:rPr>
        <w:instrText>ADDIN CSL_CITATION {"citationItems":[{"id":"ITEM-1","itemData":{"URL":"https://www.cclsa.org.au/","accessed":{"date-parts":[["2023","2","7"]]},"id":"ITEM-1","issued":{"date-parts":[["0"]]},"title":"Home | Cornea and Contact Lens Society Australia","type":"webpage"},"uris":["http://www.mendeley.com/documents/?uuid=d79b31da-aa50-460b-8a31-0921ac807865"]}],"mendeley":{"formattedCitation":"[156]","plainTextFormattedCitation":"[156]","previouslyFormattedCitation":"[156]"},"properties":{"noteIndex":0},"schema":"https://github.com/citation-style-language/schema/raw/master/csl-citation.json"}</w:instrText>
      </w:r>
      <w:r w:rsidR="001E6973">
        <w:rPr>
          <w:rFonts w:eastAsia="Calibri"/>
          <w:color w:val="000000" w:themeColor="text1"/>
          <w:sz w:val="20"/>
          <w:szCs w:val="20"/>
        </w:rPr>
        <w:fldChar w:fldCharType="separate"/>
      </w:r>
      <w:r w:rsidR="001E6973" w:rsidRPr="001E6973">
        <w:rPr>
          <w:rFonts w:eastAsia="Calibri"/>
          <w:noProof/>
          <w:color w:val="000000" w:themeColor="text1"/>
          <w:sz w:val="20"/>
          <w:szCs w:val="20"/>
        </w:rPr>
        <w:t>[156]</w:t>
      </w:r>
      <w:r w:rsidR="001E6973">
        <w:rPr>
          <w:rFonts w:eastAsia="Calibri"/>
          <w:color w:val="000000" w:themeColor="text1"/>
          <w:sz w:val="20"/>
          <w:szCs w:val="20"/>
        </w:rPr>
        <w:fldChar w:fldCharType="end"/>
      </w:r>
      <w:r w:rsidRPr="00CD3C9A">
        <w:rPr>
          <w:rFonts w:eastAsia="Calibri"/>
          <w:color w:val="000000" w:themeColor="text1"/>
          <w:sz w:val="20"/>
          <w:szCs w:val="20"/>
        </w:rPr>
        <w:t xml:space="preserve"> One advantage of mandatory </w:t>
      </w:r>
      <w:bookmarkStart w:id="13" w:name="_Hlk120869799"/>
      <w:r w:rsidRPr="00CD3C9A">
        <w:rPr>
          <w:rFonts w:eastAsia="Calibri"/>
          <w:color w:val="000000" w:themeColor="text1"/>
          <w:sz w:val="20"/>
          <w:szCs w:val="20"/>
        </w:rPr>
        <w:t xml:space="preserve">continuing professional development </w:t>
      </w:r>
      <w:bookmarkEnd w:id="13"/>
      <w:r w:rsidRPr="00CD3C9A">
        <w:rPr>
          <w:rFonts w:eastAsia="Calibri"/>
          <w:color w:val="000000" w:themeColor="text1"/>
          <w:sz w:val="20"/>
          <w:szCs w:val="20"/>
        </w:rPr>
        <w:t xml:space="preserve">(CPD), where evidence of CPD is required for annual registration renewal, is that it is often accompanied by a requirement for the optometrist to generate a formal learning plan, providing structure and intentional reflection around areas of practice that need development </w:t>
      </w:r>
      <w:r>
        <w:rPr>
          <w:rFonts w:eastAsia="Calibri"/>
          <w:color w:val="000000" w:themeColor="text1"/>
          <w:sz w:val="20"/>
          <w:szCs w:val="20"/>
        </w:rPr>
        <w:t>(</w:t>
      </w:r>
      <w:r w:rsidRPr="005F248B">
        <w:rPr>
          <w:rFonts w:eastAsia="Calibri"/>
          <w:color w:val="000000" w:themeColor="text1"/>
          <w:sz w:val="20"/>
          <w:szCs w:val="20"/>
        </w:rPr>
        <w:t>https://optical.org/en/education-and-cpd/continuing-professional-development/</w:t>
      </w:r>
      <w:r>
        <w:rPr>
          <w:rFonts w:eastAsia="Calibri"/>
          <w:color w:val="000000" w:themeColor="text1"/>
          <w:sz w:val="20"/>
          <w:szCs w:val="20"/>
        </w:rPr>
        <w:t>).</w:t>
      </w:r>
    </w:p>
    <w:p w14:paraId="1B74F7D5" w14:textId="77777777" w:rsidR="001B6131" w:rsidRPr="00CD3C9A" w:rsidRDefault="001B6131" w:rsidP="00CD3C9A">
      <w:pPr>
        <w:spacing w:line="360" w:lineRule="auto"/>
        <w:rPr>
          <w:rFonts w:eastAsia="Calibri"/>
          <w:color w:val="000000" w:themeColor="text1"/>
          <w:sz w:val="20"/>
          <w:szCs w:val="20"/>
        </w:rPr>
      </w:pPr>
    </w:p>
    <w:p w14:paraId="31AD4EDA" w14:textId="77777777" w:rsidR="005D5455" w:rsidRPr="00E719F9" w:rsidRDefault="005D5455" w:rsidP="005D5455">
      <w:pPr>
        <w:spacing w:line="360" w:lineRule="auto"/>
        <w:rPr>
          <w:color w:val="000000" w:themeColor="text1"/>
          <w:sz w:val="20"/>
          <w:szCs w:val="20"/>
        </w:rPr>
      </w:pPr>
      <w:bookmarkStart w:id="14" w:name="_heading=h.2et92p0" w:colFirst="0" w:colLast="0"/>
      <w:bookmarkEnd w:id="14"/>
      <w:r w:rsidRPr="00CD3C9A">
        <w:rPr>
          <w:b/>
          <w:bCs/>
          <w:color w:val="000000" w:themeColor="text1"/>
          <w:sz w:val="20"/>
          <w:szCs w:val="20"/>
        </w:rPr>
        <w:t>Conclusion</w:t>
      </w:r>
    </w:p>
    <w:p w14:paraId="6BE8F592" w14:textId="63D7485F" w:rsidR="000961C6" w:rsidRDefault="005D5455" w:rsidP="005D5455">
      <w:pPr>
        <w:spacing w:line="360" w:lineRule="auto"/>
        <w:rPr>
          <w:color w:val="0E101A"/>
          <w:sz w:val="20"/>
          <w:szCs w:val="20"/>
          <w:lang w:val="en-US"/>
        </w:rPr>
      </w:pPr>
      <w:r w:rsidRPr="00CD3C9A">
        <w:rPr>
          <w:color w:val="0E101A"/>
          <w:sz w:val="20"/>
          <w:szCs w:val="20"/>
          <w:lang w:val="en-US"/>
        </w:rPr>
        <w:t xml:space="preserve">New teaching </w:t>
      </w:r>
      <w:r>
        <w:rPr>
          <w:color w:val="0E101A"/>
          <w:sz w:val="20"/>
          <w:szCs w:val="20"/>
          <w:lang w:val="en-US"/>
        </w:rPr>
        <w:t xml:space="preserve">and learning </w:t>
      </w:r>
      <w:r w:rsidRPr="00CD3C9A">
        <w:rPr>
          <w:color w:val="0E101A"/>
          <w:sz w:val="20"/>
          <w:szCs w:val="20"/>
          <w:lang w:val="en-US"/>
        </w:rPr>
        <w:t>techniques and environments have emerged over the last few decades based upon scientific evidence</w:t>
      </w:r>
      <w:r>
        <w:rPr>
          <w:color w:val="0E101A"/>
          <w:sz w:val="20"/>
          <w:szCs w:val="20"/>
          <w:lang w:val="en-US"/>
        </w:rPr>
        <w:t>. Some</w:t>
      </w:r>
      <w:r w:rsidRPr="00CD3C9A">
        <w:rPr>
          <w:color w:val="0E101A"/>
          <w:sz w:val="20"/>
          <w:szCs w:val="20"/>
          <w:lang w:val="en-US"/>
        </w:rPr>
        <w:t xml:space="preserve"> of these techniques </w:t>
      </w:r>
      <w:r>
        <w:rPr>
          <w:color w:val="0E101A"/>
          <w:sz w:val="20"/>
          <w:szCs w:val="20"/>
          <w:lang w:val="en-US"/>
        </w:rPr>
        <w:t xml:space="preserve">have </w:t>
      </w:r>
      <w:r w:rsidRPr="00CD3C9A">
        <w:rPr>
          <w:color w:val="0E101A"/>
          <w:sz w:val="20"/>
          <w:szCs w:val="20"/>
          <w:lang w:val="en-US"/>
        </w:rPr>
        <w:t>found wide applications in the education of healthcare-related professions since they could potentially be very useful for students who need to learn a broad theoretical knowledge and develop practical clinical skills. A discrete body of evidence has demonstrated these techniques and environments being particularly useful in health professions education and more specifically in the optometric HE. Notwithstanding these premises, in this review, no direct evidence of the spreading and benefit of these strategies in CL</w:t>
      </w:r>
      <w:r>
        <w:rPr>
          <w:color w:val="0E101A"/>
          <w:sz w:val="20"/>
          <w:szCs w:val="20"/>
          <w:lang w:val="en-US"/>
        </w:rPr>
        <w:t xml:space="preserve">E </w:t>
      </w:r>
      <w:r w:rsidRPr="00CD3C9A">
        <w:rPr>
          <w:color w:val="0E101A"/>
          <w:sz w:val="20"/>
          <w:szCs w:val="20"/>
          <w:lang w:val="en-US"/>
        </w:rPr>
        <w:t>was found.</w:t>
      </w:r>
    </w:p>
    <w:p w14:paraId="60B6C800" w14:textId="3E83682C" w:rsidR="005D5455" w:rsidRDefault="005D5455" w:rsidP="005D5455">
      <w:pPr>
        <w:spacing w:line="360" w:lineRule="auto"/>
        <w:rPr>
          <w:color w:val="0E101A"/>
          <w:sz w:val="20"/>
          <w:szCs w:val="20"/>
          <w:lang w:val="en-US"/>
        </w:rPr>
      </w:pPr>
      <w:r w:rsidRPr="00CD3C9A">
        <w:rPr>
          <w:color w:val="0E101A"/>
          <w:sz w:val="20"/>
          <w:szCs w:val="20"/>
          <w:lang w:val="en-US"/>
        </w:rPr>
        <w:t xml:space="preserve">Nevertheless, the </w:t>
      </w:r>
      <w:r w:rsidR="009829C5">
        <w:rPr>
          <w:color w:val="0E101A"/>
          <w:sz w:val="20"/>
          <w:szCs w:val="20"/>
          <w:lang w:val="en-US"/>
        </w:rPr>
        <w:t>authors</w:t>
      </w:r>
      <w:r w:rsidRPr="00CD3C9A">
        <w:rPr>
          <w:color w:val="0E101A"/>
          <w:sz w:val="20"/>
          <w:szCs w:val="20"/>
          <w:lang w:val="en-US"/>
        </w:rPr>
        <w:t xml:space="preserve"> engaged in this review found</w:t>
      </w:r>
      <w:r w:rsidR="003427B3">
        <w:rPr>
          <w:color w:val="0E101A"/>
          <w:sz w:val="20"/>
          <w:szCs w:val="20"/>
          <w:lang w:val="en-US"/>
        </w:rPr>
        <w:t xml:space="preserve"> evidence for the benefit of </w:t>
      </w:r>
      <w:r>
        <w:rPr>
          <w:color w:val="0E101A"/>
          <w:sz w:val="20"/>
          <w:szCs w:val="20"/>
          <w:lang w:val="en-US"/>
        </w:rPr>
        <w:t xml:space="preserve">some teaching and learning and assessment methods </w:t>
      </w:r>
      <w:r w:rsidRPr="00CD3C9A">
        <w:rPr>
          <w:color w:val="0E101A"/>
          <w:sz w:val="20"/>
          <w:szCs w:val="20"/>
          <w:lang w:val="en-US"/>
        </w:rPr>
        <w:t>in other disciplines that are transferable to CL</w:t>
      </w:r>
      <w:r w:rsidR="000961C6">
        <w:rPr>
          <w:color w:val="0E101A"/>
          <w:sz w:val="20"/>
          <w:szCs w:val="20"/>
          <w:lang w:val="en-US"/>
        </w:rPr>
        <w:t xml:space="preserve">E </w:t>
      </w:r>
      <w:r w:rsidRPr="00CD3C9A">
        <w:rPr>
          <w:color w:val="0E101A"/>
          <w:sz w:val="20"/>
          <w:szCs w:val="20"/>
          <w:lang w:val="en-US"/>
        </w:rPr>
        <w:t xml:space="preserve">and could help students meet the intended learning outcomes. </w:t>
      </w:r>
      <w:r>
        <w:rPr>
          <w:color w:val="0E101A"/>
          <w:sz w:val="20"/>
          <w:szCs w:val="20"/>
          <w:lang w:val="en-US"/>
        </w:rPr>
        <w:t>The</w:t>
      </w:r>
      <w:r w:rsidR="000961C6">
        <w:rPr>
          <w:color w:val="0E101A"/>
          <w:sz w:val="20"/>
          <w:szCs w:val="20"/>
          <w:lang w:val="en-US"/>
        </w:rPr>
        <w:t>re was evidence that the following</w:t>
      </w:r>
      <w:r>
        <w:rPr>
          <w:color w:val="0E101A"/>
          <w:sz w:val="20"/>
          <w:szCs w:val="20"/>
          <w:lang w:val="en-US"/>
        </w:rPr>
        <w:t xml:space="preserve"> teaching and learning methods</w:t>
      </w:r>
      <w:r w:rsidR="000961C6">
        <w:rPr>
          <w:color w:val="0E101A"/>
          <w:sz w:val="20"/>
          <w:szCs w:val="20"/>
          <w:lang w:val="en-US"/>
        </w:rPr>
        <w:t xml:space="preserve"> help</w:t>
      </w:r>
      <w:r w:rsidR="003427B3">
        <w:rPr>
          <w:color w:val="0E101A"/>
          <w:sz w:val="20"/>
          <w:szCs w:val="20"/>
          <w:lang w:val="en-US"/>
        </w:rPr>
        <w:t xml:space="preserve">ed </w:t>
      </w:r>
      <w:r w:rsidR="00F6393A">
        <w:rPr>
          <w:color w:val="0E101A"/>
          <w:sz w:val="20"/>
          <w:szCs w:val="20"/>
          <w:lang w:val="en-US"/>
        </w:rPr>
        <w:t>healthcare</w:t>
      </w:r>
      <w:r w:rsidR="003427B3">
        <w:rPr>
          <w:color w:val="0E101A"/>
          <w:sz w:val="20"/>
          <w:szCs w:val="20"/>
          <w:lang w:val="en-US"/>
        </w:rPr>
        <w:t xml:space="preserve"> and general optometry</w:t>
      </w:r>
      <w:r w:rsidR="000961C6">
        <w:rPr>
          <w:color w:val="0E101A"/>
          <w:sz w:val="20"/>
          <w:szCs w:val="20"/>
          <w:lang w:val="en-US"/>
        </w:rPr>
        <w:t xml:space="preserve"> students meet the intended learning outcomes</w:t>
      </w:r>
      <w:r>
        <w:rPr>
          <w:color w:val="0E101A"/>
          <w:sz w:val="20"/>
          <w:szCs w:val="20"/>
          <w:lang w:val="en-US"/>
        </w:rPr>
        <w:t>; clinical teaching and learning, flipped classrooms, clinical skills videos</w:t>
      </w:r>
      <w:r w:rsidR="00351E6D">
        <w:rPr>
          <w:color w:val="0E101A"/>
          <w:sz w:val="20"/>
          <w:szCs w:val="20"/>
          <w:lang w:val="en-US"/>
        </w:rPr>
        <w:t>,</w:t>
      </w:r>
      <w:r>
        <w:rPr>
          <w:color w:val="0E101A"/>
          <w:sz w:val="20"/>
          <w:szCs w:val="20"/>
          <w:lang w:val="en-US"/>
        </w:rPr>
        <w:t xml:space="preserve"> and clerkships. For assessment these methods </w:t>
      </w:r>
      <w:r w:rsidR="00F6393A">
        <w:rPr>
          <w:color w:val="0E101A"/>
          <w:sz w:val="20"/>
          <w:szCs w:val="20"/>
          <w:lang w:val="en-US"/>
        </w:rPr>
        <w:t>were</w:t>
      </w:r>
      <w:r>
        <w:rPr>
          <w:color w:val="0E101A"/>
          <w:sz w:val="20"/>
          <w:szCs w:val="20"/>
          <w:lang w:val="en-US"/>
        </w:rPr>
        <w:t xml:space="preserve"> essays, case presentations, OSCEs, self-assessment and formative assessment.</w:t>
      </w:r>
      <w:r w:rsidR="000961C6">
        <w:rPr>
          <w:color w:val="0E101A"/>
          <w:sz w:val="20"/>
          <w:szCs w:val="20"/>
          <w:lang w:val="en-US"/>
        </w:rPr>
        <w:t xml:space="preserve"> There was no evidence that the following teaching and learning methods help</w:t>
      </w:r>
      <w:r w:rsidR="003427B3">
        <w:rPr>
          <w:color w:val="0E101A"/>
          <w:sz w:val="20"/>
          <w:szCs w:val="20"/>
          <w:lang w:val="en-US"/>
        </w:rPr>
        <w:t>ed</w:t>
      </w:r>
      <w:r w:rsidR="000961C6">
        <w:rPr>
          <w:color w:val="0E101A"/>
          <w:sz w:val="20"/>
          <w:szCs w:val="20"/>
          <w:lang w:val="en-US"/>
        </w:rPr>
        <w:t xml:space="preserve"> </w:t>
      </w:r>
      <w:r w:rsidR="00F6393A">
        <w:rPr>
          <w:color w:val="0E101A"/>
          <w:sz w:val="20"/>
          <w:szCs w:val="20"/>
          <w:lang w:val="en-US"/>
        </w:rPr>
        <w:t>healthcare</w:t>
      </w:r>
      <w:r w:rsidR="003427B3">
        <w:rPr>
          <w:color w:val="0E101A"/>
          <w:sz w:val="20"/>
          <w:szCs w:val="20"/>
          <w:lang w:val="en-US"/>
        </w:rPr>
        <w:t xml:space="preserve"> and general optometry </w:t>
      </w:r>
      <w:r w:rsidR="000961C6">
        <w:rPr>
          <w:color w:val="0E101A"/>
          <w:sz w:val="20"/>
          <w:szCs w:val="20"/>
          <w:lang w:val="en-US"/>
        </w:rPr>
        <w:t xml:space="preserve">students meet the intended learning </w:t>
      </w:r>
      <w:proofErr w:type="gramStart"/>
      <w:r w:rsidR="000961C6">
        <w:rPr>
          <w:color w:val="0E101A"/>
          <w:sz w:val="20"/>
          <w:szCs w:val="20"/>
          <w:lang w:val="en-US"/>
        </w:rPr>
        <w:t>outcomes;</w:t>
      </w:r>
      <w:proofErr w:type="gramEnd"/>
      <w:r w:rsidR="000961C6">
        <w:rPr>
          <w:color w:val="0E101A"/>
          <w:sz w:val="20"/>
          <w:szCs w:val="20"/>
          <w:lang w:val="en-US"/>
        </w:rPr>
        <w:t xml:space="preserve"> journal clubs and case discussions. Nor was any evidence found for the following assessment methods; MCQs, oral examinations, </w:t>
      </w:r>
      <w:r w:rsidR="00A40BBB">
        <w:rPr>
          <w:color w:val="0E101A"/>
          <w:sz w:val="20"/>
          <w:szCs w:val="20"/>
          <w:lang w:val="en-US"/>
        </w:rPr>
        <w:t>OSPEs</w:t>
      </w:r>
      <w:r w:rsidR="000961C6">
        <w:rPr>
          <w:color w:val="0E101A"/>
          <w:sz w:val="20"/>
          <w:szCs w:val="20"/>
          <w:lang w:val="en-US"/>
        </w:rPr>
        <w:t>, holistic assessment, and summative assessment.</w:t>
      </w:r>
    </w:p>
    <w:p w14:paraId="1D144AC2" w14:textId="77777777" w:rsidR="005D5455" w:rsidRPr="00CD3C9A" w:rsidRDefault="005D5455" w:rsidP="005D5455">
      <w:pPr>
        <w:spacing w:line="360" w:lineRule="auto"/>
        <w:rPr>
          <w:color w:val="0E101A"/>
          <w:sz w:val="20"/>
          <w:szCs w:val="20"/>
          <w:lang w:val="en-US"/>
        </w:rPr>
      </w:pPr>
    </w:p>
    <w:p w14:paraId="5F239ACA" w14:textId="48A4B1B6" w:rsidR="005D5455" w:rsidRPr="00CD3C9A" w:rsidRDefault="005D5455" w:rsidP="005D5455">
      <w:pPr>
        <w:spacing w:line="360" w:lineRule="auto"/>
        <w:rPr>
          <w:sz w:val="20"/>
          <w:szCs w:val="20"/>
          <w:lang w:val="en-US"/>
        </w:rPr>
      </w:pPr>
      <w:r>
        <w:rPr>
          <w:color w:val="0E101A"/>
          <w:sz w:val="20"/>
          <w:szCs w:val="20"/>
          <w:lang w:val="en-US"/>
        </w:rPr>
        <w:t>F</w:t>
      </w:r>
      <w:r w:rsidRPr="00CD3C9A">
        <w:rPr>
          <w:color w:val="0E101A"/>
          <w:sz w:val="20"/>
          <w:szCs w:val="20"/>
          <w:lang w:val="en-US"/>
        </w:rPr>
        <w:t xml:space="preserve">urther investigation into the efficacy of </w:t>
      </w:r>
      <w:r>
        <w:rPr>
          <w:color w:val="0E101A"/>
          <w:sz w:val="20"/>
          <w:szCs w:val="20"/>
          <w:lang w:val="en-US"/>
        </w:rPr>
        <w:t>these teaching and learning and assessment methods in</w:t>
      </w:r>
      <w:r w:rsidRPr="00CD3C9A">
        <w:rPr>
          <w:color w:val="0E101A"/>
          <w:sz w:val="20"/>
          <w:szCs w:val="20"/>
          <w:lang w:val="en-US"/>
        </w:rPr>
        <w:t xml:space="preserve"> </w:t>
      </w:r>
      <w:r>
        <w:rPr>
          <w:color w:val="0E101A"/>
          <w:sz w:val="20"/>
          <w:szCs w:val="20"/>
          <w:lang w:val="en-US"/>
        </w:rPr>
        <w:t>CLE</w:t>
      </w:r>
      <w:r w:rsidRPr="00CD3C9A">
        <w:rPr>
          <w:color w:val="0E101A"/>
          <w:sz w:val="20"/>
          <w:szCs w:val="20"/>
          <w:lang w:val="en-US"/>
        </w:rPr>
        <w:t xml:space="preserve"> </w:t>
      </w:r>
      <w:r>
        <w:rPr>
          <w:color w:val="0E101A"/>
          <w:sz w:val="20"/>
          <w:szCs w:val="20"/>
          <w:lang w:val="en-US"/>
        </w:rPr>
        <w:t>are</w:t>
      </w:r>
      <w:r w:rsidRPr="00CD3C9A">
        <w:rPr>
          <w:color w:val="0E101A"/>
          <w:sz w:val="20"/>
          <w:szCs w:val="20"/>
          <w:lang w:val="en-US"/>
        </w:rPr>
        <w:t xml:space="preserve"> required and </w:t>
      </w:r>
      <w:r>
        <w:rPr>
          <w:color w:val="0E101A"/>
          <w:sz w:val="20"/>
          <w:szCs w:val="20"/>
          <w:lang w:val="en-US"/>
        </w:rPr>
        <w:t xml:space="preserve">would be </w:t>
      </w:r>
      <w:r w:rsidRPr="00CD3C9A">
        <w:rPr>
          <w:color w:val="0E101A"/>
          <w:sz w:val="20"/>
          <w:szCs w:val="20"/>
          <w:lang w:val="en-US"/>
        </w:rPr>
        <w:t xml:space="preserve">beneficial for the entire community of CL educators, </w:t>
      </w:r>
      <w:r>
        <w:rPr>
          <w:color w:val="0E101A"/>
          <w:sz w:val="20"/>
          <w:szCs w:val="20"/>
          <w:lang w:val="en-US"/>
        </w:rPr>
        <w:t>and</w:t>
      </w:r>
      <w:r w:rsidRPr="00CD3C9A">
        <w:rPr>
          <w:color w:val="0E101A"/>
          <w:sz w:val="20"/>
          <w:szCs w:val="20"/>
          <w:lang w:val="en-US"/>
        </w:rPr>
        <w:t xml:space="preserve"> other disciplines that wish to adapt this approach of evidence-based teaching.</w:t>
      </w:r>
    </w:p>
    <w:p w14:paraId="618D7A49" w14:textId="77777777" w:rsidR="003427B3" w:rsidRPr="00F8338D" w:rsidRDefault="003427B3" w:rsidP="00CD3C9A">
      <w:pPr>
        <w:spacing w:line="360" w:lineRule="auto"/>
        <w:rPr>
          <w:color w:val="000000" w:themeColor="text1"/>
          <w:sz w:val="20"/>
          <w:szCs w:val="20"/>
        </w:rPr>
      </w:pPr>
    </w:p>
    <w:p w14:paraId="69E25C28" w14:textId="77777777" w:rsidR="00444200" w:rsidRPr="00534881" w:rsidRDefault="00444200" w:rsidP="00444200">
      <w:pPr>
        <w:rPr>
          <w:b/>
          <w:bCs/>
        </w:rPr>
      </w:pPr>
      <w:r w:rsidRPr="00534881">
        <w:rPr>
          <w:b/>
          <w:bCs/>
        </w:rPr>
        <w:t>References:</w:t>
      </w:r>
    </w:p>
    <w:p w14:paraId="4160C008" w14:textId="3A002132" w:rsidR="00A74FC3" w:rsidRDefault="00A74FC3" w:rsidP="00A74FC3">
      <w:pPr>
        <w:spacing w:line="360" w:lineRule="auto"/>
        <w:rPr>
          <w:rFonts w:eastAsia="Times New Roman"/>
          <w:color w:val="000000" w:themeColor="text1"/>
          <w:sz w:val="20"/>
          <w:szCs w:val="20"/>
        </w:rPr>
      </w:pPr>
    </w:p>
    <w:p w14:paraId="677FD2EC" w14:textId="50536534" w:rsidR="00444180" w:rsidRPr="00444180" w:rsidRDefault="00A74FC3" w:rsidP="00444180">
      <w:pPr>
        <w:widowControl w:val="0"/>
        <w:autoSpaceDE w:val="0"/>
        <w:autoSpaceDN w:val="0"/>
        <w:adjustRightInd w:val="0"/>
        <w:spacing w:line="360" w:lineRule="auto"/>
        <w:ind w:left="640" w:hanging="640"/>
        <w:rPr>
          <w:noProof/>
          <w:sz w:val="20"/>
          <w:szCs w:val="24"/>
        </w:rPr>
      </w:pPr>
      <w:r>
        <w:rPr>
          <w:color w:val="000000" w:themeColor="text1"/>
          <w:sz w:val="20"/>
          <w:szCs w:val="20"/>
        </w:rPr>
        <w:fldChar w:fldCharType="begin" w:fldLock="1"/>
      </w:r>
      <w:r>
        <w:rPr>
          <w:color w:val="000000" w:themeColor="text1"/>
          <w:sz w:val="20"/>
          <w:szCs w:val="20"/>
        </w:rPr>
        <w:instrText xml:space="preserve">ADDIN Mendeley Bibliography CSL_BIBLIOGRAPHY </w:instrText>
      </w:r>
      <w:r>
        <w:rPr>
          <w:color w:val="000000" w:themeColor="text1"/>
          <w:sz w:val="20"/>
          <w:szCs w:val="20"/>
        </w:rPr>
        <w:fldChar w:fldCharType="separate"/>
      </w:r>
      <w:r w:rsidR="00444180" w:rsidRPr="00444180">
        <w:rPr>
          <w:noProof/>
          <w:sz w:val="20"/>
          <w:szCs w:val="24"/>
        </w:rPr>
        <w:t>[1]</w:t>
      </w:r>
      <w:r w:rsidR="00444180" w:rsidRPr="00444180">
        <w:rPr>
          <w:noProof/>
          <w:sz w:val="20"/>
          <w:szCs w:val="24"/>
        </w:rPr>
        <w:tab/>
        <w:t>Zeri F, Eperjesi F, Woods C, Bandlitz S, Bhootra A, Joshi M, et al. Evidence-Based teaching in Contact Lenses Education: Teaching and Learning Strategies. Contact Lens Anterior Eye 2023.</w:t>
      </w:r>
    </w:p>
    <w:p w14:paraId="2DCB90A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w:t>
      </w:r>
      <w:r w:rsidRPr="00444180">
        <w:rPr>
          <w:noProof/>
          <w:sz w:val="20"/>
          <w:szCs w:val="24"/>
        </w:rPr>
        <w:tab/>
        <w:t>Fernández J, Burguera-Gimenez N. Teaching Evidence-Based Ophthalmology (EBO). Ann Eye Sci 2019;4. https://doi.org/10.21037/aes.2019.08.05.</w:t>
      </w:r>
    </w:p>
    <w:p w14:paraId="75787C1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w:t>
      </w:r>
      <w:r w:rsidRPr="00444180">
        <w:rPr>
          <w:noProof/>
          <w:sz w:val="20"/>
          <w:szCs w:val="24"/>
        </w:rPr>
        <w:tab/>
        <w:t>Ilic D. Assessing competency in Evidence Based Practice: Strengths and limitations of current tools in practice. BMC Med Educ 2009;9:1–5. https://doi.org/10.1186/1472-6920-9-53.</w:t>
      </w:r>
    </w:p>
    <w:p w14:paraId="2A3CF451"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w:t>
      </w:r>
      <w:r w:rsidRPr="00444180">
        <w:rPr>
          <w:noProof/>
          <w:sz w:val="20"/>
          <w:szCs w:val="24"/>
        </w:rPr>
        <w:tab/>
        <w:t>Wolffsohn JS, Dumbleton K, Huntjens B, Kandel H, Koh S, Kunnen CME, et al. CLEAR - Evidence-based contact lens practice. Contact Lens Anterior Eye 2021;44. https://doi.org/10.1016/j.clae.2021.02.008.</w:t>
      </w:r>
    </w:p>
    <w:p w14:paraId="7F75946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w:t>
      </w:r>
      <w:r w:rsidRPr="00444180">
        <w:rPr>
          <w:noProof/>
          <w:sz w:val="20"/>
          <w:szCs w:val="24"/>
        </w:rPr>
        <w:tab/>
        <w:t>Jones L, Downie LE, Korb D, Benitez-del-Castillo JM, Dana R, Deng SX, et al. TFOS DEWS II Management and Therapy Report. Ocul Surf 2017;15:575–628. https://doi.org/10.1016/j.jtos.2017.05.006.</w:t>
      </w:r>
    </w:p>
    <w:p w14:paraId="5CCA159E"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w:t>
      </w:r>
      <w:r w:rsidRPr="00444180">
        <w:rPr>
          <w:noProof/>
          <w:sz w:val="20"/>
          <w:szCs w:val="24"/>
        </w:rPr>
        <w:tab/>
        <w:t xml:space="preserve">Jacobs DS, Carrasquillo KG, Cottrell PD, Fernández-Velázquez FJ, Gil-Cazorla R, Jalbert I, et </w:t>
      </w:r>
      <w:r w:rsidRPr="00444180">
        <w:rPr>
          <w:noProof/>
          <w:sz w:val="20"/>
          <w:szCs w:val="24"/>
        </w:rPr>
        <w:lastRenderedPageBreak/>
        <w:t>al. CLEAR – Medical use of contact lenses. Contact Lens Anterior Eye 2021;44:289–329. https://doi.org/10.1016/j.clae.2021.02.002.</w:t>
      </w:r>
    </w:p>
    <w:p w14:paraId="4FAC3A3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w:t>
      </w:r>
      <w:r w:rsidRPr="00444180">
        <w:rPr>
          <w:noProof/>
          <w:sz w:val="20"/>
          <w:szCs w:val="24"/>
        </w:rPr>
        <w:tab/>
        <w:t>OCULUS. Teaching Methods for Evidence-based Practice in Optometry. Optom Curric Lifelong Learn through Erasmus 2020.</w:t>
      </w:r>
    </w:p>
    <w:p w14:paraId="1D425ECC"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w:t>
      </w:r>
      <w:r w:rsidRPr="00444180">
        <w:rPr>
          <w:noProof/>
          <w:sz w:val="20"/>
          <w:szCs w:val="24"/>
        </w:rPr>
        <w:tab/>
        <w:t>Woodman-Pieterse EC, De Souza NJ, Vincent SJ. The influence of a novel simulated learning environment upon student clinical subjective refraction performance: A pilot study. Clin Exp Optom 2016;99:342–9.</w:t>
      </w:r>
    </w:p>
    <w:p w14:paraId="163B738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w:t>
      </w:r>
      <w:r w:rsidRPr="00444180">
        <w:rPr>
          <w:noProof/>
          <w:sz w:val="20"/>
          <w:szCs w:val="24"/>
        </w:rPr>
        <w:tab/>
        <w:t>Young T, Rohwer A, Volmink J, Clarke M. What are the effects of teaching evidence-based health care (EBHC)? Overview of systematic reviews. PLoS One 2014;9:e86706. https://doi.org/10.1371/journal.pone.0086706.</w:t>
      </w:r>
    </w:p>
    <w:p w14:paraId="01CBDD7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w:t>
      </w:r>
      <w:r w:rsidRPr="00444180">
        <w:rPr>
          <w:noProof/>
          <w:sz w:val="20"/>
          <w:szCs w:val="24"/>
        </w:rPr>
        <w:tab/>
        <w:t>Aglen B. Pedagogical strategies to teach bachelor students evidence-based practice: A systematic review. Nurse Educ Today 2016;36:255–63. https://doi.org/10.1016/j.nedt.2015.08.025.</w:t>
      </w:r>
    </w:p>
    <w:p w14:paraId="04FB9C1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w:t>
      </w:r>
      <w:r w:rsidRPr="00444180">
        <w:rPr>
          <w:noProof/>
          <w:sz w:val="20"/>
          <w:szCs w:val="24"/>
        </w:rPr>
        <w:tab/>
        <w:t>Suttle CM, Challinor KL, Thompson RE, Pesudovs K, Togher L, Chiavaroli N, et al. Attitudes and barriers to evidence-based practice in optometry educators. Optom Vis Sci 2015;92:514–23. https://doi.org/10.1097/OPX.0000000000000550.</w:t>
      </w:r>
    </w:p>
    <w:p w14:paraId="439EBB07"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w:t>
      </w:r>
      <w:r w:rsidRPr="00444180">
        <w:rPr>
          <w:noProof/>
          <w:sz w:val="20"/>
          <w:szCs w:val="24"/>
        </w:rPr>
        <w:tab/>
        <w:t>Aronson JK. Journal Clubs: 2. Why and how to run them and how to publish them. Evid Based Med 2017;22:232–4. https://doi.org/10.1136/ebmed-2017-110861.</w:t>
      </w:r>
    </w:p>
    <w:p w14:paraId="3B79C24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w:t>
      </w:r>
      <w:r w:rsidRPr="00444180">
        <w:rPr>
          <w:noProof/>
          <w:sz w:val="20"/>
          <w:szCs w:val="24"/>
        </w:rPr>
        <w:tab/>
        <w:t>Larsen CM, Terkelsen AS, Carlsen A-MF, Kristensen HK. Methods for teaching evidence-based practice: a scoping review. BMC Med Educ 2019;19:259. https://doi.org/10.1186/s12909-019-1681-0.</w:t>
      </w:r>
    </w:p>
    <w:p w14:paraId="491E873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w:t>
      </w:r>
      <w:r w:rsidRPr="00444180">
        <w:rPr>
          <w:noProof/>
          <w:sz w:val="20"/>
          <w:szCs w:val="24"/>
        </w:rPr>
        <w:tab/>
        <w:t>Tu D, Park D-W, Krisciunas T, Hwang T. Teaching Ophthalmology Residents Clinical Optics Via a Flipped Classroom Curriculum. J Acad Ophthalmol 2019;11. https://doi.org/10.1055/s-0039-1683369.</w:t>
      </w:r>
    </w:p>
    <w:p w14:paraId="3337158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[15]</w:t>
      </w:r>
      <w:r w:rsidRPr="00444180">
        <w:rPr>
          <w:noProof/>
          <w:sz w:val="20"/>
          <w:szCs w:val="24"/>
        </w:rPr>
        <w:tab/>
        <w:t>Pearson TA, Barker WH, Fisher SG, Trafton SH. Integration of the case-based series in population-oriented prevention into a problem-based medical curriculum. Am J Prev Med 2003;24:102–7. https://doi.org/10.1016/S0749-3797(03)00030-8.</w:t>
      </w:r>
    </w:p>
    <w:p w14:paraId="6341211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[16]</w:t>
      </w:r>
      <w:r w:rsidRPr="00444180">
        <w:rPr>
          <w:noProof/>
          <w:sz w:val="20"/>
          <w:szCs w:val="24"/>
        </w:rPr>
        <w:tab/>
        <w:t>Malik U, Kirkby E, Tah V, Okhravi N. Effectiveness and acceptability of a cataract surgery teaching video for medical students. Med Teach 2012;34:178. https://doi.org/10.3109/0142159X.2012.644835.</w:t>
      </w:r>
    </w:p>
    <w:p w14:paraId="549EB19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[17]</w:t>
      </w:r>
      <w:r w:rsidRPr="00444180">
        <w:rPr>
          <w:noProof/>
          <w:sz w:val="20"/>
          <w:szCs w:val="24"/>
        </w:rPr>
        <w:tab/>
        <w:t>Ngo J, Khoo P, Watson SL. Improving the Efficiency and the Technique of the Corneal Scrape Procedure via an Evidence Based Instructional Video at a Quaternary Referral Eye Hospital. Curr Eye Res 2020;45:529–34. https://doi.org/10.1080/02713683.2019.1676910.</w:t>
      </w:r>
    </w:p>
    <w:p w14:paraId="6710BA7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[18]</w:t>
      </w:r>
      <w:r w:rsidRPr="00444180">
        <w:rPr>
          <w:noProof/>
          <w:sz w:val="20"/>
          <w:szCs w:val="24"/>
        </w:rPr>
        <w:tab/>
        <w:t>Gargallo A, Arines J. Contact lenses fitting teaching: learning improvement with monitor visualization of webcam video recordings. Second Int. Conf. Appl. Opt. Photonics, vol. 9286, SPIE; 2014, p. 928629. https://doi.org/10.1117/12.2063656.</w:t>
      </w:r>
    </w:p>
    <w:p w14:paraId="07CE265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[19]</w:t>
      </w:r>
      <w:r w:rsidRPr="00444180">
        <w:rPr>
          <w:noProof/>
          <w:sz w:val="20"/>
          <w:szCs w:val="24"/>
        </w:rPr>
        <w:tab/>
        <w:t>Succar T, Zebington G, Billson F, Byth K, Barrie S, McCluskey P, et al. The impact of the Virtual Ophthalmology Clinic on medical students’ learning: A randomised controlled trial. Eye 2013;27:1151–7. https://doi.org/10.1038/eye.2013.143.</w:t>
      </w:r>
    </w:p>
    <w:p w14:paraId="0AA0EF6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[20]</w:t>
      </w:r>
      <w:r w:rsidRPr="00444180">
        <w:rPr>
          <w:noProof/>
          <w:sz w:val="20"/>
          <w:szCs w:val="24"/>
        </w:rPr>
        <w:tab/>
        <w:t xml:space="preserve">Morris J, Maynard V. Pilot study to test the use of a mobile device in the clinical setting to </w:t>
      </w:r>
      <w:r w:rsidRPr="00444180">
        <w:rPr>
          <w:noProof/>
          <w:sz w:val="20"/>
          <w:szCs w:val="24"/>
        </w:rPr>
        <w:lastRenderedPageBreak/>
        <w:t>access evidence-based practice resources. Worldviews Evidence-Based Nurs 2010;7:205–13. https://doi.org/10.1111/j.1741-6787.2009.00171.x.</w:t>
      </w:r>
    </w:p>
    <w:p w14:paraId="5B0C430A"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[21]</w:t>
      </w:r>
      <w:r w:rsidRPr="00444180">
        <w:rPr>
          <w:noProof/>
          <w:sz w:val="20"/>
          <w:szCs w:val="24"/>
        </w:rPr>
        <w:tab/>
        <w:t>Doyle GJ, Furlong KE, Secco L. Information Literacy in a Digital Era: Understanding the Impact of Mobile Information for Undergraduate Nursing Students. Stud Health Technol Inform 2016;225:297–301.</w:t>
      </w:r>
    </w:p>
    <w:p w14:paraId="0074B891"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[22]</w:t>
      </w:r>
      <w:r w:rsidRPr="00444180">
        <w:rPr>
          <w:noProof/>
          <w:sz w:val="20"/>
          <w:szCs w:val="24"/>
        </w:rPr>
        <w:tab/>
        <w:t>Naroo SA, Morgan PB, Shinde L, Lee C, Ewbank A. Contact lens education for the practitioners of the future. Ophthalmic Physiol Opt 2021;41:603–9. https://doi.org/10.1111/opo.12791.</w:t>
      </w:r>
    </w:p>
    <w:p w14:paraId="18D955AA"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[23]</w:t>
      </w:r>
      <w:r w:rsidRPr="00444180">
        <w:rPr>
          <w:noProof/>
          <w:sz w:val="20"/>
          <w:szCs w:val="24"/>
        </w:rPr>
        <w:tab/>
        <w:t>Naroo SA, Morgan PB, Shinde L, Ewbank A. The impact of COVID-19 on global contact lens education. J Optom 2022;15:60–8. https://doi.org/10.1016/j.optom.2020.11.002.</w:t>
      </w:r>
    </w:p>
    <w:p w14:paraId="64B81D1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[24]</w:t>
      </w:r>
      <w:r w:rsidRPr="00444180">
        <w:rPr>
          <w:noProof/>
          <w:sz w:val="20"/>
          <w:szCs w:val="24"/>
        </w:rPr>
        <w:tab/>
        <w:t>Conard S. Best practices in digital health literacy. Int J Cardiol 2019;292:277–9. https://doi.org/10.1016/j.ijcard.2019.05.070.</w:t>
      </w:r>
    </w:p>
    <w:p w14:paraId="0640175E"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[25]</w:t>
      </w:r>
      <w:r w:rsidRPr="00444180">
        <w:rPr>
          <w:noProof/>
          <w:sz w:val="20"/>
          <w:szCs w:val="24"/>
        </w:rPr>
        <w:tab/>
        <w:t>Huntjens B, Basi M, Nagra M. Evaluating a new objective grading software for conjunctival hyperaemia. Contact Lens Anterior Eye 2020;43:137–43. https://doi.org/10.1016/j.clae.2019.07.003.</w:t>
      </w:r>
    </w:p>
    <w:p w14:paraId="63CD287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[26]</w:t>
      </w:r>
      <w:r w:rsidRPr="00444180">
        <w:rPr>
          <w:noProof/>
          <w:sz w:val="20"/>
          <w:szCs w:val="24"/>
        </w:rPr>
        <w:tab/>
        <w:t>Zhao F, Wang J, Wang L, Chen L. An approach for simulating the fitting of rigid gas-permeable contact lenses using 3D printing technology. Contact Lens Anterior Eye 2019;42:165–9.</w:t>
      </w:r>
    </w:p>
    <w:p w14:paraId="5095793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[27]</w:t>
      </w:r>
      <w:r w:rsidRPr="00444180">
        <w:rPr>
          <w:noProof/>
          <w:sz w:val="20"/>
          <w:szCs w:val="24"/>
        </w:rPr>
        <w:tab/>
        <w:t>Fan Y, Yu Z, Tang T, Liu X, Xu Q, Peng Z, et al. Machine learning algorithm improves accuracy of ortho-K lens fitting in vision shaping treatment. Contact Lens Anterior Eye 2022;45. https://doi.org/10.1016/j.clae.2021.101474.</w:t>
      </w:r>
    </w:p>
    <w:p w14:paraId="115786E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[28]</w:t>
      </w:r>
      <w:r w:rsidRPr="00444180">
        <w:rPr>
          <w:noProof/>
          <w:sz w:val="20"/>
          <w:szCs w:val="24"/>
        </w:rPr>
        <w:tab/>
        <w:t>Varadarajan A V., Poplin R, Blumer K, Angermueller C, Ledsam J, Chopra R, et al. Deep Learning for Predicting Refractive Error From Retinal Fundus Images. Investig Opthalmology Vis Sci 2018;59:2861. https://doi.org/10.1167/iovs.18-23887.</w:t>
      </w:r>
    </w:p>
    <w:p w14:paraId="65DFED1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[29]</w:t>
      </w:r>
      <w:r w:rsidRPr="00444180">
        <w:rPr>
          <w:noProof/>
          <w:sz w:val="20"/>
          <w:szCs w:val="24"/>
        </w:rPr>
        <w:tab/>
        <w:t>Lehane E, Leahy-Warren P, O’Riordan C, Savage E, Drennan J, O’Tuathaigh C, et al. Evidence-based practice education for healthcare professions: An expert view. BMJ Evidence-Based Med 2019;24:103–8. https://doi.org/10.1136/bmjebm-2018-111019.</w:t>
      </w:r>
    </w:p>
    <w:p w14:paraId="5A967D2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[30]</w:t>
      </w:r>
      <w:r w:rsidRPr="00444180">
        <w:rPr>
          <w:noProof/>
          <w:sz w:val="20"/>
          <w:szCs w:val="24"/>
        </w:rPr>
        <w:tab/>
        <w:t>Hitch D, Nicola-Richmond K. Instructional practices for evidence-based practice with pre-registration allied health students: a review of recent research and developments. Adv Heal Sci Educ 2017;22:1031–45. https://doi.org/10.1007/s10459-016-9702-9.</w:t>
      </w:r>
    </w:p>
    <w:p w14:paraId="5A4BB15B"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[31]</w:t>
      </w:r>
      <w:r w:rsidRPr="00444180">
        <w:rPr>
          <w:noProof/>
          <w:sz w:val="20"/>
          <w:szCs w:val="24"/>
        </w:rPr>
        <w:tab/>
        <w:t>Waring GO, Harris R, Walters RF, Berris C. Clinical ophthalmology instruction for medical students. Surv Ophthalmol 1977;22:106–12. https://doi.org/10.1016/0039-6257(77)90090-X.</w:t>
      </w:r>
    </w:p>
    <w:p w14:paraId="24DFE3C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[32]</w:t>
      </w:r>
      <w:r w:rsidRPr="00444180">
        <w:rPr>
          <w:noProof/>
          <w:sz w:val="20"/>
          <w:szCs w:val="24"/>
        </w:rPr>
        <w:tab/>
        <w:t>Bentley SA, Cartledge A, Guest DJ, Cappuccio S, Woods CA. Practitioner perspectives on extended clinical placement programs in optometry. Clin Exp Optom 2016;99:248–57. https://doi.org/10.1111/cxo.12337.</w:t>
      </w:r>
    </w:p>
    <w:p w14:paraId="3C31019C"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[33]</w:t>
      </w:r>
      <w:r w:rsidRPr="00444180">
        <w:rPr>
          <w:noProof/>
          <w:sz w:val="20"/>
          <w:szCs w:val="24"/>
        </w:rPr>
        <w:tab/>
        <w:t>Bentley SA, Trevaskis JE, Woods CA, Guest D, Watt KG. Impact of supervised student optometry consultations on the patient experience. Clin Exp Optom 2018;101:288–96. https://doi.org/10.1111/cxo.12633.</w:t>
      </w:r>
    </w:p>
    <w:p w14:paraId="3F1794B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[34]</w:t>
      </w:r>
      <w:r w:rsidRPr="00444180">
        <w:rPr>
          <w:noProof/>
          <w:sz w:val="20"/>
          <w:szCs w:val="24"/>
        </w:rPr>
        <w:tab/>
        <w:t>Penna RP. What are the appropriate skills and knowledge required for entry into the practice of optometry? J Optom Educ 1992;18:9–13.</w:t>
      </w:r>
    </w:p>
    <w:p w14:paraId="06B1F30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[35]</w:t>
      </w:r>
      <w:r w:rsidRPr="00444180">
        <w:rPr>
          <w:noProof/>
          <w:sz w:val="20"/>
          <w:szCs w:val="24"/>
        </w:rPr>
        <w:tab/>
        <w:t xml:space="preserve">Mulder M. Conceptions of professional competence. In: Billett S, Harteis C, Gruber H, editors. </w:t>
      </w:r>
      <w:r w:rsidRPr="00444180">
        <w:rPr>
          <w:noProof/>
          <w:sz w:val="20"/>
          <w:szCs w:val="24"/>
        </w:rPr>
        <w:lastRenderedPageBreak/>
        <w:t>Int. Handb. Res. Prof. Pract. Learn., Springer, Dordrecht; 2014, p. 107–37.</w:t>
      </w:r>
    </w:p>
    <w:p w14:paraId="73C5EBC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[36]</w:t>
      </w:r>
      <w:r w:rsidRPr="00444180">
        <w:rPr>
          <w:noProof/>
          <w:sz w:val="20"/>
          <w:szCs w:val="24"/>
        </w:rPr>
        <w:tab/>
        <w:t>Frank JR, Snell LS, Cate O Ten, Holmboe ES, Carraccio C, Swing SR, et al. Competency-based medical education: theory to practice. Med Teach 2010;32:638–45.</w:t>
      </w:r>
    </w:p>
    <w:p w14:paraId="0AF2F1A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[37]</w:t>
      </w:r>
      <w:r w:rsidRPr="00444180">
        <w:rPr>
          <w:noProof/>
          <w:sz w:val="20"/>
          <w:szCs w:val="24"/>
        </w:rPr>
        <w:tab/>
        <w:t>Heywood L, Gonczi A, Hager P. A guide to development of competency standards for professions. Canberra AGPS: 1992.</w:t>
      </w:r>
    </w:p>
    <w:p w14:paraId="252D951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[38]</w:t>
      </w:r>
      <w:r w:rsidRPr="00444180">
        <w:rPr>
          <w:noProof/>
          <w:sz w:val="20"/>
          <w:szCs w:val="24"/>
        </w:rPr>
        <w:tab/>
        <w:t>Cane D, Penny M, Marini A, Hynes T. Updating the competency profile and examination blueprint for entry-Level optometry in Canada. Can J Optom 2018;80:25–34.</w:t>
      </w:r>
    </w:p>
    <w:p w14:paraId="60BCA19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[39]</w:t>
      </w:r>
      <w:r w:rsidRPr="00444180">
        <w:rPr>
          <w:noProof/>
          <w:sz w:val="20"/>
          <w:szCs w:val="24"/>
        </w:rPr>
        <w:tab/>
        <w:t>Talbot M. Monkey see, monkey do: A critique of the competency model in graduate medical education. Med Educ 2004;38:587–92.</w:t>
      </w:r>
    </w:p>
    <w:p w14:paraId="3F90E837"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[40]</w:t>
      </w:r>
      <w:r w:rsidRPr="00444180">
        <w:rPr>
          <w:noProof/>
          <w:sz w:val="20"/>
          <w:szCs w:val="24"/>
        </w:rPr>
        <w:tab/>
        <w:t>Miller GE. The assessment of clinical skills/competence/performance. Acad Med 1990;65:S63-7.</w:t>
      </w:r>
    </w:p>
    <w:p w14:paraId="35295A3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[41]</w:t>
      </w:r>
      <w:r w:rsidRPr="00444180">
        <w:rPr>
          <w:noProof/>
          <w:sz w:val="20"/>
          <w:szCs w:val="24"/>
        </w:rPr>
        <w:tab/>
        <w:t>Wass V, Van der Vleuten C, Shatzer J, Jones R. Assessment of clinical competence. Lancet 2001;357:945–9.</w:t>
      </w:r>
    </w:p>
    <w:p w14:paraId="0E7636AA"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[42]</w:t>
      </w:r>
      <w:r w:rsidRPr="00444180">
        <w:rPr>
          <w:noProof/>
          <w:sz w:val="20"/>
          <w:szCs w:val="24"/>
        </w:rPr>
        <w:tab/>
        <w:t>Schuwirth LWT, Van Der Vleuten CPM. Different written assessment methods: What can be said about their strengths and weakness? Med Educ 2004;38:974–9. https://doi.org/10.1111/j.1365-2929.2004.01916.x.</w:t>
      </w:r>
    </w:p>
    <w:p w14:paraId="681BCCF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[43]</w:t>
      </w:r>
      <w:r w:rsidRPr="00444180">
        <w:rPr>
          <w:noProof/>
          <w:sz w:val="20"/>
          <w:szCs w:val="24"/>
        </w:rPr>
        <w:tab/>
        <w:t>Witheridge A, Ferns G, Scott-Smith W. Revisiting Miller’s pyramid in medical education: the gap between traditional assessment and diagnostic reasoning. Int J Med Educ 2019;10:191–2. https://doi.org/10.5116/ijme.5d9b.0c37.</w:t>
      </w:r>
    </w:p>
    <w:p w14:paraId="0D92AB7F"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[44]</w:t>
      </w:r>
      <w:r w:rsidRPr="00444180">
        <w:rPr>
          <w:noProof/>
          <w:sz w:val="20"/>
          <w:szCs w:val="24"/>
        </w:rPr>
        <w:tab/>
        <w:t>Touissi Y, Hjiej G, Hajjioui A, Ibrahimi A, Fourtassi M. Does developing multiple-choice Questions Improve Medical Students’ Learning? A Systematic Review. Med Educ Online 2022;27:2005505. https://doi.org/10.1080/10872981.2021.2005505.</w:t>
      </w:r>
    </w:p>
    <w:p w14:paraId="4EC9EE7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[45]</w:t>
      </w:r>
      <w:r w:rsidRPr="00444180">
        <w:rPr>
          <w:noProof/>
          <w:sz w:val="20"/>
          <w:szCs w:val="24"/>
        </w:rPr>
        <w:tab/>
        <w:t>Raymond MR, Stevens C, Bucak SD. The optimal number of options for multiple-choice questions on high-stakes tests: application of a revised index for detecting nonfunctional distractors. Adv Heal Sci Educ 2019;24:141–50. https://doi.org/10.1007/s10459-018-9855-9.</w:t>
      </w:r>
    </w:p>
    <w:p w14:paraId="33CE487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[46]</w:t>
      </w:r>
      <w:r w:rsidRPr="00444180">
        <w:rPr>
          <w:noProof/>
          <w:sz w:val="20"/>
          <w:szCs w:val="24"/>
        </w:rPr>
        <w:tab/>
        <w:t>Lahner FM, Lörwald AC, Bauer D, Nouns ZM, Krebs R, Guttormsen S, et al. Multiple true–false items: a comparison of scoring algorithms. Adv Heal Sci Educ 2018;23:455–63. https://doi.org/10.1007/s10459-017-9805-y.</w:t>
      </w:r>
    </w:p>
    <w:p w14:paraId="0BBDB82C"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[47]</w:t>
      </w:r>
      <w:r w:rsidRPr="00444180">
        <w:rPr>
          <w:noProof/>
          <w:sz w:val="20"/>
          <w:szCs w:val="24"/>
        </w:rPr>
        <w:tab/>
        <w:t>Vegi VAK, Sudhakar P V., Bhimarasetty DM, Pamarthi K, Edara L, Kutikuppala LVS, et al. Multiple-choice questions in assessment: Perceptions of medical students from low-resource setting. J Educ Heal Promot 2022;11:103.</w:t>
      </w:r>
    </w:p>
    <w:p w14:paraId="084F2E67"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[48]</w:t>
      </w:r>
      <w:r w:rsidRPr="00444180">
        <w:rPr>
          <w:noProof/>
          <w:sz w:val="20"/>
          <w:szCs w:val="24"/>
        </w:rPr>
        <w:tab/>
        <w:t>Bernhofer EI, Burchill CN. Developing and Evaluating Multiple-Choice Tests for Trustworthiness. J Nurses Prof Dev 2019;35:204–9. https://doi.org/10.1097/NND.0000000000000539.</w:t>
      </w:r>
    </w:p>
    <w:p w14:paraId="60B3E4A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[49]</w:t>
      </w:r>
      <w:r w:rsidRPr="00444180">
        <w:rPr>
          <w:noProof/>
          <w:sz w:val="20"/>
          <w:szCs w:val="24"/>
        </w:rPr>
        <w:tab/>
        <w:t>Hift RJ. Should essays and other open-ended-Type questions retain a place in written summative assessment in clinical medicine? BMC Med Educ 2014;14:1–18. https://doi.org/10.1186/s12909-014-0249-2.</w:t>
      </w:r>
    </w:p>
    <w:p w14:paraId="7057E68E"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[50]</w:t>
      </w:r>
      <w:r w:rsidRPr="00444180">
        <w:rPr>
          <w:noProof/>
          <w:sz w:val="20"/>
          <w:szCs w:val="24"/>
        </w:rPr>
        <w:tab/>
        <w:t>Bottomley S, Denny P. A participatory learning approach to biochemistry using student authored and evaluated multiple-choice questions. Biochem Mol Biol Educ 2011;39. https://doi.org/10.1002/bmb.20526.</w:t>
      </w:r>
    </w:p>
    <w:p w14:paraId="7734DA81"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lastRenderedPageBreak/>
        <w:t>[51]</w:t>
      </w:r>
      <w:r w:rsidRPr="00444180">
        <w:rPr>
          <w:noProof/>
          <w:sz w:val="20"/>
          <w:szCs w:val="24"/>
        </w:rPr>
        <w:tab/>
        <w:t>Grainger R, Dai W, Osborne E, Kenwright D. Medical students create multiple-choice questions for learning in pathology education: A pilot study. BMC Med Educ 2018;18. https://doi.org/10.1186/s12909-018-1312-1.</w:t>
      </w:r>
    </w:p>
    <w:p w14:paraId="41AF900F"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[52]</w:t>
      </w:r>
      <w:r w:rsidRPr="00444180">
        <w:rPr>
          <w:noProof/>
          <w:sz w:val="20"/>
          <w:szCs w:val="24"/>
        </w:rPr>
        <w:tab/>
        <w:t>Harris BHL, Walsh JL, Tayyaba S, Harris DA, Wilson DJ, Smith PE. A Novel Student-Led Approach to Multiple-Choice Question Generation and Online Database Creation, With Targeted Clinician Input. Teach Learn Med 2015;27:182–8. https://doi.org/10.1080/10401334.2015.1011651.</w:t>
      </w:r>
    </w:p>
    <w:p w14:paraId="0736596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[53]</w:t>
      </w:r>
      <w:r w:rsidRPr="00444180">
        <w:rPr>
          <w:noProof/>
          <w:sz w:val="20"/>
          <w:szCs w:val="24"/>
        </w:rPr>
        <w:tab/>
        <w:t>Herrero JI, Lucena F, Quiroga J. Randomized study showing the benefit of medical study writing multiple choice questions on their learning. BMC Med Educ 2019;19. https://doi.org/10.1186/s12909-019-1469-2.</w:t>
      </w:r>
    </w:p>
    <w:p w14:paraId="4B10A8F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[54]</w:t>
      </w:r>
      <w:r w:rsidRPr="00444180">
        <w:rPr>
          <w:noProof/>
          <w:sz w:val="20"/>
          <w:szCs w:val="24"/>
        </w:rPr>
        <w:tab/>
        <w:t>Brady ED. Writing multiple choice outcome questions to assess knowledge and competence. J Contin Educ Nurs 2015;46:481–3. https://doi.org/10.3928/00220124-20151020-11.</w:t>
      </w:r>
    </w:p>
    <w:p w14:paraId="592F2927"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[55]</w:t>
      </w:r>
      <w:r w:rsidRPr="00444180">
        <w:rPr>
          <w:noProof/>
          <w:sz w:val="20"/>
          <w:szCs w:val="24"/>
        </w:rPr>
        <w:tab/>
        <w:t>Urteaga EM, Attridge RL, Tovar JM, Witte AP. Evaluation of clinical and communication skills of pharmacy students and pharmacists with an objective structured clinical examination. Am J Pharm Educ 2015;79:122. https://doi.org/10.5688/ajpe798122.</w:t>
      </w:r>
    </w:p>
    <w:p w14:paraId="014AAF1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[56]</w:t>
      </w:r>
      <w:r w:rsidRPr="00444180">
        <w:rPr>
          <w:noProof/>
          <w:sz w:val="20"/>
          <w:szCs w:val="24"/>
        </w:rPr>
        <w:tab/>
        <w:t>MacDonald-Wicks L, Levett-Jones T. Effective teaching of communication to health professional undergraduate and postgraduate students: A Systematic Review. JBI Libr Syst Rev 2012;10:1–12. https://doi.org/10.11124/jbisrir-2012-327.</w:t>
      </w:r>
    </w:p>
    <w:p w14:paraId="292AAFE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[57]</w:t>
      </w:r>
      <w:r w:rsidRPr="00444180">
        <w:rPr>
          <w:noProof/>
          <w:sz w:val="20"/>
          <w:szCs w:val="24"/>
        </w:rPr>
        <w:tab/>
        <w:t>Peña A. The Dreyfus model of clinical problem-solving skills acquisition: a critical perspective. Med Educ Online 2010;15. https://doi.org/10.3402/meo.v15i0.4846.</w:t>
      </w:r>
    </w:p>
    <w:p w14:paraId="65AA5E5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[58]</w:t>
      </w:r>
      <w:r w:rsidRPr="00444180">
        <w:rPr>
          <w:noProof/>
          <w:sz w:val="20"/>
          <w:szCs w:val="24"/>
        </w:rPr>
        <w:tab/>
        <w:t>Choudhary A, Gupta V. Teaching communications skills to medical students: Introducing the fine art of medical practice. Int J Appl Basic Med Res 2015;5:41. https://doi.org/10.4103/2229-516x.162273.</w:t>
      </w:r>
    </w:p>
    <w:p w14:paraId="53F25B3A"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[59]</w:t>
      </w:r>
      <w:r w:rsidRPr="00444180">
        <w:rPr>
          <w:noProof/>
          <w:sz w:val="20"/>
          <w:szCs w:val="24"/>
        </w:rPr>
        <w:tab/>
        <w:t>Kumar D, Jaipurkar R, Shekhar A, Sikri G, Srinivas V. Item analysis of multiple choice questions: A quality assurance test for an assessment tool. Med J Armed Forces India 2021;77. https://doi.org/10.1016/j.mjafi.2020.11.007.</w:t>
      </w:r>
    </w:p>
    <w:p w14:paraId="13A2AEF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[60]</w:t>
      </w:r>
      <w:r w:rsidRPr="00444180">
        <w:rPr>
          <w:noProof/>
          <w:sz w:val="20"/>
          <w:szCs w:val="24"/>
        </w:rPr>
        <w:tab/>
        <w:t>Smart BJ, Rinewalt D, Daly SC, Janssen I, Luu MB, Myers JA. The use of an essay examination in evaluating medical students during the surgical clerkship. Am J Surg 2016;211:274–8. https://doi.org/10.1016/j.amjsurg.2015.03.035.</w:t>
      </w:r>
    </w:p>
    <w:p w14:paraId="631F0CF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[61]</w:t>
      </w:r>
      <w:r w:rsidRPr="00444180">
        <w:rPr>
          <w:noProof/>
          <w:sz w:val="20"/>
          <w:szCs w:val="24"/>
        </w:rPr>
        <w:tab/>
        <w:t>Bird JB, Olvet DM, Willey JM, Brenner J. Patients don’t come with multiple choice options: essay-based assessment in UME. Med Educ Online 2019;24. https://doi.org/10.1080/10872981.2019.1649959.</w:t>
      </w:r>
    </w:p>
    <w:p w14:paraId="3941A51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[62]</w:t>
      </w:r>
      <w:r w:rsidRPr="00444180">
        <w:rPr>
          <w:noProof/>
          <w:sz w:val="20"/>
          <w:szCs w:val="24"/>
        </w:rPr>
        <w:tab/>
        <w:t>Elcokany NM, Abdelhafez AI, Samuel Sharaby VM, Belal S. Use of computer-based scenarios for clinical teaching: Impact on nursing students’ decision-making skills. Healthc 2021;9. https://doi.org/10.3390/healthcare9091228.</w:t>
      </w:r>
    </w:p>
    <w:p w14:paraId="26674E21"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[63]</w:t>
      </w:r>
      <w:r w:rsidRPr="00444180">
        <w:rPr>
          <w:noProof/>
          <w:sz w:val="20"/>
          <w:szCs w:val="24"/>
        </w:rPr>
        <w:tab/>
        <w:t>Munn AC, Lay B, Phillips TA, George TP. Assessing the impact of unfolding case study scenarios during high-fidelity pediatric simulation among undergraduate nursing students. Healthc 2021;9. https://doi.org/10.3390/healthcare9111584.</w:t>
      </w:r>
    </w:p>
    <w:p w14:paraId="642D1B9B"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[64]</w:t>
      </w:r>
      <w:r w:rsidRPr="00444180">
        <w:rPr>
          <w:noProof/>
          <w:sz w:val="20"/>
          <w:szCs w:val="24"/>
        </w:rPr>
        <w:tab/>
        <w:t xml:space="preserve">Mutter MK, Martindale JR, Shah N, Gusic ME, Wolf SJ. Case-Based Teaching: Does the Addition of High-Fidelity Simulation Make a Difference in Medical Students’ Clinical Reasoning </w:t>
      </w:r>
      <w:r w:rsidRPr="00444180">
        <w:rPr>
          <w:noProof/>
          <w:sz w:val="20"/>
          <w:szCs w:val="24"/>
        </w:rPr>
        <w:lastRenderedPageBreak/>
        <w:t>Skills? Med Sci Educ 2020;30:307–13. https://doi.org/10.1007/s40670-019-00904-0.</w:t>
      </w:r>
    </w:p>
    <w:p w14:paraId="3188FE6C"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[65]</w:t>
      </w:r>
      <w:r w:rsidRPr="00444180">
        <w:rPr>
          <w:noProof/>
          <w:sz w:val="20"/>
          <w:szCs w:val="24"/>
        </w:rPr>
        <w:tab/>
        <w:t>Oliven A, Nave R, Baruch A. Long experience with a web-based, interactive, conversational virtual patient case simulation for medical students’ evaluation: comparison with oral examination. Med Educ Online 2021;26. https://doi.org/10.1080/10872981.2021.1946896.</w:t>
      </w:r>
    </w:p>
    <w:p w14:paraId="6F954B6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[66]</w:t>
      </w:r>
      <w:r w:rsidRPr="00444180">
        <w:rPr>
          <w:noProof/>
          <w:sz w:val="20"/>
          <w:szCs w:val="24"/>
        </w:rPr>
        <w:tab/>
        <w:t>Schuwirth LWT, Blackmore DE, Mom E, Van Den Wildenberg F, Stoffers HEJH, Van Der Vleuten CPM. How to write short cases for assessing problem-solving skills. Med Teach 1999;21:144–50. https://doi.org/10.1080/01421599979761.</w:t>
      </w:r>
    </w:p>
    <w:p w14:paraId="4D7A83E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[67]</w:t>
      </w:r>
      <w:r w:rsidRPr="00444180">
        <w:rPr>
          <w:noProof/>
          <w:sz w:val="20"/>
          <w:szCs w:val="24"/>
        </w:rPr>
        <w:tab/>
        <w:t>Tekian A, Yudkowsky R. Assessment in Health Professions Education. In: Downing SM, Yudkowsky R, editors. Assess. Heal. Prof. Educ. 1st ed., New York: Taylor &amp; Francis Group; 2009, p. 269–85.</w:t>
      </w:r>
    </w:p>
    <w:p w14:paraId="7023653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[68]</w:t>
      </w:r>
      <w:r w:rsidRPr="00444180">
        <w:rPr>
          <w:noProof/>
          <w:sz w:val="20"/>
          <w:szCs w:val="24"/>
        </w:rPr>
        <w:tab/>
        <w:t>Davis MH, Karunathilake I. The place of the oral examination in today’s assessment systems. Med Teach 2005;27:294–7. https://doi.org/10.1080/01421590500126437.</w:t>
      </w:r>
    </w:p>
    <w:p w14:paraId="18EF24E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[69]</w:t>
      </w:r>
      <w:r w:rsidRPr="00444180">
        <w:rPr>
          <w:noProof/>
          <w:sz w:val="20"/>
          <w:szCs w:val="24"/>
        </w:rPr>
        <w:tab/>
        <w:t>Thomas CS, Mellsop G, Callender K, Crawshaw J, Ellis PM, Macdonald J, et al. The oral examination: a study of academic and non-academic factors. Med Educ 1992;27:433–9.</w:t>
      </w:r>
    </w:p>
    <w:p w14:paraId="2967B305"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[70]</w:t>
      </w:r>
      <w:r w:rsidRPr="00444180">
        <w:rPr>
          <w:noProof/>
          <w:sz w:val="20"/>
          <w:szCs w:val="24"/>
        </w:rPr>
        <w:tab/>
        <w:t>Burchard KW, Rowland-Morin PA, Coe NP, Garb JL. A surgery oral examination: interrater agreement and the influence of rater characteristics. Acad Med 1995;70:1044–6.</w:t>
      </w:r>
    </w:p>
    <w:p w14:paraId="0A4B9F6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[71]</w:t>
      </w:r>
      <w:r w:rsidRPr="00444180">
        <w:rPr>
          <w:noProof/>
          <w:sz w:val="20"/>
          <w:szCs w:val="24"/>
        </w:rPr>
        <w:tab/>
        <w:t>Kelley Jr P, Matthews J, Schumacher C. Analysis of the oral examination of the American Board of Anesthesiology. Acad Med 1971;46:982–8.</w:t>
      </w:r>
    </w:p>
    <w:p w14:paraId="122E40E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[72]</w:t>
      </w:r>
      <w:r w:rsidRPr="00444180">
        <w:rPr>
          <w:noProof/>
          <w:sz w:val="20"/>
          <w:szCs w:val="24"/>
        </w:rPr>
        <w:tab/>
        <w:t>Barzansky B, Etzel SI. Educational Programs in US Medical Schools, 2002-2003. JAMA 2003;290:1190–6.</w:t>
      </w:r>
    </w:p>
    <w:p w14:paraId="137CB0A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[73]</w:t>
      </w:r>
      <w:r w:rsidRPr="00444180">
        <w:rPr>
          <w:noProof/>
          <w:sz w:val="20"/>
          <w:szCs w:val="24"/>
        </w:rPr>
        <w:tab/>
        <w:t>Blundell A, Harrison R. OSCEs at a Glance. 2nd ed. Hoboken: John Wiley &amp; Sons, Incorporated; 2013.</w:t>
      </w:r>
    </w:p>
    <w:p w14:paraId="31914B7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[74]</w:t>
      </w:r>
      <w:r w:rsidRPr="00444180">
        <w:rPr>
          <w:noProof/>
          <w:sz w:val="20"/>
          <w:szCs w:val="24"/>
        </w:rPr>
        <w:tab/>
        <w:t>Turner JL, Dankoski ME. Objective structured clinical exams: a critical review. Fam Med 2008;40:574–8.</w:t>
      </w:r>
    </w:p>
    <w:p w14:paraId="2E07C295"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[75]</w:t>
      </w:r>
      <w:r w:rsidRPr="00444180">
        <w:rPr>
          <w:noProof/>
          <w:sz w:val="20"/>
          <w:szCs w:val="24"/>
        </w:rPr>
        <w:tab/>
        <w:t>Zayyan M. Objective structured clinical examination: The assessment of choice. Oman Med J 2011;26:219–22. https://doi.org/10.5001/omj.2011.55.</w:t>
      </w:r>
    </w:p>
    <w:p w14:paraId="7AC09F2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[76]</w:t>
      </w:r>
      <w:r w:rsidRPr="00444180">
        <w:rPr>
          <w:noProof/>
          <w:sz w:val="20"/>
          <w:szCs w:val="24"/>
        </w:rPr>
        <w:tab/>
        <w:t>Fida M, Kassab SE. Do medical students’ scores using different assessment instruments predict their scores in clinical reasoning using a computer-based simulation? Adv Med Educ Pract 2015;6:135–41. https://doi.org/10.2147/AMEP.S77459.</w:t>
      </w:r>
    </w:p>
    <w:p w14:paraId="4AA57607"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[77]</w:t>
      </w:r>
      <w:r w:rsidRPr="00444180">
        <w:rPr>
          <w:noProof/>
          <w:sz w:val="20"/>
          <w:szCs w:val="24"/>
        </w:rPr>
        <w:tab/>
        <w:t>Durak HI, Caliskan SA, Bor S, Van Der Vleuten C. Use of case-based exams as an instructional teaching tool to teach clinical reasoning. Med Teach 2007;29. https://doi.org/10.1080/01421590701506866.</w:t>
      </w:r>
    </w:p>
    <w:p w14:paraId="48ADB77E"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[78]</w:t>
      </w:r>
      <w:r w:rsidRPr="00444180">
        <w:rPr>
          <w:noProof/>
          <w:sz w:val="20"/>
          <w:szCs w:val="24"/>
        </w:rPr>
        <w:tab/>
        <w:t>Fischer MA, Kennedy KM, Durning S, Schijven MP, Ker J, O’Connor P, et al. Situational awareness within objective structured clinical examination stations in undergraduate medical training - A literature search. BMC Med Educ 2017;17. https://doi.org/10.1186/s12909-017-1105-y.</w:t>
      </w:r>
    </w:p>
    <w:p w14:paraId="4B654B8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[79]</w:t>
      </w:r>
      <w:r w:rsidRPr="00444180">
        <w:rPr>
          <w:noProof/>
          <w:sz w:val="20"/>
          <w:szCs w:val="24"/>
        </w:rPr>
        <w:tab/>
        <w:t>Lafleur A, Côté L, Leppink J. Influences of OSCE design on students’ diagnostic reasoning. Med Educ 2015;49:203–14. https://doi.org/10.1111/medu.12635.</w:t>
      </w:r>
    </w:p>
    <w:p w14:paraId="080EF2A1"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[80]</w:t>
      </w:r>
      <w:r w:rsidRPr="00444180">
        <w:rPr>
          <w:noProof/>
          <w:sz w:val="20"/>
          <w:szCs w:val="24"/>
        </w:rPr>
        <w:tab/>
        <w:t xml:space="preserve">Salinitri FD, O’Connell MB, Garwood CL, Lehr VT, Abdallah K. An objective structured clinical examination to assess problem-based learning. Am J Pharm Educ 2012;76. </w:t>
      </w:r>
      <w:r w:rsidRPr="00444180">
        <w:rPr>
          <w:noProof/>
          <w:sz w:val="20"/>
          <w:szCs w:val="24"/>
        </w:rPr>
        <w:lastRenderedPageBreak/>
        <w:t>https://doi.org/10.5688/ajpe76344.</w:t>
      </w:r>
    </w:p>
    <w:p w14:paraId="407EBEA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[81]</w:t>
      </w:r>
      <w:r w:rsidRPr="00444180">
        <w:rPr>
          <w:noProof/>
          <w:sz w:val="20"/>
          <w:szCs w:val="24"/>
        </w:rPr>
        <w:tab/>
        <w:t>Barman A. Critiques on the objective structured clinical examination. Ann Acad Med Singapore 2005;34:478–82.</w:t>
      </w:r>
    </w:p>
    <w:p w14:paraId="59645D3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[82]</w:t>
      </w:r>
      <w:r w:rsidRPr="00444180">
        <w:rPr>
          <w:noProof/>
          <w:sz w:val="20"/>
          <w:szCs w:val="24"/>
        </w:rPr>
        <w:tab/>
        <w:t>Van Hell EA, Kuks JBM, Schönrock-Adema J, Van Lohuizen MT, Cohen-Schotanus J. Transition to clinical training: influence of pre-clinical knowledge and skills, and consequences for clinical performance. Med Educ 2008;42:830–7.</w:t>
      </w:r>
    </w:p>
    <w:p w14:paraId="7A59C7D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[83]</w:t>
      </w:r>
      <w:r w:rsidRPr="00444180">
        <w:rPr>
          <w:noProof/>
          <w:sz w:val="20"/>
          <w:szCs w:val="24"/>
        </w:rPr>
        <w:tab/>
        <w:t>Whyte IV J, Ward P, Eccles DW. The relationship between knowledge and clinical performance in novice and experienced critical care nurses. Hear Lung J Acute Crit Care 2009;38:517–25.</w:t>
      </w:r>
    </w:p>
    <w:p w14:paraId="6153BB3F"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[84]</w:t>
      </w:r>
      <w:r w:rsidRPr="00444180">
        <w:rPr>
          <w:noProof/>
          <w:sz w:val="20"/>
          <w:szCs w:val="24"/>
        </w:rPr>
        <w:tab/>
        <w:t>Harden RM, Cairncross RG. Assessment of Practical Skills: The objective structured practical examination (OSPE). Stud High Educ 1980;5:187–96.</w:t>
      </w:r>
    </w:p>
    <w:p w14:paraId="644358BF"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[85]</w:t>
      </w:r>
      <w:r w:rsidRPr="00444180">
        <w:rPr>
          <w:noProof/>
          <w:sz w:val="20"/>
          <w:szCs w:val="24"/>
        </w:rPr>
        <w:tab/>
        <w:t>Nayar U, Malik SL, Bijlani RL. Objective structured practical examination: a new concept in assessment of laboratory exercises in preclinical sciences. Med Educ 1986;20:204–9.</w:t>
      </w:r>
    </w:p>
    <w:p w14:paraId="06B070B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[86]</w:t>
      </w:r>
      <w:r w:rsidRPr="00444180">
        <w:rPr>
          <w:noProof/>
          <w:sz w:val="20"/>
          <w:szCs w:val="24"/>
        </w:rPr>
        <w:tab/>
        <w:t>Rotthoff T, Kadmon M, Harendza S. It does not have to be either or! Assessing competence in medicine should be a continuum between an analytic and a holistic approach. Adv Heal Sci Educ 2021;26:1659–73.</w:t>
      </w:r>
    </w:p>
    <w:p w14:paraId="39E070A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[87]</w:t>
      </w:r>
      <w:r w:rsidRPr="00444180">
        <w:rPr>
          <w:noProof/>
          <w:sz w:val="20"/>
          <w:szCs w:val="24"/>
        </w:rPr>
        <w:tab/>
        <w:t>Levett-Jones T, Gersbach J, Arthur C, Roche J. Implementing a clinical competency assessment model that promotes critical reflection and ensures nursing graduates’ readiness for professional practice. Nurse Educ Pract 2011;11:64–9.</w:t>
      </w:r>
    </w:p>
    <w:p w14:paraId="724E602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[88]</w:t>
      </w:r>
      <w:r w:rsidRPr="00444180">
        <w:rPr>
          <w:noProof/>
          <w:sz w:val="20"/>
          <w:szCs w:val="24"/>
        </w:rPr>
        <w:tab/>
        <w:t>Kostons D, van Gog T, Paas F. Training self-assessment and task-selection skills: A cognitive approach to improving self-regulated learning. Learn Instr 2012;22. https://doi.org/10.1016/j.learninstruc.2011.08.004.</w:t>
      </w:r>
    </w:p>
    <w:p w14:paraId="43CC905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[89]</w:t>
      </w:r>
      <w:r w:rsidRPr="00444180">
        <w:rPr>
          <w:noProof/>
          <w:sz w:val="20"/>
          <w:szCs w:val="24"/>
        </w:rPr>
        <w:tab/>
        <w:t>Paris SG, Paris AH. Classroom applications of research on self-regulated learning. Educ Psychol 2001;36:89–101. https://doi.org/10.1207/S15326985EP3602_4.</w:t>
      </w:r>
    </w:p>
    <w:p w14:paraId="19C9318B"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[90]</w:t>
      </w:r>
      <w:r w:rsidRPr="00444180">
        <w:rPr>
          <w:noProof/>
          <w:sz w:val="20"/>
          <w:szCs w:val="24"/>
        </w:rPr>
        <w:tab/>
        <w:t>de Boer H, Donker-Bergstra AS, Kostons DDNM. Effective Strategies for Self-regulated Learning : A Meta-Analysis. vol. 11. 2012.</w:t>
      </w:r>
    </w:p>
    <w:p w14:paraId="567E6B3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[91]</w:t>
      </w:r>
      <w:r w:rsidRPr="00444180">
        <w:rPr>
          <w:noProof/>
          <w:sz w:val="20"/>
          <w:szCs w:val="24"/>
        </w:rPr>
        <w:tab/>
        <w:t>Hattie J, Timperley H. The power of feedback. Rev Educ Res 2007;77:81–112. https://doi.org/10.3102/003465430298487.</w:t>
      </w:r>
    </w:p>
    <w:p w14:paraId="4AE45FB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[92]</w:t>
      </w:r>
      <w:r w:rsidRPr="00444180">
        <w:rPr>
          <w:noProof/>
          <w:sz w:val="20"/>
          <w:szCs w:val="24"/>
        </w:rPr>
        <w:tab/>
        <w:t>Karpicke JD, Butler AC, Roediger HL. Metacognitive strategies in student learning: Do students practise retrieval when they study on their own? Memory 2009;17:471–9. https://doi.org/10.1080/09658210802647009.</w:t>
      </w:r>
    </w:p>
    <w:p w14:paraId="3638F2E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[93]</w:t>
      </w:r>
      <w:r w:rsidRPr="00444180">
        <w:rPr>
          <w:noProof/>
          <w:sz w:val="20"/>
          <w:szCs w:val="24"/>
        </w:rPr>
        <w:tab/>
        <w:t>Pinto M, Fernández-Ramos A, Sánchez G, Meneses G. Information Competence of Doctoral Students in Information Science in Spain and Latin America: A Self-assessment. J Acad Librariansh 2013;39:144–54. https://doi.org/10.1016/j.acalib.2012.08.006.</w:t>
      </w:r>
    </w:p>
    <w:p w14:paraId="41CB78AF"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[94]</w:t>
      </w:r>
      <w:r w:rsidRPr="00444180">
        <w:rPr>
          <w:noProof/>
          <w:sz w:val="20"/>
          <w:szCs w:val="24"/>
        </w:rPr>
        <w:tab/>
        <w:t>Acosta ML, Sisley A, Ross J, Brailsford I, Bhargava A, Jacobs R, et al. Student acceptance of e-learning methods in the laboratory class in optometry. PLoS One 2018;13. https://doi.org/10.1371/journal.pone.0209004.</w:t>
      </w:r>
    </w:p>
    <w:p w14:paraId="35E1B99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[95]</w:t>
      </w:r>
      <w:r w:rsidRPr="00444180">
        <w:rPr>
          <w:noProof/>
          <w:sz w:val="20"/>
          <w:szCs w:val="24"/>
        </w:rPr>
        <w:tab/>
        <w:t>Anderson HA, Young J, Marrelli D, Black R, Lambreghts K, Twa MD. Training students with patient actors improves communication: a pilot study. Optom Vis Sci 2014;91.:121–8.</w:t>
      </w:r>
    </w:p>
    <w:p w14:paraId="2F991AB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[96]</w:t>
      </w:r>
      <w:r w:rsidRPr="00444180">
        <w:rPr>
          <w:noProof/>
          <w:sz w:val="20"/>
          <w:szCs w:val="24"/>
        </w:rPr>
        <w:tab/>
        <w:t xml:space="preserve">Sadler PM, Good E. The impact of self- And peer-grading on student learning. Educ Assess </w:t>
      </w:r>
      <w:r w:rsidRPr="00444180">
        <w:rPr>
          <w:noProof/>
          <w:sz w:val="20"/>
          <w:szCs w:val="24"/>
        </w:rPr>
        <w:lastRenderedPageBreak/>
        <w:t>2006. https://doi.org/10.1207/s15326977ea1101_1.</w:t>
      </w:r>
    </w:p>
    <w:p w14:paraId="1FA3927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[97]</w:t>
      </w:r>
      <w:r w:rsidRPr="00444180">
        <w:rPr>
          <w:noProof/>
          <w:sz w:val="20"/>
          <w:szCs w:val="24"/>
        </w:rPr>
        <w:tab/>
        <w:t>Wride M. Guide to self-assessment 2017. https://www.tcd.ie/academicpractice/Assets/pdf/Academic Practice Resources/Guide to Student Self Assessment.pdf.</w:t>
      </w:r>
    </w:p>
    <w:p w14:paraId="61359AFE"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[98]</w:t>
      </w:r>
      <w:r w:rsidRPr="00444180">
        <w:rPr>
          <w:noProof/>
          <w:sz w:val="20"/>
          <w:szCs w:val="24"/>
        </w:rPr>
        <w:tab/>
        <w:t>Fastré GMJ, van der Klink MR, Sluijsmans D, van Merriënboer JJG. Towards an integrated model for developing sustainable assessment skills. Assess Eval High Educ 2013;38:611–30. https://doi.org/10.1080/02602938.2012.674484.</w:t>
      </w:r>
    </w:p>
    <w:p w14:paraId="6087E6FA"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[99]</w:t>
      </w:r>
      <w:r w:rsidRPr="00444180">
        <w:rPr>
          <w:noProof/>
          <w:sz w:val="20"/>
          <w:szCs w:val="24"/>
        </w:rPr>
        <w:tab/>
        <w:t>Hassanpour B, Che-Ani AI, Usman IMS, Johar S, Tawil NM. Lifelong learning in architectural design studio: The learning contract approach. Int Educ Stud 2015;8:1–8. https://doi.org/10.5539/ies.v8n1p1.</w:t>
      </w:r>
    </w:p>
    <w:p w14:paraId="58B4E37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[100]</w:t>
      </w:r>
      <w:r w:rsidRPr="00444180">
        <w:rPr>
          <w:noProof/>
          <w:sz w:val="20"/>
          <w:szCs w:val="24"/>
        </w:rPr>
        <w:tab/>
        <w:t>Bailey ME, Tuohy D. Student nurses’ experiences of using a learning contract as a method of assessment. Nurse Educ Today 2009;29:758–62. https://doi.org/10.1016/j.nedt.2009.03.012.</w:t>
      </w:r>
    </w:p>
    <w:p w14:paraId="2E86C2CA"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[101]</w:t>
      </w:r>
      <w:r w:rsidRPr="00444180">
        <w:rPr>
          <w:noProof/>
          <w:sz w:val="20"/>
          <w:szCs w:val="24"/>
        </w:rPr>
        <w:tab/>
        <w:t>Colthart I, Bagnall G, Evans A, Allbutt H, Haig A, Illing J, et al. The effectiveness of self-assessment on the identification of learner needs, learner activity, and impact on clinical practice: BEME Guide no. 10. Med Teach 2008;30:124–45. https://doi.org/10.1080/01421590701881699.</w:t>
      </w:r>
    </w:p>
    <w:p w14:paraId="02EB9D9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[102]</w:t>
      </w:r>
      <w:r w:rsidRPr="00444180">
        <w:rPr>
          <w:noProof/>
          <w:sz w:val="20"/>
          <w:szCs w:val="24"/>
        </w:rPr>
        <w:tab/>
        <w:t>Larsen DP, Butler AC, Roediger HL. Test-enhanced learning in medical education. Med Educ 2008;42:959–66. https://doi.org/10.1111/j.1365-2923.2008.03124.x.</w:t>
      </w:r>
    </w:p>
    <w:p w14:paraId="2408A9E1"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[103]</w:t>
      </w:r>
      <w:r w:rsidRPr="00444180">
        <w:rPr>
          <w:noProof/>
          <w:sz w:val="20"/>
          <w:szCs w:val="24"/>
        </w:rPr>
        <w:tab/>
        <w:t>Walker DJ, Topping K, Rodrigues S. Student reflections on formative e-assessment: Expectations and perceptions. Learn Media Technol 2008;33:221–34. https://doi.org/10.1080/17439880802324178.</w:t>
      </w:r>
    </w:p>
    <w:p w14:paraId="7B69ED4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[104]</w:t>
      </w:r>
      <w:r w:rsidRPr="00444180">
        <w:rPr>
          <w:noProof/>
          <w:sz w:val="20"/>
          <w:szCs w:val="24"/>
        </w:rPr>
        <w:tab/>
        <w:t>Schuwirth LWT, Van Der Vleuten CPM. Programmatic assessment: From assessment of learning to assessment for learning. Med Teach 2011;33:478–85. https://doi.org/10.3109/0142159X.2011.565828.</w:t>
      </w:r>
    </w:p>
    <w:p w14:paraId="29C1047B"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[105]</w:t>
      </w:r>
      <w:r w:rsidRPr="00444180">
        <w:rPr>
          <w:noProof/>
          <w:sz w:val="20"/>
          <w:szCs w:val="24"/>
        </w:rPr>
        <w:tab/>
        <w:t>Billings D, Halstead J. Teaching in nursing: a guide for faculty. 4th ed. St. Louis: 2012.</w:t>
      </w:r>
    </w:p>
    <w:p w14:paraId="6CD59901"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[106]</w:t>
      </w:r>
      <w:r w:rsidRPr="00444180">
        <w:rPr>
          <w:noProof/>
          <w:sz w:val="20"/>
          <w:szCs w:val="24"/>
        </w:rPr>
        <w:tab/>
        <w:t>Nichols PD, Meyers JL, Burling KS. A framework for evaluating and planning assessments intended to improve student achievement. Educ Meas Issues Pract 2009;28:14–23. https://doi.org/10.1111/j.1745-3992.2009.00150.x.</w:t>
      </w:r>
    </w:p>
    <w:p w14:paraId="595BAFA7"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[107]</w:t>
      </w:r>
      <w:r w:rsidRPr="00444180">
        <w:rPr>
          <w:noProof/>
          <w:sz w:val="20"/>
          <w:szCs w:val="24"/>
        </w:rPr>
        <w:tab/>
        <w:t>Gavriel J. Assessment for learning: A wider (classroom-researched) perspective is important for formative assessment and self-directed learning in general practice. Educ Prim Care 2013;24:93–6. https://doi.org/10.1080/14739879.2013.11493462.</w:t>
      </w:r>
    </w:p>
    <w:p w14:paraId="2D6E6FE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[108]</w:t>
      </w:r>
      <w:r w:rsidRPr="00444180">
        <w:rPr>
          <w:noProof/>
          <w:sz w:val="20"/>
          <w:szCs w:val="24"/>
        </w:rPr>
        <w:tab/>
        <w:t>Zhu T, Liang J, Mao M, Liu X, Qian D. Association between formative assessment and academic performance for undergraduate medical students in a chinese clinical skills training course. Med Sci Monit 2021;27:e929068. https://doi.org/10.12659/MSM.929068.</w:t>
      </w:r>
    </w:p>
    <w:p w14:paraId="00C81A1C"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[109]</w:t>
      </w:r>
      <w:r w:rsidRPr="00444180">
        <w:rPr>
          <w:noProof/>
          <w:sz w:val="20"/>
          <w:szCs w:val="24"/>
        </w:rPr>
        <w:tab/>
        <w:t>Carrillo-De-La-Peña MT, Baillès E, Caseras X, Martínez À, Ortet G, Pérez J. Formative assessment and academic achievement in pre-graduate students of health sciences. Adv Heal Sci Educ 2009;14:61–7. https://doi.org/10.1007/s10459-007-9086-y.</w:t>
      </w:r>
    </w:p>
    <w:p w14:paraId="179E5D3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[110]</w:t>
      </w:r>
      <w:r w:rsidRPr="00444180">
        <w:rPr>
          <w:noProof/>
          <w:sz w:val="20"/>
          <w:szCs w:val="24"/>
        </w:rPr>
        <w:tab/>
        <w:t>Massey SL, Lee L, Young S, Holmerud D. The relationship between formative and summative examination and PANCE results: A multi-program study. J Physician Assist Educ 2013;24:24–34. https://doi.org/10.1097/01367895-201324010-00004.</w:t>
      </w:r>
    </w:p>
    <w:p w14:paraId="316A036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lastRenderedPageBreak/>
        <w:t>[111]</w:t>
      </w:r>
      <w:r w:rsidRPr="00444180">
        <w:rPr>
          <w:noProof/>
          <w:sz w:val="20"/>
          <w:szCs w:val="24"/>
        </w:rPr>
        <w:tab/>
        <w:t>Anziani H, Durham J, Moore U. The relationship between formative and summative assessment of undergraduates in oral surgery. Eur J Dent Educ 2008;12:233–8. https://doi.org/10.1111/j.1600-0579.2008.00524.x.</w:t>
      </w:r>
    </w:p>
    <w:p w14:paraId="4B11939F"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[112]</w:t>
      </w:r>
      <w:r w:rsidRPr="00444180">
        <w:rPr>
          <w:noProof/>
          <w:sz w:val="20"/>
          <w:szCs w:val="24"/>
        </w:rPr>
        <w:tab/>
        <w:t>Evans DJR, Zeun P, Stanier RA. Motivating student learning using a formative assessment journey. J Anat 2014;224:296–303. https://doi.org/10.1111/joa.12117.</w:t>
      </w:r>
    </w:p>
    <w:p w14:paraId="7C590CFE"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[113]</w:t>
      </w:r>
      <w:r w:rsidRPr="00444180">
        <w:rPr>
          <w:noProof/>
          <w:sz w:val="20"/>
          <w:szCs w:val="24"/>
        </w:rPr>
        <w:tab/>
        <w:t>Harlen W, James M. Assessment and learning: Differences and relationships between formative and summative assessment. Int J Phytoremediation 1997;21:365–79. https://doi.org/10.1080/0969594970040304.</w:t>
      </w:r>
    </w:p>
    <w:p w14:paraId="7F5466B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[114]</w:t>
      </w:r>
      <w:r w:rsidRPr="00444180">
        <w:rPr>
          <w:noProof/>
          <w:sz w:val="20"/>
          <w:szCs w:val="24"/>
        </w:rPr>
        <w:tab/>
        <w:t>Hudson JN, Bristow DR. Formative assessment can be fun as well as educational. Am J Physiol - Adv Physiol Educ 2006;30:33–7. https://doi.org/10.1152/advan.00040.2005.</w:t>
      </w:r>
    </w:p>
    <w:p w14:paraId="63F5001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[115]</w:t>
      </w:r>
      <w:r w:rsidRPr="00444180">
        <w:rPr>
          <w:noProof/>
          <w:sz w:val="20"/>
          <w:szCs w:val="24"/>
        </w:rPr>
        <w:tab/>
        <w:t>Allery LA. Educational games and structured experiences. Med Teach 2004;26. https://doi.org/10.1080/01421590412331285423.</w:t>
      </w:r>
    </w:p>
    <w:p w14:paraId="4911B0E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[116]</w:t>
      </w:r>
      <w:r w:rsidRPr="00444180">
        <w:rPr>
          <w:noProof/>
          <w:sz w:val="20"/>
          <w:szCs w:val="24"/>
        </w:rPr>
        <w:tab/>
        <w:t>Ballon B, Silver I. Context is key: An interactive experiential and content frame game. Med Teach 2004;26:525–8. https://doi.org/10.1080/01421590412331282282.</w:t>
      </w:r>
    </w:p>
    <w:p w14:paraId="46BC3E0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[117]</w:t>
      </w:r>
      <w:r w:rsidRPr="00444180">
        <w:rPr>
          <w:noProof/>
          <w:sz w:val="20"/>
          <w:szCs w:val="24"/>
        </w:rPr>
        <w:tab/>
        <w:t>Zhang J, Peterson RF, Ozolins IZ. Student approaches for learning in medicine: What does it tell us about the informal curriculum? BMC Med Educ 2011;11. https://doi.org/10.1186/1472-6920-11-87.</w:t>
      </w:r>
    </w:p>
    <w:p w14:paraId="3EA4372F"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[118]</w:t>
      </w:r>
      <w:r w:rsidRPr="00444180">
        <w:rPr>
          <w:noProof/>
          <w:sz w:val="20"/>
          <w:szCs w:val="24"/>
        </w:rPr>
        <w:tab/>
        <w:t>Arrogante O, González-Romero GM, López-Torre EM, Carrión-García L, Polo A. Comparing formative and summative simulation-based assessment in undergraduate nursing students: nursing competency acquisition and clinical simulation satisfaction. BMC Nurs 2021;20. https://doi.org/10.1186/s12912-021-00614-2.</w:t>
      </w:r>
    </w:p>
    <w:p w14:paraId="3CE5D91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[119]</w:t>
      </w:r>
      <w:r w:rsidRPr="00444180">
        <w:rPr>
          <w:noProof/>
          <w:sz w:val="20"/>
          <w:szCs w:val="24"/>
        </w:rPr>
        <w:tab/>
        <w:t>Cantrell ML, Meyer SL, Mosack V. Effects of simulation on nursing student stress: An integrative review. J Nurs Educ 2017;56:139–44. https://doi.org/10.3928/01484834-20170222-04.</w:t>
      </w:r>
    </w:p>
    <w:p w14:paraId="58C6517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[120]</w:t>
      </w:r>
      <w:r w:rsidRPr="00444180">
        <w:rPr>
          <w:noProof/>
          <w:sz w:val="20"/>
          <w:szCs w:val="24"/>
        </w:rPr>
        <w:tab/>
        <w:t>Nielsen B, Harder N. Causes of student anxiety during simulation: What the literature says. Clin Simul Nurs 2013;9. https://doi.org/10.1016/j.ecns.2013.03.003.</w:t>
      </w:r>
    </w:p>
    <w:p w14:paraId="4B2F798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[121]</w:t>
      </w:r>
      <w:r w:rsidRPr="00444180">
        <w:rPr>
          <w:noProof/>
          <w:sz w:val="20"/>
          <w:szCs w:val="24"/>
        </w:rPr>
        <w:tab/>
        <w:t>Ricketts B. The role of simulation for learning within pre-registration nursing education - A literature review. Nurse Educ Today 2011;31:650–4. https://doi.org/10.1016/j.nedt.2010.10.029.</w:t>
      </w:r>
    </w:p>
    <w:p w14:paraId="7756E8B7"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[122]</w:t>
      </w:r>
      <w:r w:rsidRPr="00444180">
        <w:rPr>
          <w:noProof/>
          <w:sz w:val="20"/>
          <w:szCs w:val="24"/>
        </w:rPr>
        <w:tab/>
        <w:t>Shin S, Park JH, Kim JH. Effectiveness of patient simulation in nursing education: Meta-analysis. Nurse Educ Today 2015;35:176–82. https://doi.org/10.1016/j.nedt.2014.09.009.</w:t>
      </w:r>
    </w:p>
    <w:p w14:paraId="5C2AB428"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[123]</w:t>
      </w:r>
      <w:r w:rsidRPr="00444180">
        <w:rPr>
          <w:noProof/>
          <w:sz w:val="20"/>
          <w:szCs w:val="24"/>
        </w:rPr>
        <w:tab/>
        <w:t>Norman J. Systematic review of the literature on simulation in nursing education. ABNF J 2012;23:24–8.</w:t>
      </w:r>
    </w:p>
    <w:p w14:paraId="6D4E502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[124]</w:t>
      </w:r>
      <w:r w:rsidRPr="00444180">
        <w:rPr>
          <w:noProof/>
          <w:sz w:val="20"/>
          <w:szCs w:val="24"/>
        </w:rPr>
        <w:tab/>
        <w:t>Van der Worp E, Chen Z. International Perspectives. The Great Wall of China. Contact Lens Spectr 2017.</w:t>
      </w:r>
    </w:p>
    <w:p w14:paraId="7065B80A"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[125]</w:t>
      </w:r>
      <w:r w:rsidRPr="00444180">
        <w:rPr>
          <w:noProof/>
          <w:sz w:val="20"/>
          <w:szCs w:val="24"/>
        </w:rPr>
        <w:tab/>
        <w:t>The Government of Hong Kong Special Administrative Regions. Press Releases. n.d. https://www.info.gov.hk/gia/general/201811/28/P2018112800498.htm (accessed September 30, 2022).</w:t>
      </w:r>
    </w:p>
    <w:p w14:paraId="095249C1"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[126]</w:t>
      </w:r>
      <w:r w:rsidRPr="00444180">
        <w:rPr>
          <w:noProof/>
          <w:sz w:val="20"/>
          <w:szCs w:val="24"/>
        </w:rPr>
        <w:tab/>
        <w:t>ASCO – Association of Schools and Colleges of Optometry n.d. https://optometriceducation.org/ (accessed February 7, 2023).</w:t>
      </w:r>
    </w:p>
    <w:p w14:paraId="34E416CE"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lastRenderedPageBreak/>
        <w:t>[127]</w:t>
      </w:r>
      <w:r w:rsidRPr="00444180">
        <w:rPr>
          <w:noProof/>
          <w:sz w:val="20"/>
          <w:szCs w:val="24"/>
        </w:rPr>
        <w:tab/>
        <w:t>European Council of Optometry and Optics | Blue Book 2020 Trends in optics and optometry comparative European data n.d. https://www.ecoo.info/wp-content/uploads/2020/10/ECOO_BlueBook_2021_7.pdf (accessed February 7, 2023).</w:t>
      </w:r>
    </w:p>
    <w:p w14:paraId="2D4B9E5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[128]</w:t>
      </w:r>
      <w:r w:rsidRPr="00444180">
        <w:rPr>
          <w:noProof/>
          <w:sz w:val="20"/>
          <w:szCs w:val="24"/>
        </w:rPr>
        <w:tab/>
        <w:t>Our Members - World Council of Optometry n.d. https://worldcouncilofoptometry.info/our-members/ (accessed September 30, 2022).</w:t>
      </w:r>
    </w:p>
    <w:p w14:paraId="4905A68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[129]</w:t>
      </w:r>
      <w:r w:rsidRPr="00444180">
        <w:rPr>
          <w:noProof/>
          <w:sz w:val="20"/>
          <w:szCs w:val="24"/>
        </w:rPr>
        <w:tab/>
        <w:t>Asia Pacific Council of Optometry n.d. https://asiapacificoptometry.org/ (accessed February 7, 2023).</w:t>
      </w:r>
    </w:p>
    <w:p w14:paraId="78D3453D"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[130]</w:t>
      </w:r>
      <w:r w:rsidRPr="00444180">
        <w:rPr>
          <w:noProof/>
          <w:sz w:val="20"/>
          <w:szCs w:val="24"/>
        </w:rPr>
        <w:tab/>
        <w:t>AFCO |The African Council of Optometry | n.d. https://www.optometryafrica.com/ (accessed February 7, 2023).</w:t>
      </w:r>
    </w:p>
    <w:p w14:paraId="5C14231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[131]</w:t>
      </w:r>
      <w:r w:rsidRPr="00444180">
        <w:rPr>
          <w:noProof/>
          <w:sz w:val="20"/>
          <w:szCs w:val="24"/>
        </w:rPr>
        <w:tab/>
        <w:t>IACLE – International Association of Contact Lens Educators n.d. https://iacle.org/ (accessed February 7, 2023).</w:t>
      </w:r>
    </w:p>
    <w:p w14:paraId="0B92A217"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[132]</w:t>
      </w:r>
      <w:r w:rsidRPr="00444180">
        <w:rPr>
          <w:noProof/>
          <w:sz w:val="20"/>
          <w:szCs w:val="24"/>
        </w:rPr>
        <w:tab/>
        <w:t>Queen’s Printer, Victoria, British Columbia, Canada. Health Professions Act. Opticians Regulation. n.d. https://www.bclaws.gov.bc.ca/civix/document/id/loo65/loo65/487_94; 1996  (accessed September 30, 2022).</w:t>
      </w:r>
    </w:p>
    <w:p w14:paraId="13610E7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[133]</w:t>
      </w:r>
      <w:r w:rsidRPr="00444180">
        <w:rPr>
          <w:noProof/>
          <w:sz w:val="20"/>
          <w:szCs w:val="24"/>
        </w:rPr>
        <w:tab/>
        <w:t>The National Archives. Opticians Act 1989 n.d. https://www.legislation.gov.uk/ukpga/1989/44/contents. (accessed September 30, 2022).</w:t>
      </w:r>
    </w:p>
    <w:p w14:paraId="0D73E6D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[134]</w:t>
      </w:r>
      <w:r w:rsidRPr="00444180">
        <w:rPr>
          <w:noProof/>
          <w:sz w:val="20"/>
          <w:szCs w:val="24"/>
        </w:rPr>
        <w:tab/>
        <w:t>European Commission. The EU Single Market Regulated Professions database. n.d. https://ec.europa.eu/growth/tools-databases/regprof/index.cfm?action=regprof&amp;id_regprof=1148&amp;tab=pro Optometrist (ophthalmic optician) (United Kingdom); 2005 (accessed September 30, 2022).</w:t>
      </w:r>
    </w:p>
    <w:p w14:paraId="326B54CB"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[135]</w:t>
      </w:r>
      <w:r w:rsidRPr="00444180">
        <w:rPr>
          <w:noProof/>
          <w:sz w:val="20"/>
          <w:szCs w:val="24"/>
        </w:rPr>
        <w:tab/>
        <w:t>National Board of Examiners in Optometry (USA) n.d. https://nbeo.optometry.org/about; 2023  (accessed February 4, 2023).</w:t>
      </w:r>
    </w:p>
    <w:p w14:paraId="5AA0BA4C"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[136]</w:t>
      </w:r>
      <w:r w:rsidRPr="00444180">
        <w:rPr>
          <w:noProof/>
          <w:sz w:val="20"/>
          <w:szCs w:val="24"/>
        </w:rPr>
        <w:tab/>
        <w:t>Optometry Examining Board of Canada n.d. https://oebc.ca/; 2023 (accessed February 4, 2023).</w:t>
      </w:r>
    </w:p>
    <w:p w14:paraId="6317EB8B"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[137]</w:t>
      </w:r>
      <w:r w:rsidRPr="00444180">
        <w:rPr>
          <w:noProof/>
          <w:sz w:val="20"/>
          <w:szCs w:val="24"/>
        </w:rPr>
        <w:tab/>
        <w:t>The College of Optometrists, Qualifying n.d. https://www.college-optometrists.org/qualifying (accessed February 4, 2023).</w:t>
      </w:r>
    </w:p>
    <w:p w14:paraId="27B42FF4"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[138]</w:t>
      </w:r>
      <w:r w:rsidRPr="00444180">
        <w:rPr>
          <w:noProof/>
          <w:sz w:val="20"/>
          <w:szCs w:val="24"/>
        </w:rPr>
        <w:tab/>
        <w:t>About the Optical Registration Board - Coru n.d. https://coru.ie/about-us/registration-boards/optical-registration-board/about-the-optical-registration-board/ (accessed February 7, 2023).</w:t>
      </w:r>
    </w:p>
    <w:p w14:paraId="46A0722A"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[139]</w:t>
      </w:r>
      <w:r w:rsidRPr="00444180">
        <w:rPr>
          <w:noProof/>
          <w:sz w:val="20"/>
          <w:szCs w:val="24"/>
        </w:rPr>
        <w:tab/>
        <w:t>IU in Thailand: News at IU: Indiana University n.d. https://news.iu.edu/stories/features/thailand/university-partnership-helped-establish-optometry-in-thailand.html (accessed February 7, 2023).</w:t>
      </w:r>
    </w:p>
    <w:p w14:paraId="14489CE3"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[140]</w:t>
      </w:r>
      <w:r w:rsidRPr="00444180">
        <w:rPr>
          <w:noProof/>
          <w:sz w:val="20"/>
          <w:szCs w:val="24"/>
        </w:rPr>
        <w:tab/>
        <w:t>Classification Exams | Saudi Commission for Health Specialties n.d. https://scfhs.org.sa/en/classification-exams?exam=Optometry Technician (accessed February 7, 2023).</w:t>
      </w:r>
    </w:p>
    <w:p w14:paraId="40B76BF5"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[141]</w:t>
      </w:r>
      <w:r w:rsidRPr="00444180">
        <w:rPr>
          <w:noProof/>
          <w:sz w:val="20"/>
          <w:szCs w:val="24"/>
        </w:rPr>
        <w:tab/>
        <w:t>Accreditation Manual for Optometry Programs in Australia and New Zealand | Optometry Council of Australia and New Zealand n.d. https://www.ocanz.org/assets/Accreditation/6f8f3995c2/OCANZ-Part-1-FINAL.pdf (accessed February 7, 2023).</w:t>
      </w:r>
    </w:p>
    <w:p w14:paraId="57B5786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[142]</w:t>
      </w:r>
      <w:r w:rsidRPr="00444180">
        <w:rPr>
          <w:noProof/>
          <w:sz w:val="20"/>
          <w:szCs w:val="24"/>
        </w:rPr>
        <w:tab/>
        <w:t xml:space="preserve">Becoming a Doctor of Optometry | The Canadian Association of Optometrists n.d. </w:t>
      </w:r>
      <w:r w:rsidRPr="00444180">
        <w:rPr>
          <w:noProof/>
          <w:sz w:val="20"/>
          <w:szCs w:val="24"/>
        </w:rPr>
        <w:lastRenderedPageBreak/>
        <w:t>https://opto.ca/becoming-a-doctor-of-optometry (accessed February 7, 2023).</w:t>
      </w:r>
    </w:p>
    <w:p w14:paraId="67D83465"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[143]</w:t>
      </w:r>
      <w:r w:rsidRPr="00444180">
        <w:rPr>
          <w:noProof/>
          <w:sz w:val="20"/>
          <w:szCs w:val="24"/>
        </w:rPr>
        <w:tab/>
        <w:t>American Optometric Association State Boards of Optometry n.d. https://www.aoa.org/advocacy/state/state-boards-of-optometry?sso=y; 2023 (accessed February 4, 2023).</w:t>
      </w:r>
    </w:p>
    <w:p w14:paraId="6C5EFD0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[144]</w:t>
      </w:r>
      <w:r w:rsidRPr="00444180">
        <w:rPr>
          <w:noProof/>
          <w:sz w:val="20"/>
          <w:szCs w:val="24"/>
        </w:rPr>
        <w:tab/>
        <w:t>Federation of Optometric Regulatory Authorities of Canada, Provincial Regulatory Authorities n.d.</w:t>
      </w:r>
    </w:p>
    <w:p w14:paraId="131CE1F0"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[145]</w:t>
      </w:r>
      <w:r w:rsidRPr="00444180">
        <w:rPr>
          <w:noProof/>
          <w:sz w:val="20"/>
          <w:szCs w:val="24"/>
        </w:rPr>
        <w:tab/>
        <w:t>Hass-Wilson D. The Regulation of Health Care Professionals Other than Physicians. Https://WwwCatoOrg/Sites/CatoOrg/Files/Serials/Files/Regulation/1992/10/Reg15n4dHtml 1992. https://www.cato.org/sites/cato.org/files/serials/files/regulation/1992/10/reg15n4d.html (accessed September 23, 2022).</w:t>
      </w:r>
    </w:p>
    <w:p w14:paraId="56146E42"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[146]</w:t>
      </w:r>
      <w:r w:rsidRPr="00444180">
        <w:rPr>
          <w:noProof/>
          <w:sz w:val="20"/>
          <w:szCs w:val="24"/>
        </w:rPr>
        <w:tab/>
        <w:t>Gunn PJG, Creer RC, Bowen M, Tromans C, Jackson AJ, Tompkin AP, et al. Scope of practice of optometrists working in the UK Hospital Eye Service: Second national survey. Ophthalmic Physiol Opt 2022;42:428–39. https://doi.org/10.1111/opo.12952.</w:t>
      </w:r>
    </w:p>
    <w:p w14:paraId="68D6AB0C"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[147]</w:t>
      </w:r>
      <w:r w:rsidRPr="00444180">
        <w:rPr>
          <w:noProof/>
          <w:sz w:val="20"/>
          <w:szCs w:val="24"/>
        </w:rPr>
        <w:tab/>
        <w:t>The Advantages &amp; Challenges of Practicing Optometry in a Hospital - Review of Optometric Business n.d. https://www.reviewob.com/advantages-challenges-practicing-optometry-hospital/ (accessed February 7, 2023).</w:t>
      </w:r>
    </w:p>
    <w:p w14:paraId="0E6CD9BB"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[148]</w:t>
      </w:r>
      <w:r w:rsidRPr="00444180">
        <w:rPr>
          <w:noProof/>
          <w:sz w:val="20"/>
          <w:szCs w:val="24"/>
        </w:rPr>
        <w:tab/>
        <w:t>University of South-Eastern Norway n.d. https://www.usn.no/english/academics/find-programmes/msc-in-optometry-and-visual-science/; 2023 (accessed February 4, 2023).</w:t>
      </w:r>
    </w:p>
    <w:p w14:paraId="00E9A3C5"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[149]</w:t>
      </w:r>
      <w:r w:rsidRPr="00444180">
        <w:rPr>
          <w:noProof/>
          <w:sz w:val="20"/>
          <w:szCs w:val="24"/>
        </w:rPr>
        <w:tab/>
        <w:t>Australian College of Optometry | Certificate in Advanced Contact Lenses - Australian College of Optometry n.d. https://www.aco.org.au/certificate-in-advanced-contact-lenses/ (accessed February 7, 2023).</w:t>
      </w:r>
    </w:p>
    <w:p w14:paraId="1E3C5EF6"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[150]</w:t>
      </w:r>
      <w:r w:rsidRPr="00444180">
        <w:rPr>
          <w:noProof/>
          <w:sz w:val="20"/>
          <w:szCs w:val="24"/>
        </w:rPr>
        <w:tab/>
        <w:t>University of New South Wales Sydney Handbook. Specialty Contact Lens Studies. n.d. https://www.handbook.unsw.edu.au/postgraduate/courses/2023/OPTM7205; 2023 (accessed September 23, 2022).</w:t>
      </w:r>
    </w:p>
    <w:p w14:paraId="0D13C52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[151]</w:t>
      </w:r>
      <w:r w:rsidRPr="00444180">
        <w:rPr>
          <w:noProof/>
          <w:sz w:val="20"/>
          <w:szCs w:val="24"/>
        </w:rPr>
        <w:tab/>
        <w:t>National matching services. 2023 Match Statistics. n.d. https://natmatch.com/ormatch/statistics.html/; 2023. (accessed February 4, 2023).</w:t>
      </w:r>
    </w:p>
    <w:p w14:paraId="4A7F60F1"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[152]</w:t>
      </w:r>
      <w:r w:rsidRPr="00444180">
        <w:rPr>
          <w:noProof/>
          <w:sz w:val="20"/>
          <w:szCs w:val="24"/>
        </w:rPr>
        <w:tab/>
        <w:t>What is American Board of Optometry Board Certification? n.d. https://americanboardofoptometry.org/become-certified/what-is-board-certification/ (accessed February 7, 2023).</w:t>
      </w:r>
    </w:p>
    <w:p w14:paraId="13B6D1BC"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[153]</w:t>
      </w:r>
      <w:r w:rsidRPr="00444180">
        <w:rPr>
          <w:noProof/>
          <w:sz w:val="20"/>
          <w:szCs w:val="24"/>
        </w:rPr>
        <w:tab/>
        <w:t>American Academy of Optometry, Sections and Special Interest Groups. n.d. https://aaopt.org/membership/sections-special-interest-groups/; 2023  (accessed February 4, 2023).</w:t>
      </w:r>
    </w:p>
    <w:p w14:paraId="6798E2B9"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[154]</w:t>
      </w:r>
      <w:r w:rsidRPr="00444180">
        <w:rPr>
          <w:noProof/>
          <w:sz w:val="20"/>
          <w:szCs w:val="24"/>
        </w:rPr>
        <w:tab/>
        <w:t>British Contact Lens Assocation, Fellowship and Awards. n.d. https://www.bcla.org.uk/Public/Public/About/Fellowship___Awards.aspx?hkey=58af76fd-23be-48e4-8fd7-c280674b0534; 2023 (accessed February 4, 2023).</w:t>
      </w:r>
    </w:p>
    <w:p w14:paraId="6F3ED3B5" w14:textId="77777777" w:rsidR="00444180" w:rsidRPr="00444180" w:rsidRDefault="00444180" w:rsidP="00444180">
      <w:pPr>
        <w:widowControl w:val="0"/>
        <w:autoSpaceDE w:val="0"/>
        <w:autoSpaceDN w:val="0"/>
        <w:adjustRightInd w:val="0"/>
        <w:spacing w:line="360" w:lineRule="auto"/>
        <w:ind w:left="640" w:hanging="640"/>
        <w:rPr>
          <w:noProof/>
          <w:sz w:val="20"/>
          <w:szCs w:val="24"/>
        </w:rPr>
      </w:pPr>
      <w:r w:rsidRPr="00444180">
        <w:rPr>
          <w:noProof/>
          <w:sz w:val="20"/>
          <w:szCs w:val="24"/>
        </w:rPr>
        <w:t>[155]</w:t>
      </w:r>
      <w:r w:rsidRPr="00444180">
        <w:rPr>
          <w:noProof/>
          <w:sz w:val="20"/>
          <w:szCs w:val="24"/>
        </w:rPr>
        <w:tab/>
        <w:t>Wolffsohn JS, Morgan PB, Barnett M, Downie LE, Jacobs DS, Jones L, et al. Contact Lens Evidence-Based Academic Reports (CLEAR). Contact Lens Anterior Eye 2021;44:129–31. https://doi.org/10.1016/j.clae.2021.02.011.</w:t>
      </w:r>
    </w:p>
    <w:p w14:paraId="584CB44C" w14:textId="77777777" w:rsidR="00444180" w:rsidRPr="00444180" w:rsidRDefault="00444180" w:rsidP="00444180">
      <w:pPr>
        <w:widowControl w:val="0"/>
        <w:autoSpaceDE w:val="0"/>
        <w:autoSpaceDN w:val="0"/>
        <w:adjustRightInd w:val="0"/>
        <w:spacing w:line="360" w:lineRule="auto"/>
        <w:ind w:left="640" w:hanging="640"/>
        <w:rPr>
          <w:noProof/>
          <w:sz w:val="20"/>
        </w:rPr>
      </w:pPr>
      <w:r w:rsidRPr="00444180">
        <w:rPr>
          <w:noProof/>
          <w:sz w:val="20"/>
          <w:szCs w:val="24"/>
        </w:rPr>
        <w:t>[156]</w:t>
      </w:r>
      <w:r w:rsidRPr="00444180">
        <w:rPr>
          <w:noProof/>
          <w:sz w:val="20"/>
          <w:szCs w:val="24"/>
        </w:rPr>
        <w:tab/>
        <w:t>Home | Cornea and Contact Lens Society Australia n.d. https://www.cclsa.org.au/ (accessed February 7, 2023).</w:t>
      </w:r>
    </w:p>
    <w:p w14:paraId="32064E1C" w14:textId="1A3A23F3" w:rsidR="00A74FC3" w:rsidRPr="00CD3C9A" w:rsidRDefault="00A74FC3" w:rsidP="00A74FC3">
      <w:pPr>
        <w:spacing w:line="360" w:lineRule="auto"/>
        <w:rPr>
          <w:color w:val="000000" w:themeColor="text1"/>
          <w:sz w:val="20"/>
          <w:szCs w:val="20"/>
        </w:rPr>
      </w:pPr>
      <w:r>
        <w:rPr>
          <w:color w:val="000000" w:themeColor="text1"/>
          <w:sz w:val="20"/>
          <w:szCs w:val="20"/>
        </w:rPr>
        <w:lastRenderedPageBreak/>
        <w:fldChar w:fldCharType="end"/>
      </w:r>
    </w:p>
    <w:sectPr w:rsidR="00A74FC3" w:rsidRPr="00CD3C9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INOT-Bold">
    <w:altName w:val="Calibri"/>
    <w:charset w:val="00"/>
    <w:family w:val="auto"/>
    <w:pitch w:val="default"/>
  </w:font>
  <w:font w:name="Libre Baskerville">
    <w:charset w:val="00"/>
    <w:family w:val="auto"/>
    <w:pitch w:val="variable"/>
    <w:sig w:usb0="A00000BF" w:usb1="50000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C450E"/>
    <w:multiLevelType w:val="multilevel"/>
    <w:tmpl w:val="FE30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E532E"/>
    <w:multiLevelType w:val="multilevel"/>
    <w:tmpl w:val="84B47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DA0B6E"/>
    <w:multiLevelType w:val="hybridMultilevel"/>
    <w:tmpl w:val="50B20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5862B6"/>
    <w:multiLevelType w:val="hybridMultilevel"/>
    <w:tmpl w:val="4C26C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007737"/>
    <w:multiLevelType w:val="multilevel"/>
    <w:tmpl w:val="A70C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925F9"/>
    <w:multiLevelType w:val="multilevel"/>
    <w:tmpl w:val="D5C8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5173EC"/>
    <w:multiLevelType w:val="hybridMultilevel"/>
    <w:tmpl w:val="E7F42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7C6194"/>
    <w:multiLevelType w:val="hybridMultilevel"/>
    <w:tmpl w:val="72222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0F54CC"/>
    <w:multiLevelType w:val="hybridMultilevel"/>
    <w:tmpl w:val="9D9C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782850">
    <w:abstractNumId w:val="8"/>
  </w:num>
  <w:num w:numId="2" w16cid:durableId="1782456620">
    <w:abstractNumId w:val="7"/>
  </w:num>
  <w:num w:numId="3" w16cid:durableId="1973436141">
    <w:abstractNumId w:val="6"/>
  </w:num>
  <w:num w:numId="4" w16cid:durableId="126749585">
    <w:abstractNumId w:val="1"/>
  </w:num>
  <w:num w:numId="5" w16cid:durableId="1577008989">
    <w:abstractNumId w:val="0"/>
  </w:num>
  <w:num w:numId="6" w16cid:durableId="122384637">
    <w:abstractNumId w:val="5"/>
  </w:num>
  <w:num w:numId="7" w16cid:durableId="1588225505">
    <w:abstractNumId w:val="4"/>
  </w:num>
  <w:num w:numId="8" w16cid:durableId="1229415916">
    <w:abstractNumId w:val="2"/>
  </w:num>
  <w:num w:numId="9" w16cid:durableId="1463620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656"/>
    <w:rsid w:val="00013EAF"/>
    <w:rsid w:val="00032C76"/>
    <w:rsid w:val="000340AC"/>
    <w:rsid w:val="000444DD"/>
    <w:rsid w:val="00047A9F"/>
    <w:rsid w:val="00063F5B"/>
    <w:rsid w:val="000679CF"/>
    <w:rsid w:val="000961C6"/>
    <w:rsid w:val="000A009C"/>
    <w:rsid w:val="000B632A"/>
    <w:rsid w:val="000F4C33"/>
    <w:rsid w:val="00137B03"/>
    <w:rsid w:val="00154E9A"/>
    <w:rsid w:val="00180654"/>
    <w:rsid w:val="00185708"/>
    <w:rsid w:val="00186194"/>
    <w:rsid w:val="0019721E"/>
    <w:rsid w:val="001B6131"/>
    <w:rsid w:val="001C1B52"/>
    <w:rsid w:val="001D0CDC"/>
    <w:rsid w:val="001E62B2"/>
    <w:rsid w:val="001E6973"/>
    <w:rsid w:val="001F4420"/>
    <w:rsid w:val="00212108"/>
    <w:rsid w:val="0021375F"/>
    <w:rsid w:val="0022466C"/>
    <w:rsid w:val="00232723"/>
    <w:rsid w:val="002340F1"/>
    <w:rsid w:val="00236E84"/>
    <w:rsid w:val="00253902"/>
    <w:rsid w:val="002675FF"/>
    <w:rsid w:val="002837DB"/>
    <w:rsid w:val="00291264"/>
    <w:rsid w:val="002C6B61"/>
    <w:rsid w:val="002E029C"/>
    <w:rsid w:val="002F7DC5"/>
    <w:rsid w:val="003204B9"/>
    <w:rsid w:val="0032408D"/>
    <w:rsid w:val="003427B3"/>
    <w:rsid w:val="00351D79"/>
    <w:rsid w:val="00351E6D"/>
    <w:rsid w:val="003576DE"/>
    <w:rsid w:val="00377BDA"/>
    <w:rsid w:val="003840F9"/>
    <w:rsid w:val="003B1DA4"/>
    <w:rsid w:val="003B303E"/>
    <w:rsid w:val="003C564A"/>
    <w:rsid w:val="003D2F65"/>
    <w:rsid w:val="003E0117"/>
    <w:rsid w:val="003F189D"/>
    <w:rsid w:val="00401C22"/>
    <w:rsid w:val="00416060"/>
    <w:rsid w:val="004162CA"/>
    <w:rsid w:val="0042121B"/>
    <w:rsid w:val="00440B92"/>
    <w:rsid w:val="00444180"/>
    <w:rsid w:val="00444200"/>
    <w:rsid w:val="00456963"/>
    <w:rsid w:val="00465A41"/>
    <w:rsid w:val="00466E7D"/>
    <w:rsid w:val="00470919"/>
    <w:rsid w:val="004742F9"/>
    <w:rsid w:val="00481DDD"/>
    <w:rsid w:val="00485167"/>
    <w:rsid w:val="00496EE2"/>
    <w:rsid w:val="004E3AA8"/>
    <w:rsid w:val="004E786A"/>
    <w:rsid w:val="004F2F16"/>
    <w:rsid w:val="00506BF8"/>
    <w:rsid w:val="00567339"/>
    <w:rsid w:val="00571E59"/>
    <w:rsid w:val="00584AC4"/>
    <w:rsid w:val="005A6426"/>
    <w:rsid w:val="005D5455"/>
    <w:rsid w:val="005E582A"/>
    <w:rsid w:val="00611FF3"/>
    <w:rsid w:val="00615F8E"/>
    <w:rsid w:val="0062175C"/>
    <w:rsid w:val="00626D16"/>
    <w:rsid w:val="00630623"/>
    <w:rsid w:val="0064697B"/>
    <w:rsid w:val="00647297"/>
    <w:rsid w:val="0065196E"/>
    <w:rsid w:val="00675168"/>
    <w:rsid w:val="00697FBB"/>
    <w:rsid w:val="006D7113"/>
    <w:rsid w:val="00710ABB"/>
    <w:rsid w:val="0074646A"/>
    <w:rsid w:val="00756070"/>
    <w:rsid w:val="00764C60"/>
    <w:rsid w:val="00764E25"/>
    <w:rsid w:val="00782040"/>
    <w:rsid w:val="00792916"/>
    <w:rsid w:val="007A1933"/>
    <w:rsid w:val="007B10B4"/>
    <w:rsid w:val="007B2631"/>
    <w:rsid w:val="007B3280"/>
    <w:rsid w:val="007C1D74"/>
    <w:rsid w:val="007E234E"/>
    <w:rsid w:val="007F4972"/>
    <w:rsid w:val="00813F81"/>
    <w:rsid w:val="00820783"/>
    <w:rsid w:val="0088378A"/>
    <w:rsid w:val="00885D4E"/>
    <w:rsid w:val="00896B72"/>
    <w:rsid w:val="008C7B53"/>
    <w:rsid w:val="008D2FAE"/>
    <w:rsid w:val="008E3804"/>
    <w:rsid w:val="008E7843"/>
    <w:rsid w:val="009062A2"/>
    <w:rsid w:val="0090632D"/>
    <w:rsid w:val="009249DB"/>
    <w:rsid w:val="00935006"/>
    <w:rsid w:val="00941CDB"/>
    <w:rsid w:val="00951A10"/>
    <w:rsid w:val="009829C5"/>
    <w:rsid w:val="009A7080"/>
    <w:rsid w:val="009B4ED0"/>
    <w:rsid w:val="009E2B04"/>
    <w:rsid w:val="009E706B"/>
    <w:rsid w:val="00A11CED"/>
    <w:rsid w:val="00A242A6"/>
    <w:rsid w:val="00A40BBB"/>
    <w:rsid w:val="00A43EC3"/>
    <w:rsid w:val="00A74FC3"/>
    <w:rsid w:val="00A815FE"/>
    <w:rsid w:val="00A91563"/>
    <w:rsid w:val="00AC390E"/>
    <w:rsid w:val="00AD0AFD"/>
    <w:rsid w:val="00AF49EB"/>
    <w:rsid w:val="00AF4B41"/>
    <w:rsid w:val="00B13F33"/>
    <w:rsid w:val="00B14407"/>
    <w:rsid w:val="00B165C0"/>
    <w:rsid w:val="00B16A98"/>
    <w:rsid w:val="00B2787B"/>
    <w:rsid w:val="00B34A60"/>
    <w:rsid w:val="00B5327E"/>
    <w:rsid w:val="00B65F93"/>
    <w:rsid w:val="00B67FBF"/>
    <w:rsid w:val="00BA1BBD"/>
    <w:rsid w:val="00BB302A"/>
    <w:rsid w:val="00BC543D"/>
    <w:rsid w:val="00BD31CD"/>
    <w:rsid w:val="00BE018C"/>
    <w:rsid w:val="00BE3748"/>
    <w:rsid w:val="00BF0D7D"/>
    <w:rsid w:val="00BF5731"/>
    <w:rsid w:val="00C03656"/>
    <w:rsid w:val="00C15933"/>
    <w:rsid w:val="00C316AA"/>
    <w:rsid w:val="00C344E0"/>
    <w:rsid w:val="00C530A8"/>
    <w:rsid w:val="00C57BB0"/>
    <w:rsid w:val="00C74214"/>
    <w:rsid w:val="00C92814"/>
    <w:rsid w:val="00CB2938"/>
    <w:rsid w:val="00CD3C9A"/>
    <w:rsid w:val="00CD7251"/>
    <w:rsid w:val="00D01201"/>
    <w:rsid w:val="00D064AD"/>
    <w:rsid w:val="00D13EFC"/>
    <w:rsid w:val="00D549E3"/>
    <w:rsid w:val="00D64E42"/>
    <w:rsid w:val="00DB2DA8"/>
    <w:rsid w:val="00DB67E9"/>
    <w:rsid w:val="00DC6406"/>
    <w:rsid w:val="00DD7704"/>
    <w:rsid w:val="00E077D2"/>
    <w:rsid w:val="00E16F70"/>
    <w:rsid w:val="00E24BB1"/>
    <w:rsid w:val="00E55AE6"/>
    <w:rsid w:val="00E61889"/>
    <w:rsid w:val="00E91354"/>
    <w:rsid w:val="00E965F5"/>
    <w:rsid w:val="00EB0374"/>
    <w:rsid w:val="00EE1CF8"/>
    <w:rsid w:val="00EE529F"/>
    <w:rsid w:val="00F14120"/>
    <w:rsid w:val="00F34126"/>
    <w:rsid w:val="00F54CE1"/>
    <w:rsid w:val="00F55084"/>
    <w:rsid w:val="00F60FC9"/>
    <w:rsid w:val="00F6393A"/>
    <w:rsid w:val="00F7687C"/>
    <w:rsid w:val="00F8338D"/>
    <w:rsid w:val="00FB4602"/>
    <w:rsid w:val="00FB78F4"/>
    <w:rsid w:val="00FD13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28364"/>
  <w15:docId w15:val="{13748A7D-933A-F245-B299-9C9989717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5733F"/>
    <w:pPr>
      <w:spacing w:line="240" w:lineRule="auto"/>
    </w:pPr>
  </w:style>
  <w:style w:type="character" w:styleId="CommentReference">
    <w:name w:val="annotation reference"/>
    <w:basedOn w:val="DefaultParagraphFont"/>
    <w:uiPriority w:val="99"/>
    <w:semiHidden/>
    <w:unhideWhenUsed/>
    <w:rsid w:val="00082E17"/>
    <w:rPr>
      <w:sz w:val="16"/>
      <w:szCs w:val="16"/>
    </w:rPr>
  </w:style>
  <w:style w:type="paragraph" w:styleId="CommentText">
    <w:name w:val="annotation text"/>
    <w:basedOn w:val="Normal"/>
    <w:link w:val="CommentTextChar"/>
    <w:uiPriority w:val="99"/>
    <w:unhideWhenUsed/>
    <w:rsid w:val="00082E17"/>
    <w:pPr>
      <w:spacing w:line="240" w:lineRule="auto"/>
    </w:pPr>
    <w:rPr>
      <w:sz w:val="20"/>
      <w:szCs w:val="20"/>
    </w:rPr>
  </w:style>
  <w:style w:type="character" w:customStyle="1" w:styleId="CommentTextChar">
    <w:name w:val="Comment Text Char"/>
    <w:basedOn w:val="DefaultParagraphFont"/>
    <w:link w:val="CommentText"/>
    <w:uiPriority w:val="99"/>
    <w:rsid w:val="00082E17"/>
    <w:rPr>
      <w:sz w:val="20"/>
      <w:szCs w:val="20"/>
    </w:rPr>
  </w:style>
  <w:style w:type="paragraph" w:styleId="CommentSubject">
    <w:name w:val="annotation subject"/>
    <w:basedOn w:val="CommentText"/>
    <w:next w:val="CommentText"/>
    <w:link w:val="CommentSubjectChar"/>
    <w:uiPriority w:val="99"/>
    <w:semiHidden/>
    <w:unhideWhenUsed/>
    <w:rsid w:val="00082E17"/>
    <w:rPr>
      <w:b/>
      <w:bCs/>
    </w:rPr>
  </w:style>
  <w:style w:type="character" w:customStyle="1" w:styleId="CommentSubjectChar">
    <w:name w:val="Comment Subject Char"/>
    <w:basedOn w:val="CommentTextChar"/>
    <w:link w:val="CommentSubject"/>
    <w:uiPriority w:val="99"/>
    <w:semiHidden/>
    <w:rsid w:val="00082E17"/>
    <w:rPr>
      <w:b/>
      <w:bCs/>
      <w:sz w:val="20"/>
      <w:szCs w:val="20"/>
    </w:rPr>
  </w:style>
  <w:style w:type="character" w:styleId="PlaceholderText">
    <w:name w:val="Placeholder Text"/>
    <w:basedOn w:val="DefaultParagraphFont"/>
    <w:uiPriority w:val="99"/>
    <w:semiHidden/>
    <w:rsid w:val="00AA1356"/>
    <w:rPr>
      <w:color w:val="808080"/>
    </w:rPr>
  </w:style>
  <w:style w:type="character" w:styleId="Hyperlink">
    <w:name w:val="Hyperlink"/>
    <w:basedOn w:val="DefaultParagraphFont"/>
    <w:uiPriority w:val="99"/>
    <w:unhideWhenUsed/>
    <w:rsid w:val="00211701"/>
    <w:rPr>
      <w:color w:val="0000FF" w:themeColor="hyperlink"/>
      <w:u w:val="single"/>
    </w:rPr>
  </w:style>
  <w:style w:type="character" w:styleId="UnresolvedMention">
    <w:name w:val="Unresolved Mention"/>
    <w:basedOn w:val="DefaultParagraphFont"/>
    <w:uiPriority w:val="99"/>
    <w:semiHidden/>
    <w:unhideWhenUsed/>
    <w:rsid w:val="00211701"/>
    <w:rPr>
      <w:color w:val="605E5C"/>
      <w:shd w:val="clear" w:color="auto" w:fill="E1DFDD"/>
    </w:rPr>
  </w:style>
  <w:style w:type="paragraph" w:styleId="ListParagraph">
    <w:name w:val="List Paragraph"/>
    <w:basedOn w:val="Normal"/>
    <w:uiPriority w:val="34"/>
    <w:qFormat/>
    <w:rsid w:val="00032C76"/>
    <w:pPr>
      <w:ind w:left="720"/>
      <w:contextualSpacing/>
    </w:pPr>
  </w:style>
  <w:style w:type="paragraph" w:customStyle="1" w:styleId="EndNoteBibliography">
    <w:name w:val="EndNote Bibliography"/>
    <w:basedOn w:val="Normal"/>
    <w:link w:val="EndNoteBibliographyChar"/>
    <w:rsid w:val="00212108"/>
    <w:pPr>
      <w:spacing w:after="160" w:line="240" w:lineRule="auto"/>
    </w:pPr>
    <w:rPr>
      <w:rFonts w:ascii="Calibri" w:eastAsiaTheme="minorHAnsi" w:hAnsi="Calibri" w:cs="Calibri"/>
      <w:noProof/>
      <w:lang w:val="en-US" w:eastAsia="en-US"/>
    </w:rPr>
  </w:style>
  <w:style w:type="character" w:customStyle="1" w:styleId="EndNoteBibliographyChar">
    <w:name w:val="EndNote Bibliography Char"/>
    <w:basedOn w:val="DefaultParagraphFont"/>
    <w:link w:val="EndNoteBibliography"/>
    <w:rsid w:val="00212108"/>
    <w:rPr>
      <w:rFonts w:ascii="Calibri" w:eastAsiaTheme="minorHAnsi" w:hAnsi="Calibri" w:cs="Calibri"/>
      <w:noProof/>
      <w:lang w:val="en-US" w:eastAsia="en-US"/>
    </w:rPr>
  </w:style>
  <w:style w:type="paragraph" w:styleId="NormalWeb">
    <w:name w:val="Normal (Web)"/>
    <w:basedOn w:val="Normal"/>
    <w:uiPriority w:val="99"/>
    <w:unhideWhenUsed/>
    <w:rsid w:val="002C6B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7687C"/>
  </w:style>
  <w:style w:type="paragraph" w:customStyle="1" w:styleId="p">
    <w:name w:val="p"/>
    <w:basedOn w:val="Normal"/>
    <w:rsid w:val="004742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42F9"/>
    <w:rPr>
      <w:i/>
      <w:iCs/>
    </w:rPr>
  </w:style>
  <w:style w:type="table" w:styleId="TableGrid">
    <w:name w:val="Table Grid"/>
    <w:basedOn w:val="TableNormal"/>
    <w:uiPriority w:val="39"/>
    <w:rsid w:val="007464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91563"/>
    <w:rPr>
      <w:b/>
      <w:bCs/>
    </w:rPr>
  </w:style>
  <w:style w:type="character" w:customStyle="1" w:styleId="fluidplugincopy">
    <w:name w:val="fluidplugincopy"/>
    <w:basedOn w:val="DefaultParagraphFont"/>
    <w:rsid w:val="0062175C"/>
  </w:style>
  <w:style w:type="paragraph" w:styleId="NoSpacing">
    <w:name w:val="No Spacing"/>
    <w:uiPriority w:val="1"/>
    <w:qFormat/>
    <w:rsid w:val="003F189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63746">
      <w:bodyDiv w:val="1"/>
      <w:marLeft w:val="0"/>
      <w:marRight w:val="0"/>
      <w:marTop w:val="0"/>
      <w:marBottom w:val="0"/>
      <w:divBdr>
        <w:top w:val="none" w:sz="0" w:space="0" w:color="auto"/>
        <w:left w:val="none" w:sz="0" w:space="0" w:color="auto"/>
        <w:bottom w:val="none" w:sz="0" w:space="0" w:color="auto"/>
        <w:right w:val="none" w:sz="0" w:space="0" w:color="auto"/>
      </w:divBdr>
    </w:div>
    <w:div w:id="1056587810">
      <w:bodyDiv w:val="1"/>
      <w:marLeft w:val="0"/>
      <w:marRight w:val="0"/>
      <w:marTop w:val="0"/>
      <w:marBottom w:val="0"/>
      <w:divBdr>
        <w:top w:val="none" w:sz="0" w:space="0" w:color="auto"/>
        <w:left w:val="none" w:sz="0" w:space="0" w:color="auto"/>
        <w:bottom w:val="none" w:sz="0" w:space="0" w:color="auto"/>
        <w:right w:val="none" w:sz="0" w:space="0" w:color="auto"/>
      </w:divBdr>
      <w:divsChild>
        <w:div w:id="231743892">
          <w:marLeft w:val="0"/>
          <w:marRight w:val="0"/>
          <w:marTop w:val="400"/>
          <w:marBottom w:val="400"/>
          <w:divBdr>
            <w:top w:val="none" w:sz="0" w:space="0" w:color="auto"/>
            <w:left w:val="none" w:sz="0" w:space="0" w:color="auto"/>
            <w:bottom w:val="none" w:sz="0" w:space="0" w:color="auto"/>
            <w:right w:val="none" w:sz="0" w:space="0" w:color="auto"/>
          </w:divBdr>
        </w:div>
        <w:div w:id="339477886">
          <w:marLeft w:val="0"/>
          <w:marRight w:val="0"/>
          <w:marTop w:val="400"/>
          <w:marBottom w:val="400"/>
          <w:divBdr>
            <w:top w:val="none" w:sz="0" w:space="0" w:color="auto"/>
            <w:left w:val="none" w:sz="0" w:space="0" w:color="auto"/>
            <w:bottom w:val="none" w:sz="0" w:space="0" w:color="auto"/>
            <w:right w:val="none" w:sz="0" w:space="0" w:color="auto"/>
          </w:divBdr>
          <w:divsChild>
            <w:div w:id="1091319004">
              <w:marLeft w:val="0"/>
              <w:marRight w:val="0"/>
              <w:marTop w:val="400"/>
              <w:marBottom w:val="400"/>
              <w:divBdr>
                <w:top w:val="none" w:sz="0" w:space="0" w:color="auto"/>
                <w:left w:val="none" w:sz="0" w:space="0" w:color="auto"/>
                <w:bottom w:val="none" w:sz="0" w:space="0" w:color="auto"/>
                <w:right w:val="none" w:sz="0" w:space="0" w:color="auto"/>
              </w:divBdr>
            </w:div>
            <w:div w:id="1673147179">
              <w:marLeft w:val="0"/>
              <w:marRight w:val="0"/>
              <w:marTop w:val="400"/>
              <w:marBottom w:val="400"/>
              <w:divBdr>
                <w:top w:val="none" w:sz="0" w:space="0" w:color="auto"/>
                <w:left w:val="none" w:sz="0" w:space="0" w:color="auto"/>
                <w:bottom w:val="none" w:sz="0" w:space="0" w:color="auto"/>
                <w:right w:val="none" w:sz="0" w:space="0" w:color="auto"/>
              </w:divBdr>
            </w:div>
            <w:div w:id="341474696">
              <w:marLeft w:val="0"/>
              <w:marRight w:val="0"/>
              <w:marTop w:val="400"/>
              <w:marBottom w:val="400"/>
              <w:divBdr>
                <w:top w:val="none" w:sz="0" w:space="0" w:color="auto"/>
                <w:left w:val="none" w:sz="0" w:space="0" w:color="auto"/>
                <w:bottom w:val="none" w:sz="0" w:space="0" w:color="auto"/>
                <w:right w:val="none" w:sz="0" w:space="0" w:color="auto"/>
              </w:divBdr>
            </w:div>
            <w:div w:id="130439448">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 w:id="1203327932">
      <w:bodyDiv w:val="1"/>
      <w:marLeft w:val="0"/>
      <w:marRight w:val="0"/>
      <w:marTop w:val="0"/>
      <w:marBottom w:val="0"/>
      <w:divBdr>
        <w:top w:val="none" w:sz="0" w:space="0" w:color="auto"/>
        <w:left w:val="none" w:sz="0" w:space="0" w:color="auto"/>
        <w:bottom w:val="none" w:sz="0" w:space="0" w:color="auto"/>
        <w:right w:val="none" w:sz="0" w:space="0" w:color="auto"/>
      </w:divBdr>
      <w:divsChild>
        <w:div w:id="108546532">
          <w:marLeft w:val="0"/>
          <w:marRight w:val="0"/>
          <w:marTop w:val="0"/>
          <w:marBottom w:val="0"/>
          <w:divBdr>
            <w:top w:val="none" w:sz="0" w:space="0" w:color="auto"/>
            <w:left w:val="none" w:sz="0" w:space="0" w:color="auto"/>
            <w:bottom w:val="none" w:sz="0" w:space="0" w:color="auto"/>
            <w:right w:val="none" w:sz="0" w:space="0" w:color="auto"/>
          </w:divBdr>
          <w:divsChild>
            <w:div w:id="6642524">
              <w:marLeft w:val="0"/>
              <w:marRight w:val="0"/>
              <w:marTop w:val="0"/>
              <w:marBottom w:val="0"/>
              <w:divBdr>
                <w:top w:val="none" w:sz="0" w:space="0" w:color="auto"/>
                <w:left w:val="none" w:sz="0" w:space="0" w:color="auto"/>
                <w:bottom w:val="none" w:sz="0" w:space="0" w:color="auto"/>
                <w:right w:val="none" w:sz="0" w:space="0" w:color="auto"/>
              </w:divBdr>
              <w:divsChild>
                <w:div w:id="3573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6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hyperlink" Target="mailto:f.eperjesi@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59E074-D706-9B49-B5C8-DC50B88148B6}">
  <we:reference id="wa104382081" version="1.46.0.0" store="en-GB" storeType="OMEX"/>
  <we:alternateReferences>
    <we:reference id="WA104382081" version="1.46.0.0" store="" storeType="OMEX"/>
  </we:alternateReferences>
  <we:properties>
    <we:property name="MENDELEY_CITATIONS" value="[{&quot;citationID&quot;:&quot;MENDELEY_CITATION_afde83e5-0c98-468f-a412-58c8327a5345&quot;,&quot;properties&quot;:{&quot;noteIndex&quot;:0},&quot;isEdited&quot;:false,&quot;manualOverride&quot;:{&quot;isManuallyOverridden&quot;:false,&quot;citeprocText&quot;:&quot;(Gargallo and Arines 2014)&quot;,&quot;manualOverrideText&quot;:&quot;&quot;},&quot;citationTag&quot;:&quot;MENDELEY_CITATION_v3_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&quot;,&quot;citationItems&quot;:[{&quot;id&quot;:&quot;1f332494-2287-3ec2-a3a6-4a0b2edeed19&quot;,&quot;itemData&quot;:{&quot;type&quot;:&quot;paper-conference&quot;,&quot;id&quot;:&quot;1f332494-2287-3ec2-a3a6-4a0b2edeed19&quot;,&quot;title&quot;:&quot;Contact lenses fitting teaching: learning improvement with monitor visualization of webcam video recordings&quot;,&quot;author&quot;:[{&quot;family&quot;:&quot;Gargallo&quot;,&quot;given&quot;:&quot;Ana&quot;,&quot;parse-names&quot;:false,&quot;dropping-particle&quot;:&quot;&quot;,&quot;non-dropping-particle&quot;:&quot;&quot;},{&quot;family&quot;:&quot;Arines&quot;,&quot;given&quot;:&quot;Justo&quot;,&quot;parse-names&quot;:false,&quot;dropping-particle&quot;:&quot;&quot;,&quot;non-dropping-particle&quot;:&quot;&quot;}],&quot;container-title&quot;:&quot;Second International Conference on Applications of Optics and Photonics&quot;,&quot;DOI&quot;:&quot;10.1117/12.2063656&quot;,&quot;ISBN&quot;:&quot;9781628413618&quot;,&quot;issued&quot;:{&quot;date-parts&quot;:[[2014]]},&quot;page&quot;:&quot;928629&quot;,&quot;publisher&quot;:&quot;SPIE&quot;,&quot;volume&quot;:&quot;9286&quot;,&quot;container-title-short&quot;:&quot;&quot;},&quot;isTemporary&quot;:false}]},{&quot;citationID&quot;:&quot;MENDELEY_CITATION_29c4235f-618f-427f-a521-6b86a41777f8&quot;,&quot;properties&quot;:{&quot;noteIndex&quot;:0},&quot;isEdited&quot;:false,&quot;manualOverride&quot;:{&quot;isManuallyOverridden&quot;:false,&quot;citeprocText&quot;:&quot;(Kiely and Slater 2015)&quot;,&quot;manualOverrideText&quot;:&quot;&quot;},&quot;citationTag&quot;:&quot;MENDELEY_CITATION_v3_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&quot;,&quot;citationItems&quot;:[{&quot;id&quot;:&quot;76b1c093-de00-38e0-ac88-11989d17963c&quot;,&quot;itemData&quot;:{&quot;type&quot;:&quot;article-journal&quot;,&quot;id&quot;:&quot;76b1c093-de00-38e0-ac88-11989d17963c&quot;,&quot;title&quot;:&quot;Optometry Australia entry-level competency standards for optometry 2014&quot;,&quot;groupId&quot;:&quot;58c2f118-c1c4-3cbc-9a8b-0ff609faa1ca&quot;,&quot;author&quot;:[{&quot;family&quot;:&quot;Kiely&quot;,&quot;given&quot;:&quot;Patricia M&quot;,&quot;parse-names&quot;:false,&quot;dropping-particle&quot;:&quot;&quot;,&quot;non-dropping-particle&quot;:&quot;&quot;},{&quot;family&quot;:&quot;Slater&quot;,&quot;given&quot;:&quot;Jared&quot;,&quot;parse-names&quot;:false,&quot;dropping-particle&quot;:&quot;&quot;,&quot;non-dropping-particle&quot;:&quot;&quot;}],&quot;container-title&quot;:&quot;Clinical and Experimental Optometry&quot;,&quot;container-title-short&quot;:&quot;Clin Exp Optom&quot;,&quot;accessed&quot;:{&quot;date-parts&quot;:[[2022,9,29]]},&quot;ISSN&quot;:&quot;14440938&quot;,&quot;PMID&quot;:&quot;25545949&quot;,&quot;issued&quot;:{&quot;date-parts&quot;:[[2015]]},&quot;page&quot;:&quot;65-89&quot;,&quot;abstract&quot;:&quot;Background: Competency standards for entry-level to the profession of optometry in Australia were first developed in 1993, revised in 1997 and 2000, and again in 2008, when therapeutic competency standards were introduced but differentiated from the entry-level competencies. Therapeutic competencies were an additional requirement for the purpose of endorsing optometric registration to allow prescription of medicines for conditions of the eye. Recent changes to educational and registration requirements mean that therapeutic competencies are now required at entry-level. To address this and to ensure the standards reflect current best practice, a full revision of the standards was undertaken. Methods: A steering committee oversaw the review of the standards, which involved a literature review, workshops with optometrists and broad consultation with stakeholders, including the Optometry Board of Australia, individual optometrists and employers of optometrists, to identify changes needed. Representatives of the profession from Australia and New Zealand and from academia in Australia were involved. A modified document based on the feedback received was circulated to the State Divisions and the National Board of the then Optometrists Association Australia. Results: The updated standards reflect the state of entry to the optometric profession in 2014; competencies for prescribing of scheduled medicines are included, new material has been added, other areas have been modified. The updated entry-level competency standards were adopted on behalf of the profession by the National Board of the then Optometrists Association Australia in March 2014. Discussion: Competency standards have been updated so that they continue to be current and useful for the profession, individual optometrists and Australian and New Zealand registration authorities for the purposes of accreditation of optometric programs and assessment of overseas-trained optometrists. This paper details the revision process and presents the 2014 version of competency standards for entry-level to the profession of optometry in Australia.&quot;,&quot;issue&quot;:&quot;1&quot;,&quot;volume&quot;:&quot;98&quot;},&quot;isTemporary&quot;:false}]},{&quot;citationID&quot;:&quot;MENDELEY_CITATION_00b817e6-b353-4188-8830-df462f52caa7&quot;,&quot;properties&quot;:{&quot;noteIndex&quot;:0},&quot;isEdited&quot;:false,&quot;manualOverride&quot;:{&quot;isManuallyOverridden&quot;:false,&quot;citeprocText&quot;:&quot;(Kiely and Slater 2015)&quot;,&quot;manualOverrideText&quot;:&quot;&quot;},&quot;citationTag&quot;:&quot;MENDELEY_CITATION_v3_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&quot;,&quot;citationItems&quot;:[{&quot;id&quot;:&quot;76b1c093-de00-38e0-ac88-11989d17963c&quot;,&quot;itemData&quot;:{&quot;type&quot;:&quot;article-journal&quot;,&quot;id&quot;:&quot;76b1c093-de00-38e0-ac88-11989d17963c&quot;,&quot;title&quot;:&quot;Optometry Australia entry-level competency standards for optometry 2014&quot;,&quot;groupId&quot;:&quot;58c2f118-c1c4-3cbc-9a8b-0ff609faa1ca&quot;,&quot;author&quot;:[{&quot;family&quot;:&quot;Kiely&quot;,&quot;given&quot;:&quot;Patricia M&quot;,&quot;parse-names&quot;:false,&quot;dropping-particle&quot;:&quot;&quot;,&quot;non-dropping-particle&quot;:&quot;&quot;},{&quot;family&quot;:&quot;Slater&quot;,&quot;given&quot;:&quot;Jared&quot;,&quot;parse-names&quot;:false,&quot;dropping-particle&quot;:&quot;&quot;,&quot;non-dropping-particle&quot;:&quot;&quot;}],&quot;container-title&quot;:&quot;Clinical and Experimental Optometry&quot;,&quot;container-title-short&quot;:&quot;Clin Exp Optom&quot;,&quot;accessed&quot;:{&quot;date-parts&quot;:[[2022,9,29]]},&quot;ISSN&quot;:&quot;14440938&quot;,&quot;PMID&quot;:&quot;25545949&quot;,&quot;issued&quot;:{&quot;date-parts&quot;:[[2015]]},&quot;page&quot;:&quot;65-89&quot;,&quot;abstract&quot;:&quot;Background: Competency standards for entry-level to the profession of optometry in Australia were first developed in 1993, revised in 1997 and 2000, and again in 2008, when therapeutic competency standards were introduced but differentiated from the entry-level competencies. Therapeutic competencies were an additional requirement for the purpose of endorsing optometric registration to allow prescription of medicines for conditions of the eye. Recent changes to educational and registration requirements mean that therapeutic competencies are now required at entry-level. To address this and to ensure the standards reflect current best practice, a full revision of the standards was undertaken. Methods: A steering committee oversaw the review of the standards, which involved a literature review, workshops with optometrists and broad consultation with stakeholders, including the Optometry Board of Australia, individual optometrists and employers of optometrists, to identify changes needed. Representatives of the profession from Australia and New Zealand and from academia in Australia were involved. A modified document based on the feedback received was circulated to the State Divisions and the National Board of the then Optometrists Association Australia. Results: The updated standards reflect the state of entry to the optometric profession in 2014; competencies for prescribing of scheduled medicines are included, new material has been added, other areas have been modified. The updated entry-level competency standards were adopted on behalf of the profession by the National Board of the then Optometrists Association Australia in March 2014. Discussion: Competency standards have been updated so that they continue to be current and useful for the profession, individual optometrists and Australian and New Zealand registration authorities for the purposes of accreditation of optometric programs and assessment of overseas-trained optometrists. This paper details the revision process and presents the 2014 version of competency standards for entry-level to the profession of optometry in Australia.&quot;,&quot;issue&quot;:&quot;1&quot;,&quot;volume&quot;:&quot;98&quot;},&quot;isTemporary&quot;:false}]},{&quot;citationID&quot;:&quot;MENDELEY_CITATION_5dc9af33-8115-4d88-ae0b-3e39df4e1414&quot;,&quot;properties&quot;:{&quot;noteIndex&quot;:0},&quot;isEdited&quot;:false,&quot;manualOverride&quot;:{&quot;isManuallyOverridden&quot;:false,&quot;citeprocText&quot;:&quot;(Tekian and Yudkowsky 2009)&quot;,&quot;manualOverrideText&quot;:&quot;&quot;},&quot;citationTag&quot;:&quot;MENDELEY_CITATION_v3_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&quot;,&quot;citationItems&quot;:[{&quot;id&quot;:&quot;6d7f7647-58c3-3974-86fe-9579b6ca3f68&quot;,&quot;itemData&quot;:{&quot;type&quot;:&quot;chapter&quot;,&quot;id&quot;:&quot;6d7f7647-58c3-3974-86fe-9579b6ca3f68&quot;,&quot;title&quot;:&quot;Assessment in Health Professions Education&quot;,&quot;groupId&quot;:&quot;58c2f118-c1c4-3cbc-9a8b-0ff609faa1ca&quot;,&quot;author&quot;:[{&quot;family&quot;:&quot;Tekian&quot;,&quot;given&quot;:&quot;Ara&quot;,&quot;parse-names&quot;:false,&quot;dropping-particle&quot;:&quot;&quot;,&quot;non-dropping-particle&quot;:&quot;&quot;},{&quot;family&quot;:&quot;Yudkowsky&quot;,&quot;given&quot;:&quot;Rachel&quot;,&quot;parse-names&quot;:false,&quot;dropping-particle&quot;:&quot;&quot;,&quot;non-dropping-particle&quot;:&quot;&quot;}],&quot;container-title&quot;:&quot;Assessment in Health Professions Education&quot;,&quot;editor&quot;:[{&quot;family&quot;:&quot;Downing&quot;,&quot;given&quot;:&quot;Steven M&quot;,&quot;parse-names&quot;:false,&quot;dropping-particle&quot;:&quot;&quot;,&quot;non-dropping-particle&quot;:&quot;&quot;},{&quot;family&quot;:&quot;Yudkowsky&quot;,&quot;given&quot;:&quot;Rachel&quot;,&quot;parse-names&quot;:false,&quot;dropping-particle&quot;:&quot;&quot;,&quot;non-dropping-particle&quot;:&quot;&quot;}],&quot;ISBN&quot;:&quot;9780203880135&quot;,&quot;URL&quot;:&quot;http://ebookcentral.proquest.com/lib/unsw/detail.action?docID=425408&quot;,&quot;issued&quot;:{&quot;date-parts&quot;:[[2009]]},&quot;publisher-place&quot;:&quot;New York&quot;,&quot;page&quot;:&quot;269-285&quot;,&quot;edition&quot;:&quot;1&quot;,&quot;publisher&quot;:&quot;Taylor &amp; Francis Group&quot;},&quot;isTemporary&quot;:false}]},{&quot;citationID&quot;:&quot;MENDELEY_CITATION_fb4bfd52-9c76-44d3-85ea-7af9d730a20e&quot;,&quot;properties&quot;:{&quot;noteIndex&quot;:0},&quot;isEdited&quot;:false,&quot;manualOverride&quot;:{&quot;isManuallyOverridden&quot;:false,&quot;citeprocText&quot;:&quot;(Tekian and Yudkowsky 2009)&quot;,&quot;manualOverrideText&quot;:&quot;&quot;},&quot;citationTag&quot;:&quot;MENDELEY_CITATION_v3_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&quot;,&quot;citationItems&quot;:[{&quot;id&quot;:&quot;6d7f7647-58c3-3974-86fe-9579b6ca3f68&quot;,&quot;itemData&quot;:{&quot;type&quot;:&quot;chapter&quot;,&quot;id&quot;:&quot;6d7f7647-58c3-3974-86fe-9579b6ca3f68&quot;,&quot;title&quot;:&quot;Assessment in Health Professions Education&quot;,&quot;groupId&quot;:&quot;58c2f118-c1c4-3cbc-9a8b-0ff609faa1ca&quot;,&quot;author&quot;:[{&quot;family&quot;:&quot;Tekian&quot;,&quot;given&quot;:&quot;Ara&quot;,&quot;parse-names&quot;:false,&quot;dropping-particle&quot;:&quot;&quot;,&quot;non-dropping-particle&quot;:&quot;&quot;},{&quot;family&quot;:&quot;Yudkowsky&quot;,&quot;given&quot;:&quot;Rachel&quot;,&quot;parse-names&quot;:false,&quot;dropping-particle&quot;:&quot;&quot;,&quot;non-dropping-particle&quot;:&quot;&quot;}],&quot;container-title&quot;:&quot;Assessment in Health Professions Education&quot;,&quot;editor&quot;:[{&quot;family&quot;:&quot;Downing&quot;,&quot;given&quot;:&quot;Steven M&quot;,&quot;parse-names&quot;:false,&quot;dropping-particle&quot;:&quot;&quot;,&quot;non-dropping-particle&quot;:&quot;&quot;},{&quot;family&quot;:&quot;Yudkowsky&quot;,&quot;given&quot;:&quot;Rachel&quot;,&quot;parse-names&quot;:false,&quot;dropping-particle&quot;:&quot;&quot;,&quot;non-dropping-particle&quot;:&quot;&quot;}],&quot;ISBN&quot;:&quot;9780203880135&quot;,&quot;URL&quot;:&quot;http://ebookcentral.proquest.com/lib/unsw/detail.action?docID=425408&quot;,&quot;issued&quot;:{&quot;date-parts&quot;:[[2009]]},&quot;publisher-place&quot;:&quot;New York&quot;,&quot;page&quot;:&quot;269-285&quot;,&quot;edition&quot;:&quot;1&quot;,&quot;publisher&quot;:&quot;Taylor &amp; Francis Group&quot;},&quot;isTemporary&quot;:false}]},{&quot;citationID&quot;:&quot;MENDELEY_CITATION_09d0f9b7-f0fd-438b-8cf3-6c3aa72c7ba9&quot;,&quot;properties&quot;:{&quot;noteIndex&quot;:0},&quot;isEdited&quot;:false,&quot;manualOverride&quot;:{&quot;isManuallyOverridden&quot;:false,&quot;citeprocText&quot;:&quot;(Kelley Jr, Matthews, and Schumacher 1971; Wass et al. 2001)&quot;,&quot;manualOverrideText&quot;:&quot;&quot;},&quot;citationTag&quot;:&quot;MENDELEY_CITATION_v3_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&quot;,&quot;citationItems&quot;:[{&quot;id&quot;:&quot;d2bd3fa2-25ca-3461-a671-a6317553d4a2&quot;,&quot;itemData&quot;:{&quot;type&quot;:&quot;article-journal&quot;,&quot;id&quot;:&quot;d2bd3fa2-25ca-3461-a671-a6317553d4a2&quot;,&quot;title&quot;:&quot;Analysis of the oral examination of the American Board of Anesthesiology&quot;,&quot;groupId&quot;:&quot;58c2f118-c1c4-3cbc-9a8b-0ff609faa1ca&quot;,&quot;author&quot;:[{&quot;family&quot;:&quot;Kelley Jr&quot;,&quot;given&quot;:&quot;PR&quot;,&quot;parse-names&quot;:false,&quot;dropping-particle&quot;:&quot;&quot;,&quot;non-dropping-particle&quot;:&quot;&quot;},{&quot;family&quot;:&quot;Matthews&quot;,&quot;given&quot;:&quot;JH&quot;,&quot;parse-names&quot;:false,&quot;dropping-particle&quot;:&quot;&quot;,&quot;non-dropping-particle&quot;:&quot;&quot;},{&quot;family&quot;:&quot;Schumacher&quot;,&quot;given&quot;:&quot;CF&quot;,&quot;parse-names&quot;:false,&quot;dropping-particle&quot;:&quot;&quot;,&quot;non-dropping-particle&quot;:&quot;&quot;}],&quot;container-title&quot;:&quot;Academic medicine.&quot;,&quot;ISBN&quot;:&quot;1040-2446&quot;,&quot;issued&quot;:{&quot;date-parts&quot;:[[1971]]},&quot;publisher-place&quot;:&quot;[Philadelphia, Pa.] :&quot;,&quot;page&quot;:&quot;982-988&quot;,&quot;issue&quot;:&quot;11&quot;,&quot;volume&quot;:&quot;46&quot;},&quot;isTemporary&quot;:false},{&quot;id&quot;:&quot;2bcead9a-708d-3dd7-8840-d290eaf52afb&quot;,&quot;itemData&quot;:{&quot;type&quot;:&quot;article-journal&quot;,&quot;id&quot;:&quot;2bcead9a-708d-3dd7-8840-d290eaf52afb&quot;,&quot;title&quot;:&quot;Assessment of clinical competence&quot;,&quot;groupId&quot;:&quot;58c2f118-c1c4-3cbc-9a8b-0ff609faa1ca&quot;,&quot;author&quot;:[{&quot;family&quot;:&quot;Wass&quot;,&quot;given&quot;:&quot;Val&quot;,&quot;parse-names&quot;:false,&quot;dropping-particle&quot;:&quot;&quot;,&quot;non-dropping-particle&quot;:&quot;&quot;},{&quot;family&quot;:&quot;Vleuten&quot;,&quot;given&quot;:&quot;Cees&quot;,&quot;parse-names&quot;:false,&quot;dropping-particle&quot;:&quot;&quot;,&quot;non-dropping-particle&quot;:&quot;van der&quot;},{&quot;family&quot;:&quot;Shatzer&quot;,&quot;given&quot;:&quot;John&quot;,&quot;parse-names&quot;:false,&quot;dropping-particle&quot;:&quot;&quot;,&quot;non-dropping-particle&quot;:&quot;&quot;},{&quot;family&quot;:&quot;Jones&quot;,&quot;given&quot;:&quot;Roger&quot;,&quot;parse-names&quot;:false,&quot;dropping-particle&quot;:&quot;&quot;,&quot;non-dropping-particle&quot;:&quot;&quot;}],&quot;container-title&quot;:&quot;Lancet&quot;,&quot;accessed&quot;:{&quot;date-parts&quot;:[[2022,9,21]]},&quot;ISSN&quot;:&quot;0140-6736&quot;,&quot;PMID&quot;:&quot;11289364&quot;,&quot;URL&quot;:&quot;https://pubmed.ncbi.nlm.nih.gov/11289364/&quot;,&quot;issued&quot;:{&quot;date-parts&quot;:[[2001,3,24]]},&quot;page&quot;:&quot;945-949&quot;,&quot;abstract&quot;:&quot;Tests of clinical competence, which allow decisions to be made about medical qualification and fitness to practise, must be designed with respect to key issues including blueprinting, validity, reliability, and standard setting, as well as clarity about their formative or summative function. Multiple choice questions, essays, and oral examinations could be used to test factual recall and applied knowledge, but more sophisticated methods are needed to assess clincial performance, including directly observed long and short cases, objective structured clinical examinations, and the use of standardised patients. The goal of assessment in medical education remains the development of reliable measurements of student performance which, as well as having predictive value for subsequent clinical competence, also have a formative, educational role.&quot;,&quot;publisher&quot;:&quot;Lancet&quot;,&quot;issue&quot;:&quot;9260&quot;,&quot;volume&quot;:&quot;357&quot;},&quot;isTemporary&quot;:false}]}]"/>
    <we:property name="MENDELEY_CITATIONS_STYLE" value="{&quot;id&quot;:&quot;https://www.zotero.org/styles/chicago-author-date&quot;,&quot;title&quot;:&quot;Chicago Manual of Style 1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CnK4HjVxUF/e/7LloO5UGS1QaTQ==">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</go:docsCustomData>
</go:gDocsCustomXmlDataStorage>
</file>

<file path=customXml/itemProps1.xml><?xml version="1.0" encoding="utf-8"?>
<ds:datastoreItem xmlns:ds="http://schemas.openxmlformats.org/officeDocument/2006/customXml" ds:itemID="{C4A4D437-A471-0142-A3DB-250D678AB7D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71865</Words>
  <Characters>409634</Characters>
  <Application>Microsoft Office Word</Application>
  <DocSecurity>0</DocSecurity>
  <Lines>3413</Lines>
  <Paragraphs>961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Zeri</dc:creator>
  <cp:lastModifiedBy>Daniel Rooney</cp:lastModifiedBy>
  <cp:revision>2</cp:revision>
  <dcterms:created xsi:type="dcterms:W3CDTF">2023-03-08T16:17:00Z</dcterms:created>
  <dcterms:modified xsi:type="dcterms:W3CDTF">2023-03-08T16:17:00Z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http://www.zotero.org/styles/contact-lens-and-anterior-eye</vt:lpwstr>
  </property>
  <property fmtid="{D5CDD505-2E9C-101B-9397-08002B2CF9AE}" pid="11" name="Mendeley Recent Style Name 4_1">
    <vt:lpwstr>Contact Lens and Anterior Eye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Citation Style_1">
    <vt:lpwstr>http://www.zotero.org/styles/contact-lens-and-anterior-eye</vt:lpwstr>
  </property>
  <property fmtid="{D5CDD505-2E9C-101B-9397-08002B2CF9AE}" pid="23" name="Mendeley Document_1">
    <vt:lpwstr>True</vt:lpwstr>
  </property>
  <property fmtid="{D5CDD505-2E9C-101B-9397-08002B2CF9AE}" pid="24" name="Mendeley Unique User Id_1">
    <vt:lpwstr>eff55d42-ee98-3de6-84eb-65c9b093de52</vt:lpwstr>
  </property>
</Properties>
</file>