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vsdx" ContentType="application/vnd.ms-visio.drawi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4A778" w14:textId="2AC96F20" w:rsidR="00543C2C" w:rsidRPr="001912F1" w:rsidRDefault="007A5BD1" w:rsidP="00665106">
      <w:pPr>
        <w:jc w:val="both"/>
        <w:rPr>
          <w:rFonts w:ascii="Times New Roman" w:hAnsi="Times New Roman" w:cs="Times New Roman"/>
          <w:b/>
          <w:bCs/>
          <w:sz w:val="36"/>
          <w:szCs w:val="36"/>
        </w:rPr>
      </w:pPr>
      <w:bookmarkStart w:id="0" w:name="_Hlk120726849"/>
      <w:r w:rsidRPr="001912F1">
        <w:rPr>
          <w:rFonts w:ascii="Times New Roman" w:hAnsi="Times New Roman" w:cs="Times New Roman"/>
          <w:b/>
          <w:bCs/>
          <w:sz w:val="36"/>
          <w:szCs w:val="36"/>
        </w:rPr>
        <w:t xml:space="preserve">Theorizing the </w:t>
      </w:r>
      <w:r w:rsidR="00594F86" w:rsidRPr="001912F1">
        <w:rPr>
          <w:rFonts w:ascii="Times New Roman" w:hAnsi="Times New Roman" w:cs="Times New Roman"/>
          <w:b/>
          <w:bCs/>
          <w:sz w:val="36"/>
          <w:szCs w:val="36"/>
        </w:rPr>
        <w:t>path dependencies and hierarchical structure of the multidimensional risks in green building projects</w:t>
      </w:r>
    </w:p>
    <w:p w14:paraId="2BB21DAF" w14:textId="77777777" w:rsidR="00E37653" w:rsidRPr="001912F1" w:rsidRDefault="00E37653" w:rsidP="00543C2C">
      <w:pPr>
        <w:spacing w:line="480" w:lineRule="auto"/>
        <w:rPr>
          <w:rFonts w:ascii="Times New Roman" w:hAnsi="Times New Roman" w:cs="Times New Roman"/>
        </w:rPr>
      </w:pPr>
    </w:p>
    <w:bookmarkEnd w:id="0"/>
    <w:p w14:paraId="558522ED" w14:textId="77777777" w:rsidR="000054D3" w:rsidRPr="001912F1" w:rsidRDefault="000054D3" w:rsidP="000054D3">
      <w:pPr>
        <w:spacing w:line="276" w:lineRule="auto"/>
        <w:rPr>
          <w:rFonts w:ascii="Times New Roman" w:hAnsi="Times New Roman" w:cs="Times New Roman"/>
        </w:rPr>
      </w:pPr>
    </w:p>
    <w:p w14:paraId="3A81C30B" w14:textId="645A21C4" w:rsidR="00543C2C" w:rsidRPr="001912F1" w:rsidRDefault="006C3A96" w:rsidP="009B7183">
      <w:pPr>
        <w:spacing w:line="480" w:lineRule="auto"/>
        <w:rPr>
          <w:rFonts w:ascii="Times New Roman" w:hAnsi="Times New Roman" w:cs="Times New Roman"/>
          <w:b/>
          <w:bCs/>
        </w:rPr>
      </w:pPr>
      <w:r w:rsidRPr="001912F1">
        <w:rPr>
          <w:rFonts w:ascii="Times New Roman" w:hAnsi="Times New Roman" w:cs="Times New Roman"/>
          <w:b/>
          <w:bCs/>
        </w:rPr>
        <w:t>Abstract</w:t>
      </w:r>
    </w:p>
    <w:p w14:paraId="0CD811F0" w14:textId="337DCED9" w:rsidR="00D7207C" w:rsidRPr="001912F1" w:rsidRDefault="00BE6A45" w:rsidP="005D10D6">
      <w:pPr>
        <w:autoSpaceDE w:val="0"/>
        <w:autoSpaceDN w:val="0"/>
        <w:adjustRightInd w:val="0"/>
        <w:spacing w:line="480" w:lineRule="auto"/>
        <w:jc w:val="both"/>
        <w:rPr>
          <w:rFonts w:ascii="Times New Roman" w:hAnsi="Times New Roman" w:cs="Times New Roman"/>
        </w:rPr>
      </w:pPr>
      <w:bookmarkStart w:id="1" w:name="_Hlk108530517"/>
      <w:r w:rsidRPr="001912F1">
        <w:rPr>
          <w:rFonts w:ascii="Times New Roman" w:hAnsi="Times New Roman" w:cs="Times New Roman"/>
        </w:rPr>
        <w:t xml:space="preserve">Green buildings are designed, constructed, and operated to reduce the consumption of energy, electricity, water, materials, and natural resources over the whole lifecycle. However, </w:t>
      </w:r>
      <w:r w:rsidR="00FD5957" w:rsidRPr="001912F1">
        <w:rPr>
          <w:rFonts w:ascii="Times New Roman" w:hAnsi="Times New Roman" w:cs="Times New Roman"/>
        </w:rPr>
        <w:t>t</w:t>
      </w:r>
      <w:r w:rsidRPr="001912F1">
        <w:rPr>
          <w:rFonts w:ascii="Times New Roman" w:hAnsi="Times New Roman" w:cs="Times New Roman"/>
        </w:rPr>
        <w:t xml:space="preserve">he added sustainability objectives expose </w:t>
      </w:r>
      <w:r w:rsidR="005C0AEB" w:rsidRPr="001912F1">
        <w:rPr>
          <w:rFonts w:ascii="Times New Roman" w:hAnsi="Times New Roman" w:cs="Times New Roman"/>
        </w:rPr>
        <w:t>green building</w:t>
      </w:r>
      <w:r w:rsidR="009B7183" w:rsidRPr="001912F1">
        <w:rPr>
          <w:rFonts w:ascii="Times New Roman" w:hAnsi="Times New Roman" w:cs="Times New Roman"/>
        </w:rPr>
        <w:t xml:space="preserve"> (GB)</w:t>
      </w:r>
      <w:r w:rsidRPr="001912F1">
        <w:rPr>
          <w:rFonts w:ascii="Times New Roman" w:hAnsi="Times New Roman" w:cs="Times New Roman"/>
        </w:rPr>
        <w:t xml:space="preserve"> projects to additional </w:t>
      </w:r>
      <w:r w:rsidR="006F7DB4" w:rsidRPr="001912F1">
        <w:rPr>
          <w:rFonts w:ascii="Times New Roman" w:hAnsi="Times New Roman" w:cs="Times New Roman"/>
        </w:rPr>
        <w:t>uncertainties</w:t>
      </w:r>
      <w:r w:rsidR="00EE3A8F" w:rsidRPr="001912F1">
        <w:rPr>
          <w:rFonts w:ascii="Times New Roman" w:hAnsi="Times New Roman" w:cs="Times New Roman"/>
        </w:rPr>
        <w:t xml:space="preserve"> and unpredictable</w:t>
      </w:r>
      <w:r w:rsidRPr="001912F1">
        <w:rPr>
          <w:rFonts w:ascii="Times New Roman" w:hAnsi="Times New Roman" w:cs="Times New Roman"/>
        </w:rPr>
        <w:t xml:space="preserve"> risks. This paper conducted a systematic </w:t>
      </w:r>
      <w:r w:rsidR="00903D64" w:rsidRPr="001912F1">
        <w:rPr>
          <w:rFonts w:ascii="Times New Roman" w:hAnsi="Times New Roman" w:cs="Times New Roman"/>
        </w:rPr>
        <w:t xml:space="preserve">literature </w:t>
      </w:r>
      <w:r w:rsidR="00FD5957" w:rsidRPr="001912F1">
        <w:rPr>
          <w:rFonts w:ascii="Times New Roman" w:hAnsi="Times New Roman" w:cs="Times New Roman"/>
        </w:rPr>
        <w:t xml:space="preserve">review </w:t>
      </w:r>
      <w:r w:rsidR="009B7183" w:rsidRPr="001912F1">
        <w:rPr>
          <w:rFonts w:ascii="Times New Roman" w:hAnsi="Times New Roman" w:cs="Times New Roman"/>
        </w:rPr>
        <w:t xml:space="preserve">to identify, categorize, and theorize the chain reactions </w:t>
      </w:r>
      <w:r w:rsidR="00FD5957" w:rsidRPr="001912F1">
        <w:rPr>
          <w:rFonts w:ascii="Times New Roman" w:hAnsi="Times New Roman" w:cs="Times New Roman"/>
        </w:rPr>
        <w:t xml:space="preserve">of </w:t>
      </w:r>
      <w:r w:rsidR="009B7183" w:rsidRPr="001912F1">
        <w:rPr>
          <w:rFonts w:ascii="Times New Roman" w:hAnsi="Times New Roman" w:cs="Times New Roman"/>
        </w:rPr>
        <w:t>various risks in GB</w:t>
      </w:r>
      <w:r w:rsidRPr="001912F1">
        <w:rPr>
          <w:rFonts w:ascii="Times New Roman" w:hAnsi="Times New Roman" w:cs="Times New Roman"/>
        </w:rPr>
        <w:t xml:space="preserve"> projects. Results revealed ninety-six (96) </w:t>
      </w:r>
      <w:r w:rsidR="005C0AEB" w:rsidRPr="001912F1">
        <w:rPr>
          <w:rFonts w:ascii="Times New Roman" w:hAnsi="Times New Roman" w:cs="Times New Roman"/>
        </w:rPr>
        <w:t>critical risk factors</w:t>
      </w:r>
      <w:r w:rsidR="00EE3A8F" w:rsidRPr="001912F1">
        <w:rPr>
          <w:rFonts w:ascii="Times New Roman" w:hAnsi="Times New Roman" w:cs="Times New Roman"/>
        </w:rPr>
        <w:t xml:space="preserve"> (CRFs)</w:t>
      </w:r>
      <w:r w:rsidRPr="001912F1">
        <w:rPr>
          <w:rFonts w:ascii="Times New Roman" w:hAnsi="Times New Roman" w:cs="Times New Roman"/>
        </w:rPr>
        <w:t xml:space="preserve"> for </w:t>
      </w:r>
      <w:r w:rsidR="009B7183" w:rsidRPr="001912F1">
        <w:rPr>
          <w:rFonts w:ascii="Times New Roman" w:hAnsi="Times New Roman" w:cs="Times New Roman"/>
        </w:rPr>
        <w:t>GB</w:t>
      </w:r>
      <w:r w:rsidRPr="001912F1">
        <w:rPr>
          <w:rFonts w:ascii="Times New Roman" w:hAnsi="Times New Roman" w:cs="Times New Roman"/>
        </w:rPr>
        <w:t xml:space="preserve"> projects. </w:t>
      </w:r>
      <w:r w:rsidR="009B7183" w:rsidRPr="001912F1">
        <w:rPr>
          <w:rFonts w:ascii="Times New Roman" w:hAnsi="Times New Roman" w:cs="Times New Roman"/>
        </w:rPr>
        <w:t xml:space="preserve">The study derived </w:t>
      </w:r>
      <w:r w:rsidRPr="001912F1">
        <w:rPr>
          <w:rFonts w:ascii="Times New Roman" w:hAnsi="Times New Roman" w:cs="Times New Roman"/>
        </w:rPr>
        <w:t xml:space="preserve">nine (9) broad taxonomies of the </w:t>
      </w:r>
      <w:r w:rsidR="00EE3A8F" w:rsidRPr="001912F1">
        <w:rPr>
          <w:rFonts w:ascii="Times New Roman" w:hAnsi="Times New Roman" w:cs="Times New Roman"/>
        </w:rPr>
        <w:t>CRFs</w:t>
      </w:r>
      <w:r w:rsidRPr="001912F1">
        <w:rPr>
          <w:rFonts w:ascii="Times New Roman" w:hAnsi="Times New Roman" w:cs="Times New Roman"/>
        </w:rPr>
        <w:t xml:space="preserve">, including financial, material and equipment, design, technical, stakeholder, management, environmental, legal, and regulatory risks. </w:t>
      </w:r>
      <w:r w:rsidR="00EE3A8F" w:rsidRPr="001912F1">
        <w:rPr>
          <w:rFonts w:ascii="Times New Roman" w:hAnsi="Times New Roman" w:cs="Times New Roman"/>
        </w:rPr>
        <w:t xml:space="preserve">These taxonomies parade different levels of criticalities based on mean citation scores. </w:t>
      </w:r>
      <w:r w:rsidRPr="001912F1">
        <w:rPr>
          <w:rFonts w:ascii="Times New Roman" w:hAnsi="Times New Roman" w:cs="Times New Roman"/>
        </w:rPr>
        <w:t xml:space="preserve">The five most persistent taxonomies include design, regulatory, material and equipment, financial, and technical risks. </w:t>
      </w:r>
      <w:r w:rsidR="009B7183" w:rsidRPr="001912F1">
        <w:rPr>
          <w:rFonts w:ascii="Times New Roman" w:hAnsi="Times New Roman" w:cs="Times New Roman"/>
        </w:rPr>
        <w:t>A</w:t>
      </w:r>
      <w:r w:rsidRPr="001912F1">
        <w:rPr>
          <w:rFonts w:ascii="Times New Roman" w:hAnsi="Times New Roman" w:cs="Times New Roman"/>
        </w:rPr>
        <w:t xml:space="preserve"> Pareto analysis revealed sixty (60) vital </w:t>
      </w:r>
      <w:r w:rsidR="00EE3A8F" w:rsidRPr="001912F1">
        <w:rPr>
          <w:rFonts w:ascii="Times New Roman" w:hAnsi="Times New Roman" w:cs="Times New Roman"/>
        </w:rPr>
        <w:t xml:space="preserve">CRFs </w:t>
      </w:r>
      <w:r w:rsidRPr="001912F1">
        <w:rPr>
          <w:rFonts w:ascii="Times New Roman" w:hAnsi="Times New Roman" w:cs="Times New Roman"/>
        </w:rPr>
        <w:t xml:space="preserve">for </w:t>
      </w:r>
      <w:r w:rsidR="005C0AEB" w:rsidRPr="001912F1">
        <w:rPr>
          <w:rFonts w:ascii="Times New Roman" w:hAnsi="Times New Roman" w:cs="Times New Roman"/>
        </w:rPr>
        <w:t>green building</w:t>
      </w:r>
      <w:r w:rsidRPr="001912F1">
        <w:rPr>
          <w:rFonts w:ascii="Times New Roman" w:hAnsi="Times New Roman" w:cs="Times New Roman"/>
        </w:rPr>
        <w:t xml:space="preserve"> projects. </w:t>
      </w:r>
      <w:r w:rsidR="009B7183" w:rsidRPr="001912F1">
        <w:rPr>
          <w:rFonts w:ascii="Times New Roman" w:hAnsi="Times New Roman" w:cs="Times New Roman"/>
        </w:rPr>
        <w:t xml:space="preserve">The study developed a hierarchical structural model explaining how the various risks influence each other in GB projects. Therefore, this study </w:t>
      </w:r>
      <w:r w:rsidR="00EE3A8F" w:rsidRPr="001912F1">
        <w:rPr>
          <w:rFonts w:ascii="Times New Roman" w:hAnsi="Times New Roman" w:cs="Times New Roman"/>
        </w:rPr>
        <w:t xml:space="preserve">not only provides a comprehensive list of CRFs, as frame of reference, for researchers and practitioners, but also can inform more efficient resource allocation and introduce novel perspectives for managerial practices in </w:t>
      </w:r>
      <w:r w:rsidR="009B7183" w:rsidRPr="001912F1">
        <w:rPr>
          <w:rFonts w:ascii="Times New Roman" w:hAnsi="Times New Roman" w:cs="Times New Roman"/>
        </w:rPr>
        <w:t>GB</w:t>
      </w:r>
      <w:r w:rsidR="00EE3A8F" w:rsidRPr="001912F1">
        <w:rPr>
          <w:rFonts w:ascii="Times New Roman" w:hAnsi="Times New Roman" w:cs="Times New Roman"/>
        </w:rPr>
        <w:t xml:space="preserve"> projects. </w:t>
      </w:r>
    </w:p>
    <w:bookmarkEnd w:id="1"/>
    <w:p w14:paraId="126B1EC6" w14:textId="77777777" w:rsidR="00093057" w:rsidRPr="001912F1" w:rsidRDefault="00093057" w:rsidP="00093057">
      <w:pPr>
        <w:spacing w:line="276" w:lineRule="auto"/>
        <w:jc w:val="both"/>
        <w:rPr>
          <w:rFonts w:ascii="Times New Roman" w:hAnsi="Times New Roman" w:cs="Times New Roman"/>
          <w:b/>
          <w:bCs/>
        </w:rPr>
      </w:pPr>
    </w:p>
    <w:p w14:paraId="458979A3" w14:textId="52C60999" w:rsidR="009B7183" w:rsidRPr="001912F1" w:rsidRDefault="00543C2C" w:rsidP="008E29C8">
      <w:pPr>
        <w:spacing w:line="360" w:lineRule="auto"/>
        <w:jc w:val="both"/>
        <w:rPr>
          <w:rFonts w:ascii="Times New Roman" w:hAnsi="Times New Roman" w:cs="Times New Roman"/>
        </w:rPr>
      </w:pPr>
      <w:r w:rsidRPr="001912F1">
        <w:rPr>
          <w:rFonts w:ascii="Times New Roman" w:hAnsi="Times New Roman" w:cs="Times New Roman"/>
          <w:b/>
          <w:bCs/>
        </w:rPr>
        <w:t>Keywords</w:t>
      </w:r>
      <w:r w:rsidR="00BE6A45" w:rsidRPr="001912F1">
        <w:rPr>
          <w:rFonts w:ascii="Times New Roman" w:hAnsi="Times New Roman" w:cs="Times New Roman"/>
        </w:rPr>
        <w:t>: critical risk factors; green building; green construction; risks; sustainable construction; systematic literature review</w:t>
      </w:r>
    </w:p>
    <w:p w14:paraId="0502E02E" w14:textId="77777777" w:rsidR="00420612" w:rsidRPr="001912F1" w:rsidRDefault="00420612" w:rsidP="00420612">
      <w:pPr>
        <w:jc w:val="both"/>
        <w:rPr>
          <w:rFonts w:ascii="Times New Roman" w:hAnsi="Times New Roman" w:cs="Times New Roman"/>
        </w:rPr>
      </w:pPr>
    </w:p>
    <w:p w14:paraId="78BB9A24" w14:textId="072DA915" w:rsidR="00D7207C" w:rsidRPr="001912F1" w:rsidRDefault="005D10D6" w:rsidP="00420612">
      <w:pPr>
        <w:spacing w:line="276" w:lineRule="auto"/>
        <w:jc w:val="both"/>
        <w:rPr>
          <w:rFonts w:ascii="Times New Roman" w:hAnsi="Times New Roman" w:cs="Times New Roman"/>
        </w:rPr>
      </w:pPr>
      <w:r w:rsidRPr="001912F1">
        <w:rPr>
          <w:rFonts w:ascii="Times New Roman" w:eastAsiaTheme="minorHAnsi" w:hAnsi="Times New Roman" w:cs="Times New Roman"/>
          <w:b/>
          <w:bCs/>
        </w:rPr>
        <w:t>Abbreviations</w:t>
      </w:r>
      <w:r w:rsidRPr="001912F1">
        <w:rPr>
          <w:rFonts w:ascii="Times New Roman" w:eastAsiaTheme="minorHAnsi" w:hAnsi="Times New Roman" w:cs="Times New Roman"/>
        </w:rPr>
        <w:t>: GBs – Green buildings; CO</w:t>
      </w:r>
      <w:r w:rsidRPr="001912F1">
        <w:rPr>
          <w:rFonts w:ascii="Times New Roman" w:eastAsiaTheme="minorHAnsi" w:hAnsi="Times New Roman" w:cs="Times New Roman"/>
          <w:vertAlign w:val="subscript"/>
        </w:rPr>
        <w:t>2</w:t>
      </w:r>
      <w:r w:rsidRPr="001912F1">
        <w:rPr>
          <w:rFonts w:ascii="Times New Roman" w:eastAsiaTheme="minorHAnsi" w:hAnsi="Times New Roman" w:cs="Times New Roman"/>
        </w:rPr>
        <w:t xml:space="preserve"> – Carbon dioxide; CRFs – Critical risk factors; SLR – Systematic literature review; PRISMA – Preferred Reporting Items for Systematic Reviews and Meta-Analyses; FRs – Financial risks; MERs – Material and equipment risks; DRs – Design risks; TRs – Technical risks; SRs – Stakeholder risks; MRs – Management risks; ERs – Environmental risks; LRs – Legal risks; RRs – Regulatory risks</w:t>
      </w:r>
      <w:r w:rsidR="00420612" w:rsidRPr="001912F1">
        <w:rPr>
          <w:rFonts w:ascii="Times New Roman" w:eastAsiaTheme="minorHAnsi" w:hAnsi="Times New Roman" w:cs="Times New Roman"/>
        </w:rPr>
        <w:t>.</w:t>
      </w:r>
    </w:p>
    <w:p w14:paraId="01F32DA8" w14:textId="6CA2D24D" w:rsidR="00036371" w:rsidRPr="001912F1" w:rsidRDefault="00543C2C" w:rsidP="00D7207C">
      <w:pPr>
        <w:spacing w:line="480" w:lineRule="auto"/>
        <w:rPr>
          <w:rFonts w:ascii="Times New Roman" w:hAnsi="Times New Roman" w:cs="Times New Roman"/>
          <w:b/>
          <w:bCs/>
        </w:rPr>
      </w:pPr>
      <w:r w:rsidRPr="001912F1">
        <w:rPr>
          <w:rFonts w:ascii="Times New Roman" w:hAnsi="Times New Roman" w:cs="Times New Roman"/>
          <w:b/>
          <w:bCs/>
        </w:rPr>
        <w:lastRenderedPageBreak/>
        <w:t>Introduction</w:t>
      </w:r>
    </w:p>
    <w:p w14:paraId="2835825A" w14:textId="7F21B25F" w:rsidR="00984510" w:rsidRPr="001912F1" w:rsidRDefault="0087096A" w:rsidP="001217A5">
      <w:pPr>
        <w:spacing w:line="480" w:lineRule="auto"/>
        <w:jc w:val="both"/>
        <w:rPr>
          <w:rFonts w:ascii="Times New Roman" w:hAnsi="Times New Roman" w:cs="Times New Roman"/>
        </w:rPr>
      </w:pPr>
      <w:r w:rsidRPr="001912F1">
        <w:rPr>
          <w:rFonts w:ascii="Times New Roman" w:hAnsi="Times New Roman" w:cs="Times New Roman"/>
        </w:rPr>
        <w:t xml:space="preserve">The design, construction, operation, and demolition of buildings significantly influence ecological balance parameters, social values, and economic objectives </w:t>
      </w:r>
      <w:r w:rsidRPr="001912F1">
        <w:rPr>
          <w:rFonts w:ascii="Times New Roman" w:hAnsi="Times New Roman" w:cs="Times New Roman"/>
        </w:rPr>
        <w:fldChar w:fldCharType="begin" w:fldLock="1"/>
      </w:r>
      <w:r w:rsidR="00421282" w:rsidRPr="001912F1">
        <w:rPr>
          <w:rFonts w:ascii="Times New Roman" w:hAnsi="Times New Roman" w:cs="Times New Roman"/>
        </w:rPr>
        <w:instrText>ADDIN CSL_CITATION { "citationItems" : [ { "id" : "ITEM-1", "itemData" : { "author" : [ { "dropping-particle" : "", "family" : "World Green Building Council", "given" : "", "non-dropping-particle" : "", "parse-names" : false, "suffix" : "" } ], "id" : "ITEM-1", "issued" : { "date-parts" : [ [ "2013" ] ] }, "number-of-pages" : "124", "publisher-place" : "United States", "title" : "The Business Case for Green Building: A Review of the Costs and Benefits for Developers Investors and Occupants", "type" : "report" }, "uris" : [ "http://www.mendeley.com/documents/?uuid=c65d6f0e-8788-4247-8e9b-c61fbf9925c6" ] } ], "mendeley" : { "formattedCitation" : "[1]", "plainTextFormattedCitation" : "[1]", "previouslyFormattedCitation" : "[1]" }, "properties" : { "noteIndex" : 0 }, "schema" : "https://github.com/citation-style-language/schema/raw/master/csl-citation.json" }</w:instrText>
      </w:r>
      <w:r w:rsidRPr="001912F1">
        <w:rPr>
          <w:rFonts w:ascii="Times New Roman" w:hAnsi="Times New Roman" w:cs="Times New Roman"/>
        </w:rPr>
        <w:fldChar w:fldCharType="separate"/>
      </w:r>
      <w:r w:rsidR="00CA4774" w:rsidRPr="001912F1">
        <w:rPr>
          <w:rFonts w:ascii="Times New Roman" w:hAnsi="Times New Roman" w:cs="Times New Roman"/>
          <w:noProof/>
        </w:rPr>
        <w:t>[1]</w:t>
      </w:r>
      <w:r w:rsidRPr="001912F1">
        <w:rPr>
          <w:rFonts w:ascii="Times New Roman" w:hAnsi="Times New Roman" w:cs="Times New Roman"/>
        </w:rPr>
        <w:fldChar w:fldCharType="end"/>
      </w:r>
      <w:r w:rsidRPr="001912F1">
        <w:rPr>
          <w:rFonts w:ascii="Times New Roman" w:hAnsi="Times New Roman" w:cs="Times New Roman"/>
        </w:rPr>
        <w:t xml:space="preserve">. It is well-established that the lifecycle of </w:t>
      </w:r>
      <w:r w:rsidR="006921D5">
        <w:rPr>
          <w:rFonts w:ascii="Times New Roman" w:hAnsi="Times New Roman" w:cs="Times New Roman"/>
        </w:rPr>
        <w:t xml:space="preserve">conventional </w:t>
      </w:r>
      <w:r w:rsidRPr="001912F1">
        <w:rPr>
          <w:rFonts w:ascii="Times New Roman" w:hAnsi="Times New Roman" w:cs="Times New Roman"/>
        </w:rPr>
        <w:t>buildings interact</w:t>
      </w:r>
      <w:r w:rsidR="002C7B70" w:rsidRPr="001912F1">
        <w:rPr>
          <w:rFonts w:ascii="Times New Roman" w:hAnsi="Times New Roman" w:cs="Times New Roman"/>
        </w:rPr>
        <w:t>s</w:t>
      </w:r>
      <w:r w:rsidRPr="001912F1">
        <w:rPr>
          <w:rFonts w:ascii="Times New Roman" w:hAnsi="Times New Roman" w:cs="Times New Roman"/>
        </w:rPr>
        <w:t xml:space="preserve"> adversely with the natural environment, society, and economic growth </w:t>
      </w:r>
      <w:r w:rsidRPr="001912F1">
        <w:rPr>
          <w:rFonts w:ascii="Times New Roman" w:hAnsi="Times New Roman" w:cs="Times New Roman"/>
        </w:rPr>
        <w:fldChar w:fldCharType="begin" w:fldLock="1"/>
      </w:r>
      <w:r w:rsidR="00421282" w:rsidRPr="001912F1">
        <w:rPr>
          <w:rFonts w:ascii="Times New Roman" w:hAnsi="Times New Roman" w:cs="Times New Roman"/>
        </w:rPr>
        <w:instrText>ADDIN CSL_CITATION { "citationItems" : [ { "id" : "ITEM-1", "itemData" : { "DOI" : "10.1016/j.enbuild.2019.02.010", "ISSN" : "03787788", "abstract" : "Following the 1960s environmental movement and the energy crisis in the 70s, evidence spurred research on renewable energy and energy efficiency practices. As a result, the green building (GB) movement emerged in the 90s to promote buildings which are designed to reduce the consumption of energy, electricity, water, materials, natural resources as well as improve environmental performance and human health over the whole lifecycle. With a prime goal of improving energy efficiency, GB has gained recognition in national and international energy policies. Following manifold exemplary projects and testified benefits, GBs research has recorded a tremendous increase over the years. Thus, it is essential to monitor the research progress to identify areas that require further research. This paper recruited the bibliometric data of 1147 GBs research articles and conducted a scientometric review. The review showed that GBs research publications increased steadily from 1992 to 2018. This highlights the increasing commitment towards the initiative. The paper found that at least 44% of all countries in the world are involved in GBs research. Ten (10) broad GB research areas in existing studies were identified and discussed and areas for further research were proposed. Thus, the paper offers a useful reference point to early-stage researchers, funding authorities, energy policymakers and industry professionals on the research progress in GBs.", "author" : [ { "dropping-particle" : "", "family" : "Wuni", "given" : "Ibrahim Yahaya", "non-dropping-particle" : "", "parse-names" : false, "suffix" : "" }, { "dropping-particle" : "", "family" : "Shen", "given" : "Geoffrey Qiping", "non-dropping-particle" : "", "parse-names" : false, "suffix" : "" }, { "dropping-particle" : "", "family" : "Osei-Kyei", "given" : "Robert", "non-dropping-particle" : "", "parse-names" : false, "suffix" : "" } ], "container-title" : "Energy and Buildings", "id" : "ITEM-1", "issue" : "May", "issued" : { "date-parts" : [ [ "2019" ] ] }, "page" : "69-85", "publisher" : "Elsevier B.V.", "title" : "Scientometric review of global research trends on green buildings in construction journals from 1992 to 2018", "type" : "article-journal", "volume" : "190" }, "uris" : [ "http://www.mendeley.com/documents/?uuid=ced784fa-57bb-4e8d-a00b-8d65f4d0c979" ] } ], "mendeley" : { "formattedCitation" : "[2]", "plainTextFormattedCitation" : "[2]", "previouslyFormattedCitation" : "[2]" }, "properties" : { "noteIndex" : 0 }, "schema" : "https://github.com/citation-style-language/schema/raw/master/csl-citation.json" }</w:instrText>
      </w:r>
      <w:r w:rsidRPr="001912F1">
        <w:rPr>
          <w:rFonts w:ascii="Times New Roman" w:hAnsi="Times New Roman" w:cs="Times New Roman"/>
        </w:rPr>
        <w:fldChar w:fldCharType="separate"/>
      </w:r>
      <w:r w:rsidR="00CA4774" w:rsidRPr="001912F1">
        <w:rPr>
          <w:rFonts w:ascii="Times New Roman" w:hAnsi="Times New Roman" w:cs="Times New Roman"/>
          <w:noProof/>
        </w:rPr>
        <w:t>[2]</w:t>
      </w:r>
      <w:r w:rsidRPr="001912F1">
        <w:rPr>
          <w:rFonts w:ascii="Times New Roman" w:hAnsi="Times New Roman" w:cs="Times New Roman"/>
        </w:rPr>
        <w:fldChar w:fldCharType="end"/>
      </w:r>
      <w:r w:rsidRPr="001912F1">
        <w:rPr>
          <w:rFonts w:ascii="Times New Roman" w:hAnsi="Times New Roman" w:cs="Times New Roman"/>
        </w:rPr>
        <w:t>.</w:t>
      </w:r>
      <w:r w:rsidR="008D64E2" w:rsidRPr="001912F1">
        <w:rPr>
          <w:rFonts w:ascii="Times New Roman" w:hAnsi="Times New Roman" w:cs="Times New Roman"/>
        </w:rPr>
        <w:t xml:space="preserve"> </w:t>
      </w:r>
      <w:r w:rsidR="00984510" w:rsidRPr="001912F1">
        <w:rPr>
          <w:rFonts w:ascii="Times New Roman" w:hAnsi="Times New Roman" w:cs="Times New Roman"/>
        </w:rPr>
        <w:t xml:space="preserve">Various </w:t>
      </w:r>
      <w:r w:rsidR="008D64E2" w:rsidRPr="001912F1">
        <w:rPr>
          <w:rFonts w:ascii="Times New Roman" w:hAnsi="Times New Roman" w:cs="Times New Roman"/>
        </w:rPr>
        <w:t xml:space="preserve">negative </w:t>
      </w:r>
      <w:r w:rsidR="00984510" w:rsidRPr="001912F1">
        <w:rPr>
          <w:rFonts w:ascii="Times New Roman" w:hAnsi="Times New Roman" w:cs="Times New Roman"/>
        </w:rPr>
        <w:t xml:space="preserve">impacts arising from </w:t>
      </w:r>
      <w:r w:rsidR="008D64E2" w:rsidRPr="001912F1">
        <w:rPr>
          <w:rFonts w:ascii="Times New Roman" w:hAnsi="Times New Roman" w:cs="Times New Roman"/>
        </w:rPr>
        <w:t>buildings</w:t>
      </w:r>
      <w:r w:rsidR="00984510" w:rsidRPr="001912F1">
        <w:rPr>
          <w:rFonts w:ascii="Times New Roman" w:hAnsi="Times New Roman" w:cs="Times New Roman"/>
        </w:rPr>
        <w:t xml:space="preserve">, such as </w:t>
      </w:r>
      <w:r w:rsidR="008D64E2" w:rsidRPr="001912F1">
        <w:rPr>
          <w:rFonts w:ascii="Times New Roman" w:hAnsi="Times New Roman" w:cs="Times New Roman"/>
        </w:rPr>
        <w:t>extraction of non-renewable resources, energy consumption, embodied and operational CO</w:t>
      </w:r>
      <w:r w:rsidR="008D64E2" w:rsidRPr="001912F1">
        <w:rPr>
          <w:rFonts w:ascii="Times New Roman" w:hAnsi="Times New Roman" w:cs="Times New Roman"/>
          <w:vertAlign w:val="subscript"/>
        </w:rPr>
        <w:t>2</w:t>
      </w:r>
      <w:r w:rsidR="008D64E2" w:rsidRPr="001912F1">
        <w:rPr>
          <w:rFonts w:ascii="Times New Roman" w:hAnsi="Times New Roman" w:cs="Times New Roman"/>
        </w:rPr>
        <w:t xml:space="preserve"> emissions, climate change, water stress</w:t>
      </w:r>
      <w:r w:rsidR="00984510" w:rsidRPr="001912F1">
        <w:rPr>
          <w:rFonts w:ascii="Times New Roman" w:hAnsi="Times New Roman" w:cs="Times New Roman"/>
        </w:rPr>
        <w:t xml:space="preserve"> and</w:t>
      </w:r>
      <w:r w:rsidR="008D64E2" w:rsidRPr="001912F1">
        <w:rPr>
          <w:rFonts w:ascii="Times New Roman" w:hAnsi="Times New Roman" w:cs="Times New Roman"/>
        </w:rPr>
        <w:t xml:space="preserve"> solid waste generation</w:t>
      </w:r>
      <w:r w:rsidR="00984510" w:rsidRPr="001912F1">
        <w:rPr>
          <w:rFonts w:ascii="Times New Roman" w:hAnsi="Times New Roman" w:cs="Times New Roman"/>
        </w:rPr>
        <w:t xml:space="preserve"> </w:t>
      </w:r>
      <w:r w:rsidR="008D64E2" w:rsidRPr="001912F1">
        <w:rPr>
          <w:rFonts w:ascii="Times New Roman" w:hAnsi="Times New Roman" w:cs="Times New Roman"/>
        </w:rPr>
        <w:t xml:space="preserve">are extensively documented in the literature </w:t>
      </w:r>
      <w:r w:rsidR="008D64E2" w:rsidRPr="001912F1">
        <w:rPr>
          <w:rFonts w:ascii="Times New Roman" w:hAnsi="Times New Roman" w:cs="Times New Roman"/>
        </w:rPr>
        <w:fldChar w:fldCharType="begin" w:fldLock="1"/>
      </w:r>
      <w:r w:rsidR="00421282" w:rsidRPr="001912F1">
        <w:rPr>
          <w:rFonts w:ascii="Times New Roman" w:hAnsi="Times New Roman" w:cs="Times New Roman"/>
        </w:rPr>
        <w:instrText>ADDIN CSL_CITATION { "citationItems" : [ { "id" : "ITEM-1", "itemData" : { "DOI" : "10.1016/j.jclepro.2015.04.120", "ISSN" : "09596526", "abstract" : "Prefabrication technology has been heavily promoted by the Chinese government due to its potential to improve construction quality and productivity. However, there is an urgent need to assess the environmental performance of prefabrication technology to identify whether it is an effective method that is conducive to sustainable development. This study considered two typical residential projects using the two technologies to conduct a fair comparison between prefabrication technology and cast-in-situ technology. Various measuring methods, including content analysis, face-to-face interviews and on-site measurements, were used for data collection. Environmental impact (EI) categories selected for the study included resource depletion, energy consumption and construction waste discharge. Two life cycle assessment (LCA)-based models, the construction environmental performance assessment system (CEPAS) and the building health impact assessment system (BHIAS), were integrated to measure the EI of the two construction technologies based on three damage categories, namely, ecosystem damage, resource depletion and health damage. Finally, social willingness to pay (WTP) was applied to integrate the damage categories for comparisons. The results indicated that the sample prefabricated residential building (PRB) construction was more efficient in energy use, with a 20.49% reduction in total consumption compared to the sample traditional residential building (TRB) construction. The use of prefabrication demonstrated a certain degree of advantages in EI, including a 35.82% reduction in resource depletion, a 6.61% reduction in health damage and a 3.47% reduction in ecosystem damage. Prefabrication technology was more environmentally friendly because of its advantages in reducing damage to the environment compared with traditional cast-in-situ construction technology.", "author" : [ { "dropping-particle" : "", "family" : "Cao", "given" : "Xinying", "non-dropping-particle" : "", "parse-names" : false, "suffix" : "" }, { "dropping-particle" : "", "family" : "Li", "given" : "Xiaodong", "non-dropping-particle" : "", "parse-names" : false, "suffix" : "" }, { "dropping-particle" : "", "family" : "Zhu", "given" : "Yimin", "non-dropping-particle" : "", "parse-names" : false, "suffix" : "" }, { "dropping-particle" : "", "family" : "Zhang", "given" : "Zhihui", "non-dropping-particle" : "", "parse-names" : false, "suffix" : "" } ], "container-title" : "Journal of Cleaner Production", "id" : "ITEM-1", "issued" : { "date-parts" : [ [ "2015" ] ] }, "page" : "131-143", "publisher" : "Elsevier Ltd", "title" : "A comparative study of environmental performance between prefabricated and traditional residential buildings in China", "type" : "article-journal", "volume" : "109" }, "uris" : [ "http://www.mendeley.com/documents/?uuid=2dbd8e43-cac2-4119-93fc-6bc1ff59e472" ] }, { "id" : "ITEM-2", "itemData" : { "DOI" : "10.1016/j.enbuild.2010.09.005", "ISBN" : "03787788", "ISSN" : "03787788", "abstract" : "There is a growing interest in comparing the energy and consequential carbon embodied in buildings using different methods of construction and alternative materials. This paper compares the embodied carbon in a low energy, affordable house constructed using a novel offsite panellised modular timber frame system, in Norfolk UK with two traditional alternative scenarios. A lifecycle assessment (LCA) framework is used to conduct a partial LCA, from cradle to site, of the construction. An inventory of the materials and fossil fuel energy utilised in the construction was used to calculate the primary energy consumed and the associated embodied carbon. The embodied carbon was found to be 34.6 tonnes CO2 for a 3 bedroom semi-detached house, 405 kgCO2 per m2 of useable floor area. When compared with traditional methods of construction the modern methods of construction (MMC) house resulted in a 34% reduction in embodied carbon. Despite timber being the predominant structural and cladding material, concrete is the most significant material (by proportion) in embodied carbon terms, responsible for 36% of materials related embodied carbon. \u00a9 2010 Elsevier B.V. All rights reserved.", "author" : [ { "dropping-particle" : "", "family" : "Monahan", "given" : "J.", "non-dropping-particle" : "", "parse-names" : false, "suffix" : "" }, { "dropping-particle" : "", "family" : "Powell", "given" : "J. C.", "non-dropping-particle" : "", "parse-names" : false, "suffix" : "" } ], "container-title" : "Energy and Buildings", "id" : "ITEM-2", "issue" : "1", "issued" : { "date-parts" : [ [ "2011" ] ] }, "page" : "179-188", "publisher" : "Elsevier B.V.", "title" : "An embodied carbon and energy analysis of modern methods of construction in housing: A case study using a lifecycle assessment framework", "type" : "article-journal", "volume" : "43" }, "uris" : [ "http://www.mendeley.com/documents/?uuid=23e604d3-35e7-4012-bba2-ff93a4e85d74" ] } ], "mendeley" : { "formattedCitation" : "[3,4]", "plainTextFormattedCitation" : "[3,4]", "previouslyFormattedCitation" : "[3,4]" }, "properties" : { "noteIndex" : 0 }, "schema" : "https://github.com/citation-style-language/schema/raw/master/csl-citation.json" }</w:instrText>
      </w:r>
      <w:r w:rsidR="008D64E2" w:rsidRPr="001912F1">
        <w:rPr>
          <w:rFonts w:ascii="Times New Roman" w:hAnsi="Times New Roman" w:cs="Times New Roman"/>
        </w:rPr>
        <w:fldChar w:fldCharType="separate"/>
      </w:r>
      <w:r w:rsidR="00CA4774" w:rsidRPr="001912F1">
        <w:rPr>
          <w:rFonts w:ascii="Times New Roman" w:hAnsi="Times New Roman" w:cs="Times New Roman"/>
          <w:noProof/>
        </w:rPr>
        <w:t>[3,4]</w:t>
      </w:r>
      <w:r w:rsidR="008D64E2" w:rsidRPr="001912F1">
        <w:rPr>
          <w:rFonts w:ascii="Times New Roman" w:hAnsi="Times New Roman" w:cs="Times New Roman"/>
        </w:rPr>
        <w:fldChar w:fldCharType="end"/>
      </w:r>
      <w:r w:rsidR="008D64E2" w:rsidRPr="001912F1">
        <w:rPr>
          <w:rFonts w:ascii="Times New Roman" w:hAnsi="Times New Roman" w:cs="Times New Roman"/>
        </w:rPr>
        <w:t xml:space="preserve">. </w:t>
      </w:r>
    </w:p>
    <w:p w14:paraId="6E72AACF" w14:textId="1EA05922" w:rsidR="00003BBE" w:rsidRPr="001912F1" w:rsidRDefault="008D64E2" w:rsidP="001217A5">
      <w:pPr>
        <w:spacing w:line="480" w:lineRule="auto"/>
        <w:jc w:val="both"/>
        <w:rPr>
          <w:rFonts w:ascii="Times New Roman" w:hAnsi="Times New Roman" w:cs="Times New Roman"/>
        </w:rPr>
      </w:pPr>
      <w:r w:rsidRPr="001912F1">
        <w:rPr>
          <w:rFonts w:ascii="Times New Roman" w:hAnsi="Times New Roman" w:cs="Times New Roman"/>
        </w:rPr>
        <w:t xml:space="preserve">Green buildings (GBs) are </w:t>
      </w:r>
      <w:r w:rsidR="00984510" w:rsidRPr="001912F1">
        <w:rPr>
          <w:rFonts w:ascii="Times New Roman" w:hAnsi="Times New Roman" w:cs="Times New Roman"/>
        </w:rPr>
        <w:t xml:space="preserve">widely </w:t>
      </w:r>
      <w:r w:rsidRPr="001912F1">
        <w:rPr>
          <w:rFonts w:ascii="Times New Roman" w:hAnsi="Times New Roman" w:cs="Times New Roman"/>
        </w:rPr>
        <w:t xml:space="preserve">promoted </w:t>
      </w:r>
      <w:r w:rsidR="00984510" w:rsidRPr="001912F1">
        <w:rPr>
          <w:rFonts w:ascii="Times New Roman" w:hAnsi="Times New Roman" w:cs="Times New Roman"/>
        </w:rPr>
        <w:t xml:space="preserve"> as a promising solution </w:t>
      </w:r>
      <w:r w:rsidRPr="001912F1">
        <w:rPr>
          <w:rFonts w:ascii="Times New Roman" w:hAnsi="Times New Roman" w:cs="Times New Roman"/>
        </w:rPr>
        <w:t>to minimiz</w:t>
      </w:r>
      <w:r w:rsidR="00984510" w:rsidRPr="001912F1">
        <w:rPr>
          <w:rFonts w:ascii="Times New Roman" w:hAnsi="Times New Roman" w:cs="Times New Roman"/>
        </w:rPr>
        <w:t>ing</w:t>
      </w:r>
      <w:r w:rsidRPr="001912F1">
        <w:rPr>
          <w:rFonts w:ascii="Times New Roman" w:hAnsi="Times New Roman" w:cs="Times New Roman"/>
        </w:rPr>
        <w:t xml:space="preserve"> the adverse environmental footprint</w:t>
      </w:r>
      <w:r w:rsidR="00984510" w:rsidRPr="001912F1">
        <w:rPr>
          <w:rFonts w:ascii="Times New Roman" w:hAnsi="Times New Roman" w:cs="Times New Roman"/>
        </w:rPr>
        <w:t>s</w:t>
      </w:r>
      <w:r w:rsidRPr="001912F1">
        <w:rPr>
          <w:rFonts w:ascii="Times New Roman" w:hAnsi="Times New Roman" w:cs="Times New Roman"/>
        </w:rPr>
        <w:t xml:space="preserve"> of buildings over the</w:t>
      </w:r>
      <w:r w:rsidR="00984510" w:rsidRPr="001912F1">
        <w:rPr>
          <w:rFonts w:ascii="Times New Roman" w:hAnsi="Times New Roman" w:cs="Times New Roman"/>
        </w:rPr>
        <w:t>ir</w:t>
      </w:r>
      <w:r w:rsidRPr="001912F1">
        <w:rPr>
          <w:rFonts w:ascii="Times New Roman" w:hAnsi="Times New Roman" w:cs="Times New Roman"/>
        </w:rPr>
        <w:t xml:space="preserve"> lifecycle</w:t>
      </w:r>
      <w:r w:rsidR="00984510" w:rsidRPr="001912F1">
        <w:rPr>
          <w:rFonts w:ascii="Times New Roman" w:hAnsi="Times New Roman" w:cs="Times New Roman"/>
        </w:rPr>
        <w:t>s</w:t>
      </w:r>
      <w:r w:rsidRPr="001912F1">
        <w:rPr>
          <w:rFonts w:ascii="Times New Roman" w:hAnsi="Times New Roman" w:cs="Times New Roman"/>
        </w:rPr>
        <w:t xml:space="preserve"> </w:t>
      </w:r>
      <w:r w:rsidRPr="001912F1">
        <w:rPr>
          <w:rFonts w:ascii="Times New Roman" w:hAnsi="Times New Roman" w:cs="Times New Roman"/>
        </w:rPr>
        <w:fldChar w:fldCharType="begin" w:fldLock="1"/>
      </w:r>
      <w:r w:rsidR="00421282" w:rsidRPr="001912F1">
        <w:rPr>
          <w:rFonts w:ascii="Times New Roman" w:hAnsi="Times New Roman" w:cs="Times New Roman"/>
        </w:rPr>
        <w:instrText>ADDIN CSL_CITATION { "citationItems" : [ { "id" : "ITEM-1", "itemData" : { "DOI" : "10.1080/096132199369381", "ISSN" : "0961-3218", "abstract" : "This paper reports on experiences from the Swedish participation in Green Building Challenge \u201998 and ongoing similar work in Sweden. It argues against very simpli\ue08eed environmental assessment methods and recommends, as far as possible, calculation of environmental effects caused by buildings during their life cycle. Participation in the development of the GBC tool provided a broad view of the issues, clari\ue08eed different opinions in a new \ue08eeld and provided additional stimulation while developing our national assessment methodology, EcoEffect. The environmental assessment of buildings is discussed in relation to the strength and weaknesses of the GBC system. The design and characteristics of \u2018green buildings\u2019 in Sweden is addressed, including ten poster presentations and two case studies presented at GBC \u201998.", "author" : [ { "dropping-particle" : "", "family" : "Glaumann", "given" : "M.", "non-dropping-particle" : "", "parse-names" : false, "suffix" : "" }, { "dropping-particle" : "", "family" : "Malm", "given" : "T.", "non-dropping-particle" : "", "parse-names" : false, "suffix" : "" }, { "dropping-particle" : "", "family" : "Larsson", "given" : "J.", "non-dropping-particle" : "", "parse-names" : false, "suffix" : "" } ], "container-title" : "Building Research &amp; Information", "id" : "ITEM-1", "issue" : "4-5", "issued" : { "date-parts" : [ [ "1999" ] ] }, "page" : "276-285", "title" : "Evaluation of green buildings in Sweden", "type" : "article-journal", "volume" : "27" }, "uris" : [ "http://www.mendeley.com/documents/?uuid=2d54f53c-a00a-42d2-af88-f35ab5aa1113" ] }, { "id" : "ITEM-2", "itemData" : { "DOI" : "10.1016/j.rser.2016.11.251", "ISBN" : "1364-0321", "ISSN" : "18790690", "abstract" : "The last decades have witnessed a rapid development of green building developments at a global scale, as a measure to deal with various challenges related to climate change especially environmental issues. Australia is no exception. It is not unusual that extra resources such as cost are required for developing green buildings compared to conventional buildings. To justify extra upfront resources required for green building developments, a variety of tools have been developed such as life cycle assessment and life cycle costing. These two tools have been used in some projects in order to evaluate the cost and benefits of green buildings from a life cycle perspective. However, the uptake of life cycle assessment and life cycle costing are generally slow in the construction industry. This paper presents a critical review of green building evaluation from life cycle perspective. In particular, the use of life cycle assessment and life cycle costing in green building evaluation in Australia is reviewed. Knowledge gap is presented and future research agenda is proposed.", "author" : [ { "dropping-particle" : "", "family" : "Zuo", "given" : "Jian", "non-dropping-particle" : "", "parse-names" : false, "suffix" : "" }, { "dropping-particle" : "", "family" : "Pullen", "given" : "Stephen", "non-dropping-particle" : "", "parse-names" : false, "suffix" : "" }, { "dropping-particle" : "", "family" : "Rameezdeen", "given" : "Raufdeen", "non-dropping-particle" : "", "parse-names" : false, "suffix" : "" }, { "dropping-particle" : "", "family" : "Bennetts", "given" : "Helen", "non-dropping-particle" : "", "parse-names" : false, "suffix" : "" }, { "dropping-particle" : "", "family" : "Wang", "given" : "Yuan", "non-dropping-particle" : "", "parse-names" : false, "suffix" : "" }, { "dropping-particle" : "", "family" : "Mao", "given" : "Guozhu", "non-dropping-particle" : "", "parse-names" : false, "suffix" : "" }, { "dropping-particle" : "", "family" : "Zhou", "given" : "Zhihua", "non-dropping-particle" : "", "parse-names" : false, "suffix" : "" }, { "dropping-particle" : "", "family" : "Du", "given" : "Huibin", "non-dropping-particle" : "", "parse-names" : false, "suffix" : "" }, { "dropping-particle" : "", "family" : "Duan", "given" : "Huabo", "non-dropping-particle" : "", "parse-names" : false, "suffix" : "" } ], "container-title" : "Renewable and Sustainable Energy Reviews", "id" : "ITEM-2", "issue" : "February 2016", "issued" : { "date-parts" : [ [ "2017" ] ] }, "page" : "358-368", "publisher" : "Elsevier", "title" : "Green building evaluation from a life-cycle perspective in Australia: A critical review", "type" : "article-journal", "volume" : "70" }, "uris" : [ "http://www.mendeley.com/documents/?uuid=068fe1e6-4155-4c2e-89db-1e2bbb75eb20" ] } ], "mendeley" : { "formattedCitation" : "[5,6]", "plainTextFormattedCitation" : "[5,6]", "previouslyFormattedCitation" : "[5,6]" }, "properties" : { "noteIndex" : 0 }, "schema" : "https://github.com/citation-style-language/schema/raw/master/csl-citation.json" }</w:instrText>
      </w:r>
      <w:r w:rsidRPr="001912F1">
        <w:rPr>
          <w:rFonts w:ascii="Times New Roman" w:hAnsi="Times New Roman" w:cs="Times New Roman"/>
        </w:rPr>
        <w:fldChar w:fldCharType="separate"/>
      </w:r>
      <w:r w:rsidR="00CA4774" w:rsidRPr="001912F1">
        <w:rPr>
          <w:rFonts w:ascii="Times New Roman" w:hAnsi="Times New Roman" w:cs="Times New Roman"/>
          <w:noProof/>
        </w:rPr>
        <w:t>[5,6]</w:t>
      </w:r>
      <w:r w:rsidRPr="001912F1">
        <w:rPr>
          <w:rFonts w:ascii="Times New Roman" w:hAnsi="Times New Roman" w:cs="Times New Roman"/>
        </w:rPr>
        <w:fldChar w:fldCharType="end"/>
      </w:r>
      <w:r w:rsidRPr="001912F1">
        <w:rPr>
          <w:rFonts w:ascii="Times New Roman" w:hAnsi="Times New Roman" w:cs="Times New Roman"/>
        </w:rPr>
        <w:t xml:space="preserve">. GBs emerged from the environmental movements </w:t>
      </w:r>
      <w:r w:rsidR="00003BBE" w:rsidRPr="001912F1">
        <w:rPr>
          <w:rFonts w:ascii="Times New Roman" w:hAnsi="Times New Roman" w:cs="Times New Roman"/>
        </w:rPr>
        <w:t>in</w:t>
      </w:r>
      <w:r w:rsidRPr="001912F1">
        <w:rPr>
          <w:rFonts w:ascii="Times New Roman" w:hAnsi="Times New Roman" w:cs="Times New Roman"/>
        </w:rPr>
        <w:t xml:space="preserve"> the 1970 – 80s to meet building demand while reduc</w:t>
      </w:r>
      <w:r w:rsidR="00A734B2" w:rsidRPr="001912F1">
        <w:rPr>
          <w:rFonts w:ascii="Times New Roman" w:hAnsi="Times New Roman" w:cs="Times New Roman"/>
        </w:rPr>
        <w:t xml:space="preserve">ing energy consumption in the construction industry </w:t>
      </w:r>
      <w:r w:rsidR="00A734B2" w:rsidRPr="001912F1">
        <w:rPr>
          <w:rFonts w:ascii="Times New Roman" w:hAnsi="Times New Roman" w:cs="Times New Roman"/>
        </w:rPr>
        <w:fldChar w:fldCharType="begin" w:fldLock="1"/>
      </w:r>
      <w:r w:rsidR="00421282" w:rsidRPr="001912F1">
        <w:rPr>
          <w:rFonts w:ascii="Times New Roman" w:hAnsi="Times New Roman" w:cs="Times New Roman"/>
        </w:rPr>
        <w:instrText>ADDIN CSL_CITATION { "citationItems" : [ { "id" : "ITEM-1", "itemData" : { "DOI" : "10.1016/j.enbuild.2019.02.010", "ISSN" : "03787788", "abstract" : "Following the 1960s environmental movement and the energy crisis in the 70s, evidence spurred research on renewable energy and energy efficiency practices. As a result, the green building (GB) movement emerged in the 90s to promote buildings which are designed to reduce the consumption of energy, electricity, water, materials, natural resources as well as improve environmental performance and human health over the whole lifecycle. With a prime goal of improving energy efficiency, GB has gained recognition in national and international energy policies. Following manifold exemplary projects and testified benefits, GBs research has recorded a tremendous increase over the years. Thus, it is essential to monitor the research progress to identify areas that require further research. This paper recruited the bibliometric data of 1147 GBs research articles and conducted a scientometric review. The review showed that GBs research publications increased steadily from 1992 to 2018. This highlights the increasing commitment towards the initiative. The paper found that at least 44% of all countries in the world are involved in GBs research. Ten (10) broad GB research areas in existing studies were identified and discussed and areas for further research were proposed. Thus, the paper offers a useful reference point to early-stage researchers, funding authorities, energy policymakers and industry professionals on the research progress in GBs.", "author" : [ { "dropping-particle" : "", "family" : "Wuni", "given" : "Ibrahim Yahaya", "non-dropping-particle" : "", "parse-names" : false, "suffix" : "" }, { "dropping-particle" : "", "family" : "Shen", "given" : "Geoffrey Qiping", "non-dropping-particle" : "", "parse-names" : false, "suffix" : "" }, { "dropping-particle" : "", "family" : "Osei-Kyei", "given" : "Robert", "non-dropping-particle" : "", "parse-names" : false, "suffix" : "" } ], "container-title" : "Energy and Buildings", "id" : "ITEM-1", "issue" : "May", "issued" : { "date-parts" : [ [ "2019" ] ] }, "page" : "69-85", "publisher" : "Elsevier B.V.", "title" : "Scientometric review of global research trends on green buildings in construction journals from 1992 to 2018", "type" : "article-journal", "volume" : "190" }, "uris" : [ "http://www.mendeley.com/documents/?uuid=ced784fa-57bb-4e8d-a00b-8d65f4d0c979" ] } ], "mendeley" : { "formattedCitation" : "[2]", "plainTextFormattedCitation" : "[2]", "previouslyFormattedCitation" : "[2]" }, "properties" : { "noteIndex" : 0 }, "schema" : "https://github.com/citation-style-language/schema/raw/master/csl-citation.json" }</w:instrText>
      </w:r>
      <w:r w:rsidR="00A734B2" w:rsidRPr="001912F1">
        <w:rPr>
          <w:rFonts w:ascii="Times New Roman" w:hAnsi="Times New Roman" w:cs="Times New Roman"/>
        </w:rPr>
        <w:fldChar w:fldCharType="separate"/>
      </w:r>
      <w:r w:rsidR="00CA4774" w:rsidRPr="001912F1">
        <w:rPr>
          <w:rFonts w:ascii="Times New Roman" w:hAnsi="Times New Roman" w:cs="Times New Roman"/>
          <w:noProof/>
        </w:rPr>
        <w:t>[2]</w:t>
      </w:r>
      <w:r w:rsidR="00A734B2" w:rsidRPr="001912F1">
        <w:rPr>
          <w:rFonts w:ascii="Times New Roman" w:hAnsi="Times New Roman" w:cs="Times New Roman"/>
        </w:rPr>
        <w:fldChar w:fldCharType="end"/>
      </w:r>
      <w:r w:rsidR="00A734B2" w:rsidRPr="001912F1">
        <w:rPr>
          <w:rFonts w:ascii="Times New Roman" w:hAnsi="Times New Roman" w:cs="Times New Roman"/>
        </w:rPr>
        <w:t xml:space="preserve">. GBs are designed, constructed, and operated to reduce the consumption of energy, electricity, water, materials, and natural resources over the whole lifecycle </w:t>
      </w:r>
      <w:r w:rsidR="00A734B2" w:rsidRPr="001912F1">
        <w:rPr>
          <w:rFonts w:ascii="Times New Roman" w:hAnsi="Times New Roman" w:cs="Times New Roman"/>
        </w:rPr>
        <w:fldChar w:fldCharType="begin" w:fldLock="1"/>
      </w:r>
      <w:r w:rsidR="00421282" w:rsidRPr="001912F1">
        <w:rPr>
          <w:rFonts w:ascii="Times New Roman" w:hAnsi="Times New Roman" w:cs="Times New Roman"/>
        </w:rPr>
        <w:instrText>ADDIN CSL_CITATION { "citationItems" : [ { "id" : "ITEM-1", "itemData" : { "author" : [ { "dropping-particle" : "", "family" : "Office of the Federal Environmental Executive", "given" : "", "non-dropping-particle" : "", "parse-names" : false, "suffix" : "" } ], "id" : "ITEM-1", "issued" : { "date-parts" : [ [ "2014" ] ] }, "number-of-pages" : "89", "publisher" : "CreateSpace Publishing", "publisher-place" : "Washington, DC", "title" : "The Federal Commitment to Green Building: Experiences and Expectations", "type" : "report" }, "uris" : [ "http://www.mendeley.com/documents/?uuid=c699b08c-14b8-4249-a669-18c6423fd7fe" ] }, { "id" : "ITEM-2", "itemData" : { "author" : [ { "dropping-particle" : "", "family" : "World Green Building Council", "given" : "", "non-dropping-particle" : "", "parse-names" : false, "suffix" : "" } ], "id" : "ITEM-2", "issued" : { "date-parts" : [ [ "2013" ] ] }, "number-of-pages" : "124", "publisher-place" : "United States", "title" : "The Business Case for Green Building: A Review of the Costs and Benefits for Developers Investors and Occupants", "type" : "report" }, "uris" : [ "http://www.mendeley.com/documents/?uuid=c65d6f0e-8788-4247-8e9b-c61fbf9925c6" ] } ], "mendeley" : { "formattedCitation" : "[1,7]", "plainTextFormattedCitation" : "[1,7]", "previouslyFormattedCitation" : "[1,7]" }, "properties" : { "noteIndex" : 0 }, "schema" : "https://github.com/citation-style-language/schema/raw/master/csl-citation.json" }</w:instrText>
      </w:r>
      <w:r w:rsidR="00A734B2" w:rsidRPr="001912F1">
        <w:rPr>
          <w:rFonts w:ascii="Times New Roman" w:hAnsi="Times New Roman" w:cs="Times New Roman"/>
        </w:rPr>
        <w:fldChar w:fldCharType="separate"/>
      </w:r>
      <w:r w:rsidR="00CA4774" w:rsidRPr="001912F1">
        <w:rPr>
          <w:rFonts w:ascii="Times New Roman" w:hAnsi="Times New Roman" w:cs="Times New Roman"/>
          <w:noProof/>
        </w:rPr>
        <w:t>[1,7]</w:t>
      </w:r>
      <w:r w:rsidR="00A734B2" w:rsidRPr="001912F1">
        <w:rPr>
          <w:rFonts w:ascii="Times New Roman" w:hAnsi="Times New Roman" w:cs="Times New Roman"/>
        </w:rPr>
        <w:fldChar w:fldCharType="end"/>
      </w:r>
      <w:r w:rsidR="00A734B2" w:rsidRPr="001912F1">
        <w:rPr>
          <w:rFonts w:ascii="Times New Roman" w:hAnsi="Times New Roman" w:cs="Times New Roman"/>
        </w:rPr>
        <w:t>.</w:t>
      </w:r>
      <w:r w:rsidR="001F6B86" w:rsidRPr="001912F1">
        <w:rPr>
          <w:rFonts w:ascii="Times New Roman" w:hAnsi="Times New Roman" w:cs="Times New Roman"/>
        </w:rPr>
        <w:t xml:space="preserve"> </w:t>
      </w:r>
      <w:r w:rsidR="00DC4F50">
        <w:rPr>
          <w:rFonts w:ascii="Times New Roman" w:hAnsi="Times New Roman" w:cs="Times New Roman"/>
        </w:rPr>
        <w:t>GBs aim</w:t>
      </w:r>
      <w:r w:rsidR="009B1F8A" w:rsidRPr="001912F1">
        <w:rPr>
          <w:rFonts w:ascii="Times New Roman" w:hAnsi="Times New Roman" w:cs="Times New Roman"/>
        </w:rPr>
        <w:t xml:space="preserve"> to achieve optimum energy efficiency with a priority </w:t>
      </w:r>
      <w:r w:rsidR="002C7B70" w:rsidRPr="001912F1">
        <w:rPr>
          <w:rFonts w:ascii="Times New Roman" w:hAnsi="Times New Roman" w:cs="Times New Roman"/>
        </w:rPr>
        <w:t>on</w:t>
      </w:r>
      <w:r w:rsidR="009B1F8A" w:rsidRPr="001912F1">
        <w:rPr>
          <w:rFonts w:ascii="Times New Roman" w:hAnsi="Times New Roman" w:cs="Times New Roman"/>
        </w:rPr>
        <w:t xml:space="preserve"> natural, reclaimed, and recycled materials</w:t>
      </w:r>
      <w:r w:rsidR="00003BBE" w:rsidRPr="001912F1">
        <w:rPr>
          <w:rFonts w:ascii="Times New Roman" w:hAnsi="Times New Roman" w:cs="Times New Roman"/>
        </w:rPr>
        <w:t xml:space="preserve"> during construction</w:t>
      </w:r>
      <w:r w:rsidR="009B1F8A" w:rsidRPr="001912F1">
        <w:rPr>
          <w:rFonts w:ascii="Times New Roman" w:hAnsi="Times New Roman" w:cs="Times New Roman"/>
        </w:rPr>
        <w:t xml:space="preserve">. </w:t>
      </w:r>
    </w:p>
    <w:p w14:paraId="046CA7E9" w14:textId="600F7C90" w:rsidR="001217A5" w:rsidRPr="001912F1" w:rsidRDefault="009B1F8A" w:rsidP="0087096A">
      <w:pPr>
        <w:spacing w:line="480" w:lineRule="auto"/>
        <w:jc w:val="both"/>
        <w:rPr>
          <w:rFonts w:ascii="Times New Roman" w:hAnsi="Times New Roman" w:cs="Times New Roman"/>
        </w:rPr>
      </w:pPr>
      <w:r w:rsidRPr="001912F1">
        <w:rPr>
          <w:rFonts w:ascii="Times New Roman" w:hAnsi="Times New Roman" w:cs="Times New Roman"/>
        </w:rPr>
        <w:t xml:space="preserve">There are several benefits of GBs, including operational cost savings </w:t>
      </w:r>
      <w:r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"10.3992/jgb.5.2.129", "ISSN" : "19434618", "abstract" : "For sustainable buildings to become mainstream they must demonstrate not only improved environmental performance but also financial performance, benefiting both end users and investors. The perceived financial constraints and risks are often major barriers to sustainable design. This paper discusses the application of a new tool that formalizes the traditionally intuitive-based early-stage decision making processes and assesses the potential for creating a financially feasible best-practice sustainable building across a range of environmental, social and economic parameters, using the limited data available at the outset of a project. It considers the total cost of ownership, demonstrating the link between the recurrent and capital costs. A detailed feasibility assessment of those areas where greatest potential for improving environmental and financial performance exists can then be carried out, saving a considerable amount of time, money and effort otherwise spent on looking at all possible strategies for achieving a sustainable outcome. This approach also identifies areas where incorporating environmental strategies might be financially risky, reassuring investors and developers by reducing investment risks. By reducing some of these risks and perceived barriers to sustainable building development, it is hoped that clients and investors will be further encouraged to adopt a more sustainable approach to their building projects.", "author" : [ { "dropping-particle" : "", "family" : "Ranaweera", "given" : "Renuka", "non-dropping-particle" : "", "parse-names" : false, "suffix" : "" }, { "dropping-particle" : "", "family" : "Crawford", "given" : "Robert H.", "non-dropping-particle" : "", "parse-names" : false, "suffix" : "" } ], "container-title" : "Journal of Green Building", "id" : "ITEM-1", "issue" : "2", "issued" : { "date-parts" : [ [ "2010" ] ] }, "page" : "129-146", "title" : "Using early-stage assessment to reduce the financial risks and perceived barriers of sustainable buildings", "type" : "article-journal", "volume" : "5" }, "uris" : [ "http://www.mendeley.com/documents/?uuid=92f6342c-ca83-4135-84e5-15cf0852d828" ] } ], "mendeley" : { "formattedCitation" : "[8]", "plainTextFormattedCitation" : "[8]", "previouslyFormattedCitation" : "[8]" }, "properties" : { "noteIndex" : 0 }, "schema" : "https://github.com/citation-style-language/schema/raw/master/csl-citation.json" }</w:instrText>
      </w:r>
      <w:r w:rsidRPr="001912F1">
        <w:rPr>
          <w:rFonts w:ascii="Times New Roman" w:hAnsi="Times New Roman" w:cs="Times New Roman"/>
        </w:rPr>
        <w:fldChar w:fldCharType="separate"/>
      </w:r>
      <w:r w:rsidR="00A172E2" w:rsidRPr="00A172E2">
        <w:rPr>
          <w:rFonts w:ascii="Times New Roman" w:hAnsi="Times New Roman" w:cs="Times New Roman"/>
          <w:noProof/>
        </w:rPr>
        <w:t>[8]</w:t>
      </w:r>
      <w:r w:rsidRPr="001912F1">
        <w:rPr>
          <w:rFonts w:ascii="Times New Roman" w:hAnsi="Times New Roman" w:cs="Times New Roman"/>
        </w:rPr>
        <w:fldChar w:fldCharType="end"/>
      </w:r>
      <w:r w:rsidRPr="001912F1">
        <w:rPr>
          <w:rFonts w:ascii="Times New Roman" w:hAnsi="Times New Roman" w:cs="Times New Roman"/>
        </w:rPr>
        <w:t xml:space="preserve">, lower insurance cost, improved corporate image </w:t>
      </w:r>
      <w:r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"10.1061/(asce)me.1943-5479.0000358", "ISSN" : "0742-597X", "abstract" : "AbstractSustainability has become a major concern for the construction industry. There has been a growing emphasis on green buildings in the last decade. Renovation is critical in terms of improving the energy efficiency of the building stock. In this paper, the green building certification process of existing buildings in developing countries is investigated. A qualitative case study methodology has been employed to gain a better understanding of the critical success factors of the greening and certification process. In this respect, six leadership in energy and environmental design (LEED)-certified projects in Turkey are examined. A framework is used to analyze the components of this process, including the drivers, resources, green implementations, barriers, enablers, benefits, and impacts. Unavailability of approved materials, poor design of the buildings, and difficulties with the documentation process have been major barriers. The barriers have been overcome through the commitment of the owners, top ...", "author" : [ { "dropping-particle" : "", "family" : "Aktas", "given" : "Bahacan", "non-dropping-particle" : "", "parse-names" : false, "suffix" : "" }, { "dropping-particle" : "", "family" : "Ozorhon", "given" : "Beliz", "non-dropping-particle" : "", "parse-names" : false, "suffix" : "" } ], "container-title" : "Journal of Management in Engineering", "id" : "ITEM-1", "issue" : "6", "issued" : { "date-parts" : [ [ "2015" ] ] }, "page" : "05015002", "title" : "Green Building Certification Process of Existing Buildings in Developing Countries: Cases from Turkey", "type" : "article-journal", "volume" : "31" }, "uris" : [ "http://www.mendeley.com/documents/?uuid=cad29272-80cd-40e5-a1aa-d1a55cad1485" ] } ], "mendeley" : { "formattedCitation" : "[9]", "plainTextFormattedCitation" : "[9]", "previouslyFormattedCitation" : "[9]" }, "properties" : { "noteIndex" : 0 }, "schema" : "https://github.com/citation-style-language/schema/raw/master/csl-citation.json" }</w:instrText>
      </w:r>
      <w:r w:rsidRPr="001912F1">
        <w:rPr>
          <w:rFonts w:ascii="Times New Roman" w:hAnsi="Times New Roman" w:cs="Times New Roman"/>
        </w:rPr>
        <w:fldChar w:fldCharType="separate"/>
      </w:r>
      <w:r w:rsidR="00A172E2" w:rsidRPr="00A172E2">
        <w:rPr>
          <w:rFonts w:ascii="Times New Roman" w:hAnsi="Times New Roman" w:cs="Times New Roman"/>
          <w:noProof/>
        </w:rPr>
        <w:t>[9]</w:t>
      </w:r>
      <w:r w:rsidRPr="001912F1">
        <w:rPr>
          <w:rFonts w:ascii="Times New Roman" w:hAnsi="Times New Roman" w:cs="Times New Roman"/>
        </w:rPr>
        <w:fldChar w:fldCharType="end"/>
      </w:r>
      <w:r w:rsidRPr="001912F1">
        <w:rPr>
          <w:rFonts w:ascii="Times New Roman" w:hAnsi="Times New Roman" w:cs="Times New Roman"/>
        </w:rPr>
        <w:t>, reduced waste</w:t>
      </w:r>
      <w:r w:rsidR="00003BBE" w:rsidRPr="001912F1">
        <w:rPr>
          <w:rFonts w:ascii="Times New Roman" w:hAnsi="Times New Roman" w:cs="Times New Roman"/>
        </w:rPr>
        <w:t xml:space="preserve"> generation</w:t>
      </w:r>
      <w:r w:rsidRPr="001912F1">
        <w:rPr>
          <w:rFonts w:ascii="Times New Roman" w:hAnsi="Times New Roman" w:cs="Times New Roman"/>
        </w:rPr>
        <w:t>, improved wellbeing</w:t>
      </w:r>
      <w:r w:rsidR="002C7B70" w:rsidRPr="001912F1">
        <w:rPr>
          <w:rFonts w:ascii="Times New Roman" w:hAnsi="Times New Roman" w:cs="Times New Roman"/>
        </w:rPr>
        <w:t>,</w:t>
      </w:r>
      <w:r w:rsidRPr="001912F1">
        <w:rPr>
          <w:rFonts w:ascii="Times New Roman" w:hAnsi="Times New Roman" w:cs="Times New Roman"/>
        </w:rPr>
        <w:t xml:space="preserve"> and </w:t>
      </w:r>
      <w:r w:rsidR="00003BBE" w:rsidRPr="001912F1">
        <w:rPr>
          <w:rFonts w:ascii="Times New Roman" w:hAnsi="Times New Roman" w:cs="Times New Roman"/>
        </w:rPr>
        <w:t xml:space="preserve">better </w:t>
      </w:r>
      <w:r w:rsidRPr="001912F1">
        <w:rPr>
          <w:rFonts w:ascii="Times New Roman" w:hAnsi="Times New Roman" w:cs="Times New Roman"/>
        </w:rPr>
        <w:t xml:space="preserve">productivity of occupants </w:t>
      </w:r>
      <w:r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"author" : [ { "dropping-particle" : "", "family" : "McNamara", "given" : "David W.", "non-dropping-particle" : "", "parse-names" : false, "suffix" : "" }, { "dropping-particle" : "", "family" : "Birkenfeld", "given" : "Brock", "non-dropping-particle" : "", "parse-names" : false, "suffix" : "" }, { "dropping-particle" : "", "family" : "Brown", "given" : "Peter", "non-dropping-particle" : "", "parse-names" : false, "suffix" : "" }, { "dropping-particle" : "", "family" : "Kresse", "given" : "Nicole", "non-dropping-particle" : "", "parse-names" : false, "suffix" : "" }, { "dropping-particle" : "", "family" : "Sullivan", "given" : "Justin", "non-dropping-particle" : "", "parse-names" : false, "suffix" : "" }, { "dropping-particle" : "", "family" : "Thiam", "given" : "Philippe", "non-dropping-particle" : "", "parse-names" : false, "suffix" : "" } ], "id" : "ITEM-1", "issued" : { "date-parts" : [ [ "2011" ] ] }, "number-of-pages" : "1-19", "publisher-place" : "Washington, D.C.", "title" : "Quantifying the Hidden Benefits of High-Performance Building", "type" : "report" }, "uris" : [ "http://www.mendeley.com/documents/?uuid=79d115a1-b343-41ba-a8c0-f1ec85b6d77e" ] } ], "mendeley" : { "formattedCitation" : "[10]", "plainTextFormattedCitation" : "[10]", "previouslyFormattedCitation" : "[10]" }, "properties" : { "noteIndex" : 0 }, "schema" : "https://github.com/citation-style-language/schema/raw/master/csl-citation.json" }</w:instrText>
      </w:r>
      <w:r w:rsidRPr="001912F1">
        <w:rPr>
          <w:rFonts w:ascii="Times New Roman" w:hAnsi="Times New Roman" w:cs="Times New Roman"/>
        </w:rPr>
        <w:fldChar w:fldCharType="separate"/>
      </w:r>
      <w:r w:rsidR="00A172E2" w:rsidRPr="00A172E2">
        <w:rPr>
          <w:rFonts w:ascii="Times New Roman" w:hAnsi="Times New Roman" w:cs="Times New Roman"/>
          <w:noProof/>
        </w:rPr>
        <w:t>[10]</w:t>
      </w:r>
      <w:r w:rsidRPr="001912F1">
        <w:rPr>
          <w:rFonts w:ascii="Times New Roman" w:hAnsi="Times New Roman" w:cs="Times New Roman"/>
        </w:rPr>
        <w:fldChar w:fldCharType="end"/>
      </w:r>
      <w:r w:rsidRPr="001912F1">
        <w:rPr>
          <w:rFonts w:ascii="Times New Roman" w:hAnsi="Times New Roman" w:cs="Times New Roman"/>
        </w:rPr>
        <w:t xml:space="preserve">, </w:t>
      </w:r>
      <w:r w:rsidR="00F048F4" w:rsidRPr="001912F1">
        <w:rPr>
          <w:rFonts w:ascii="Times New Roman" w:hAnsi="Times New Roman" w:cs="Times New Roman"/>
        </w:rPr>
        <w:t>natural resource conservation, reduced CO</w:t>
      </w:r>
      <w:r w:rsidR="00F048F4" w:rsidRPr="001912F1">
        <w:rPr>
          <w:rFonts w:ascii="Times New Roman" w:hAnsi="Times New Roman" w:cs="Times New Roman"/>
          <w:vertAlign w:val="subscript"/>
        </w:rPr>
        <w:t>2</w:t>
      </w:r>
      <w:r w:rsidR="00F048F4" w:rsidRPr="001912F1">
        <w:rPr>
          <w:rFonts w:ascii="Times New Roman" w:hAnsi="Times New Roman" w:cs="Times New Roman"/>
        </w:rPr>
        <w:t xml:space="preserve"> emissions, and climate change mitigation </w:t>
      </w:r>
      <w:r w:rsidR="00F048F4"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"10.1080/09613218.2016.1204519", "ISBN" : "0961-3218", "ISSN" : "14664321", "abstract" : "ABSTRACTThis paper quantifies the greenhouse gas (GHG) emissions co-benefits associated with water, waste and transportation usage in certified green commercial office buildings in California. The study compares the measured values of water, waste and transportation usage self-reported by office buildings certified under the Leadership in Energy and Environmental Design rating system for Existing Building Operations and Maintenance (LEED EBOM) to baseline values of conventional California office buildings. The green buildings in the LEED EBOM dataset produced 50% less GHGs due to water consumption than baseline buildings, 48% less due to solid waste management, and 5% less due to transportation. If applied to the entire California office building stock, performance typical of the certified green buildings would save 730,038 MgCO2e/yr (metric tonnes) from transportation, 87,601 MgCO2e/yr from water, and 45,280 MgCO2e/yr from waste, for a total potential savings of about 862,920 MgCO2e/yr relative to conven...", "author" : [ { "dropping-particle" : "", "family" : "Eisenstein", "given" : "William", "non-dropping-particle" : "", "parse-names" : false, "suffix" : "" }, { "dropping-particle" : "", "family" : "Fuertes", "given" : "Gwen", "non-dropping-particle" : "", "parse-names" : false, "suffix" : "" }, { "dropping-particle" : "", "family" : "Kaam", "given" : "Soazig", "non-dropping-particle" : "", "parse-names" : false, "suffix" : "" }, { "dropping-particle" : "", "family" : "Seigel", "given" : "Kimberly", "non-dropping-particle" : "", "parse-names" : false, "suffix" : "" }, { "dropping-particle" : "", "family" : "Arens", "given" : "Ed", "non-dropping-particle" : "", "parse-names" : false, "suffix" : "" }, { "dropping-particle" : "", "family" : "Mozingo", "given" : "Louise", "non-dropping-particle" : "", "parse-names" : false, "suffix" : "" } ], "container-title" : "Building Research and Information", "id" : "ITEM-1", "issue" : "8", "issued" : { "date-parts" : [ [ "2017" ] ] }, "page" : "828-844", "publisher" : "Taylor &amp; Francis", "title" : "Climate co-benefits of green building standards: water, waste and transportation", "type" : "article-journal", "volume" : "45" }, "uris" : [ "http://www.mendeley.com/documents/?uuid=fa76f5fc-1a3e-4a44-a405-1439d4148102" ] } ], "mendeley" : { "formattedCitation" : "[11]", "plainTextFormattedCitation" : "[11]", "previouslyFormattedCitation" : "[11]" }, "properties" : { "noteIndex" : 0 }, "schema" : "https://github.com/citation-style-language/schema/raw/master/csl-citation.json" }</w:instrText>
      </w:r>
      <w:r w:rsidR="00F048F4" w:rsidRPr="001912F1">
        <w:rPr>
          <w:rFonts w:ascii="Times New Roman" w:hAnsi="Times New Roman" w:cs="Times New Roman"/>
        </w:rPr>
        <w:fldChar w:fldCharType="separate"/>
      </w:r>
      <w:r w:rsidR="00A172E2" w:rsidRPr="00A172E2">
        <w:rPr>
          <w:rFonts w:ascii="Times New Roman" w:hAnsi="Times New Roman" w:cs="Times New Roman"/>
          <w:noProof/>
        </w:rPr>
        <w:t>[11]</w:t>
      </w:r>
      <w:r w:rsidR="00F048F4" w:rsidRPr="001912F1">
        <w:rPr>
          <w:rFonts w:ascii="Times New Roman" w:hAnsi="Times New Roman" w:cs="Times New Roman"/>
        </w:rPr>
        <w:fldChar w:fldCharType="end"/>
      </w:r>
      <w:r w:rsidR="00F048F4" w:rsidRPr="001912F1">
        <w:rPr>
          <w:rFonts w:ascii="Times New Roman" w:hAnsi="Times New Roman" w:cs="Times New Roman"/>
        </w:rPr>
        <w:t xml:space="preserve">. These benefits and performance improvements are documented in the promissory notes of GBs, culminating in </w:t>
      </w:r>
      <w:r w:rsidR="00AF28A3" w:rsidRPr="001912F1">
        <w:rPr>
          <w:rFonts w:ascii="Times New Roman" w:hAnsi="Times New Roman" w:cs="Times New Roman"/>
        </w:rPr>
        <w:t xml:space="preserve">a </w:t>
      </w:r>
      <w:r w:rsidR="00F048F4" w:rsidRPr="001912F1">
        <w:rPr>
          <w:rFonts w:ascii="Times New Roman" w:hAnsi="Times New Roman" w:cs="Times New Roman"/>
        </w:rPr>
        <w:t>strong business case for incorporating green ideas in</w:t>
      </w:r>
      <w:r w:rsidR="00AF28A3" w:rsidRPr="001912F1">
        <w:rPr>
          <w:rFonts w:ascii="Times New Roman" w:hAnsi="Times New Roman" w:cs="Times New Roman"/>
        </w:rPr>
        <w:t>to</w:t>
      </w:r>
      <w:r w:rsidR="00F048F4" w:rsidRPr="001912F1">
        <w:rPr>
          <w:rFonts w:ascii="Times New Roman" w:hAnsi="Times New Roman" w:cs="Times New Roman"/>
        </w:rPr>
        <w:t xml:space="preserve"> building projects </w:t>
      </w:r>
      <w:r w:rsidR="00F048F4"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"10.1002/tqem.21478", "ISSN" : "15206483", "abstract" : "Sustainability is continuing to change the way businesses operate. Stakeholders are insisting that corporations implement more responsible business practices, and they are holding them increasingly accountable for their associated environmental and social impacts. Research has provided significant contributions toward sustainability-related tools and best practices, allowing sustainability to be integrated even farther across business operations. However, challenges still exist, preventing many companies from fully integrating sustainability. Although intangible benefits are not commonly included in business case assessments, such benefits can be derived through sustainability initiatives and may offer additional value in evaluating the business case for sustainability. In this article, we review current literature on accounting methods for the business case for sustainability as well as currently available methods or tools that are capable of estimating intangible benefits. In addition, we use case studies to illustrate if, and how, companies are accounting for intangible benefits, and we identify best methods for accounting for intangible benefits.", "author" : [ { "dropping-particle" : "", "family" : "Kreiss", "given" : "Cory", "non-dropping-particle" : "", "parse-names" : false, "suffix" : "" }, { "dropping-particle" : "", "family" : "Nasr", "given" : "Nabil", "non-dropping-particle" : "", "parse-names" : false, "suffix" : "" }, { "dropping-particle" : "", "family" : "Kashmanian", "given" : "Richard", "non-dropping-particle" : "", "parse-names" : false, "suffix" : "" } ], "container-title" : "Environmental Quality Management", "id" : "ITEM-1", "issue" : "1", "issued" : { "date-parts" : [ [ "2016" ] ] }, "page" : "5-24", "title" : "Making the Business Case for Sustainability: How to Account for Intangible Benefits\u2014A Case Study Approach", "type" : "article-journal", "volume" : "26" }, "uris" : [ "http://www.mendeley.com/documents/?uuid=e55a8e09-34b4-41c2-bfe6-19c68b9d29f1" ] } ], "mendeley" : { "formattedCitation" : "[12]", "plainTextFormattedCitation" : "[12]", "previouslyFormattedCitation" : "[12]" }, "properties" : { "noteIndex" : 0 }, "schema" : "https://github.com/citation-style-language/schema/raw/master/csl-citation.json" }</w:instrText>
      </w:r>
      <w:r w:rsidR="00F048F4" w:rsidRPr="001912F1">
        <w:rPr>
          <w:rFonts w:ascii="Times New Roman" w:hAnsi="Times New Roman" w:cs="Times New Roman"/>
        </w:rPr>
        <w:fldChar w:fldCharType="separate"/>
      </w:r>
      <w:r w:rsidR="00A172E2" w:rsidRPr="00A172E2">
        <w:rPr>
          <w:rFonts w:ascii="Times New Roman" w:hAnsi="Times New Roman" w:cs="Times New Roman"/>
          <w:noProof/>
        </w:rPr>
        <w:t>[12]</w:t>
      </w:r>
      <w:r w:rsidR="00F048F4" w:rsidRPr="001912F1">
        <w:rPr>
          <w:rFonts w:ascii="Times New Roman" w:hAnsi="Times New Roman" w:cs="Times New Roman"/>
        </w:rPr>
        <w:fldChar w:fldCharType="end"/>
      </w:r>
      <w:r w:rsidR="00F048F4" w:rsidRPr="001912F1">
        <w:rPr>
          <w:rFonts w:ascii="Times New Roman" w:hAnsi="Times New Roman" w:cs="Times New Roman"/>
        </w:rPr>
        <w:t>.</w:t>
      </w:r>
      <w:r w:rsidR="00003BBE" w:rsidRPr="001912F1">
        <w:rPr>
          <w:rFonts w:ascii="Times New Roman" w:hAnsi="Times New Roman" w:cs="Times New Roman"/>
        </w:rPr>
        <w:t xml:space="preserve"> </w:t>
      </w:r>
    </w:p>
    <w:p w14:paraId="4CFD6CC5" w14:textId="7C71D628" w:rsidR="00FB384A" w:rsidRPr="009A3965" w:rsidRDefault="008E3028" w:rsidP="00FB384A">
      <w:pPr>
        <w:spacing w:line="480" w:lineRule="auto"/>
        <w:jc w:val="both"/>
        <w:rPr>
          <w:rFonts w:ascii="Times New Roman" w:hAnsi="Times New Roman" w:cs="Times New Roman"/>
          <w:color w:val="4472C4" w:themeColor="accent1"/>
        </w:rPr>
      </w:pPr>
      <w:r w:rsidRPr="009A3965">
        <w:rPr>
          <w:rFonts w:ascii="Times New Roman" w:hAnsi="Times New Roman" w:cs="Times New Roman"/>
          <w:color w:val="4472C4" w:themeColor="accent1"/>
        </w:rPr>
        <w:t>However, GBs together with associated sustainability technologies constitute innovations, requiring process</w:t>
      </w:r>
      <w:r w:rsidR="009806E4" w:rsidRPr="009A3965">
        <w:rPr>
          <w:rFonts w:ascii="Times New Roman" w:hAnsi="Times New Roman" w:cs="Times New Roman"/>
          <w:color w:val="4472C4" w:themeColor="accent1"/>
        </w:rPr>
        <w:t>, organizational, industry, and policy level</w:t>
      </w:r>
      <w:r w:rsidRPr="009A3965">
        <w:rPr>
          <w:rFonts w:ascii="Times New Roman" w:hAnsi="Times New Roman" w:cs="Times New Roman"/>
          <w:color w:val="4472C4" w:themeColor="accent1"/>
        </w:rPr>
        <w:t xml:space="preserve"> changes, entailing risks and unforeseen costs </w:t>
      </w:r>
      <w:r w:rsidRPr="009A3965">
        <w:rPr>
          <w:rFonts w:ascii="Times New Roman" w:hAnsi="Times New Roman" w:cs="Times New Roman"/>
          <w:color w:val="4472C4" w:themeColor="accent1"/>
        </w:rPr>
        <w:fldChar w:fldCharType="begin" w:fldLock="1"/>
      </w:r>
      <w:r w:rsidR="00792D4F">
        <w:rPr>
          <w:rFonts w:ascii="Times New Roman" w:hAnsi="Times New Roman" w:cs="Times New Roman"/>
          <w:color w:val="4472C4" w:themeColor="accent1"/>
        </w:rPr>
        <w:instrText>ADDIN CSL_CITATION { "citationItems" : [ { "id" : "ITEM-1", "itemData" : { "DOI" : "10.1080/09613218.2011.561948", "ISSN" : "09613218", "abstract" : "What are the actual barriers and drivers for sustainable building? A literature review, interviews and case studies are presented to address this question. Sustainable building is not hindered by a lack of technologies and assessment methods, but is instead beset with organizational and procedural difficulties entailed by the adoption of new methods. New technologies are resisted because they require process changes entailing risks and unforeseen costs. These hindrances can be reduced by learning what kind of decision-making phases, new tasks, actors, roles and ways of networking are needed. The barriers are outlined as steering mechanisms, economics, a lack of client understanding, process (procurement and tendering, timing, cooperation and networking), and underpinning knowledge (knowledge and common language, the availability of methods and tools, innovation). The most important actions to promote sustainable building are the development of the awareness of clients about the benefits of sustainable building, the development and adoption of methods for sustainable building requirement management, the mobilization of sustainable building tools, the development of designers' competence and team working, and the development of new concepts and services. The interviews and case studies were carried out in Finland, but the results may be applicable or interesting to other countries as well. \u00a9 2011 Taylor &amp; Francis.", "author" : [ { "dropping-particle" : "", "family" : "H\u00e4kkinen", "given" : "Tarja", "non-dropping-particle" : "", "parse-names" : false, "suffix" : "" }, { "dropping-particle" : "", "family" : "Belloni", "given" : "Kaisa", "non-dropping-particle" : "", "parse-names" : false, "suffix" : "" } ], "container-title" : "Building Research and Information", "id" : "ITEM-1", "issue" : "3", "issued" : { "date-parts" : [ [ "2011" ] ] }, "page" : "239-255", "title" : "Barriers and drivers for sustainable building", "type" : "article-journal", "volume" : "39" }, "uris" : [ "http://www.mendeley.com/documents/?uuid=7fa56671-0397-479e-aec7-708637a215d1" ] } ], "mendeley" : { "formattedCitation" : "[13]", "plainTextFormattedCitation" : "[13]", "previouslyFormattedCitation" : "[13]" }, "properties" : { "noteIndex" : 0 }, "schema" : "https://github.com/citation-style-language/schema/raw/master/csl-citation.json" }</w:instrText>
      </w:r>
      <w:r w:rsidRPr="009A3965">
        <w:rPr>
          <w:rFonts w:ascii="Times New Roman" w:hAnsi="Times New Roman" w:cs="Times New Roman"/>
          <w:color w:val="4472C4" w:themeColor="accent1"/>
        </w:rPr>
        <w:fldChar w:fldCharType="separate"/>
      </w:r>
      <w:r w:rsidR="00A172E2" w:rsidRPr="00A172E2">
        <w:rPr>
          <w:rFonts w:ascii="Times New Roman" w:hAnsi="Times New Roman" w:cs="Times New Roman"/>
          <w:noProof/>
          <w:color w:val="4472C4" w:themeColor="accent1"/>
        </w:rPr>
        <w:t>[13]</w:t>
      </w:r>
      <w:r w:rsidRPr="009A3965">
        <w:rPr>
          <w:rFonts w:ascii="Times New Roman" w:hAnsi="Times New Roman" w:cs="Times New Roman"/>
          <w:color w:val="4472C4" w:themeColor="accent1"/>
        </w:rPr>
        <w:fldChar w:fldCharType="end"/>
      </w:r>
      <w:r w:rsidRPr="009A3965">
        <w:rPr>
          <w:rFonts w:ascii="Times New Roman" w:hAnsi="Times New Roman" w:cs="Times New Roman"/>
          <w:color w:val="4472C4" w:themeColor="accent1"/>
        </w:rPr>
        <w:t xml:space="preserve">. GB projects reinvent the decision-making phases, design strategies, procurement systems, tasks, actors, roles, team cultures, and competencies required to deliver </w:t>
      </w:r>
      <w:r w:rsidRPr="009A3965">
        <w:rPr>
          <w:rFonts w:ascii="Times New Roman" w:hAnsi="Times New Roman" w:cs="Times New Roman"/>
          <w:color w:val="4472C4" w:themeColor="accent1"/>
        </w:rPr>
        <w:lastRenderedPageBreak/>
        <w:t xml:space="preserve">building projects </w:t>
      </w:r>
      <w:r w:rsidRPr="009A3965">
        <w:rPr>
          <w:rFonts w:ascii="Times New Roman" w:hAnsi="Times New Roman" w:cs="Times New Roman"/>
          <w:color w:val="4472C4" w:themeColor="accent1"/>
        </w:rPr>
        <w:fldChar w:fldCharType="begin" w:fldLock="1"/>
      </w:r>
      <w:r w:rsidR="00792D4F">
        <w:rPr>
          <w:rFonts w:ascii="Times New Roman" w:hAnsi="Times New Roman" w:cs="Times New Roman"/>
          <w:color w:val="4472C4" w:themeColor="accent1"/>
        </w:rPr>
        <w:instrText>ADDIN CSL_CITATION { "citationItems" : [ { "id" : "ITEM-1", "itemData" : { "DOI" : "10.1016/j.scs.2020.102576", "ISSN" : "22106707", "abstract" : "Sustainability-related risks and risk management frameworks have been introduced in the literature to help project managers identify and manage critical risks influencing project sustainability. Theoretically grounded in the framework of Monte Carlo Simulation, this paper introduces and operationalizes a new process for prioritizing sustainability-related project risks using risk matrix data. Sustainability-related construction project risks have never been assessed relative to different confidence levels across the risk matrix-based exposure zones. The application of the proposed process on construction projects completed in the United Arab Emirates reveals that the conventional risk prioritization scheme undermines the importance of tail risks (unexpected events), whereas such risks are captured in the proposed process. In contrast to the most critical risks identified using the conventional scheme such as shortage of client's funding, insufficient or incorrect sustainable design operation, and design changes, the proposed process prioritizes risks such as poor productivity of labor and equipment in sustainable construction, unreasonable tight schedule for sustainable construction, and poor scope definition of sustainable construction. The proposed process is generalizable to prioritizing risks influencing sustainability in international construction projects and beneficial for enhancing project sustainability as there is a huge uncertainty associated with sustainability-related risks.", "author" : [ { "dropping-particle" : "", "family" : "Qazi", "given" : "Abroon", "non-dropping-particle" : "", "parse-names" : false, "suffix" : "" }, { "dropping-particle" : "", "family" : "Shamayleh", "given" : "Abdulrahim", "non-dropping-particle" : "", "parse-names" : false, "suffix" : "" }, { "dropping-particle" : "", "family" : "El-Sayegh", "given" : "Sameh", "non-dropping-particle" : "", "parse-names" : false, "suffix" : "" }, { "dropping-particle" : "", "family" : "Formaneck", "given" : "Steven", "non-dropping-particle" : "", "parse-names" : false, "suffix" : "" } ], "container-title" : "Sustainable Cities and Society", "id" : "ITEM-1", "issue" : "October 2020", "issued" : { "date-parts" : [ [ "2021" ] ] }, "page" : "102576", "publisher" : "Elsevier Ltd", "title" : "Prioritizing risks in sustainable construction projects using a risk matrix-based Monte Carlo Simulation approach", "type" : "article-journal", "volume" : "65" }, "uris" : [ "http://www.mendeley.com/documents/?uuid=d343b87e-3e9d-492e-94c0-a48649785ed7" ] } ], "mendeley" : { "formattedCitation" : "[14]", "plainTextFormattedCitation" : "[14]", "previouslyFormattedCitation" : "[14]" }, "properties" : { "noteIndex" : 0 }, "schema" : "https://github.com/citation-style-language/schema/raw/master/csl-citation.json" }</w:instrText>
      </w:r>
      <w:r w:rsidRPr="009A3965">
        <w:rPr>
          <w:rFonts w:ascii="Times New Roman" w:hAnsi="Times New Roman" w:cs="Times New Roman"/>
          <w:color w:val="4472C4" w:themeColor="accent1"/>
        </w:rPr>
        <w:fldChar w:fldCharType="separate"/>
      </w:r>
      <w:r w:rsidR="00A172E2" w:rsidRPr="00A172E2">
        <w:rPr>
          <w:rFonts w:ascii="Times New Roman" w:hAnsi="Times New Roman" w:cs="Times New Roman"/>
          <w:noProof/>
          <w:color w:val="4472C4" w:themeColor="accent1"/>
        </w:rPr>
        <w:t>[14]</w:t>
      </w:r>
      <w:r w:rsidRPr="009A3965">
        <w:rPr>
          <w:rFonts w:ascii="Times New Roman" w:hAnsi="Times New Roman" w:cs="Times New Roman"/>
          <w:color w:val="4472C4" w:themeColor="accent1"/>
        </w:rPr>
        <w:fldChar w:fldCharType="end"/>
      </w:r>
      <w:r w:rsidRPr="009A3965">
        <w:rPr>
          <w:rFonts w:ascii="Times New Roman" w:hAnsi="Times New Roman" w:cs="Times New Roman"/>
          <w:color w:val="4472C4" w:themeColor="accent1"/>
        </w:rPr>
        <w:t xml:space="preserve">. </w:t>
      </w:r>
      <w:r w:rsidR="009806E4" w:rsidRPr="009A3965">
        <w:rPr>
          <w:rFonts w:ascii="Times New Roman" w:hAnsi="Times New Roman" w:cs="Times New Roman"/>
          <w:color w:val="4472C4" w:themeColor="accent1"/>
        </w:rPr>
        <w:t xml:space="preserve">These changes </w:t>
      </w:r>
      <w:r w:rsidR="00FB384A" w:rsidRPr="009A3965">
        <w:rPr>
          <w:rFonts w:ascii="Times New Roman" w:hAnsi="Times New Roman" w:cs="Times New Roman"/>
          <w:color w:val="4472C4" w:themeColor="accent1"/>
        </w:rPr>
        <w:t xml:space="preserve">and requirements </w:t>
      </w:r>
      <w:r w:rsidR="009806E4" w:rsidRPr="009A3965">
        <w:rPr>
          <w:rFonts w:ascii="Times New Roman" w:hAnsi="Times New Roman" w:cs="Times New Roman"/>
          <w:color w:val="4472C4" w:themeColor="accent1"/>
        </w:rPr>
        <w:t xml:space="preserve">expose adopters to complex organizational requirements and procedural difficulties associated with adopting new technologies, cultivating multidimensional risks that can thwart the objectives of GB projects </w:t>
      </w:r>
      <w:r w:rsidR="009806E4" w:rsidRPr="009A3965">
        <w:rPr>
          <w:rFonts w:ascii="Times New Roman" w:hAnsi="Times New Roman" w:cs="Times New Roman"/>
          <w:color w:val="4472C4" w:themeColor="accent1"/>
        </w:rPr>
        <w:fldChar w:fldCharType="begin" w:fldLock="1"/>
      </w:r>
      <w:r w:rsidR="00792D4F">
        <w:rPr>
          <w:rFonts w:ascii="Times New Roman" w:hAnsi="Times New Roman" w:cs="Times New Roman"/>
          <w:color w:val="4472C4" w:themeColor="accent1"/>
        </w:rPr>
        <w:instrText>ADDIN CSL_CITATION { "citationItems" : [ { "id" : "ITEM-1", "itemData" : { "DOI" : "10.1016/j.scs.2017.01.020", "ISSN" : "22106707", "abstract" : "Green buildings have achieved rapid development over the past two decades, yet research efforts on risk management in green building projects are still very limited. This study aims to identify and evaluate risk factors in green commercial building projects in Singapore, to compare their risk criticalities with those in traditional counterparts, and to propose mitigation measures that can tackle these risk factors. To achieve these goals, a comprehensive literature review and structured interviews were carried out, and a questionnaire survey was conducted with 25 Singapore-based construction companies. Survey results showed that the top five critical risk factors in green commercial building projects were \u201cinflation,\u201d \u201ccurrency and interest rate volatility worsened by the import of green materials,\u201d \u201cdurability of green materials,\u201d \u201cdamages caused by human error,\u201d and \u201cshortage of green materials.\u201d Results also showed that green commercial building projects faced risks of design change and poor construction quality for less criticality than their traditional counterparts, but that the adoptions of green ideas, materials, and technologies had posed additional risks to green commercial building projects. Additionally, seven widely used risk mitigation measures were also proposed by this study.", "author" : [ { "dropping-particle" : "", "family" : "Hwang", "given" : "Bon gang", "non-dropping-particle" : "", "parse-names" : false, "suffix" : "" }, { "dropping-particle" : "", "family" : "Shan", "given" : "Ming", "non-dropping-particle" : "", "parse-names" : false, "suffix" : "" }, { "dropping-particle" : "", "family" : "Supa'at", "given" : "Nur Nadiah Binte", "non-dropping-particle" : "", "parse-names" : false, "suffix" : "" } ], "container-title" : "Sustainable Cities and Society", "id" : "ITEM-1", "issued" : { "date-parts" : [ [ "2017" ] ] }, "page" : "237-247", "publisher" : "Elsevier B.V.", "title" : "Green commercial building projects in Singapore: Critical risk factors and mitigation measures", "type" : "article-journal", "volume" : "30" }, "uris" : [ "http://www.mendeley.com/documents/?uuid=11690b9a-aef6-408d-81b8-56fc47de4ec9" ] }, { "id" : "ITEM-2", "itemData" : { "DOI" : "10.1016/j.jclepro.2016.03.103", "ISSN" : "09596526", "abstract" : "While the numerous benefits of green construction have been widely recognized, the risks associated with green buildings have however not been addressed appropriately. In response to this knowledge gap, this study aims to assess the risk factors (including political risks, social risks, certification risks, financial/cost risks, quality/technological risks and managerial risks) of the life-cycle of green buildings in China and prioritize their importance based on probability of occurrence and degree of influence. Data were collected through a questionnaire distributed to experts in the construction industry. A Kendall's concordance test followed by a Spearman's rank correlation test was then used to test the consistency of risk ranked by experts from different groups. As a result, among 56 risk factors, 36 are perceived as key risk factors affecting the success construction of green buildings. In the ranking of risk importance, there are obvious differences between owners and contractors, owners and resident engineers, and designers and contractors. The findings present the differences of risk importance among stakeholders and provide a basis for different project participants to implement appropriate risk management strategies according to their perceptions of risk importance.", "author" : [ { "dropping-particle" : "", "family" : "Qin", "given" : "Xuan", "non-dropping-particle" : "", "parse-names" : false, "suffix" : "" }, { "dropping-particle" : "", "family" : "Mo", "given" : "Yiyi", "non-dropping-particle" : "", "parse-names" : false, "suffix" : "" }, { "dropping-particle" : "", "family" : "Jing", "given" : "Lei", "non-dropping-particle" : "", "parse-names" : false, "suffix" : "" } ], "container-title" : "Journal of Cleaner Production", "id" : "ITEM-2", "issued" : { "date-parts" : [ [ "2016" ] ] }, "page" : "148-158", "publisher" : "Elsevier Ltd", "title" : "Risk perceptions of the life-cycle of green buildings in China", "type" : "article-journal", "volume" : "126" }, "uris" : [ "http://www.mendeley.com/documents/?uuid=122864a4-c73e-434b-bc39-c9b04dc400d1" ] } ], "mendeley" : { "formattedCitation" : "[15,16]", "plainTextFormattedCitation" : "[15,16]", "previouslyFormattedCitation" : "[15,16]" }, "properties" : { "noteIndex" : 0 }, "schema" : "https://github.com/citation-style-language/schema/raw/master/csl-citation.json" }</w:instrText>
      </w:r>
      <w:r w:rsidR="009806E4" w:rsidRPr="009A3965">
        <w:rPr>
          <w:rFonts w:ascii="Times New Roman" w:hAnsi="Times New Roman" w:cs="Times New Roman"/>
          <w:color w:val="4472C4" w:themeColor="accent1"/>
        </w:rPr>
        <w:fldChar w:fldCharType="separate"/>
      </w:r>
      <w:r w:rsidR="00A172E2" w:rsidRPr="00A172E2">
        <w:rPr>
          <w:rFonts w:ascii="Times New Roman" w:hAnsi="Times New Roman" w:cs="Times New Roman"/>
          <w:noProof/>
          <w:color w:val="4472C4" w:themeColor="accent1"/>
        </w:rPr>
        <w:t>[15,16]</w:t>
      </w:r>
      <w:r w:rsidR="009806E4" w:rsidRPr="009A3965">
        <w:rPr>
          <w:rFonts w:ascii="Times New Roman" w:hAnsi="Times New Roman" w:cs="Times New Roman"/>
          <w:color w:val="4472C4" w:themeColor="accent1"/>
        </w:rPr>
        <w:fldChar w:fldCharType="end"/>
      </w:r>
      <w:r w:rsidR="009806E4" w:rsidRPr="009A3965">
        <w:rPr>
          <w:rFonts w:ascii="Times New Roman" w:hAnsi="Times New Roman" w:cs="Times New Roman"/>
          <w:color w:val="4472C4" w:themeColor="accent1"/>
        </w:rPr>
        <w:t>.</w:t>
      </w:r>
      <w:r w:rsidR="00FB384A" w:rsidRPr="009A3965">
        <w:rPr>
          <w:rFonts w:ascii="Times New Roman" w:hAnsi="Times New Roman" w:cs="Times New Roman"/>
          <w:color w:val="4472C4" w:themeColor="accent1"/>
        </w:rPr>
        <w:t xml:space="preserve"> The</w:t>
      </w:r>
      <w:r w:rsidR="00CC0890" w:rsidRPr="009A3965">
        <w:rPr>
          <w:rFonts w:ascii="Times New Roman" w:hAnsi="Times New Roman" w:cs="Times New Roman"/>
          <w:color w:val="4472C4" w:themeColor="accent1"/>
        </w:rPr>
        <w:t xml:space="preserve"> design, construction, and management of GB projects are more challenging due to the extra sustainability objectives needed to be achieved</w:t>
      </w:r>
      <w:r w:rsidR="00FB384A" w:rsidRPr="009A3965">
        <w:rPr>
          <w:rFonts w:ascii="Times New Roman" w:hAnsi="Times New Roman" w:cs="Times New Roman"/>
          <w:color w:val="4472C4" w:themeColor="accent1"/>
        </w:rPr>
        <w:t xml:space="preserve"> </w:t>
      </w:r>
      <w:r w:rsidR="00FB384A" w:rsidRPr="009A3965">
        <w:rPr>
          <w:rFonts w:ascii="Times New Roman" w:hAnsi="Times New Roman" w:cs="Times New Roman"/>
          <w:color w:val="4472C4" w:themeColor="accent1"/>
        </w:rPr>
        <w:fldChar w:fldCharType="begin" w:fldLock="1"/>
      </w:r>
      <w:r w:rsidR="00792D4F">
        <w:rPr>
          <w:rFonts w:ascii="Times New Roman" w:hAnsi="Times New Roman" w:cs="Times New Roman"/>
          <w:color w:val="4472C4" w:themeColor="accent1"/>
        </w:rPr>
        <w:instrText>ADDIN CSL_CITATION { "citationItems" : [ { "id" : "ITEM-1", "itemData" : { "DOI" : "10.1016/j.jclepro.2015.11.042", "ISSN" : "09596526", "abstract" : "In recent years, green building has attracted wide attention from both academia and industry. As green building projects are inevitably plagued with risks, this study attempted to assess the risks in green building projects in Singapore. Categorizing a list of 28 risk factors into 11 groups, the study performed a questionnaire survey and received 31 responses from project managers in Singapore. A risk assessment model was developed using the fuzzy synthetic evaluation approach. Using the proposed model, the likelihood of occurrence, magnitude of impact and risk criticality of each risk factor, group and the overall risk were calculated. \"Inaccurate cost estimation\" was the top risk factor, and \"cost overrun risk\" was the most critical risk group. The overall risk criticality was high, implying risk management was still necessary for green construction in Singapore. The proposed risk assessment model is reliable and practical for professionals in the green building industry, and can be applied in risk assessment in other countries. As few studies focused on risks in green projects, this study expands the knowledge and literature.", "author" : [ { "dropping-particle" : "", "family" : "Zhao", "given" : "Xianbo", "non-dropping-particle" : "", "parse-names" : false, "suffix" : "" }, { "dropping-particle" : "", "family" : "Hwang", "given" : "Bon Gang", "non-dropping-particle" : "", "parse-names" : false, "suffix" : "" }, { "dropping-particle" : "", "family" : "Gao", "given" : "Yan", "non-dropping-particle" : "", "parse-names" : false, "suffix" : "" } ], "container-title" : "Journal of Cleaner Production", "id" : "ITEM-1", "issue" : "January 2005", "issued" : { "date-parts" : [ [ "2016" ] ] }, "page" : "203-213", "publisher" : "Elsevier Ltd", "title" : "A fuzzy synthetic evaluation approach for risk assessment: A case of Singapore's green projects", "type" : "article-journal", "volume" : "115" }, "uris" : [ "http://www.mendeley.com/documents/?uuid=015d2286-c186-41ff-abe3-429a51c68795" ] } ], "mendeley" : { "formattedCitation" : "[17]", "plainTextFormattedCitation" : "[17]", "previouslyFormattedCitation" : "[17]" }, "properties" : { "noteIndex" : 0 }, "schema" : "https://github.com/citation-style-language/schema/raw/master/csl-citation.json" }</w:instrText>
      </w:r>
      <w:r w:rsidR="00FB384A" w:rsidRPr="009A3965">
        <w:rPr>
          <w:rFonts w:ascii="Times New Roman" w:hAnsi="Times New Roman" w:cs="Times New Roman"/>
          <w:color w:val="4472C4" w:themeColor="accent1"/>
        </w:rPr>
        <w:fldChar w:fldCharType="separate"/>
      </w:r>
      <w:r w:rsidR="00A172E2" w:rsidRPr="00A172E2">
        <w:rPr>
          <w:rFonts w:ascii="Times New Roman" w:hAnsi="Times New Roman" w:cs="Times New Roman"/>
          <w:noProof/>
          <w:color w:val="4472C4" w:themeColor="accent1"/>
        </w:rPr>
        <w:t>[17]</w:t>
      </w:r>
      <w:r w:rsidR="00FB384A" w:rsidRPr="009A3965">
        <w:rPr>
          <w:rFonts w:ascii="Times New Roman" w:hAnsi="Times New Roman" w:cs="Times New Roman"/>
          <w:color w:val="4472C4" w:themeColor="accent1"/>
        </w:rPr>
        <w:fldChar w:fldCharType="end"/>
      </w:r>
      <w:r w:rsidR="00CC0890" w:rsidRPr="009A3965">
        <w:rPr>
          <w:rFonts w:ascii="Times New Roman" w:hAnsi="Times New Roman" w:cs="Times New Roman"/>
          <w:color w:val="4472C4" w:themeColor="accent1"/>
        </w:rPr>
        <w:t>. The additional sustainab</w:t>
      </w:r>
      <w:r w:rsidR="00AF28A3" w:rsidRPr="009A3965">
        <w:rPr>
          <w:rFonts w:ascii="Times New Roman" w:hAnsi="Times New Roman" w:cs="Times New Roman"/>
          <w:color w:val="4472C4" w:themeColor="accent1"/>
        </w:rPr>
        <w:t>ility</w:t>
      </w:r>
      <w:r w:rsidR="00CC0890" w:rsidRPr="009A3965">
        <w:rPr>
          <w:rFonts w:ascii="Times New Roman" w:hAnsi="Times New Roman" w:cs="Times New Roman"/>
          <w:color w:val="4472C4" w:themeColor="accent1"/>
        </w:rPr>
        <w:t xml:space="preserve"> objective of GB projects impose</w:t>
      </w:r>
      <w:r w:rsidR="002C7B70" w:rsidRPr="009A3965">
        <w:rPr>
          <w:rFonts w:ascii="Times New Roman" w:hAnsi="Times New Roman" w:cs="Times New Roman"/>
          <w:color w:val="4472C4" w:themeColor="accent1"/>
        </w:rPr>
        <w:t>s</w:t>
      </w:r>
      <w:r w:rsidR="00CC0890" w:rsidRPr="009A3965">
        <w:rPr>
          <w:rFonts w:ascii="Times New Roman" w:hAnsi="Times New Roman" w:cs="Times New Roman"/>
          <w:color w:val="4472C4" w:themeColor="accent1"/>
        </w:rPr>
        <w:t xml:space="preserve"> the adoption of </w:t>
      </w:r>
      <w:r w:rsidR="002C7B70" w:rsidRPr="009A3965">
        <w:rPr>
          <w:rFonts w:ascii="Times New Roman" w:hAnsi="Times New Roman" w:cs="Times New Roman"/>
          <w:color w:val="4472C4" w:themeColor="accent1"/>
        </w:rPr>
        <w:t xml:space="preserve">a </w:t>
      </w:r>
      <w:r w:rsidR="00B44DBE" w:rsidRPr="009A3965">
        <w:rPr>
          <w:rFonts w:ascii="Times New Roman" w:hAnsi="Times New Roman" w:cs="Times New Roman"/>
          <w:color w:val="4472C4" w:themeColor="accent1"/>
        </w:rPr>
        <w:t>new spectrum of construction technologies, design strategies, materials, and procurement systems, genera</w:t>
      </w:r>
      <w:r w:rsidR="00AF28A3" w:rsidRPr="009A3965">
        <w:rPr>
          <w:rFonts w:ascii="Times New Roman" w:hAnsi="Times New Roman" w:cs="Times New Roman"/>
          <w:color w:val="4472C4" w:themeColor="accent1"/>
        </w:rPr>
        <w:t>ting</w:t>
      </w:r>
      <w:r w:rsidR="00B44DBE" w:rsidRPr="009A3965">
        <w:rPr>
          <w:rFonts w:ascii="Times New Roman" w:hAnsi="Times New Roman" w:cs="Times New Roman"/>
          <w:color w:val="4472C4" w:themeColor="accent1"/>
        </w:rPr>
        <w:t xml:space="preserve"> additional layers of considerable uncertainties and unpredictable risks</w:t>
      </w:r>
      <w:r w:rsidR="00AF28A3" w:rsidRPr="009A3965">
        <w:rPr>
          <w:rFonts w:ascii="Times New Roman" w:hAnsi="Times New Roman" w:cs="Times New Roman"/>
          <w:color w:val="4472C4" w:themeColor="accent1"/>
        </w:rPr>
        <w:t xml:space="preserve"> </w:t>
      </w:r>
      <w:r w:rsidR="00B44DBE" w:rsidRPr="009A3965">
        <w:rPr>
          <w:rFonts w:ascii="Times New Roman" w:hAnsi="Times New Roman" w:cs="Times New Roman"/>
          <w:color w:val="4472C4" w:themeColor="accent1"/>
        </w:rPr>
        <w:fldChar w:fldCharType="begin" w:fldLock="1"/>
      </w:r>
      <w:r w:rsidR="00792D4F">
        <w:rPr>
          <w:rFonts w:ascii="Times New Roman" w:hAnsi="Times New Roman" w:cs="Times New Roman"/>
          <w:color w:val="4472C4" w:themeColor="accent1"/>
        </w:rPr>
        <w:instrText>ADDIN CSL_CITATION { "citationItems" : [ { "id" : "ITEM-1", "itemData" : { "DOI" : "10.1016/j.scs.2017.01.020", "ISSN" : "22106707", "abstract" : "Green buildings have achieved rapid development over the past two decades, yet research efforts on risk management in green building projects are still very limited. This study aims to identify and evaluate risk factors in green commercial building projects in Singapore, to compare their risk criticalities with those in traditional counterparts, and to propose mitigation measures that can tackle these risk factors. To achieve these goals, a comprehensive literature review and structured interviews were carried out, and a questionnaire survey was conducted with 25 Singapore-based construction companies. Survey results showed that the top five critical risk factors in green commercial building projects were \u201cinflation,\u201d \u201ccurrency and interest rate volatility worsened by the import of green materials,\u201d \u201cdurability of green materials,\u201d \u201cdamages caused by human error,\u201d and \u201cshortage of green materials.\u201d Results also showed that green commercial building projects faced risks of design change and poor construction quality for less criticality than their traditional counterparts, but that the adoptions of green ideas, materials, and technologies had posed additional risks to green commercial building projects. Additionally, seven widely used risk mitigation measures were also proposed by this study.", "author" : [ { "dropping-particle" : "", "family" : "Hwang", "given" : "Bon gang", "non-dropping-particle" : "", "parse-names" : false, "suffix" : "" }, { "dropping-particle" : "", "family" : "Shan", "given" : "Ming", "non-dropping-particle" : "", "parse-names" : false, "suffix" : "" }, { "dropping-particle" : "", "family" : "Supa'at", "given" : "Nur Nadiah Binte", "non-dropping-particle" : "", "parse-names" : false, "suffix" : "" } ], "container-title" : "Sustainable Cities and Society", "id" : "ITEM-1", "issued" : { "date-parts" : [ [ "2017" ] ] }, "page" : "237-247", "publisher" : "Elsevier B.V.", "title" : "Green commercial building projects in Singapore: Critical risk factors and mitigation measures", "type" : "article-journal", "volume" : "30" }, "uris" : [ "http://www.mendeley.com/documents/?uuid=11690b9a-aef6-408d-81b8-56fc47de4ec9" ] } ], "mendeley" : { "formattedCitation" : "[15]", "plainTextFormattedCitation" : "[15]", "previouslyFormattedCitation" : "[15]" }, "properties" : { "noteIndex" : 0 }, "schema" : "https://github.com/citation-style-language/schema/raw/master/csl-citation.json" }</w:instrText>
      </w:r>
      <w:r w:rsidR="00B44DBE" w:rsidRPr="009A3965">
        <w:rPr>
          <w:rFonts w:ascii="Times New Roman" w:hAnsi="Times New Roman" w:cs="Times New Roman"/>
          <w:color w:val="4472C4" w:themeColor="accent1"/>
        </w:rPr>
        <w:fldChar w:fldCharType="separate"/>
      </w:r>
      <w:r w:rsidR="00A172E2" w:rsidRPr="00A172E2">
        <w:rPr>
          <w:rFonts w:ascii="Times New Roman" w:hAnsi="Times New Roman" w:cs="Times New Roman"/>
          <w:noProof/>
          <w:color w:val="4472C4" w:themeColor="accent1"/>
        </w:rPr>
        <w:t>[15]</w:t>
      </w:r>
      <w:r w:rsidR="00B44DBE" w:rsidRPr="009A3965">
        <w:rPr>
          <w:rFonts w:ascii="Times New Roman" w:hAnsi="Times New Roman" w:cs="Times New Roman"/>
          <w:color w:val="4472C4" w:themeColor="accent1"/>
        </w:rPr>
        <w:fldChar w:fldCharType="end"/>
      </w:r>
      <w:r w:rsidR="00B44DBE" w:rsidRPr="009A3965">
        <w:rPr>
          <w:rFonts w:ascii="Times New Roman" w:hAnsi="Times New Roman" w:cs="Times New Roman"/>
          <w:color w:val="4472C4" w:themeColor="accent1"/>
        </w:rPr>
        <w:t xml:space="preserve">. </w:t>
      </w:r>
    </w:p>
    <w:p w14:paraId="3B03EC13" w14:textId="25B030CF" w:rsidR="00065A6D" w:rsidRPr="001912F1" w:rsidRDefault="00B44DBE" w:rsidP="00FB384A">
      <w:pPr>
        <w:spacing w:line="480" w:lineRule="auto"/>
        <w:jc w:val="both"/>
        <w:rPr>
          <w:rFonts w:ascii="Times New Roman" w:hAnsi="Times New Roman" w:cs="Times New Roman"/>
        </w:rPr>
      </w:pPr>
      <w:r w:rsidRPr="001912F1">
        <w:rPr>
          <w:rFonts w:ascii="Times New Roman" w:hAnsi="Times New Roman" w:cs="Times New Roman"/>
        </w:rPr>
        <w:t>Consequently, GB projects suffer more uncertainties and risks than traditional building</w:t>
      </w:r>
      <w:r w:rsidR="00FB384A" w:rsidRPr="001912F1">
        <w:rPr>
          <w:rFonts w:ascii="Times New Roman" w:hAnsi="Times New Roman" w:cs="Times New Roman"/>
        </w:rPr>
        <w:t xml:space="preserve"> projects</w:t>
      </w:r>
      <w:r w:rsidR="00FF5656" w:rsidRPr="001912F1">
        <w:rPr>
          <w:rFonts w:ascii="Times New Roman" w:hAnsi="Times New Roman" w:cs="Times New Roman"/>
        </w:rPr>
        <w:t xml:space="preserve"> </w:t>
      </w:r>
      <w:r w:rsidR="00FF5656"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"10.1016/j.scs.2020.102576", "ISSN" : "22106707", "abstract" : "Sustainability-related risks and risk management frameworks have been introduced in the literature to help project managers identify and manage critical risks influencing project sustainability. Theoretically grounded in the framework of Monte Carlo Simulation, this paper introduces and operationalizes a new process for prioritizing sustainability-related project risks using risk matrix data. Sustainability-related construction project risks have never been assessed relative to different confidence levels across the risk matrix-based exposure zones. The application of the proposed process on construction projects completed in the United Arab Emirates reveals that the conventional risk prioritization scheme undermines the importance of tail risks (unexpected events), whereas such risks are captured in the proposed process. In contrast to the most critical risks identified using the conventional scheme such as shortage of client's funding, insufficient or incorrect sustainable design operation, and design changes, the proposed process prioritizes risks such as poor productivity of labor and equipment in sustainable construction, unreasonable tight schedule for sustainable construction, and poor scope definition of sustainable construction. The proposed process is generalizable to prioritizing risks influencing sustainability in international construction projects and beneficial for enhancing project sustainability as there is a huge uncertainty associated with sustainability-related risks.", "author" : [ { "dropping-particle" : "", "family" : "Qazi", "given" : "Abroon", "non-dropping-particle" : "", "parse-names" : false, "suffix" : "" }, { "dropping-particle" : "", "family" : "Shamayleh", "given" : "Abdulrahim", "non-dropping-particle" : "", "parse-names" : false, "suffix" : "" }, { "dropping-particle" : "", "family" : "El-Sayegh", "given" : "Sameh", "non-dropping-particle" : "", "parse-names" : false, "suffix" : "" }, { "dropping-particle" : "", "family" : "Formaneck", "given" : "Steven", "non-dropping-particle" : "", "parse-names" : false, "suffix" : "" } ], "container-title" : "Sustainable Cities and Society", "id" : "ITEM-1", "issue" : "October 2020", "issued" : { "date-parts" : [ [ "2021" ] ] }, "page" : "102576", "publisher" : "Elsevier Ltd", "title" : "Prioritizing risks in sustainable construction projects using a risk matrix-based Monte Carlo Simulation approach", "type" : "article-journal", "volume" : "65" }, "uris" : [ "http://www.mendeley.com/documents/?uuid=d343b87e-3e9d-492e-94c0-a48649785ed7" ] } ], "mendeley" : { "formattedCitation" : "[14]", "plainTextFormattedCitation" : "[14]", "previouslyFormattedCitation" : "[14]" }, "properties" : { "noteIndex" : 0 }, "schema" : "https://github.com/citation-style-language/schema/raw/master/csl-citation.json" }</w:instrText>
      </w:r>
      <w:r w:rsidR="00FF5656" w:rsidRPr="001912F1">
        <w:rPr>
          <w:rFonts w:ascii="Times New Roman" w:hAnsi="Times New Roman" w:cs="Times New Roman"/>
        </w:rPr>
        <w:fldChar w:fldCharType="separate"/>
      </w:r>
      <w:r w:rsidR="00A172E2" w:rsidRPr="00A172E2">
        <w:rPr>
          <w:rFonts w:ascii="Times New Roman" w:hAnsi="Times New Roman" w:cs="Times New Roman"/>
          <w:noProof/>
        </w:rPr>
        <w:t>[14]</w:t>
      </w:r>
      <w:r w:rsidR="00FF5656" w:rsidRPr="001912F1">
        <w:rPr>
          <w:rFonts w:ascii="Times New Roman" w:hAnsi="Times New Roman" w:cs="Times New Roman"/>
        </w:rPr>
        <w:fldChar w:fldCharType="end"/>
      </w:r>
      <w:r w:rsidRPr="001912F1">
        <w:rPr>
          <w:rFonts w:ascii="Times New Roman" w:hAnsi="Times New Roman" w:cs="Times New Roman"/>
        </w:rPr>
        <w:t>. The success of GB projects can hardly be decoupled from effective risk management.</w:t>
      </w:r>
      <w:r w:rsidR="00A8485C" w:rsidRPr="001912F1">
        <w:rPr>
          <w:rFonts w:ascii="Times New Roman" w:hAnsi="Times New Roman" w:cs="Times New Roman"/>
        </w:rPr>
        <w:t xml:space="preserve"> However, th</w:t>
      </w:r>
      <w:r w:rsidR="00AF28A3" w:rsidRPr="001912F1">
        <w:rPr>
          <w:rFonts w:ascii="Times New Roman" w:hAnsi="Times New Roman" w:cs="Times New Roman"/>
        </w:rPr>
        <w:t xml:space="preserve">e </w:t>
      </w:r>
      <w:r w:rsidRPr="001912F1">
        <w:rPr>
          <w:rFonts w:ascii="Times New Roman" w:hAnsi="Times New Roman" w:cs="Times New Roman"/>
        </w:rPr>
        <w:t>critical risk factors (CRFs) for GB projects</w:t>
      </w:r>
      <w:r w:rsidR="00AF28A3" w:rsidRPr="001912F1">
        <w:rPr>
          <w:rFonts w:ascii="Times New Roman" w:hAnsi="Times New Roman" w:cs="Times New Roman"/>
        </w:rPr>
        <w:t xml:space="preserve"> </w:t>
      </w:r>
      <w:r w:rsidRPr="001912F1">
        <w:rPr>
          <w:rFonts w:ascii="Times New Roman" w:hAnsi="Times New Roman" w:cs="Times New Roman"/>
        </w:rPr>
        <w:t>fragmented and scattered in the corpus of literature</w:t>
      </w:r>
      <w:r w:rsidR="00D974BF" w:rsidRPr="001912F1">
        <w:rPr>
          <w:rFonts w:ascii="Times New Roman" w:hAnsi="Times New Roman" w:cs="Times New Roman"/>
        </w:rPr>
        <w:t xml:space="preserve">. Thus, industry practitioners, stakeholders, and policymakers have been deprived of a holistic understanding </w:t>
      </w:r>
      <w:r w:rsidR="002C7B70" w:rsidRPr="001912F1">
        <w:rPr>
          <w:rFonts w:ascii="Times New Roman" w:hAnsi="Times New Roman" w:cs="Times New Roman"/>
        </w:rPr>
        <w:t xml:space="preserve">of </w:t>
      </w:r>
      <w:r w:rsidR="00D974BF" w:rsidRPr="001912F1">
        <w:rPr>
          <w:rFonts w:ascii="Times New Roman" w:hAnsi="Times New Roman" w:cs="Times New Roman"/>
        </w:rPr>
        <w:t xml:space="preserve">various risks associated with GB projects. </w:t>
      </w:r>
      <w:r w:rsidR="00FF5656" w:rsidRPr="0071169D">
        <w:rPr>
          <w:rFonts w:ascii="Times New Roman" w:hAnsi="Times New Roman" w:cs="Times New Roman"/>
        </w:rPr>
        <w:t xml:space="preserve">Despite studies, GB projects also continue to suffer unprecedented challenges and mixed outcomes, with some failing to achieve desired objectives </w:t>
      </w:r>
      <w:r w:rsidR="00FF5656" w:rsidRPr="0071169D">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"10.1016/j.buildenv.2021.108452", "ISSN" : "03601323", "abstract" : "As a significant attempt to save energy and minimize greenhouse gas emissions to the environment, green building has aroused public attention worldwide. The slow development of green buildings has become a primary concern in practice for many countries. Despite the identification of an array of critical success factors that influence green building promotion in previous studies, no consensus has been reached so far on the factors and their respective significance. Following the Preferred Reporting Items for Systematic Reviews and Meta-analysis guideline, this study, therefore, intends to fill this gap by conducting a systematic literature review on the critical success factors for green building promotion and further prioritizing the factors quantitatively through meta-analysis. Forty critical success factors in green building promotion were identified from twenty relevant studies selected from Web of Science and Scopus. After these factors were examined in terms of their significances using meta-analysis, publication bias, subgroup analysis, and sensitivity analysis were conducted for further analysis. The results indicate that the roles of stakeholders and government are vital in green building promotion. The commitment and cooperation from stakeholders are essential in the green building practice, as well as adequate incentives and mandatory requirements from the statutory level. Besides, the difference in the building type subgroup is more significant than the differences in other subgroups. This study not only contributes to the existing green building knowledge body but also provides references to policy makers and practitioners in formulating policies and good practices to promote green buildings.", "author" : [ { "dropping-particle" : "", "family" : "Chen", "given" : "Linyan", "non-dropping-particle" : "", "parse-names" : false, "suffix" : "" }, { "dropping-particle" : "", "family" : "Chan", "given" : "Albert P.C.", "non-dropping-particle" : "", "parse-names" : false, "suffix" : "" }, { "dropping-particle" : "", "family" : "Owusu", "given" : "Emmanuel K.", "non-dropping-particle" : "", "parse-names" : false, "suffix" : "" }, { "dropping-particle" : "", "family" : "Darko", "given" : "Amos", "non-dropping-particle" : "", "parse-names" : false, "suffix" : "" }, { "dropping-particle" : "", "family" : "Gao", "given" : "Xin", "non-dropping-particle" : "", "parse-names" : false, "suffix" : "" } ], "container-title" : "Building and Environment", "id" : "ITEM-1", "issued" : { "date-parts" : [ [ "2022" ] ] }, "page" : "108452", "publisher" : "Elsevier Ltd", "title" : "Critical success factors for green building promotion: A systematic review and meta-analysis", "type" : "article-journal", "volume" : "207" }, "uris" : [ "http://www.mendeley.com/documents/?uuid=59db36f6-eee1-4544-b5be-5b94a2ffe77f" ] } ], "mendeley" : { "formattedCitation" : "[18]", "plainTextFormattedCitation" : "[18]", "previouslyFormattedCitation" : "[18]" }, "properties" : { "noteIndex" : 0 }, "schema" : "https://github.com/citation-style-language/schema/raw/master/csl-citation.json" }</w:instrText>
      </w:r>
      <w:r w:rsidR="00FF5656" w:rsidRPr="0071169D">
        <w:rPr>
          <w:rFonts w:ascii="Times New Roman" w:hAnsi="Times New Roman" w:cs="Times New Roman"/>
        </w:rPr>
        <w:fldChar w:fldCharType="separate"/>
      </w:r>
      <w:r w:rsidR="00A172E2" w:rsidRPr="00A172E2">
        <w:rPr>
          <w:rFonts w:ascii="Times New Roman" w:hAnsi="Times New Roman" w:cs="Times New Roman"/>
          <w:noProof/>
        </w:rPr>
        <w:t>[18]</w:t>
      </w:r>
      <w:r w:rsidR="00FF5656" w:rsidRPr="0071169D">
        <w:rPr>
          <w:rFonts w:ascii="Times New Roman" w:hAnsi="Times New Roman" w:cs="Times New Roman"/>
        </w:rPr>
        <w:fldChar w:fldCharType="end"/>
      </w:r>
      <w:r w:rsidR="00FF5656" w:rsidRPr="0071169D">
        <w:rPr>
          <w:rFonts w:ascii="Times New Roman" w:hAnsi="Times New Roman" w:cs="Times New Roman"/>
        </w:rPr>
        <w:t xml:space="preserve">. </w:t>
      </w:r>
      <w:r w:rsidR="00A8485C" w:rsidRPr="0071169D">
        <w:rPr>
          <w:rFonts w:ascii="Times New Roman" w:hAnsi="Times New Roman" w:cs="Times New Roman"/>
        </w:rPr>
        <w:t xml:space="preserve">This has been linked to the lack of </w:t>
      </w:r>
      <w:r w:rsidR="00FF5656" w:rsidRPr="0071169D">
        <w:rPr>
          <w:rFonts w:ascii="Times New Roman" w:hAnsi="Times New Roman" w:cs="Times New Roman"/>
        </w:rPr>
        <w:t>in-depth understanding of the chain reactions, path dependencies, and hierarchical structure of risks in GB projects</w:t>
      </w:r>
      <w:r w:rsidR="006E69CA" w:rsidRPr="0071169D">
        <w:rPr>
          <w:rFonts w:ascii="Times New Roman" w:hAnsi="Times New Roman" w:cs="Times New Roman"/>
        </w:rPr>
        <w:t xml:space="preserve"> </w:t>
      </w:r>
      <w:r w:rsidR="006E69CA" w:rsidRPr="0071169D">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"10.1016/j.jclepro.2020.120372", "ISSN" : "09596526", "abstract" : "Green building (GB) projects have attracted wide attention in the construction industry in recent years owing to numerous benefits of green practices for sustainable development. However, existing research efforts on GB project risk management are very limited, and no prior in-depth research has focused on studying the risk interdependencies in GB projects from the perspectives of both the project life cycle and multiple project risks. This paper begins by identifying and distinguishing GB project constraints from multiple GB project risks using a systematic literature review and then investigates, based on the Interpretive Structural Modeling (ISM) method, the risk interdependencies taking into account the identified 16 constraint factors, 22 risk factors and 11 objectives throughout a GB project life cycle. The importance of constraints and risk factors associated with GB project objectives was calculated based on the influence transmission through network paths in the established ISM-based model. In addition, the Matrice d'Impacts Crois\u00e9s Multiplication Appliqu\u00e9e \u00e1 un Classement (MICMAC) approach was used to analyze the drive and dependence powers of risk interdependency elements. Critical constraints and risk factors in the implementation of GB projects can be obtained from the proposed risk analysis model, which contributes to an in-depth risk perception of GB projects for industry practitioners and facilitates GB project risk management in a more effective way.", "author" : [ { "dropping-particle" : "", "family" : "Guan", "given" : "Li", "non-dropping-particle" : "", "parse-names" : false, "suffix" : "" }, { "dropping-particle" : "", "family" : "Abbasi", "given" : "Alireza", "non-dropping-particle" : "", "parse-names" : false, "suffix" : "" }, { "dropping-particle" : "", "family" : "Ryan", "given" : "Michael J.", "non-dropping-particle" : "", "parse-names" : false, "suffix" : "" } ], "container-title" : "Journal of Cleaner Production", "id" : "ITEM-1", "issued" : { "date-parts" : [ [ "2020" ] ] }, "page" : "120372", "publisher" : "Elsevier Ltd", "title" : "Analyzing green building project risk interdependencies using Interpretive Structural Modeling", "type" : "article-journal", "volume" : "256" }, "uris" : [ "http://www.mendeley.com/documents/?uuid=3854a353-7b8f-45e1-9792-e38e70e1c73c" ] } ], "mendeley" : { "formattedCitation" : "[19]", "plainTextFormattedCitation" : "[19]", "previouslyFormattedCitation" : "[19]" }, "properties" : { "noteIndex" : 0 }, "schema" : "https://github.com/citation-style-language/schema/raw/master/csl-citation.json" }</w:instrText>
      </w:r>
      <w:r w:rsidR="006E69CA" w:rsidRPr="0071169D">
        <w:rPr>
          <w:rFonts w:ascii="Times New Roman" w:hAnsi="Times New Roman" w:cs="Times New Roman"/>
        </w:rPr>
        <w:fldChar w:fldCharType="separate"/>
      </w:r>
      <w:r w:rsidR="00A172E2" w:rsidRPr="00A172E2">
        <w:rPr>
          <w:rFonts w:ascii="Times New Roman" w:hAnsi="Times New Roman" w:cs="Times New Roman"/>
          <w:noProof/>
        </w:rPr>
        <w:t>[19]</w:t>
      </w:r>
      <w:r w:rsidR="006E69CA" w:rsidRPr="0071169D">
        <w:rPr>
          <w:rFonts w:ascii="Times New Roman" w:hAnsi="Times New Roman" w:cs="Times New Roman"/>
        </w:rPr>
        <w:fldChar w:fldCharType="end"/>
      </w:r>
      <w:r w:rsidR="00FF5656" w:rsidRPr="0071169D">
        <w:rPr>
          <w:rFonts w:ascii="Times New Roman" w:hAnsi="Times New Roman" w:cs="Times New Roman"/>
        </w:rPr>
        <w:t xml:space="preserve">.  </w:t>
      </w:r>
    </w:p>
    <w:p w14:paraId="1931C46C" w14:textId="2D9E0AFC" w:rsidR="00B44DBE" w:rsidRPr="001912F1" w:rsidRDefault="00DC4F50" w:rsidP="0087096A">
      <w:pPr>
        <w:spacing w:line="480" w:lineRule="auto"/>
        <w:jc w:val="both"/>
        <w:rPr>
          <w:rFonts w:ascii="Times New Roman" w:hAnsi="Times New Roman" w:cs="Times New Roman"/>
        </w:rPr>
      </w:pPr>
      <w:r w:rsidRPr="0071169D">
        <w:rPr>
          <w:rFonts w:ascii="Times New Roman" w:hAnsi="Times New Roman" w:cs="Times New Roman"/>
          <w:color w:val="C00000"/>
        </w:rPr>
        <w:t xml:space="preserve">Consequently, important questions such as what are the key dimensions of risks in GB projects and how are the various risks interlinked remain unanswered. </w:t>
      </w:r>
      <w:r>
        <w:rPr>
          <w:rFonts w:ascii="Times New Roman" w:hAnsi="Times New Roman" w:cs="Times New Roman"/>
        </w:rPr>
        <w:t>Therefore, t</w:t>
      </w:r>
      <w:r w:rsidR="00D974BF" w:rsidRPr="001912F1">
        <w:rPr>
          <w:rFonts w:ascii="Times New Roman" w:hAnsi="Times New Roman" w:cs="Times New Roman"/>
        </w:rPr>
        <w:t xml:space="preserve">his study aims to review and </w:t>
      </w:r>
      <w:r w:rsidR="006E69CA" w:rsidRPr="001912F1">
        <w:rPr>
          <w:rFonts w:ascii="Times New Roman" w:hAnsi="Times New Roman" w:cs="Times New Roman"/>
        </w:rPr>
        <w:t>theorize the multiple possible interactions among various dimensions of risks in GB projects</w:t>
      </w:r>
      <w:r w:rsidR="00D974BF" w:rsidRPr="001912F1">
        <w:rPr>
          <w:rFonts w:ascii="Times New Roman" w:hAnsi="Times New Roman" w:cs="Times New Roman"/>
        </w:rPr>
        <w:t xml:space="preserve">. </w:t>
      </w:r>
      <w:r w:rsidR="00AF28A3" w:rsidRPr="001912F1">
        <w:rPr>
          <w:rFonts w:ascii="Times New Roman" w:hAnsi="Times New Roman" w:cs="Times New Roman"/>
        </w:rPr>
        <w:t xml:space="preserve">There are three </w:t>
      </w:r>
      <w:r w:rsidR="00D974BF" w:rsidRPr="001912F1">
        <w:rPr>
          <w:rFonts w:ascii="Times New Roman" w:hAnsi="Times New Roman" w:cs="Times New Roman"/>
        </w:rPr>
        <w:t>concomitant objectives</w:t>
      </w:r>
      <w:r w:rsidR="00AF28A3" w:rsidRPr="001912F1">
        <w:rPr>
          <w:rFonts w:ascii="Times New Roman" w:hAnsi="Times New Roman" w:cs="Times New Roman"/>
        </w:rPr>
        <w:t>: (</w:t>
      </w:r>
      <w:proofErr w:type="spellStart"/>
      <w:r w:rsidR="00AF28A3" w:rsidRPr="001912F1">
        <w:rPr>
          <w:rFonts w:ascii="Times New Roman" w:hAnsi="Times New Roman" w:cs="Times New Roman"/>
        </w:rPr>
        <w:t>i</w:t>
      </w:r>
      <w:proofErr w:type="spellEnd"/>
      <w:r w:rsidR="00AF28A3" w:rsidRPr="001912F1">
        <w:rPr>
          <w:rFonts w:ascii="Times New Roman" w:hAnsi="Times New Roman" w:cs="Times New Roman"/>
        </w:rPr>
        <w:t xml:space="preserve">) </w:t>
      </w:r>
      <w:r w:rsidR="00D974BF" w:rsidRPr="001912F1">
        <w:rPr>
          <w:rFonts w:ascii="Times New Roman" w:hAnsi="Times New Roman" w:cs="Times New Roman"/>
        </w:rPr>
        <w:t>to identify and harmonize the CRFs for GB projects, (ii) to</w:t>
      </w:r>
      <w:r w:rsidR="00065A6D" w:rsidRPr="001912F1">
        <w:rPr>
          <w:rFonts w:ascii="Times New Roman" w:hAnsi="Times New Roman" w:cs="Times New Roman"/>
        </w:rPr>
        <w:t xml:space="preserve"> </w:t>
      </w:r>
      <w:r w:rsidR="00AF28A3" w:rsidRPr="001912F1">
        <w:rPr>
          <w:rFonts w:ascii="Times New Roman" w:hAnsi="Times New Roman" w:cs="Times New Roman"/>
        </w:rPr>
        <w:t xml:space="preserve">categorize the CRFs for GB projects, and (iii) to </w:t>
      </w:r>
      <w:r w:rsidR="002C7B70" w:rsidRPr="001912F1">
        <w:rPr>
          <w:rFonts w:ascii="Times New Roman" w:hAnsi="Times New Roman" w:cs="Times New Roman"/>
        </w:rPr>
        <w:t>develop a</w:t>
      </w:r>
      <w:r w:rsidR="00065A6D" w:rsidRPr="001912F1">
        <w:rPr>
          <w:rFonts w:ascii="Times New Roman" w:hAnsi="Times New Roman" w:cs="Times New Roman"/>
        </w:rPr>
        <w:t xml:space="preserve"> hierarchical theoretical model explaining path dependencies, driving powers, and push effects of risks in GB projects. </w:t>
      </w:r>
      <w:r w:rsidR="008A4751" w:rsidRPr="00DC4F50">
        <w:rPr>
          <w:rFonts w:ascii="Times New Roman" w:hAnsi="Times New Roman" w:cs="Times New Roman"/>
          <w:color w:val="4472C4" w:themeColor="accent1"/>
        </w:rPr>
        <w:t xml:space="preserve">The novelty of this study lies in consolidating and developing an interpretive theoretical structural model that explain the interdependencies among risks in GB projects.  </w:t>
      </w:r>
    </w:p>
    <w:p w14:paraId="5663DDC9" w14:textId="479A027E" w:rsidR="00B6579D" w:rsidRPr="001912F1" w:rsidRDefault="00F24545" w:rsidP="00FD5957">
      <w:pPr>
        <w:spacing w:line="480" w:lineRule="auto"/>
        <w:rPr>
          <w:rFonts w:ascii="Times New Roman" w:hAnsi="Times New Roman" w:cs="Times New Roman"/>
          <w:b/>
          <w:bCs/>
        </w:rPr>
      </w:pPr>
      <w:bookmarkStart w:id="2" w:name="_Hlk107829276"/>
      <w:r w:rsidRPr="001912F1">
        <w:rPr>
          <w:rFonts w:ascii="Times New Roman" w:hAnsi="Times New Roman" w:cs="Times New Roman"/>
          <w:b/>
          <w:bCs/>
        </w:rPr>
        <w:lastRenderedPageBreak/>
        <w:t>Methods and Material</w:t>
      </w:r>
    </w:p>
    <w:p w14:paraId="4216E5CC" w14:textId="1295F7C6" w:rsidR="00162130" w:rsidRPr="001912F1" w:rsidRDefault="00162130" w:rsidP="00FD5957">
      <w:pPr>
        <w:spacing w:line="480" w:lineRule="auto"/>
        <w:jc w:val="both"/>
        <w:rPr>
          <w:rFonts w:ascii="Times New Roman" w:hAnsi="Times New Roman" w:cs="Times New Roman"/>
          <w:i/>
          <w:iCs/>
        </w:rPr>
      </w:pPr>
      <w:r w:rsidRPr="001912F1">
        <w:rPr>
          <w:rFonts w:ascii="Times New Roman" w:hAnsi="Times New Roman" w:cs="Times New Roman"/>
          <w:i/>
          <w:iCs/>
        </w:rPr>
        <w:t xml:space="preserve">Research strategy </w:t>
      </w:r>
    </w:p>
    <w:p w14:paraId="0ECDB32C" w14:textId="1381AA74" w:rsidR="00445151" w:rsidRPr="001912F1" w:rsidRDefault="008B0C6A" w:rsidP="00F721C2">
      <w:pPr>
        <w:spacing w:line="480" w:lineRule="auto"/>
        <w:jc w:val="both"/>
        <w:rPr>
          <w:rFonts w:ascii="Times New Roman" w:hAnsi="Times New Roman" w:cs="Times New Roman"/>
        </w:rPr>
      </w:pPr>
      <w:r w:rsidRPr="001912F1">
        <w:rPr>
          <w:rFonts w:ascii="Times New Roman" w:hAnsi="Times New Roman" w:cs="Times New Roman"/>
        </w:rPr>
        <w:t>Th</w:t>
      </w:r>
      <w:r w:rsidR="00162130" w:rsidRPr="001912F1">
        <w:rPr>
          <w:rFonts w:ascii="Times New Roman" w:hAnsi="Times New Roman" w:cs="Times New Roman"/>
        </w:rPr>
        <w:t xml:space="preserve">e study </w:t>
      </w:r>
      <w:r w:rsidR="005D3EDE" w:rsidRPr="001912F1">
        <w:rPr>
          <w:rFonts w:ascii="Times New Roman" w:hAnsi="Times New Roman" w:cs="Times New Roman"/>
        </w:rPr>
        <w:t>implemented a</w:t>
      </w:r>
      <w:r w:rsidR="00162130" w:rsidRPr="001912F1">
        <w:rPr>
          <w:rFonts w:ascii="Times New Roman" w:hAnsi="Times New Roman" w:cs="Times New Roman"/>
        </w:rPr>
        <w:t xml:space="preserve"> </w:t>
      </w:r>
      <w:r w:rsidRPr="001912F1">
        <w:rPr>
          <w:rFonts w:ascii="Times New Roman" w:hAnsi="Times New Roman" w:cs="Times New Roman"/>
        </w:rPr>
        <w:t xml:space="preserve">systematic literature review (SLR) </w:t>
      </w:r>
      <w:r w:rsidR="00162130" w:rsidRPr="001912F1">
        <w:rPr>
          <w:rFonts w:ascii="Times New Roman" w:hAnsi="Times New Roman" w:cs="Times New Roman"/>
        </w:rPr>
        <w:t xml:space="preserve">to identify, harmonize, and </w:t>
      </w:r>
      <w:r w:rsidR="008A4751" w:rsidRPr="001912F1">
        <w:rPr>
          <w:rFonts w:ascii="Times New Roman" w:hAnsi="Times New Roman" w:cs="Times New Roman"/>
        </w:rPr>
        <w:t>theorize t</w:t>
      </w:r>
      <w:r w:rsidR="00162130" w:rsidRPr="001912F1">
        <w:rPr>
          <w:rFonts w:ascii="Times New Roman" w:hAnsi="Times New Roman" w:cs="Times New Roman"/>
        </w:rPr>
        <w:t>he</w:t>
      </w:r>
      <w:r w:rsidRPr="001912F1">
        <w:rPr>
          <w:rFonts w:ascii="Times New Roman" w:hAnsi="Times New Roman" w:cs="Times New Roman"/>
        </w:rPr>
        <w:t xml:space="preserve"> </w:t>
      </w:r>
      <w:r w:rsidR="00162130" w:rsidRPr="001912F1">
        <w:rPr>
          <w:rFonts w:ascii="Times New Roman" w:hAnsi="Times New Roman" w:cs="Times New Roman"/>
        </w:rPr>
        <w:t xml:space="preserve">vital </w:t>
      </w:r>
      <w:r w:rsidR="008A4751" w:rsidRPr="001912F1">
        <w:rPr>
          <w:rFonts w:ascii="Times New Roman" w:hAnsi="Times New Roman" w:cs="Times New Roman"/>
        </w:rPr>
        <w:t>risks in</w:t>
      </w:r>
      <w:r w:rsidRPr="001912F1">
        <w:rPr>
          <w:rFonts w:ascii="Times New Roman" w:hAnsi="Times New Roman" w:cs="Times New Roman"/>
        </w:rPr>
        <w:t xml:space="preserve"> GB projects. SLR </w:t>
      </w:r>
      <w:r w:rsidR="00C823B9" w:rsidRPr="001912F1">
        <w:rPr>
          <w:rFonts w:ascii="Times New Roman" w:hAnsi="Times New Roman" w:cs="Times New Roman"/>
        </w:rPr>
        <w:t xml:space="preserve">as </w:t>
      </w:r>
      <w:r w:rsidRPr="001912F1">
        <w:rPr>
          <w:rFonts w:ascii="Times New Roman" w:hAnsi="Times New Roman" w:cs="Times New Roman"/>
        </w:rPr>
        <w:t>the best-known type of literature review, provid</w:t>
      </w:r>
      <w:r w:rsidR="00C823B9" w:rsidRPr="001912F1">
        <w:rPr>
          <w:rFonts w:ascii="Times New Roman" w:hAnsi="Times New Roman" w:cs="Times New Roman"/>
        </w:rPr>
        <w:t>es</w:t>
      </w:r>
      <w:r w:rsidRPr="001912F1">
        <w:rPr>
          <w:rFonts w:ascii="Times New Roman" w:hAnsi="Times New Roman" w:cs="Times New Roman"/>
        </w:rPr>
        <w:t xml:space="preserve"> a sound methodological lens to synthesize and compare findings from existing studies and answer specific research questions </w:t>
      </w:r>
      <w:r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"10.1111/j.1471-1842.2009.00848.x", "ISSN" : "15835170", "PMID" : "19490148", "abstract" : "The expansion of evidence-based practice across sectors has lead to an increasing variety of review types. However, the diversity of terminology used means that the full potential of these review types may be lost amongst a confusion of indistinct and misapplied terms. The objective of this study is to provide descriptive insight into the most common types of reviews, with illustrative examples from health and health information domains.", "author" : [ { "dropping-particle" : "", "family" : "Grant", "given" : "Maria J.", "non-dropping-particle" : "", "parse-names" : false, "suffix" : "" }, { "dropping-particle" : "", "family" : "Booth", "given" : "Andrew", "non-dropping-particle" : "", "parse-names" : false, "suffix" : "" } ], "container-title" : "Health Information and Libraries Journal", "id" : "ITEM-1", "issue" : "2", "issued" : { "date-parts" : [ [ "2009" ] ] }, "page" : "91-108", "title" : "A typology of reviews: an analysis of 14 review types and associated methodologies", "type" : "article-journal", "volume" : "26" }, "uris" : [ "http://www.mendeley.com/documents/?uuid=6f32fb0e-99da-4f7f-90df-338b4addce63" ] } ], "mendeley" : { "formattedCitation" : "[20]", "plainTextFormattedCitation" : "[20]", "previouslyFormattedCitation" : "[20]" }, "properties" : { "noteIndex" : 0 }, "schema" : "https://github.com/citation-style-language/schema/raw/master/csl-citation.json" }</w:instrText>
      </w:r>
      <w:r w:rsidRPr="001912F1">
        <w:rPr>
          <w:rFonts w:ascii="Times New Roman" w:hAnsi="Times New Roman" w:cs="Times New Roman"/>
        </w:rPr>
        <w:fldChar w:fldCharType="separate"/>
      </w:r>
      <w:r w:rsidR="00A172E2" w:rsidRPr="00A172E2">
        <w:rPr>
          <w:rFonts w:ascii="Times New Roman" w:hAnsi="Times New Roman" w:cs="Times New Roman"/>
          <w:noProof/>
        </w:rPr>
        <w:t>[20]</w:t>
      </w:r>
      <w:r w:rsidRPr="001912F1">
        <w:rPr>
          <w:rFonts w:ascii="Times New Roman" w:hAnsi="Times New Roman" w:cs="Times New Roman"/>
        </w:rPr>
        <w:fldChar w:fldCharType="end"/>
      </w:r>
      <w:r w:rsidRPr="001912F1">
        <w:rPr>
          <w:rFonts w:ascii="Times New Roman" w:hAnsi="Times New Roman" w:cs="Times New Roman"/>
        </w:rPr>
        <w:t xml:space="preserve">. </w:t>
      </w:r>
      <w:r w:rsidR="00162130" w:rsidRPr="001912F1">
        <w:rPr>
          <w:rFonts w:ascii="Times New Roman" w:hAnsi="Times New Roman" w:cs="Times New Roman"/>
        </w:rPr>
        <w:t xml:space="preserve">It constitutes </w:t>
      </w:r>
      <w:r w:rsidR="00DE2C85" w:rsidRPr="001912F1">
        <w:rPr>
          <w:rFonts w:ascii="Times New Roman" w:hAnsi="Times New Roman" w:cs="Times New Roman"/>
        </w:rPr>
        <w:t>transparent, rigorous, and detailed methodolog</w:t>
      </w:r>
      <w:r w:rsidR="008A4751" w:rsidRPr="001912F1">
        <w:rPr>
          <w:rFonts w:ascii="Times New Roman" w:hAnsi="Times New Roman" w:cs="Times New Roman"/>
        </w:rPr>
        <w:t>y</w:t>
      </w:r>
      <w:r w:rsidR="00DE2C85" w:rsidRPr="001912F1">
        <w:rPr>
          <w:rFonts w:ascii="Times New Roman" w:hAnsi="Times New Roman" w:cs="Times New Roman"/>
        </w:rPr>
        <w:t xml:space="preserve"> used to consolidate compatible information from several sources </w:t>
      </w:r>
      <w:r w:rsidR="00DE2C85"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"10.1111/1467-8551.00375", "ISBN" : "1045-3172", "ISSN" : "10453172", "PMID" : "10833059", "abstract" : "Undertaking a review of the literature is an important part of any research project. The researcher both maps and assesses the relevant intellectual territory in order to specify a research question which will further develop the knowledge hase. However, traditional 'narrative' reviews frequently lack thoroughness, and in many cases are not undertaken as genuine pieces of investigatory science. Consequently they can lack a means for making sense of what the collection of studies is saying. These reviews can he hiased by the researcher and often lack rigour. Furthermore, the use of reviews of the available evidence to provide insights and guidance for intervention into operational needs of practitioners and policymakers has largely been of secondary importance. For practitioners, making sense of a mass of often-contradictory evidence has hecome progressively harder. The quality of evidence underpinning decision-making and action has heen questioned, for inadequate or incomplete evidence seriously impedes policy formulation and implementation. In exploring ways in which evidence-informed management reviews might be achieved, the authors evaluate the process of systematic review used in the medical sciences. Over the last fifteen years, medical science has attempted to improve the review process hy synthesizing research in a systematic, transparent, and reproducihie manner with the twin aims of enhancing the knowledge hase and informing policymaking and practice. This paper evaluates the extent to which the process of systematic review can be applied to the management field in order to produce a reliable knowledge stock and enhanced practice by developing context-sensitive research. The paper highlights the challenges in developing an appropriate methodology. Introduction:", "author" : [ { "dropping-particle" : "", "family" : "Tranfield", "given" : "David", "non-dropping-particle" : "", "parse-names" : false, "suffix" : "" }, { "dropping-particle" : "", "family" : "Denyer", "given" : "David", "non-dropping-particle" : "", "parse-names" : false, "suffix" : "" }, { "dropping-particle" : "", "family" : "Smart", "given" : "Palminder", "non-dropping-particle" : "", "parse-names" : false, "suffix" : "" } ], "container-title" : "British Journal of Management", "id" : "ITEM-1", "issue" : "3", "issued" : { "date-parts" : [ [ "2003" ] ] }, "page" : "207-222", "title" : "Towards a Methodology for Developing Evidence-Informed Management Knowledge by Means of Systematic Review", "type" : "article", "volume" : "14" }, "uris" : [ "http://www.mendeley.com/documents/?uuid=905202ad-8bd9-48f9-8ae5-c7030a21791d" ] }, { "id" : "ITEM-2", "itemData" : { "DOI" : "10.1177/87569728211070225", "ISSN" : "19389507", "abstract" : "Through a systematic literature review we explore how digital technologies reshape and catalyze digital innovations in the built environment\u2014a highly project-based setting. We analyzed circa 3,000 titles, further narrowed down to 87 articles. We synthesized an original framework for data analysis. The article presents implications for the deployment of digital technologies on three levels: individuals, organizations, and projects. Whereas most of these studies examined the impact of digital innovation in projects, recommendations focused on organizations, suggesting future directions for performance measurement, developing capabilities of firms to manage changes in dynamic environments and interorganizational settings.", "author" : [ { "dropping-particle" : "", "family" : "Papadonikolaki", "given" : "Eleni", "non-dropping-particle" : "", "parse-names" : false, "suffix" : "" }, { "dropping-particle" : "", "family" : "Krystallis", "given" : "Ilias", "non-dropping-particle" : "", "parse-names" : false, "suffix" : "" }, { "dropping-particle" : "", "family" : "Morgan", "given" : "Bethan", "non-dropping-particle" : "", "parse-names" : false, "suffix" : "" } ], "container-title" : "Project Management Journal", "id" : "ITEM-2", "issued" : { "date-parts" : [ [ "2022" ] ] }, "page" : "1-19", "title" : "Digital Technologies in Built Environment Projects: Review and Future Directions", "type" : "article-journal" }, "uris" : [ "http://www.mendeley.com/documents/?uuid=ab94f66c-35b7-40a5-9dba-65f3c36faf3c" ] } ], "mendeley" : { "formattedCitation" : "[21,22]", "plainTextFormattedCitation" : "[21,22]", "previouslyFormattedCitation" : "[21,22]" }, "properties" : { "noteIndex" : 0 }, "schema" : "https://github.com/citation-style-language/schema/raw/master/csl-citation.json" }</w:instrText>
      </w:r>
      <w:r w:rsidR="00DE2C85" w:rsidRPr="001912F1">
        <w:rPr>
          <w:rFonts w:ascii="Times New Roman" w:hAnsi="Times New Roman" w:cs="Times New Roman"/>
        </w:rPr>
        <w:fldChar w:fldCharType="separate"/>
      </w:r>
      <w:r w:rsidR="00A172E2" w:rsidRPr="00A172E2">
        <w:rPr>
          <w:rFonts w:ascii="Times New Roman" w:hAnsi="Times New Roman" w:cs="Times New Roman"/>
          <w:noProof/>
        </w:rPr>
        <w:t>[21,22]</w:t>
      </w:r>
      <w:r w:rsidR="00DE2C85" w:rsidRPr="001912F1">
        <w:rPr>
          <w:rFonts w:ascii="Times New Roman" w:hAnsi="Times New Roman" w:cs="Times New Roman"/>
        </w:rPr>
        <w:fldChar w:fldCharType="end"/>
      </w:r>
      <w:r w:rsidR="00DE2C85" w:rsidRPr="001912F1">
        <w:rPr>
          <w:rFonts w:ascii="Times New Roman" w:hAnsi="Times New Roman" w:cs="Times New Roman"/>
        </w:rPr>
        <w:t>.</w:t>
      </w:r>
      <w:r w:rsidRPr="001912F1">
        <w:rPr>
          <w:rFonts w:ascii="Times New Roman" w:hAnsi="Times New Roman" w:cs="Times New Roman"/>
        </w:rPr>
        <w:t xml:space="preserve"> </w:t>
      </w:r>
      <w:r w:rsidR="00162130" w:rsidRPr="001912F1">
        <w:rPr>
          <w:rFonts w:ascii="Times New Roman" w:hAnsi="Times New Roman" w:cs="Times New Roman"/>
        </w:rPr>
        <w:t>SLR</w:t>
      </w:r>
      <w:r w:rsidR="003C2141" w:rsidRPr="001912F1">
        <w:rPr>
          <w:rFonts w:ascii="Times New Roman" w:hAnsi="Times New Roman" w:cs="Times New Roman"/>
        </w:rPr>
        <w:t xml:space="preserve"> can produce new knowledge </w:t>
      </w:r>
      <w:r w:rsidR="00BC7F7E" w:rsidRPr="001912F1">
        <w:rPr>
          <w:rFonts w:ascii="Times New Roman" w:hAnsi="Times New Roman" w:cs="Times New Roman"/>
        </w:rPr>
        <w:t>through accumulating knowledge and evidence from a large corpus of comparable studies</w:t>
      </w:r>
      <w:r w:rsidR="003C2141" w:rsidRPr="001912F1">
        <w:rPr>
          <w:rFonts w:ascii="Times New Roman" w:hAnsi="Times New Roman" w:cs="Times New Roman"/>
        </w:rPr>
        <w:t>.</w:t>
      </w:r>
      <w:r w:rsidR="00BC7F7E" w:rsidRPr="001912F1">
        <w:rPr>
          <w:rFonts w:ascii="Times New Roman" w:hAnsi="Times New Roman" w:cs="Times New Roman"/>
        </w:rPr>
        <w:t xml:space="preserve"> </w:t>
      </w:r>
      <w:r w:rsidR="00162130" w:rsidRPr="001912F1">
        <w:rPr>
          <w:rFonts w:ascii="Times New Roman" w:hAnsi="Times New Roman" w:cs="Times New Roman"/>
        </w:rPr>
        <w:t xml:space="preserve">The study implemented the </w:t>
      </w:r>
      <w:r w:rsidR="00124C9D" w:rsidRPr="001912F1">
        <w:rPr>
          <w:rFonts w:ascii="Times New Roman" w:hAnsi="Times New Roman" w:cs="Times New Roman"/>
        </w:rPr>
        <w:t xml:space="preserve">SLR </w:t>
      </w:r>
      <w:r w:rsidR="00162130" w:rsidRPr="001912F1">
        <w:rPr>
          <w:rFonts w:ascii="Times New Roman" w:hAnsi="Times New Roman" w:cs="Times New Roman"/>
        </w:rPr>
        <w:t xml:space="preserve">with a strict </w:t>
      </w:r>
      <w:r w:rsidR="00124C9D" w:rsidRPr="001912F1">
        <w:rPr>
          <w:rFonts w:ascii="Times New Roman" w:hAnsi="Times New Roman" w:cs="Times New Roman"/>
        </w:rPr>
        <w:t>adhere</w:t>
      </w:r>
      <w:r w:rsidR="00162130" w:rsidRPr="001912F1">
        <w:rPr>
          <w:rFonts w:ascii="Times New Roman" w:hAnsi="Times New Roman" w:cs="Times New Roman"/>
        </w:rPr>
        <w:t xml:space="preserve">nce to the </w:t>
      </w:r>
      <w:bookmarkStart w:id="3" w:name="_Hlk124700527"/>
      <w:r w:rsidR="00162130" w:rsidRPr="001912F1">
        <w:rPr>
          <w:rFonts w:ascii="Times New Roman" w:hAnsi="Times New Roman" w:cs="Times New Roman"/>
        </w:rPr>
        <w:t>Preferred Reporting Items for Systematic Reviews and Meta-Analyses (PRISMA)</w:t>
      </w:r>
      <w:bookmarkEnd w:id="3"/>
      <w:r w:rsidR="00162130" w:rsidRPr="001912F1">
        <w:rPr>
          <w:rFonts w:ascii="Times New Roman" w:hAnsi="Times New Roman" w:cs="Times New Roman"/>
        </w:rPr>
        <w:t xml:space="preserve"> Statement Protocol </w:t>
      </w:r>
      <w:r w:rsidR="00124C9D" w:rsidRPr="001912F1">
        <w:rPr>
          <w:rFonts w:ascii="Times New Roman" w:hAnsi="Times New Roman" w:cs="Times New Roman"/>
        </w:rPr>
        <w:t xml:space="preserve">to </w:t>
      </w:r>
      <w:r w:rsidR="00162130" w:rsidRPr="001912F1">
        <w:rPr>
          <w:rFonts w:ascii="Times New Roman" w:hAnsi="Times New Roman" w:cs="Times New Roman"/>
        </w:rPr>
        <w:t xml:space="preserve">minimize the risk of bias, </w:t>
      </w:r>
      <w:r w:rsidR="00124C9D" w:rsidRPr="001912F1">
        <w:rPr>
          <w:rFonts w:ascii="Times New Roman" w:hAnsi="Times New Roman" w:cs="Times New Roman"/>
        </w:rPr>
        <w:t>ensure the necessary rigor</w:t>
      </w:r>
      <w:r w:rsidR="00162130" w:rsidRPr="001912F1">
        <w:rPr>
          <w:rFonts w:ascii="Times New Roman" w:hAnsi="Times New Roman" w:cs="Times New Roman"/>
        </w:rPr>
        <w:t>,</w:t>
      </w:r>
      <w:r w:rsidR="00124C9D" w:rsidRPr="001912F1">
        <w:rPr>
          <w:rFonts w:ascii="Times New Roman" w:hAnsi="Times New Roman" w:cs="Times New Roman"/>
        </w:rPr>
        <w:t xml:space="preserve"> and </w:t>
      </w:r>
      <w:r w:rsidR="00162130" w:rsidRPr="001912F1">
        <w:rPr>
          <w:rFonts w:ascii="Times New Roman" w:hAnsi="Times New Roman" w:cs="Times New Roman"/>
        </w:rPr>
        <w:t xml:space="preserve">guarantee the </w:t>
      </w:r>
      <w:r w:rsidR="00124C9D" w:rsidRPr="001912F1">
        <w:rPr>
          <w:rFonts w:ascii="Times New Roman" w:hAnsi="Times New Roman" w:cs="Times New Roman"/>
        </w:rPr>
        <w:t>reliability of the findings</w:t>
      </w:r>
      <w:r w:rsidR="00162130" w:rsidRPr="001912F1">
        <w:rPr>
          <w:rFonts w:ascii="Times New Roman" w:hAnsi="Times New Roman" w:cs="Times New Roman"/>
        </w:rPr>
        <w:t xml:space="preserve">. The SLR protocol comprised </w:t>
      </w:r>
      <w:r w:rsidR="00BE17AA" w:rsidRPr="001912F1">
        <w:rPr>
          <w:rFonts w:ascii="Times New Roman" w:hAnsi="Times New Roman" w:cs="Times New Roman"/>
        </w:rPr>
        <w:t xml:space="preserve">a formulation of </w:t>
      </w:r>
      <w:r w:rsidR="005D3EDE" w:rsidRPr="001912F1">
        <w:rPr>
          <w:rFonts w:ascii="Times New Roman" w:hAnsi="Times New Roman" w:cs="Times New Roman"/>
        </w:rPr>
        <w:t xml:space="preserve">a </w:t>
      </w:r>
      <w:r w:rsidR="00BE17AA" w:rsidRPr="001912F1">
        <w:rPr>
          <w:rFonts w:ascii="Times New Roman" w:hAnsi="Times New Roman" w:cs="Times New Roman"/>
        </w:rPr>
        <w:t xml:space="preserve">research question, selection of keywords, </w:t>
      </w:r>
      <w:r w:rsidR="00124C9D" w:rsidRPr="001912F1">
        <w:rPr>
          <w:rFonts w:ascii="Times New Roman" w:hAnsi="Times New Roman" w:cs="Times New Roman"/>
        </w:rPr>
        <w:t>database selection and literature search, inclusion and exclusion of studies, evaluation of included studies, extraction of relevant metadata</w:t>
      </w:r>
      <w:r w:rsidR="00BE17AA" w:rsidRPr="001912F1">
        <w:rPr>
          <w:rFonts w:ascii="Times New Roman" w:hAnsi="Times New Roman" w:cs="Times New Roman"/>
        </w:rPr>
        <w:t>, and data analysis</w:t>
      </w:r>
      <w:r w:rsidR="00124C9D" w:rsidRPr="001912F1">
        <w:rPr>
          <w:rFonts w:ascii="Times New Roman" w:hAnsi="Times New Roman" w:cs="Times New Roman"/>
        </w:rPr>
        <w:t xml:space="preserve"> </w:t>
      </w:r>
      <w:r w:rsidR="00124C9D"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"ISBN" : "9781119536628", "abstract" : "This study departs from the reality of gender relations within the family institution which has to be dikhotomis, causing the pole inequality relations between men and women. Therefore, in this study wanted to dismantle the detail view of some theories, both social and feminist about gender relations in the family. Each of these theories (structural functional, conflict and feminist) has their own viewpoint about the pattern of gender relations in the family. However, simultaneously acknowledging that the social construction of culture remained significant influence on the division of roles are played by men (husbands) and women (wife) in the family institution. This means that the social construction of culture was instrumental in the creation of relations contribute between men and women equally or otherwise occurred inequality.", "author" : [ { "dropping-particle" : "", "family" : "Higgins", "given" : "Julian P.T.", "non-dropping-particle" : "", "parse-names" : false, "suffix" : "" }, { "dropping-particle" : "", "family" : "Thomas", "given" : "James", "non-dropping-particle" : "", "parse-names" : false, "suffix" : "" }, { "dropping-particle" : "", "family" : "Chandler", "given" : "Jacqueline", "non-dropping-particle" : "", "parse-names" : false, "suffix" : "" }, { "dropping-particle" : "", "family" : "Cumpston", "given" : "Miranda", "non-dropping-particle" : "", "parse-names" : false, "suffix" : "" }, { "dropping-particle" : "", "family" : "Li", "given" : "Tianjing", "non-dropping-particle" : "", "parse-names" : false, "suffix" : "" }, { "dropping-particle" : "", "family" : "Page", "given" : "Matthew J.", "non-dropping-particle" : "", "parse-names" : false, "suffix" : "" }, { "dropping-particle" : "", "family" : "Welch", "given" : "Vivian A.", "non-dropping-particle" : "", "parse-names" : false, "suffix" : "" } ], "edition" : "Second Edi", "id" : "ITEM-1", "issued" : { "date-parts" : [ [ "2019" ] ] }, "number-of-pages" : "704", "publisher" : "The Cochrane Collaboration and John Wiley &amp; Sons Ltd", "title" : "Cochrane Handbook for Systematic Reviews of Interventions", "type" : "book" }, "uris" : [ "http://www.mendeley.com/documents/?uuid=9b23e97a-0b4d-4334-9603-d555820c413d" ] } ], "mendeley" : { "formattedCitation" : "[23]", "plainTextFormattedCitation" : "[23]", "previouslyFormattedCitation" : "[23]" }, "properties" : { "noteIndex" : 0 }, "schema" : "https://github.com/citation-style-language/schema/raw/master/csl-citation.json" }</w:instrText>
      </w:r>
      <w:r w:rsidR="00124C9D" w:rsidRPr="001912F1">
        <w:rPr>
          <w:rFonts w:ascii="Times New Roman" w:hAnsi="Times New Roman" w:cs="Times New Roman"/>
        </w:rPr>
        <w:fldChar w:fldCharType="separate"/>
      </w:r>
      <w:r w:rsidR="00A172E2" w:rsidRPr="00A172E2">
        <w:rPr>
          <w:rFonts w:ascii="Times New Roman" w:hAnsi="Times New Roman" w:cs="Times New Roman"/>
          <w:noProof/>
        </w:rPr>
        <w:t>[23]</w:t>
      </w:r>
      <w:r w:rsidR="00124C9D" w:rsidRPr="001912F1">
        <w:rPr>
          <w:rFonts w:ascii="Times New Roman" w:hAnsi="Times New Roman" w:cs="Times New Roman"/>
        </w:rPr>
        <w:fldChar w:fldCharType="end"/>
      </w:r>
      <w:r w:rsidR="00124C9D" w:rsidRPr="001912F1">
        <w:rPr>
          <w:rFonts w:ascii="Times New Roman" w:hAnsi="Times New Roman" w:cs="Times New Roman"/>
        </w:rPr>
        <w:t xml:space="preserve">. </w:t>
      </w:r>
    </w:p>
    <w:p w14:paraId="3709E16D" w14:textId="1DB8DC89" w:rsidR="0080419E" w:rsidRPr="001912F1" w:rsidRDefault="0080419E" w:rsidP="00FD5957">
      <w:pPr>
        <w:spacing w:line="480" w:lineRule="auto"/>
        <w:jc w:val="both"/>
        <w:rPr>
          <w:rFonts w:ascii="Times New Roman" w:hAnsi="Times New Roman" w:cs="Times New Roman"/>
          <w:i/>
          <w:iCs/>
        </w:rPr>
      </w:pPr>
      <w:r w:rsidRPr="001912F1">
        <w:rPr>
          <w:rFonts w:ascii="Times New Roman" w:hAnsi="Times New Roman" w:cs="Times New Roman"/>
          <w:i/>
          <w:iCs/>
        </w:rPr>
        <w:t>Literature search strategy</w:t>
      </w:r>
    </w:p>
    <w:p w14:paraId="03C109F7" w14:textId="31BACDEF" w:rsidR="00A33028" w:rsidRPr="001912F1" w:rsidRDefault="006457FA" w:rsidP="006457FA">
      <w:pPr>
        <w:spacing w:line="480" w:lineRule="auto"/>
        <w:jc w:val="both"/>
        <w:rPr>
          <w:rFonts w:ascii="Times New Roman" w:hAnsi="Times New Roman" w:cs="Times New Roman"/>
        </w:rPr>
      </w:pPr>
      <w:r w:rsidRPr="001912F1">
        <w:rPr>
          <w:rFonts w:ascii="Times New Roman" w:hAnsi="Times New Roman" w:cs="Times New Roman"/>
        </w:rPr>
        <w:t xml:space="preserve">The literature search was conducted in Elsevier’s Scopus, </w:t>
      </w:r>
      <w:r w:rsidR="005D3EDE" w:rsidRPr="001912F1">
        <w:rPr>
          <w:rFonts w:ascii="Times New Roman" w:hAnsi="Times New Roman" w:cs="Times New Roman"/>
        </w:rPr>
        <w:t xml:space="preserve">which is </w:t>
      </w:r>
      <w:r w:rsidRPr="001912F1">
        <w:rPr>
          <w:rFonts w:ascii="Times New Roman" w:hAnsi="Times New Roman" w:cs="Times New Roman"/>
        </w:rPr>
        <w:t xml:space="preserve">considered the most comprehensive database indexing the widest range of articles </w:t>
      </w:r>
      <w:r w:rsidR="005D3EDE" w:rsidRPr="001912F1">
        <w:rPr>
          <w:rFonts w:ascii="Times New Roman" w:hAnsi="Times New Roman" w:cs="Times New Roman"/>
        </w:rPr>
        <w:t>on GBs</w:t>
      </w:r>
      <w:r w:rsidRPr="001912F1">
        <w:rPr>
          <w:rFonts w:ascii="Times New Roman" w:hAnsi="Times New Roman" w:cs="Times New Roman"/>
        </w:rPr>
        <w:t xml:space="preserve"> </w:t>
      </w:r>
      <w:r w:rsidRPr="001912F1">
        <w:rPr>
          <w:rFonts w:ascii="Times New Roman" w:hAnsi="Times New Roman" w:cs="Times New Roman"/>
        </w:rPr>
        <w:fldChar w:fldCharType="begin" w:fldLock="1"/>
      </w:r>
      <w:r w:rsidR="00421282" w:rsidRPr="001912F1">
        <w:rPr>
          <w:rFonts w:ascii="Times New Roman" w:hAnsi="Times New Roman" w:cs="Times New Roman"/>
        </w:rPr>
        <w:instrText>ADDIN CSL_CITATION { "citationItems" : [ { "id" : "ITEM-1", "itemData" : { "DOI" : "10.1016/j.enbuild.2019.02.010", "ISSN" : "03787788", "abstract" : "Following the 1960s environmental movement and the energy crisis in the 70s, evidence spurred research on renewable energy and energy efficiency practices. As a result, the green building (GB) movement emerged in the 90s to promote buildings which are designed to reduce the consumption of energy, electricity, water, materials, natural resources as well as improve environmental performance and human health over the whole lifecycle. With a prime goal of improving energy efficiency, GB has gained recognition in national and international energy policies. Following manifold exemplary projects and testified benefits, GBs research has recorded a tremendous increase over the years. Thus, it is essential to monitor the research progress to identify areas that require further research. This paper recruited the bibliometric data of 1147 GBs research articles and conducted a scientometric review. The review showed that GBs research publications increased steadily from 1992 to 2018. This highlights the increasing commitment towards the initiative. The paper found that at least 44% of all countries in the world are involved in GBs research. Ten (10) broad GB research areas in existing studies were identified and discussed and areas for further research were proposed. Thus, the paper offers a useful reference point to early-stage researchers, funding authorities, energy policymakers and industry professionals on the research progress in GBs.", "author" : [ { "dropping-particle" : "", "family" : "Wuni", "given" : "Ibrahim Yahaya", "non-dropping-particle" : "", "parse-names" : false, "suffix" : "" }, { "dropping-particle" : "", "family" : "Shen", "given" : "Geoffrey Qiping", "non-dropping-particle" : "", "parse-names" : false, "suffix" : "" }, { "dropping-particle" : "", "family" : "Osei-Kyei", "given" : "Robert", "non-dropping-particle" : "", "parse-names" : false, "suffix" : "" } ], "container-title" : "Energy and Buildings", "id" : "ITEM-1", "issue" : "May", "issued" : { "date-parts" : [ [ "2019" ] ] }, "page" : "69-85", "publisher" : "Elsevier B.V.", "title" : "Scientometric review of global research trends on green buildings in construction journals from 1992 to 2018", "type" : "article-journal", "volume" : "190" }, "uris" : [ "http://www.mendeley.com/documents/?uuid=ced784fa-57bb-4e8d-a00b-8d65f4d0c979" ] } ], "mendeley" : { "formattedCitation" : "[2]", "plainTextFormattedCitation" : "[2]", "previouslyFormattedCitation" : "[2]" }, "properties" : { "noteIndex" : 0 }, "schema" : "https://github.com/citation-style-language/schema/raw/master/csl-citation.json" }</w:instrText>
      </w:r>
      <w:r w:rsidRPr="001912F1">
        <w:rPr>
          <w:rFonts w:ascii="Times New Roman" w:hAnsi="Times New Roman" w:cs="Times New Roman"/>
        </w:rPr>
        <w:fldChar w:fldCharType="separate"/>
      </w:r>
      <w:r w:rsidR="00CA4774" w:rsidRPr="001912F1">
        <w:rPr>
          <w:rFonts w:ascii="Times New Roman" w:hAnsi="Times New Roman" w:cs="Times New Roman"/>
          <w:noProof/>
        </w:rPr>
        <w:t>[2]</w:t>
      </w:r>
      <w:r w:rsidRPr="001912F1">
        <w:rPr>
          <w:rFonts w:ascii="Times New Roman" w:hAnsi="Times New Roman" w:cs="Times New Roman"/>
        </w:rPr>
        <w:fldChar w:fldCharType="end"/>
      </w:r>
      <w:r w:rsidRPr="001912F1">
        <w:rPr>
          <w:rFonts w:ascii="Times New Roman" w:hAnsi="Times New Roman" w:cs="Times New Roman"/>
        </w:rPr>
        <w:t xml:space="preserve">. Two sets of keywords were developed to </w:t>
      </w:r>
      <w:r w:rsidR="00A33028" w:rsidRPr="001912F1">
        <w:rPr>
          <w:rFonts w:ascii="Times New Roman" w:hAnsi="Times New Roman" w:cs="Times New Roman"/>
        </w:rPr>
        <w:t xml:space="preserve">search and retrieve studies specifically addressing CRFs for GB projects. The full </w:t>
      </w:r>
      <w:r w:rsidR="00A26AAF" w:rsidRPr="001912F1">
        <w:rPr>
          <w:rFonts w:ascii="Times New Roman" w:hAnsi="Times New Roman" w:cs="Times New Roman"/>
        </w:rPr>
        <w:t xml:space="preserve">Scopus </w:t>
      </w:r>
      <w:r w:rsidR="00A33028" w:rsidRPr="001912F1">
        <w:rPr>
          <w:rFonts w:ascii="Times New Roman" w:hAnsi="Times New Roman" w:cs="Times New Roman"/>
        </w:rPr>
        <w:t xml:space="preserve">search string </w:t>
      </w:r>
      <w:r w:rsidR="0080419E" w:rsidRPr="001912F1">
        <w:rPr>
          <w:rFonts w:ascii="Times New Roman" w:hAnsi="Times New Roman" w:cs="Times New Roman"/>
        </w:rPr>
        <w:t xml:space="preserve">is given </w:t>
      </w:r>
      <w:r w:rsidR="00A26AAF" w:rsidRPr="001912F1">
        <w:rPr>
          <w:rFonts w:ascii="Times New Roman" w:hAnsi="Times New Roman" w:cs="Times New Roman"/>
        </w:rPr>
        <w:t>below</w:t>
      </w:r>
      <w:r w:rsidR="00A33028" w:rsidRPr="001912F1">
        <w:rPr>
          <w:rFonts w:ascii="Times New Roman" w:hAnsi="Times New Roman" w:cs="Times New Roman"/>
        </w:rPr>
        <w:t>.</w:t>
      </w:r>
    </w:p>
    <w:p w14:paraId="0D05B096" w14:textId="3AF01BB4" w:rsidR="00A33028" w:rsidRPr="001912F1" w:rsidRDefault="0080419E" w:rsidP="00EB37E8">
      <w:pPr>
        <w:spacing w:line="276" w:lineRule="auto"/>
        <w:jc w:val="both"/>
        <w:rPr>
          <w:rFonts w:ascii="Times New Roman" w:hAnsi="Times New Roman" w:cs="Times New Roman"/>
        </w:rPr>
      </w:pPr>
      <w:r w:rsidRPr="001912F1">
        <w:rPr>
          <w:rFonts w:ascii="Times New Roman" w:hAnsi="Times New Roman" w:cs="Times New Roman"/>
        </w:rPr>
        <w:t>(TITLE ("green building"  OR  "sustainable building"  OR  "green construction"  OR  "sustainable construction"  OR  "sustainable projects"  OR  "green projects" OR  "high performance buildings"  OR  "energy-efficient buildings"  OR  "zero energy buildings"  OR  "sustainable housing"  OR  "green housing"  OR  "green retrofit"  OR  "building retrofit"  OR  "greening building"  OR  "building retrofitting"  OR  "green retrofitting")  AND  TITLE (risk))  AND  (LIMIT-TO (DOCTYPE,  "</w:t>
      </w:r>
      <w:proofErr w:type="spellStart"/>
      <w:r w:rsidRPr="001912F1">
        <w:rPr>
          <w:rFonts w:ascii="Times New Roman" w:hAnsi="Times New Roman" w:cs="Times New Roman"/>
        </w:rPr>
        <w:t>ar</w:t>
      </w:r>
      <w:proofErr w:type="spellEnd"/>
      <w:r w:rsidRPr="001912F1">
        <w:rPr>
          <w:rFonts w:ascii="Times New Roman" w:hAnsi="Times New Roman" w:cs="Times New Roman"/>
        </w:rPr>
        <w:t>")  OR  LIMIT-TO (DOCTYPE,  "re"))  AND  (LIMIT-TO (LANGUAGE,  "English"))  AND  (LIMIT-TO (SRCTYPE,  "j"))</w:t>
      </w:r>
    </w:p>
    <w:p w14:paraId="2AB8F473" w14:textId="1486AB88" w:rsidR="0080419E" w:rsidRPr="001912F1" w:rsidRDefault="0080419E" w:rsidP="00A33028">
      <w:pPr>
        <w:jc w:val="both"/>
        <w:rPr>
          <w:rFonts w:ascii="Times New Roman" w:hAnsi="Times New Roman" w:cs="Times New Roman"/>
        </w:rPr>
      </w:pPr>
    </w:p>
    <w:p w14:paraId="0AF3754E" w14:textId="4147DECF" w:rsidR="00E474D4" w:rsidRPr="001912F1" w:rsidRDefault="00EB37E8" w:rsidP="001217A5">
      <w:pPr>
        <w:spacing w:line="480" w:lineRule="auto"/>
        <w:jc w:val="both"/>
        <w:rPr>
          <w:rFonts w:ascii="Times New Roman" w:hAnsi="Times New Roman" w:cs="Times New Roman"/>
        </w:rPr>
      </w:pPr>
      <w:r w:rsidRPr="001912F1">
        <w:rPr>
          <w:rFonts w:ascii="Times New Roman" w:hAnsi="Times New Roman" w:cs="Times New Roman"/>
        </w:rPr>
        <w:t xml:space="preserve">The search was limited to the titles of the articles to avoid retrieving studies that only mentioned relevant </w:t>
      </w:r>
      <w:r w:rsidR="00110501" w:rsidRPr="001912F1">
        <w:rPr>
          <w:rFonts w:ascii="Times New Roman" w:hAnsi="Times New Roman" w:cs="Times New Roman"/>
        </w:rPr>
        <w:t>search terms</w:t>
      </w:r>
      <w:r w:rsidRPr="001912F1">
        <w:rPr>
          <w:rFonts w:ascii="Times New Roman" w:hAnsi="Times New Roman" w:cs="Times New Roman"/>
        </w:rPr>
        <w:t xml:space="preserve"> in the abstract and keywords but failed to address the CRFs for GB </w:t>
      </w:r>
      <w:r w:rsidRPr="001912F1">
        <w:rPr>
          <w:rFonts w:ascii="Times New Roman" w:hAnsi="Times New Roman" w:cs="Times New Roman"/>
        </w:rPr>
        <w:lastRenderedPageBreak/>
        <w:t>projects. Three filters were applied, including document type (i.e., article and review</w:t>
      </w:r>
      <w:r w:rsidR="005D3EDE" w:rsidRPr="001912F1">
        <w:rPr>
          <w:rFonts w:ascii="Times New Roman" w:hAnsi="Times New Roman" w:cs="Times New Roman"/>
        </w:rPr>
        <w:t xml:space="preserve"> only</w:t>
      </w:r>
      <w:r w:rsidRPr="001912F1">
        <w:rPr>
          <w:rFonts w:ascii="Times New Roman" w:hAnsi="Times New Roman" w:cs="Times New Roman"/>
        </w:rPr>
        <w:t>), language (i.e., English Language publications only), and source type (i.e., Journals only).</w:t>
      </w:r>
      <w:r w:rsidR="00124E3C" w:rsidRPr="001912F1">
        <w:rPr>
          <w:rFonts w:ascii="Times New Roman" w:hAnsi="Times New Roman" w:cs="Times New Roman"/>
        </w:rPr>
        <w:t xml:space="preserve"> The search string </w:t>
      </w:r>
      <w:r w:rsidR="004329C1" w:rsidRPr="001912F1">
        <w:rPr>
          <w:rFonts w:ascii="Times New Roman" w:hAnsi="Times New Roman" w:cs="Times New Roman"/>
        </w:rPr>
        <w:t xml:space="preserve">generated </w:t>
      </w:r>
      <w:r w:rsidR="00124E3C" w:rsidRPr="001912F1">
        <w:rPr>
          <w:rFonts w:ascii="Times New Roman" w:hAnsi="Times New Roman" w:cs="Times New Roman"/>
        </w:rPr>
        <w:t xml:space="preserve">fifty-two (52) studies (As of 4 </w:t>
      </w:r>
      <w:r w:rsidR="00110501" w:rsidRPr="001912F1">
        <w:rPr>
          <w:rFonts w:ascii="Times New Roman" w:hAnsi="Times New Roman" w:cs="Times New Roman"/>
        </w:rPr>
        <w:t>November</w:t>
      </w:r>
      <w:r w:rsidR="00124E3C" w:rsidRPr="001912F1">
        <w:rPr>
          <w:rFonts w:ascii="Times New Roman" w:hAnsi="Times New Roman" w:cs="Times New Roman"/>
        </w:rPr>
        <w:t xml:space="preserve"> 2022). However, the filtered results still contained irrelevant studies. Given the small number, the Titles/Abstract/Keywords of the retrieved studies were thoroughly screened. The rapid screening revealed forty-five (45</w:t>
      </w:r>
      <w:r w:rsidR="001217A5" w:rsidRPr="001912F1">
        <w:rPr>
          <w:rFonts w:ascii="Times New Roman" w:hAnsi="Times New Roman" w:cs="Times New Roman"/>
        </w:rPr>
        <w:t>) potentially</w:t>
      </w:r>
      <w:r w:rsidR="00124E3C" w:rsidRPr="001912F1">
        <w:rPr>
          <w:rFonts w:ascii="Times New Roman" w:hAnsi="Times New Roman" w:cs="Times New Roman"/>
        </w:rPr>
        <w:t xml:space="preserve"> relevant studies, which were downloaded for full</w:t>
      </w:r>
      <w:r w:rsidR="005D3EDE" w:rsidRPr="001912F1">
        <w:rPr>
          <w:rFonts w:ascii="Times New Roman" w:hAnsi="Times New Roman" w:cs="Times New Roman"/>
        </w:rPr>
        <w:t>-</w:t>
      </w:r>
      <w:r w:rsidR="00124E3C" w:rsidRPr="001912F1">
        <w:rPr>
          <w:rFonts w:ascii="Times New Roman" w:hAnsi="Times New Roman" w:cs="Times New Roman"/>
        </w:rPr>
        <w:t>text evaluation</w:t>
      </w:r>
      <w:r w:rsidR="00773503" w:rsidRPr="001912F1">
        <w:rPr>
          <w:rFonts w:ascii="Times New Roman" w:hAnsi="Times New Roman" w:cs="Times New Roman"/>
        </w:rPr>
        <w:t>. Fig. 1 shows the literature sampling procedure.</w:t>
      </w:r>
    </w:p>
    <w:p w14:paraId="272D31AE" w14:textId="657FD12F" w:rsidR="009A7153" w:rsidRPr="001912F1" w:rsidRDefault="009A7153" w:rsidP="009A7153">
      <w:pPr>
        <w:jc w:val="both"/>
        <w:rPr>
          <w:rFonts w:ascii="Times New Roman" w:hAnsi="Times New Roman" w:cs="Times New Roman"/>
        </w:rPr>
      </w:pPr>
      <w:r w:rsidRPr="001912F1">
        <w:object w:dxaOrig="10980" w:dyaOrig="8652" w14:anchorId="1B3902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355.5pt" o:ole="">
            <v:imagedata r:id="rId8" o:title=""/>
          </v:shape>
          <o:OLEObject Type="Embed" ProgID="Visio.Drawing.15" ShapeID="_x0000_i1025" DrawAspect="Content" ObjectID="_1737956495" r:id="rId9"/>
        </w:object>
      </w:r>
    </w:p>
    <w:p w14:paraId="47198ED0" w14:textId="78E51580" w:rsidR="00865CFF" w:rsidRDefault="009A7153" w:rsidP="00124C9D">
      <w:pPr>
        <w:spacing w:line="480" w:lineRule="auto"/>
        <w:jc w:val="both"/>
        <w:rPr>
          <w:rFonts w:ascii="Times New Roman" w:hAnsi="Times New Roman" w:cs="Times New Roman"/>
        </w:rPr>
      </w:pPr>
      <w:r w:rsidRPr="001912F1">
        <w:rPr>
          <w:rFonts w:ascii="Times New Roman" w:hAnsi="Times New Roman" w:cs="Times New Roman"/>
          <w:b/>
          <w:bCs/>
        </w:rPr>
        <w:t>Fig. 1</w:t>
      </w:r>
      <w:r w:rsidRPr="001912F1">
        <w:rPr>
          <w:rFonts w:ascii="Times New Roman" w:hAnsi="Times New Roman" w:cs="Times New Roman"/>
        </w:rPr>
        <w:t>. A flowchart of the literature sampling procedure</w:t>
      </w:r>
    </w:p>
    <w:p w14:paraId="0776D22E" w14:textId="1BD52B99" w:rsidR="00CB768B" w:rsidRPr="001912F1" w:rsidRDefault="00CB768B" w:rsidP="00CB768B">
      <w:pPr>
        <w:spacing w:line="480" w:lineRule="auto"/>
        <w:jc w:val="both"/>
        <w:rPr>
          <w:rFonts w:ascii="Times New Roman" w:hAnsi="Times New Roman" w:cs="Times New Roman"/>
        </w:rPr>
      </w:pPr>
      <w:r w:rsidRPr="001912F1">
        <w:rPr>
          <w:rFonts w:ascii="Times New Roman" w:hAnsi="Times New Roman" w:cs="Times New Roman"/>
        </w:rPr>
        <w:t xml:space="preserve">The full-text evaluation revealed forty (40) articles, which specifically addressed the risks of GB projects. The study further conducted a snowballing search (chain referral method) to identify other relevant articles. The snowballing strategy comprised backward snowballing (searching the reference lists of the included studies) and forward snowballing (searching </w:t>
      </w:r>
      <w:r w:rsidRPr="001912F1">
        <w:rPr>
          <w:rFonts w:ascii="Times New Roman" w:hAnsi="Times New Roman" w:cs="Times New Roman"/>
        </w:rPr>
        <w:lastRenderedPageBreak/>
        <w:t xml:space="preserve">articles citing the included studies) to increase the sample size </w:t>
      </w:r>
      <w:r w:rsidRPr="001912F1">
        <w:rPr>
          <w:rFonts w:ascii="Times New Roman" w:hAnsi="Times New Roman" w:cs="Times New Roman"/>
        </w:rPr>
        <w:fldChar w:fldCharType="begin" w:fldLock="1"/>
      </w:r>
      <w:r>
        <w:rPr>
          <w:rFonts w:ascii="Times New Roman" w:hAnsi="Times New Roman" w:cs="Times New Roman"/>
        </w:rPr>
        <w:instrText>ADDIN CSL_CITATION { "citationItems" : [ { "id" : "ITEM-1", "itemData" : { "DOI" : "10.1145/2601248.2601268", "ISBN" : "9781450324762", "ISSN" : "09505849", "PMID" : "25246403", "abstract" : "Background: Systematic literature studies have become common in software engineering, and hence it is important to understand how to conduct them efficiently and reliably. Objective: This paper presents guidelines for conducting literature reviews using a snowballing approach, and they are illustrated and evaluated by replicating a published systematic literature review. Method: The guidelines are based on the experience from conducting several systematic literature reviews and experimenting with different approaches. Results: The guidelines for using snowballing as a way to search for relevant literature was successfully applied to a systematic literature review. Conclusions: It is concluded that using snowballing, as a first search strategy, may very well be a good alternative to the use of database searches.", "author" : [ { "dropping-particle" : "", "family" : "Wohlin", "given" : "Claes", "non-dropping-particle" : "", "parse-names" : false, "suffix" : "" } ], "container-title" : "Proceedings of the 18th International Conference on Evaluation and Assessment in Software Engineering - EASE '14", "id" : "ITEM-1", "issued" : { "date-parts" : [ [ "2014" ] ] }, "page" : "1-10", "publisher" : "Association for Computing Machinery (ACM)", "publisher-place" : "London, England, United Kingdom", "title" : "Guidelines for snowballing in systematic literature studies and a replication in software engineering", "type" : "paper-conference" }, "uris" : [ "http://www.mendeley.com/documents/?uuid=7a2ff6fe-daf4-4b6d-a1ff-dce00322d6ac" ] } ], "mendeley" : { "formattedCitation" : "[24]", "plainTextFormattedCitation" : "[24]", "previouslyFormattedCitation" : "[24]" }, "properties" : { "noteIndex" : 0 }, "schema" : "https://github.com/citation-style-language/schema/raw/master/csl-citation.json" }</w:instrText>
      </w:r>
      <w:r w:rsidRPr="001912F1">
        <w:rPr>
          <w:rFonts w:ascii="Times New Roman" w:hAnsi="Times New Roman" w:cs="Times New Roman"/>
        </w:rPr>
        <w:fldChar w:fldCharType="separate"/>
      </w:r>
      <w:r w:rsidRPr="00A172E2">
        <w:rPr>
          <w:rFonts w:ascii="Times New Roman" w:hAnsi="Times New Roman" w:cs="Times New Roman"/>
          <w:noProof/>
        </w:rPr>
        <w:t>[24]</w:t>
      </w:r>
      <w:r w:rsidRPr="001912F1">
        <w:rPr>
          <w:rFonts w:ascii="Times New Roman" w:hAnsi="Times New Roman" w:cs="Times New Roman"/>
        </w:rPr>
        <w:fldChar w:fldCharType="end"/>
      </w:r>
      <w:r w:rsidRPr="001912F1">
        <w:rPr>
          <w:rFonts w:ascii="Times New Roman" w:hAnsi="Times New Roman" w:cs="Times New Roman"/>
        </w:rPr>
        <w:t>. The additional articles identified became samples for a snowballing search, until no new articles were identified. The snowballing search revealed twenty (20) additional relevant studies, which were evaluated and included in the final sample. Thus, sixty (60) relevant articles were included in the study. Table 1 summarizes the references to the included studies.</w:t>
      </w:r>
    </w:p>
    <w:p w14:paraId="22A577FA" w14:textId="66BD8738" w:rsidR="00946AFF" w:rsidRPr="001912F1" w:rsidRDefault="00946AFF" w:rsidP="006F294D">
      <w:pPr>
        <w:spacing w:line="276" w:lineRule="auto"/>
        <w:jc w:val="both"/>
        <w:rPr>
          <w:rFonts w:ascii="Times New Roman" w:hAnsi="Times New Roman" w:cs="Times New Roman"/>
        </w:rPr>
      </w:pPr>
      <w:r w:rsidRPr="001912F1">
        <w:rPr>
          <w:rFonts w:ascii="Times New Roman" w:hAnsi="Times New Roman" w:cs="Times New Roman"/>
          <w:b/>
          <w:bCs/>
        </w:rPr>
        <w:t>Table 1</w:t>
      </w:r>
      <w:r w:rsidRPr="001912F1">
        <w:rPr>
          <w:rFonts w:ascii="Times New Roman" w:hAnsi="Times New Roman" w:cs="Times New Roman"/>
        </w:rPr>
        <w:t>. Reviewed articles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
        <w:gridCol w:w="4064"/>
        <w:gridCol w:w="564"/>
        <w:gridCol w:w="3918"/>
      </w:tblGrid>
      <w:tr w:rsidR="001912F1" w:rsidRPr="001912F1" w14:paraId="50AF2E55" w14:textId="77777777" w:rsidTr="00A06958">
        <w:tc>
          <w:tcPr>
            <w:tcW w:w="470" w:type="dxa"/>
            <w:tcBorders>
              <w:top w:val="single" w:sz="4" w:space="0" w:color="auto"/>
              <w:bottom w:val="single" w:sz="4" w:space="0" w:color="auto"/>
            </w:tcBorders>
          </w:tcPr>
          <w:p w14:paraId="6A25F0FD" w14:textId="77777777" w:rsidR="00F55BE6" w:rsidRPr="001912F1" w:rsidRDefault="00F55BE6" w:rsidP="00FD5957">
            <w:pPr>
              <w:rPr>
                <w:rFonts w:ascii="Times New Roman" w:hAnsi="Times New Roman" w:cs="Times New Roman"/>
                <w:sz w:val="22"/>
                <w:szCs w:val="22"/>
              </w:rPr>
            </w:pPr>
            <w:r w:rsidRPr="001912F1">
              <w:rPr>
                <w:rFonts w:ascii="Times New Roman" w:hAnsi="Times New Roman" w:cs="Times New Roman"/>
                <w:sz w:val="22"/>
                <w:szCs w:val="22"/>
              </w:rPr>
              <w:t>ID</w:t>
            </w:r>
          </w:p>
        </w:tc>
        <w:tc>
          <w:tcPr>
            <w:tcW w:w="4064" w:type="dxa"/>
            <w:tcBorders>
              <w:top w:val="single" w:sz="4" w:space="0" w:color="auto"/>
              <w:bottom w:val="single" w:sz="4" w:space="0" w:color="auto"/>
            </w:tcBorders>
          </w:tcPr>
          <w:p w14:paraId="4C9AFF83" w14:textId="77777777" w:rsidR="00F55BE6" w:rsidRPr="001912F1" w:rsidRDefault="00F55BE6" w:rsidP="00FD5957">
            <w:pPr>
              <w:rPr>
                <w:rFonts w:ascii="Times New Roman" w:hAnsi="Times New Roman" w:cs="Times New Roman"/>
                <w:sz w:val="22"/>
                <w:szCs w:val="22"/>
              </w:rPr>
            </w:pPr>
            <w:r w:rsidRPr="001912F1">
              <w:rPr>
                <w:rFonts w:ascii="Times New Roman" w:hAnsi="Times New Roman" w:cs="Times New Roman"/>
                <w:sz w:val="22"/>
                <w:szCs w:val="22"/>
              </w:rPr>
              <w:t>Study</w:t>
            </w:r>
          </w:p>
        </w:tc>
        <w:tc>
          <w:tcPr>
            <w:tcW w:w="564" w:type="dxa"/>
            <w:tcBorders>
              <w:top w:val="single" w:sz="4" w:space="0" w:color="auto"/>
              <w:bottom w:val="single" w:sz="4" w:space="0" w:color="auto"/>
            </w:tcBorders>
          </w:tcPr>
          <w:p w14:paraId="71492A1D" w14:textId="77777777" w:rsidR="00F55BE6" w:rsidRPr="001912F1" w:rsidRDefault="00F55BE6" w:rsidP="00FD5957">
            <w:pPr>
              <w:rPr>
                <w:rFonts w:ascii="Times New Roman" w:hAnsi="Times New Roman" w:cs="Times New Roman"/>
                <w:sz w:val="22"/>
                <w:szCs w:val="22"/>
              </w:rPr>
            </w:pPr>
            <w:r w:rsidRPr="001912F1">
              <w:rPr>
                <w:rFonts w:ascii="Times New Roman" w:hAnsi="Times New Roman" w:cs="Times New Roman"/>
                <w:sz w:val="22"/>
                <w:szCs w:val="22"/>
              </w:rPr>
              <w:t>ID</w:t>
            </w:r>
          </w:p>
        </w:tc>
        <w:tc>
          <w:tcPr>
            <w:tcW w:w="3918" w:type="dxa"/>
            <w:tcBorders>
              <w:top w:val="single" w:sz="4" w:space="0" w:color="auto"/>
              <w:bottom w:val="single" w:sz="4" w:space="0" w:color="auto"/>
            </w:tcBorders>
          </w:tcPr>
          <w:p w14:paraId="1EE19F76" w14:textId="77777777" w:rsidR="00F55BE6" w:rsidRPr="001912F1" w:rsidRDefault="00F55BE6" w:rsidP="00FD5957">
            <w:pPr>
              <w:rPr>
                <w:rFonts w:ascii="Times New Roman" w:hAnsi="Times New Roman" w:cs="Times New Roman"/>
                <w:sz w:val="22"/>
                <w:szCs w:val="22"/>
              </w:rPr>
            </w:pPr>
            <w:r w:rsidRPr="001912F1">
              <w:rPr>
                <w:rFonts w:ascii="Times New Roman" w:hAnsi="Times New Roman" w:cs="Times New Roman"/>
                <w:sz w:val="22"/>
                <w:szCs w:val="22"/>
              </w:rPr>
              <w:t>Study</w:t>
            </w:r>
          </w:p>
        </w:tc>
      </w:tr>
      <w:tr w:rsidR="001912F1" w:rsidRPr="001912F1" w14:paraId="46F3EE23" w14:textId="77777777" w:rsidTr="00A06958">
        <w:tc>
          <w:tcPr>
            <w:tcW w:w="470" w:type="dxa"/>
            <w:tcBorders>
              <w:top w:val="single" w:sz="4" w:space="0" w:color="auto"/>
            </w:tcBorders>
          </w:tcPr>
          <w:p w14:paraId="6B91631F" w14:textId="77777777" w:rsidR="00F55BE6" w:rsidRPr="001912F1" w:rsidRDefault="00F55BE6" w:rsidP="00FD5957">
            <w:pPr>
              <w:rPr>
                <w:rFonts w:ascii="Times New Roman" w:hAnsi="Times New Roman" w:cs="Times New Roman"/>
                <w:sz w:val="22"/>
                <w:szCs w:val="22"/>
              </w:rPr>
            </w:pPr>
            <w:r w:rsidRPr="001912F1">
              <w:rPr>
                <w:rFonts w:ascii="Times New Roman" w:hAnsi="Times New Roman" w:cs="Times New Roman"/>
                <w:sz w:val="22"/>
                <w:szCs w:val="22"/>
              </w:rPr>
              <w:t>1</w:t>
            </w:r>
          </w:p>
        </w:tc>
        <w:tc>
          <w:tcPr>
            <w:tcW w:w="4064" w:type="dxa"/>
            <w:tcBorders>
              <w:top w:val="single" w:sz="4" w:space="0" w:color="auto"/>
            </w:tcBorders>
          </w:tcPr>
          <w:p w14:paraId="439479D9" w14:textId="5DFD39B0" w:rsidR="00F55BE6" w:rsidRPr="001912F1" w:rsidRDefault="002A0D5C" w:rsidP="00FD5957">
            <w:pPr>
              <w:rPr>
                <w:rFonts w:ascii="Times New Roman" w:hAnsi="Times New Roman" w:cs="Times New Roman"/>
                <w:sz w:val="22"/>
                <w:szCs w:val="22"/>
              </w:rPr>
            </w:pPr>
            <w:proofErr w:type="spellStart"/>
            <w:r w:rsidRPr="001912F1">
              <w:rPr>
                <w:rFonts w:ascii="Times New Roman" w:hAnsi="Times New Roman" w:cs="Times New Roman"/>
                <w:sz w:val="22"/>
                <w:szCs w:val="22"/>
                <w:lang w:val="en-GB"/>
              </w:rPr>
              <w:t>Zerkin</w:t>
            </w:r>
            <w:proofErr w:type="spellEnd"/>
            <w:r w:rsidRPr="001912F1">
              <w:rPr>
                <w:rFonts w:ascii="Times New Roman" w:hAnsi="Times New Roman" w:cs="Times New Roman"/>
                <w:sz w:val="22"/>
                <w:szCs w:val="22"/>
                <w:lang w:val="en-GB"/>
              </w:rPr>
              <w:t xml:space="preserve"> </w:t>
            </w:r>
            <w:r w:rsidR="00F55BE6" w:rsidRPr="001912F1">
              <w:rPr>
                <w:rFonts w:ascii="Times New Roman" w:hAnsi="Times New Roman" w:cs="Times New Roman"/>
                <w:sz w:val="22"/>
                <w:szCs w:val="22"/>
                <w:lang w:val="en-GB"/>
              </w:rPr>
              <w:fldChar w:fldCharType="begin" w:fldLock="1"/>
            </w:r>
            <w:r w:rsidR="00792D4F">
              <w:rPr>
                <w:rFonts w:ascii="Times New Roman" w:hAnsi="Times New Roman" w:cs="Times New Roman"/>
                <w:sz w:val="22"/>
                <w:szCs w:val="22"/>
                <w:lang w:val="en-GB"/>
              </w:rPr>
              <w:instrText>ADDIN CSL_CITATION { "citationItems" : [ { "id" : "ITEM-1", "itemData" : { "DOI" : "10.1016/j.techsoc.2005.10.017", "ISSN" : "0160791X", "abstract" : "In the spring of 2002, recognizing that New York City was proving to be a difficult arena in which to do 'high performance building' and that this might have serious negative implications for the city's global position, the non-profit Center for Economic and Environmental Partnership, Inc. (CEEP), undertook the High Performance Building Initiative. Its premise was that if high performance building - an approach to construction aimed at, among other things, reduced environmental impact, improved public health, better security, and more flexible space - was to become mainstream in New York City, the high performance path would need to be perceived as reasonably predictable, posing only manageable risks and uncertainties. The purpose of the Initiative was to identify the barriers to high performance building in the city and to propose ways in which they could be reduced or eliminated. To accomplish this, CEEP convened interested and/or knowled geable individuals from the full range of relevant specializations and stakeholder perspectives. A final report [1], summarized herein, aggregated the participants' findings. The Initiative was both an important model of collaborative policy research and a valuable catalyst for change in both the public and private sectors. \u00a9 2005 Published by Elsevier Ltd.", "author" : [ { "dropping-particle" : "", "family" : "Zerkin", "given" : "Allen J.", "non-dropping-particle" : "", "parse-names" : false, "suffix" : "" } ], "container-title" : "Technology in Society", "id" : "ITEM-1", "issue" : "1-2", "issued" : { "date-parts" : [ [ "2006" ] ] }, "page" : "137-155", "title" : "Mainstreaming high performance building in New York City: A comprehensive roadmap for removing the barriers", "type" : "article-journal", "volume" : "28" }, "uris" : [ "http://www.mendeley.com/documents/?uuid=daae5acb-cfbf-471c-bf05-9f7553097991" ] } ], "mendeley" : { "formattedCitation" : "[25]", "plainTextFormattedCitation" : "[25]", "previouslyFormattedCitation" : "[25]" }, "properties" : { "noteIndex" : 0 }, "schema" : "https://github.com/citation-style-language/schema/raw/master/csl-citation.json" }</w:instrText>
            </w:r>
            <w:r w:rsidR="00F55BE6" w:rsidRPr="001912F1">
              <w:rPr>
                <w:rFonts w:ascii="Times New Roman" w:hAnsi="Times New Roman" w:cs="Times New Roman"/>
                <w:sz w:val="22"/>
                <w:szCs w:val="22"/>
                <w:lang w:val="en-GB"/>
              </w:rPr>
              <w:fldChar w:fldCharType="separate"/>
            </w:r>
            <w:r w:rsidR="00A172E2" w:rsidRPr="00A172E2">
              <w:rPr>
                <w:rFonts w:ascii="Times New Roman" w:hAnsi="Times New Roman" w:cs="Times New Roman"/>
                <w:noProof/>
                <w:sz w:val="22"/>
                <w:szCs w:val="22"/>
                <w:lang w:val="en-GB"/>
              </w:rPr>
              <w:t>[25]</w:t>
            </w:r>
            <w:r w:rsidR="00F55BE6" w:rsidRPr="001912F1">
              <w:rPr>
                <w:rFonts w:ascii="Times New Roman" w:hAnsi="Times New Roman" w:cs="Times New Roman"/>
                <w:sz w:val="22"/>
                <w:szCs w:val="22"/>
                <w:lang w:val="en-GB"/>
              </w:rPr>
              <w:fldChar w:fldCharType="end"/>
            </w:r>
          </w:p>
        </w:tc>
        <w:tc>
          <w:tcPr>
            <w:tcW w:w="564" w:type="dxa"/>
            <w:tcBorders>
              <w:top w:val="single" w:sz="4" w:space="0" w:color="auto"/>
            </w:tcBorders>
          </w:tcPr>
          <w:p w14:paraId="32134EBA" w14:textId="77777777" w:rsidR="00F55BE6" w:rsidRPr="001912F1" w:rsidRDefault="00F55BE6" w:rsidP="00FD5957">
            <w:pPr>
              <w:rPr>
                <w:rFonts w:ascii="Times New Roman" w:hAnsi="Times New Roman" w:cs="Times New Roman"/>
                <w:sz w:val="22"/>
                <w:szCs w:val="22"/>
              </w:rPr>
            </w:pPr>
            <w:r w:rsidRPr="001912F1">
              <w:rPr>
                <w:rFonts w:ascii="Times New Roman" w:hAnsi="Times New Roman" w:cs="Times New Roman"/>
                <w:sz w:val="22"/>
                <w:szCs w:val="22"/>
              </w:rPr>
              <w:t>31</w:t>
            </w:r>
          </w:p>
        </w:tc>
        <w:tc>
          <w:tcPr>
            <w:tcW w:w="3918" w:type="dxa"/>
            <w:tcBorders>
              <w:top w:val="single" w:sz="4" w:space="0" w:color="auto"/>
            </w:tcBorders>
          </w:tcPr>
          <w:p w14:paraId="29C007B2" w14:textId="74E3C659" w:rsidR="00F55BE6" w:rsidRPr="001912F1" w:rsidRDefault="00657383" w:rsidP="00FD5957">
            <w:pPr>
              <w:rPr>
                <w:rFonts w:ascii="Times New Roman" w:hAnsi="Times New Roman" w:cs="Times New Roman"/>
                <w:sz w:val="22"/>
                <w:szCs w:val="22"/>
              </w:rPr>
            </w:pPr>
            <w:proofErr w:type="spellStart"/>
            <w:r w:rsidRPr="001912F1">
              <w:rPr>
                <w:rFonts w:ascii="Times New Roman" w:hAnsi="Times New Roman" w:cs="Times New Roman"/>
                <w:sz w:val="22"/>
                <w:szCs w:val="22"/>
              </w:rPr>
              <w:t>Aktas</w:t>
            </w:r>
            <w:proofErr w:type="spellEnd"/>
            <w:r w:rsidRPr="001912F1">
              <w:rPr>
                <w:rFonts w:ascii="Times New Roman" w:hAnsi="Times New Roman" w:cs="Times New Roman"/>
                <w:sz w:val="22"/>
                <w:szCs w:val="22"/>
              </w:rPr>
              <w:t xml:space="preserve"> and </w:t>
            </w:r>
            <w:proofErr w:type="spellStart"/>
            <w:r w:rsidRPr="001912F1">
              <w:rPr>
                <w:rFonts w:ascii="Times New Roman" w:hAnsi="Times New Roman" w:cs="Times New Roman"/>
                <w:sz w:val="22"/>
                <w:szCs w:val="22"/>
              </w:rPr>
              <w:t>Ozorhon</w:t>
            </w:r>
            <w:proofErr w:type="spellEnd"/>
            <w:r w:rsidRPr="001912F1">
              <w:rPr>
                <w:rFonts w:ascii="Times New Roman" w:hAnsi="Times New Roman" w:cs="Times New Roman"/>
                <w:sz w:val="22"/>
                <w:szCs w:val="22"/>
              </w:rPr>
              <w:t xml:space="preserve"> </w:t>
            </w:r>
            <w:r w:rsidR="00F55BE6" w:rsidRPr="001912F1">
              <w:rPr>
                <w:rFonts w:ascii="Times New Roman" w:hAnsi="Times New Roman" w:cs="Times New Roman"/>
                <w:sz w:val="22"/>
                <w:szCs w:val="22"/>
              </w:rPr>
              <w:fldChar w:fldCharType="begin" w:fldLock="1"/>
            </w:r>
            <w:r w:rsidR="00792D4F">
              <w:rPr>
                <w:rFonts w:ascii="Times New Roman" w:hAnsi="Times New Roman" w:cs="Times New Roman"/>
                <w:sz w:val="22"/>
                <w:szCs w:val="22"/>
              </w:rPr>
              <w:instrText>ADDIN CSL_CITATION { "citationItems" : [ { "id" : "ITEM-1", "itemData" : { "DOI" : "10.1061/(asce)me.1943-5479.0000358", "ISSN" : "0742-597X", "abstract" : "AbstractSustainability has become a major concern for the construction industry. There has been a growing emphasis on green buildings in the last decade. Renovation is critical in terms of improving the energy efficiency of the building stock. In this paper, the green building certification process of existing buildings in developing countries is investigated. A qualitative case study methodology has been employed to gain a better understanding of the critical success factors of the greening and certification process. In this respect, six leadership in energy and environmental design (LEED)-certified projects in Turkey are examined. A framework is used to analyze the components of this process, including the drivers, resources, green implementations, barriers, enablers, benefits, and impacts. Unavailability of approved materials, poor design of the buildings, and difficulties with the documentation process have been major barriers. The barriers have been overcome through the commitment of the owners, top ...", "author" : [ { "dropping-particle" : "", "family" : "Aktas", "given" : "Bahacan", "non-dropping-particle" : "", "parse-names" : false, "suffix" : "" }, { "dropping-particle" : "", "family" : "Ozorhon", "given" : "Beliz", "non-dropping-particle" : "", "parse-names" : false, "suffix" : "" } ], "container-title" : "Journal of Management in Engineering", "id" : "ITEM-1", "issue" : "6", "issued" : { "date-parts" : [ [ "2015" ] ] }, "page" : "05015002", "title" : "Green Building Certification Process of Existing Buildings in Developing Countries: Cases from Turkey", "type" : "article-journal", "volume" : "31" }, "uris" : [ "http://www.mendeley.com/documents/?uuid=cad29272-80cd-40e5-a1aa-d1a55cad1485" ] } ], "mendeley" : { "formattedCitation" : "[9]", "plainTextFormattedCitation" : "[9]", "previouslyFormattedCitation" : "[9]" }, "properties" : { "noteIndex" : 0 }, "schema" : "https://github.com/citation-style-language/schema/raw/master/csl-citation.json" }</w:instrText>
            </w:r>
            <w:r w:rsidR="00F55BE6" w:rsidRPr="001912F1">
              <w:rPr>
                <w:rFonts w:ascii="Times New Roman" w:hAnsi="Times New Roman" w:cs="Times New Roman"/>
                <w:sz w:val="22"/>
                <w:szCs w:val="22"/>
              </w:rPr>
              <w:fldChar w:fldCharType="separate"/>
            </w:r>
            <w:r w:rsidR="00A172E2" w:rsidRPr="00A172E2">
              <w:rPr>
                <w:rFonts w:ascii="Times New Roman" w:hAnsi="Times New Roman" w:cs="Times New Roman"/>
                <w:noProof/>
                <w:sz w:val="22"/>
                <w:szCs w:val="22"/>
              </w:rPr>
              <w:t>[9]</w:t>
            </w:r>
            <w:r w:rsidR="00F55BE6" w:rsidRPr="001912F1">
              <w:rPr>
                <w:rFonts w:ascii="Times New Roman" w:hAnsi="Times New Roman" w:cs="Times New Roman"/>
                <w:sz w:val="22"/>
                <w:szCs w:val="22"/>
              </w:rPr>
              <w:fldChar w:fldCharType="end"/>
            </w:r>
          </w:p>
        </w:tc>
      </w:tr>
      <w:tr w:rsidR="001912F1" w:rsidRPr="001912F1" w14:paraId="744D8996" w14:textId="77777777" w:rsidTr="00A06958">
        <w:tc>
          <w:tcPr>
            <w:tcW w:w="470" w:type="dxa"/>
          </w:tcPr>
          <w:p w14:paraId="17039094" w14:textId="77777777" w:rsidR="00F55BE6" w:rsidRPr="001912F1" w:rsidRDefault="00F55BE6" w:rsidP="00FD5957">
            <w:pPr>
              <w:rPr>
                <w:rFonts w:ascii="Times New Roman" w:hAnsi="Times New Roman" w:cs="Times New Roman"/>
                <w:sz w:val="22"/>
                <w:szCs w:val="22"/>
              </w:rPr>
            </w:pPr>
            <w:r w:rsidRPr="001912F1">
              <w:rPr>
                <w:rFonts w:ascii="Times New Roman" w:hAnsi="Times New Roman" w:cs="Times New Roman"/>
                <w:sz w:val="22"/>
                <w:szCs w:val="22"/>
              </w:rPr>
              <w:t>2</w:t>
            </w:r>
          </w:p>
        </w:tc>
        <w:tc>
          <w:tcPr>
            <w:tcW w:w="4064" w:type="dxa"/>
          </w:tcPr>
          <w:p w14:paraId="7ECE4BC3" w14:textId="6D86BE31" w:rsidR="00F55BE6" w:rsidRPr="001912F1" w:rsidRDefault="00F820A6" w:rsidP="00FD5957">
            <w:pPr>
              <w:rPr>
                <w:rFonts w:ascii="Times New Roman" w:hAnsi="Times New Roman" w:cs="Times New Roman"/>
                <w:sz w:val="22"/>
                <w:szCs w:val="22"/>
              </w:rPr>
            </w:pPr>
            <w:r w:rsidRPr="001912F1">
              <w:rPr>
                <w:rFonts w:ascii="Times New Roman" w:hAnsi="Times New Roman" w:cs="Times New Roman"/>
                <w:sz w:val="22"/>
                <w:szCs w:val="22"/>
              </w:rPr>
              <w:t xml:space="preserve">Pitt et al. </w:t>
            </w:r>
            <w:r w:rsidR="00F55BE6" w:rsidRPr="001912F1">
              <w:rPr>
                <w:rFonts w:ascii="Times New Roman" w:hAnsi="Times New Roman" w:cs="Times New Roman"/>
                <w:sz w:val="22"/>
                <w:szCs w:val="22"/>
              </w:rPr>
              <w:fldChar w:fldCharType="begin" w:fldLock="1"/>
            </w:r>
            <w:r w:rsidR="00792D4F">
              <w:rPr>
                <w:rFonts w:ascii="Times New Roman" w:hAnsi="Times New Roman" w:cs="Times New Roman"/>
                <w:sz w:val="22"/>
                <w:szCs w:val="22"/>
              </w:rPr>
              <w:instrText>ADDIN CSL_CITATION { "citationItems" : [ { "id" : "ITEM-1", "itemData" : { "DOI" : "10.1108/14714170910950830", "ISSN" : "14770857", "abstract" : "Purpose \u2013 The purpose of this paper is to understand what factors best promote or prevent sustainable construction practices and establish the consistency of how sustainability is measured. Design/methodology/approach \u2013 A literature review considered the impact of the industry to sustainability and identified what action and initiatives are already in place. Through this, the main drivers, barriers, measures and benchmarks were identified. The opinions of building surveying professionals were sought and analysed. Findings \u2013 The paper suggested that fiscal incentives/penalties and regulations help to drive sustainable construction. Such financial implications are consistent with \u201caffordability\u201d being the biggest barrier highlighted. The majority of respondents believed the industry is taking some account of sustainability issues, but identified that more needs to be done. Originality/value \u2013 Sustainable development is an integral part of the lives and affects all aspects of business operations. This paper provides an in-depth insight into the level of sustainable development within the construction industry, identifying implications for both the demand and supply side. \u00a9 2009, Emerald Group Publishing Limited", "author" : [ { "dropping-particle" : "", "family" : "Pitt", "given" : "Michael", "non-dropping-particle" : "", "parse-names" : false, "suffix" : "" }, { "dropping-particle" : "", "family" : "Tucker", "given" : "Matthew", "non-dropping-particle" : "", "parse-names" : false, "suffix" : "" }, { "dropping-particle" : "", "family" : "Riley", "given" : "Mike", "non-dropping-particle" : "", "parse-names" : false, "suffix" : "" }, { "dropping-particle" : "", "family" : "Longden", "given" : "Jennifer", "non-dropping-particle" : "", "parse-names" : false, "suffix" : "" } ], "container-title" : "Construction Innovation", "id" : "ITEM-1", "issue" : "2", "issued" : { "date-parts" : [ [ "2009" ] ] }, "page" : "201-224", "title" : "Towards sustainable construction: Promotion and best practices", "type" : "article-journal", "volume" : "9" }, "uris" : [ "http://www.mendeley.com/documents/?uuid=f835dd5d-9421-484f-80df-afe9c51da42a" ] } ], "mendeley" : { "formattedCitation" : "[26]", "plainTextFormattedCitation" : "[26]", "previouslyFormattedCitation" : "[26]" }, "properties" : { "noteIndex" : 0 }, "schema" : "https://github.com/citation-style-language/schema/raw/master/csl-citation.json" }</w:instrText>
            </w:r>
            <w:r w:rsidR="00F55BE6" w:rsidRPr="001912F1">
              <w:rPr>
                <w:rFonts w:ascii="Times New Roman" w:hAnsi="Times New Roman" w:cs="Times New Roman"/>
                <w:sz w:val="22"/>
                <w:szCs w:val="22"/>
              </w:rPr>
              <w:fldChar w:fldCharType="separate"/>
            </w:r>
            <w:r w:rsidR="00A172E2" w:rsidRPr="00A172E2">
              <w:rPr>
                <w:rFonts w:ascii="Times New Roman" w:hAnsi="Times New Roman" w:cs="Times New Roman"/>
                <w:noProof/>
                <w:sz w:val="22"/>
                <w:szCs w:val="22"/>
              </w:rPr>
              <w:t>[26]</w:t>
            </w:r>
            <w:r w:rsidR="00F55BE6" w:rsidRPr="001912F1">
              <w:rPr>
                <w:rFonts w:ascii="Times New Roman" w:hAnsi="Times New Roman" w:cs="Times New Roman"/>
                <w:sz w:val="22"/>
                <w:szCs w:val="22"/>
              </w:rPr>
              <w:fldChar w:fldCharType="end"/>
            </w:r>
          </w:p>
        </w:tc>
        <w:tc>
          <w:tcPr>
            <w:tcW w:w="564" w:type="dxa"/>
          </w:tcPr>
          <w:p w14:paraId="4B3D7B6A" w14:textId="77777777" w:rsidR="00F55BE6" w:rsidRPr="001912F1" w:rsidRDefault="00F55BE6" w:rsidP="00FD5957">
            <w:pPr>
              <w:rPr>
                <w:rFonts w:ascii="Times New Roman" w:hAnsi="Times New Roman" w:cs="Times New Roman"/>
                <w:sz w:val="22"/>
                <w:szCs w:val="22"/>
              </w:rPr>
            </w:pPr>
            <w:r w:rsidRPr="001912F1">
              <w:rPr>
                <w:rFonts w:ascii="Times New Roman" w:hAnsi="Times New Roman" w:cs="Times New Roman"/>
                <w:sz w:val="22"/>
                <w:szCs w:val="22"/>
              </w:rPr>
              <w:t>32</w:t>
            </w:r>
          </w:p>
        </w:tc>
        <w:tc>
          <w:tcPr>
            <w:tcW w:w="3918" w:type="dxa"/>
          </w:tcPr>
          <w:p w14:paraId="10B469DA" w14:textId="39803CFF" w:rsidR="00F55BE6" w:rsidRPr="001912F1" w:rsidRDefault="00657383" w:rsidP="00FD5957">
            <w:pPr>
              <w:rPr>
                <w:rFonts w:ascii="Times New Roman" w:hAnsi="Times New Roman" w:cs="Times New Roman"/>
                <w:sz w:val="22"/>
                <w:szCs w:val="22"/>
              </w:rPr>
            </w:pPr>
            <w:r w:rsidRPr="001912F1">
              <w:rPr>
                <w:rFonts w:ascii="Times New Roman" w:hAnsi="Times New Roman" w:cs="Times New Roman"/>
                <w:sz w:val="22"/>
                <w:szCs w:val="22"/>
              </w:rPr>
              <w:t>Hwang et al.</w:t>
            </w:r>
            <w:r w:rsidR="00F55BE6" w:rsidRPr="001912F1">
              <w:rPr>
                <w:rFonts w:ascii="Times New Roman" w:hAnsi="Times New Roman" w:cs="Times New Roman"/>
                <w:sz w:val="22"/>
                <w:szCs w:val="22"/>
              </w:rPr>
              <w:fldChar w:fldCharType="begin" w:fldLock="1"/>
            </w:r>
            <w:r w:rsidR="00792D4F">
              <w:rPr>
                <w:rFonts w:ascii="Times New Roman" w:hAnsi="Times New Roman" w:cs="Times New Roman"/>
                <w:sz w:val="22"/>
                <w:szCs w:val="22"/>
              </w:rPr>
              <w:instrText>ADDIN CSL_CITATION { "citationItems" : [ { "id" : "ITEM-1", "itemData" : { "DOI" : "10.1016/j.scs.2017.01.020", "ISSN" : "22106707", "abstract" : "Green buildings have achieved rapid development over the past two decades, yet research efforts on risk management in green building projects are still very limited. This study aims to identify and evaluate risk factors in green commercial building projects in Singapore, to compare their risk criticalities with those in traditional counterparts, and to propose mitigation measures that can tackle these risk factors. To achieve these goals, a comprehensive literature review and structured interviews were carried out, and a questionnaire survey was conducted with 25 Singapore-based construction companies. Survey results showed that the top five critical risk factors in green commercial building projects were \u201cinflation,\u201d \u201ccurrency and interest rate volatility worsened by the import of green materials,\u201d \u201cdurability of green materials,\u201d \u201cdamages caused by human error,\u201d and \u201cshortage of green materials.\u201d Results also showed that green commercial building projects faced risks of design change and poor construction quality for less criticality than their traditional counterparts, but that the adoptions of green ideas, materials, and technologies had posed additional risks to green commercial building projects. Additionally, seven widely used risk mitigation measures were also proposed by this study.", "author" : [ { "dropping-particle" : "", "family" : "Hwang", "given" : "Bon gang", "non-dropping-particle" : "", "parse-names" : false, "suffix" : "" }, { "dropping-particle" : "", "family" : "Shan", "given" : "Ming", "non-dropping-particle" : "", "parse-names" : false, "suffix" : "" }, { "dropping-particle" : "", "family" : "Supa'at", "given" : "Nur Nadiah Binte", "non-dropping-particle" : "", "parse-names" : false, "suffix" : "" } ], "container-title" : "Sustainable Cities and Society", "id" : "ITEM-1", "issued" : { "date-parts" : [ [ "2017" ] ] }, "page" : "237-247", "publisher" : "Elsevier B.V.", "title" : "Green commercial building projects in Singapore: Critical risk factors and mitigation measures", "type" : "article-journal", "volume" : "30" }, "uris" : [ "http://www.mendeley.com/documents/?uuid=11690b9a-aef6-408d-81b8-56fc47de4ec9" ] } ], "mendeley" : { "formattedCitation" : "[15]", "plainTextFormattedCitation" : "[15]", "previouslyFormattedCitation" : "[15]" }, "properties" : { "noteIndex" : 0 }, "schema" : "https://github.com/citation-style-language/schema/raw/master/csl-citation.json" }</w:instrText>
            </w:r>
            <w:r w:rsidR="00F55BE6" w:rsidRPr="001912F1">
              <w:rPr>
                <w:rFonts w:ascii="Times New Roman" w:hAnsi="Times New Roman" w:cs="Times New Roman"/>
                <w:sz w:val="22"/>
                <w:szCs w:val="22"/>
              </w:rPr>
              <w:fldChar w:fldCharType="separate"/>
            </w:r>
            <w:r w:rsidR="00A172E2" w:rsidRPr="00A172E2">
              <w:rPr>
                <w:rFonts w:ascii="Times New Roman" w:hAnsi="Times New Roman" w:cs="Times New Roman"/>
                <w:noProof/>
                <w:sz w:val="22"/>
                <w:szCs w:val="22"/>
              </w:rPr>
              <w:t>[15]</w:t>
            </w:r>
            <w:r w:rsidR="00F55BE6" w:rsidRPr="001912F1">
              <w:rPr>
                <w:rFonts w:ascii="Times New Roman" w:hAnsi="Times New Roman" w:cs="Times New Roman"/>
                <w:sz w:val="22"/>
                <w:szCs w:val="22"/>
              </w:rPr>
              <w:fldChar w:fldCharType="end"/>
            </w:r>
          </w:p>
        </w:tc>
      </w:tr>
      <w:tr w:rsidR="001912F1" w:rsidRPr="001912F1" w14:paraId="7B94380D" w14:textId="77777777" w:rsidTr="00A06958">
        <w:tc>
          <w:tcPr>
            <w:tcW w:w="470" w:type="dxa"/>
          </w:tcPr>
          <w:p w14:paraId="5DA444F0" w14:textId="77777777" w:rsidR="00F55BE6" w:rsidRPr="001912F1" w:rsidRDefault="00F55BE6" w:rsidP="00FD5957">
            <w:pPr>
              <w:rPr>
                <w:rFonts w:ascii="Times New Roman" w:hAnsi="Times New Roman" w:cs="Times New Roman"/>
                <w:sz w:val="22"/>
                <w:szCs w:val="22"/>
              </w:rPr>
            </w:pPr>
            <w:r w:rsidRPr="001912F1">
              <w:rPr>
                <w:rFonts w:ascii="Times New Roman" w:hAnsi="Times New Roman" w:cs="Times New Roman"/>
                <w:sz w:val="22"/>
                <w:szCs w:val="22"/>
              </w:rPr>
              <w:t>3</w:t>
            </w:r>
          </w:p>
        </w:tc>
        <w:tc>
          <w:tcPr>
            <w:tcW w:w="4064" w:type="dxa"/>
          </w:tcPr>
          <w:p w14:paraId="01F5985D" w14:textId="66617DBA" w:rsidR="00F55BE6" w:rsidRPr="001912F1" w:rsidRDefault="00F820A6" w:rsidP="00FD5957">
            <w:pPr>
              <w:rPr>
                <w:rFonts w:ascii="Times New Roman" w:hAnsi="Times New Roman" w:cs="Times New Roman"/>
                <w:sz w:val="22"/>
                <w:szCs w:val="22"/>
              </w:rPr>
            </w:pPr>
            <w:proofErr w:type="spellStart"/>
            <w:r w:rsidRPr="001912F1">
              <w:rPr>
                <w:rFonts w:ascii="Times New Roman" w:hAnsi="Times New Roman" w:cs="Times New Roman"/>
                <w:sz w:val="22"/>
                <w:szCs w:val="22"/>
              </w:rPr>
              <w:t>Ranaweera</w:t>
            </w:r>
            <w:proofErr w:type="spellEnd"/>
            <w:r w:rsidRPr="001912F1">
              <w:rPr>
                <w:rFonts w:ascii="Times New Roman" w:hAnsi="Times New Roman" w:cs="Times New Roman"/>
                <w:sz w:val="22"/>
                <w:szCs w:val="22"/>
              </w:rPr>
              <w:t xml:space="preserve"> and Crawford </w:t>
            </w:r>
            <w:r w:rsidR="00F55BE6" w:rsidRPr="001912F1">
              <w:rPr>
                <w:rFonts w:ascii="Times New Roman" w:hAnsi="Times New Roman" w:cs="Times New Roman"/>
                <w:sz w:val="22"/>
                <w:szCs w:val="22"/>
              </w:rPr>
              <w:fldChar w:fldCharType="begin" w:fldLock="1"/>
            </w:r>
            <w:r w:rsidR="00792D4F">
              <w:rPr>
                <w:rFonts w:ascii="Times New Roman" w:hAnsi="Times New Roman" w:cs="Times New Roman"/>
                <w:sz w:val="22"/>
                <w:szCs w:val="22"/>
              </w:rPr>
              <w:instrText>ADDIN CSL_CITATION { "citationItems" : [ { "id" : "ITEM-1", "itemData" : { "DOI" : "10.3992/jgb.5.2.129", "ISSN" : "19434618", "abstract" : "For sustainable buildings to become mainstream they must demonstrate not only improved environmental performance but also financial performance, benefiting both end users and investors. The perceived financial constraints and risks are often major barriers to sustainable design. This paper discusses the application of a new tool that formalizes the traditionally intuitive-based early-stage decision making processes and assesses the potential for creating a financially feasible best-practice sustainable building across a range of environmental, social and economic parameters, using the limited data available at the outset of a project. It considers the total cost of ownership, demonstrating the link between the recurrent and capital costs. A detailed feasibility assessment of those areas where greatest potential for improving environmental and financial performance exists can then be carried out, saving a considerable amount of time, money and effort otherwise spent on looking at all possible strategies for achieving a sustainable outcome. This approach also identifies areas where incorporating environmental strategies might be financially risky, reassuring investors and developers by reducing investment risks. By reducing some of these risks and perceived barriers to sustainable building development, it is hoped that clients and investors will be further encouraged to adopt a more sustainable approach to their building projects.", "author" : [ { "dropping-particle" : "", "family" : "Ranaweera", "given" : "Renuka", "non-dropping-particle" : "", "parse-names" : false, "suffix" : "" }, { "dropping-particle" : "", "family" : "Crawford", "given" : "Robert H.", "non-dropping-particle" : "", "parse-names" : false, "suffix" : "" } ], "container-title" : "Journal of Green Building", "id" : "ITEM-1", "issue" : "2", "issued" : { "date-parts" : [ [ "2010" ] ] }, "page" : "129-146", "title" : "Using early-stage assessment to reduce the financial risks and perceived barriers of sustainable buildings", "type" : "article-journal", "volume" : "5" }, "uris" : [ "http://www.mendeley.com/documents/?uuid=92f6342c-ca83-4135-84e5-15cf0852d828" ] } ], "mendeley" : { "formattedCitation" : "[8]", "plainTextFormattedCitation" : "[8]", "previouslyFormattedCitation" : "[8]" }, "properties" : { "noteIndex" : 0 }, "schema" : "https://github.com/citation-style-language/schema/raw/master/csl-citation.json" }</w:instrText>
            </w:r>
            <w:r w:rsidR="00F55BE6" w:rsidRPr="001912F1">
              <w:rPr>
                <w:rFonts w:ascii="Times New Roman" w:hAnsi="Times New Roman" w:cs="Times New Roman"/>
                <w:sz w:val="22"/>
                <w:szCs w:val="22"/>
              </w:rPr>
              <w:fldChar w:fldCharType="separate"/>
            </w:r>
            <w:r w:rsidR="00A172E2" w:rsidRPr="00A172E2">
              <w:rPr>
                <w:rFonts w:ascii="Times New Roman" w:hAnsi="Times New Roman" w:cs="Times New Roman"/>
                <w:noProof/>
                <w:sz w:val="22"/>
                <w:szCs w:val="22"/>
              </w:rPr>
              <w:t>[8]</w:t>
            </w:r>
            <w:r w:rsidR="00F55BE6" w:rsidRPr="001912F1">
              <w:rPr>
                <w:rFonts w:ascii="Times New Roman" w:hAnsi="Times New Roman" w:cs="Times New Roman"/>
                <w:sz w:val="22"/>
                <w:szCs w:val="22"/>
              </w:rPr>
              <w:fldChar w:fldCharType="end"/>
            </w:r>
          </w:p>
        </w:tc>
        <w:tc>
          <w:tcPr>
            <w:tcW w:w="564" w:type="dxa"/>
          </w:tcPr>
          <w:p w14:paraId="45E2CDD9" w14:textId="77777777" w:rsidR="00F55BE6" w:rsidRPr="001912F1" w:rsidRDefault="00F55BE6" w:rsidP="00FD5957">
            <w:pPr>
              <w:rPr>
                <w:rFonts w:ascii="Times New Roman" w:hAnsi="Times New Roman" w:cs="Times New Roman"/>
                <w:sz w:val="22"/>
                <w:szCs w:val="22"/>
              </w:rPr>
            </w:pPr>
            <w:r w:rsidRPr="001912F1">
              <w:rPr>
                <w:rFonts w:ascii="Times New Roman" w:hAnsi="Times New Roman" w:cs="Times New Roman"/>
                <w:sz w:val="22"/>
                <w:szCs w:val="22"/>
              </w:rPr>
              <w:t>33</w:t>
            </w:r>
          </w:p>
        </w:tc>
        <w:tc>
          <w:tcPr>
            <w:tcW w:w="3918" w:type="dxa"/>
          </w:tcPr>
          <w:p w14:paraId="28FFE22A" w14:textId="62FCBC18" w:rsidR="00F55BE6" w:rsidRPr="001912F1" w:rsidRDefault="00657383" w:rsidP="00FD5957">
            <w:pPr>
              <w:rPr>
                <w:rFonts w:ascii="Times New Roman" w:hAnsi="Times New Roman" w:cs="Times New Roman"/>
                <w:sz w:val="22"/>
                <w:szCs w:val="22"/>
              </w:rPr>
            </w:pPr>
            <w:r w:rsidRPr="001912F1">
              <w:rPr>
                <w:rFonts w:ascii="Times New Roman" w:hAnsi="Times New Roman" w:cs="Times New Roman"/>
                <w:sz w:val="22"/>
                <w:szCs w:val="22"/>
                <w:lang w:val="en-GB"/>
              </w:rPr>
              <w:t xml:space="preserve">An and Pivo </w:t>
            </w:r>
            <w:r w:rsidR="00F55BE6" w:rsidRPr="001912F1">
              <w:rPr>
                <w:rFonts w:ascii="Times New Roman" w:hAnsi="Times New Roman" w:cs="Times New Roman"/>
                <w:sz w:val="22"/>
                <w:szCs w:val="22"/>
                <w:lang w:val="en-GB"/>
              </w:rPr>
              <w:fldChar w:fldCharType="begin" w:fldLock="1"/>
            </w:r>
            <w:r w:rsidR="00792D4F">
              <w:rPr>
                <w:rFonts w:ascii="Times New Roman" w:hAnsi="Times New Roman" w:cs="Times New Roman"/>
                <w:sz w:val="22"/>
                <w:szCs w:val="22"/>
                <w:lang w:val="en-GB"/>
              </w:rPr>
              <w:instrText>ADDIN CSL_CITATION { "citationItems" : [ { "id" : "ITEM-1", "itemData" : { "DOI" : "10.1111/1540-6229.12228", "ISSN" : "15406229", "abstract" : "We study the impact of green building on loans in the CMBS market. A hazard model shows green buildings carry 34% less default risk, all else equal. A matched-sample analysis gives similar results. We attribute the effect to a loan-to-value channel, where risk is lowered by a green price premium. The benefit comes at least partly from the level of green achievement, not only the label itself. Loans on buildings that were green at loan origination have slightly better terms than loans on nongreen buildings. That difference is growing over time, but the effect is economically small compared to default risk.", "author" : [ { "dropping-particle" : "", "family" : "An", "given" : "Xudong", "non-dropping-particle" : "", "parse-names" : false, "suffix" : "" }, { "dropping-particle" : "", "family" : "Pivo", "given" : "Gary", "non-dropping-particle" : "", "parse-names" : false, "suffix" : "" } ], "container-title" : "Real Estate Economics", "id" : "ITEM-1", "issue" : "1", "issued" : { "date-parts" : [ [ "2020" ] ] }, "page" : "7-42", "title" : "Green Buildings in Commercial Mortgage-Backed Securities: The Effects of LEED and Energy Star Certification on Default Risk and Loan Terms", "type" : "article-journal", "volume" : "48" }, "uris" : [ "http://www.mendeley.com/documents/?uuid=3a9a86eb-423b-4759-a1bb-17e29e8345e1" ] } ], "mendeley" : { "formattedCitation" : "[27]", "plainTextFormattedCitation" : "[27]", "previouslyFormattedCitation" : "[27]" }, "properties" : { "noteIndex" : 0 }, "schema" : "https://github.com/citation-style-language/schema/raw/master/csl-citation.json" }</w:instrText>
            </w:r>
            <w:r w:rsidR="00F55BE6" w:rsidRPr="001912F1">
              <w:rPr>
                <w:rFonts w:ascii="Times New Roman" w:hAnsi="Times New Roman" w:cs="Times New Roman"/>
                <w:sz w:val="22"/>
                <w:szCs w:val="22"/>
                <w:lang w:val="en-GB"/>
              </w:rPr>
              <w:fldChar w:fldCharType="separate"/>
            </w:r>
            <w:r w:rsidR="00A172E2" w:rsidRPr="00A172E2">
              <w:rPr>
                <w:rFonts w:ascii="Times New Roman" w:hAnsi="Times New Roman" w:cs="Times New Roman"/>
                <w:noProof/>
                <w:sz w:val="22"/>
                <w:szCs w:val="22"/>
                <w:lang w:val="en-GB"/>
              </w:rPr>
              <w:t>[27]</w:t>
            </w:r>
            <w:r w:rsidR="00F55BE6" w:rsidRPr="001912F1">
              <w:rPr>
                <w:rFonts w:ascii="Times New Roman" w:hAnsi="Times New Roman" w:cs="Times New Roman"/>
                <w:sz w:val="22"/>
                <w:szCs w:val="22"/>
                <w:lang w:val="en-GB"/>
              </w:rPr>
              <w:fldChar w:fldCharType="end"/>
            </w:r>
          </w:p>
        </w:tc>
      </w:tr>
      <w:tr w:rsidR="001912F1" w:rsidRPr="001912F1" w14:paraId="4C8A111D" w14:textId="77777777" w:rsidTr="00A06958">
        <w:tc>
          <w:tcPr>
            <w:tcW w:w="470" w:type="dxa"/>
          </w:tcPr>
          <w:p w14:paraId="00373FEA" w14:textId="77777777" w:rsidR="00F55BE6" w:rsidRPr="001912F1" w:rsidRDefault="00F55BE6" w:rsidP="00FD5957">
            <w:pPr>
              <w:rPr>
                <w:rFonts w:ascii="Times New Roman" w:hAnsi="Times New Roman" w:cs="Times New Roman"/>
                <w:sz w:val="22"/>
                <w:szCs w:val="22"/>
              </w:rPr>
            </w:pPr>
            <w:r w:rsidRPr="001912F1">
              <w:rPr>
                <w:rFonts w:ascii="Times New Roman" w:hAnsi="Times New Roman" w:cs="Times New Roman"/>
                <w:sz w:val="22"/>
                <w:szCs w:val="22"/>
              </w:rPr>
              <w:t>4</w:t>
            </w:r>
          </w:p>
        </w:tc>
        <w:tc>
          <w:tcPr>
            <w:tcW w:w="4064" w:type="dxa"/>
          </w:tcPr>
          <w:p w14:paraId="629BAAC7" w14:textId="7C1D1A5E" w:rsidR="00F55BE6" w:rsidRPr="001912F1" w:rsidRDefault="00F820A6" w:rsidP="00FD5957">
            <w:pPr>
              <w:rPr>
                <w:rFonts w:ascii="Times New Roman" w:hAnsi="Times New Roman" w:cs="Times New Roman"/>
                <w:sz w:val="22"/>
                <w:szCs w:val="22"/>
              </w:rPr>
            </w:pPr>
            <w:proofErr w:type="spellStart"/>
            <w:r w:rsidRPr="001912F1">
              <w:rPr>
                <w:rFonts w:ascii="Times New Roman" w:hAnsi="Times New Roman" w:cs="Times New Roman"/>
                <w:sz w:val="22"/>
                <w:szCs w:val="22"/>
              </w:rPr>
              <w:t>Häkkinen</w:t>
            </w:r>
            <w:proofErr w:type="spellEnd"/>
            <w:r w:rsidRPr="001912F1">
              <w:rPr>
                <w:rFonts w:ascii="Times New Roman" w:hAnsi="Times New Roman" w:cs="Times New Roman"/>
                <w:sz w:val="22"/>
                <w:szCs w:val="22"/>
              </w:rPr>
              <w:t xml:space="preserve"> and </w:t>
            </w:r>
            <w:proofErr w:type="spellStart"/>
            <w:r w:rsidRPr="001912F1">
              <w:rPr>
                <w:rFonts w:ascii="Times New Roman" w:hAnsi="Times New Roman" w:cs="Times New Roman"/>
                <w:sz w:val="22"/>
                <w:szCs w:val="22"/>
              </w:rPr>
              <w:t>Belloni</w:t>
            </w:r>
            <w:proofErr w:type="spellEnd"/>
            <w:r w:rsidRPr="001912F1">
              <w:rPr>
                <w:rFonts w:ascii="Times New Roman" w:hAnsi="Times New Roman" w:cs="Times New Roman"/>
                <w:sz w:val="22"/>
                <w:szCs w:val="22"/>
              </w:rPr>
              <w:t xml:space="preserve"> </w:t>
            </w:r>
            <w:r w:rsidR="00F55BE6" w:rsidRPr="001912F1">
              <w:rPr>
                <w:rFonts w:ascii="Times New Roman" w:hAnsi="Times New Roman" w:cs="Times New Roman"/>
                <w:sz w:val="22"/>
                <w:szCs w:val="22"/>
              </w:rPr>
              <w:fldChar w:fldCharType="begin" w:fldLock="1"/>
            </w:r>
            <w:r w:rsidR="00792D4F">
              <w:rPr>
                <w:rFonts w:ascii="Times New Roman" w:hAnsi="Times New Roman" w:cs="Times New Roman"/>
                <w:sz w:val="22"/>
                <w:szCs w:val="22"/>
              </w:rPr>
              <w:instrText>ADDIN CSL_CITATION { "citationItems" : [ { "id" : "ITEM-1", "itemData" : { "DOI" : "10.1080/09613218.2011.561948", "ISSN" : "09613218", "abstract" : "What are the actual barriers and drivers for sustainable building? A literature review, interviews and case studies are presented to address this question. Sustainable building is not hindered by a lack of technologies and assessment methods, but is instead beset with organizational and procedural difficulties entailed by the adoption of new methods. New technologies are resisted because they require process changes entailing risks and unforeseen costs. These hindrances can be reduced by learning what kind of decision-making phases, new tasks, actors, roles and ways of networking are needed. The barriers are outlined as steering mechanisms, economics, a lack of client understanding, process (procurement and tendering, timing, cooperation and networking), and underpinning knowledge (knowledge and common language, the availability of methods and tools, innovation). The most important actions to promote sustainable building are the development of the awareness of clients about the benefits of sustainable building, the development and adoption of methods for sustainable building requirement management, the mobilization of sustainable building tools, the development of designers' competence and team working, and the development of new concepts and services. The interviews and case studies were carried out in Finland, but the results may be applicable or interesting to other countries as well. \u00a9 2011 Taylor &amp; Francis.", "author" : [ { "dropping-particle" : "", "family" : "H\u00e4kkinen", "given" : "Tarja", "non-dropping-particle" : "", "parse-names" : false, "suffix" : "" }, { "dropping-particle" : "", "family" : "Belloni", "given" : "Kaisa", "non-dropping-particle" : "", "parse-names" : false, "suffix" : "" } ], "container-title" : "Building Research and Information", "id" : "ITEM-1", "issue" : "3", "issued" : { "date-parts" : [ [ "2011" ] ] }, "page" : "239-255", "title" : "Barriers and drivers for sustainable building", "type" : "article-journal", "volume" : "39" }, "uris" : [ "http://www.mendeley.com/documents/?uuid=7fa56671-0397-479e-aec7-708637a215d1" ] } ], "mendeley" : { "formattedCitation" : "[13]", "plainTextFormattedCitation" : "[13]", "previouslyFormattedCitation" : "[13]" }, "properties" : { "noteIndex" : 0 }, "schema" : "https://github.com/citation-style-language/schema/raw/master/csl-citation.json" }</w:instrText>
            </w:r>
            <w:r w:rsidR="00F55BE6" w:rsidRPr="001912F1">
              <w:rPr>
                <w:rFonts w:ascii="Times New Roman" w:hAnsi="Times New Roman" w:cs="Times New Roman"/>
                <w:sz w:val="22"/>
                <w:szCs w:val="22"/>
              </w:rPr>
              <w:fldChar w:fldCharType="separate"/>
            </w:r>
            <w:r w:rsidR="00A172E2" w:rsidRPr="00A172E2">
              <w:rPr>
                <w:rFonts w:ascii="Times New Roman" w:hAnsi="Times New Roman" w:cs="Times New Roman"/>
                <w:noProof/>
                <w:sz w:val="22"/>
                <w:szCs w:val="22"/>
              </w:rPr>
              <w:t>[13]</w:t>
            </w:r>
            <w:r w:rsidR="00F55BE6" w:rsidRPr="001912F1">
              <w:rPr>
                <w:rFonts w:ascii="Times New Roman" w:hAnsi="Times New Roman" w:cs="Times New Roman"/>
                <w:sz w:val="22"/>
                <w:szCs w:val="22"/>
              </w:rPr>
              <w:fldChar w:fldCharType="end"/>
            </w:r>
          </w:p>
        </w:tc>
        <w:tc>
          <w:tcPr>
            <w:tcW w:w="564" w:type="dxa"/>
          </w:tcPr>
          <w:p w14:paraId="08F38C09" w14:textId="77777777" w:rsidR="00F55BE6" w:rsidRPr="001912F1" w:rsidRDefault="00F55BE6" w:rsidP="00FD5957">
            <w:pPr>
              <w:rPr>
                <w:rFonts w:ascii="Times New Roman" w:hAnsi="Times New Roman" w:cs="Times New Roman"/>
                <w:sz w:val="22"/>
                <w:szCs w:val="22"/>
              </w:rPr>
            </w:pPr>
            <w:r w:rsidRPr="001912F1">
              <w:rPr>
                <w:rFonts w:ascii="Times New Roman" w:hAnsi="Times New Roman" w:cs="Times New Roman"/>
                <w:sz w:val="22"/>
                <w:szCs w:val="22"/>
              </w:rPr>
              <w:t>34</w:t>
            </w:r>
          </w:p>
        </w:tc>
        <w:tc>
          <w:tcPr>
            <w:tcW w:w="3918" w:type="dxa"/>
          </w:tcPr>
          <w:p w14:paraId="024FDAD0" w14:textId="1FD18BC7" w:rsidR="00F55BE6" w:rsidRPr="001912F1" w:rsidRDefault="00657383" w:rsidP="00FD5957">
            <w:pPr>
              <w:rPr>
                <w:rFonts w:ascii="Times New Roman" w:hAnsi="Times New Roman" w:cs="Times New Roman"/>
                <w:sz w:val="22"/>
                <w:szCs w:val="22"/>
              </w:rPr>
            </w:pPr>
            <w:r w:rsidRPr="001912F1">
              <w:rPr>
                <w:rFonts w:ascii="Times New Roman" w:hAnsi="Times New Roman" w:cs="Times New Roman"/>
                <w:sz w:val="22"/>
                <w:szCs w:val="22"/>
                <w:lang w:val="en-GB"/>
              </w:rPr>
              <w:t xml:space="preserve">Guan et al. </w:t>
            </w:r>
            <w:r w:rsidR="00F55BE6" w:rsidRPr="001912F1">
              <w:rPr>
                <w:rFonts w:ascii="Times New Roman" w:hAnsi="Times New Roman" w:cs="Times New Roman"/>
                <w:sz w:val="22"/>
                <w:szCs w:val="22"/>
                <w:lang w:val="en-GB"/>
              </w:rPr>
              <w:fldChar w:fldCharType="begin" w:fldLock="1"/>
            </w:r>
            <w:r w:rsidR="00792D4F">
              <w:rPr>
                <w:rFonts w:ascii="Times New Roman" w:hAnsi="Times New Roman" w:cs="Times New Roman"/>
                <w:sz w:val="22"/>
                <w:szCs w:val="22"/>
                <w:lang w:val="en-GB"/>
              </w:rPr>
              <w:instrText>ADDIN CSL_CITATION { "citationItems" : [ { "id" : "ITEM-1", "itemData" : { "DOI" : "10.1016/j.jclepro.2020.120372", "ISSN" : "09596526", "abstract" : "Green building (GB) projects have attracted wide attention in the construction industry in recent years owing to numerous benefits of green practices for sustainable development. However, existing research efforts on GB project risk management are very limited, and no prior in-depth research has focused on studying the risk interdependencies in GB projects from the perspectives of both the project life cycle and multiple project risks. This paper begins by identifying and distinguishing GB project constraints from multiple GB project risks using a systematic literature review and then investigates, based on the Interpretive Structural Modeling (ISM) method, the risk interdependencies taking into account the identified 16 constraint factors, 22 risk factors and 11 objectives throughout a GB project life cycle. The importance of constraints and risk factors associated with GB project objectives was calculated based on the influence transmission through network paths in the established ISM-based model. In addition, the Matrice d'Impacts Crois\u00e9s Multiplication Appliqu\u00e9e \u00e1 un Classement (MICMAC) approach was used to analyze the drive and dependence powers of risk interdependency elements. Critical constraints and risk factors in the implementation of GB projects can be obtained from the proposed risk analysis model, which contributes to an in-depth risk perception of GB projects for industry practitioners and facilitates GB project risk management in a more effective way.", "author" : [ { "dropping-particle" : "", "family" : "Guan", "given" : "Li", "non-dropping-particle" : "", "parse-names" : false, "suffix" : "" }, { "dropping-particle" : "", "family" : "Abbasi", "given" : "Alireza", "non-dropping-particle" : "", "parse-names" : false, "suffix" : "" }, { "dropping-particle" : "", "family" : "Ryan", "given" : "Michael J.", "non-dropping-particle" : "", "parse-names" : false, "suffix" : "" } ], "container-title" : "Journal of Cleaner Production", "id" : "ITEM-1", "issued" : { "date-parts" : [ [ "2020" ] ] }, "page" : "120372", "publisher" : "Elsevier Ltd", "title" : "Analyzing green building project risk interdependencies using Interpretive Structural Modeling", "type" : "article-journal", "volume" : "256" }, "uris" : [ "http://www.mendeley.com/documents/?uuid=fad87b48-b75d-4f4f-b9e9-f097ba07f5f5" ] } ], "mendeley" : { "formattedCitation" : "[19]", "plainTextFormattedCitation" : "[19]", "previouslyFormattedCitation" : "[19]" }, "properties" : { "noteIndex" : 0 }, "schema" : "https://github.com/citation-style-language/schema/raw/master/csl-citation.json" }</w:instrText>
            </w:r>
            <w:r w:rsidR="00F55BE6" w:rsidRPr="001912F1">
              <w:rPr>
                <w:rFonts w:ascii="Times New Roman" w:hAnsi="Times New Roman" w:cs="Times New Roman"/>
                <w:sz w:val="22"/>
                <w:szCs w:val="22"/>
                <w:lang w:val="en-GB"/>
              </w:rPr>
              <w:fldChar w:fldCharType="separate"/>
            </w:r>
            <w:r w:rsidR="00A172E2" w:rsidRPr="00A172E2">
              <w:rPr>
                <w:rFonts w:ascii="Times New Roman" w:hAnsi="Times New Roman" w:cs="Times New Roman"/>
                <w:noProof/>
                <w:sz w:val="22"/>
                <w:szCs w:val="22"/>
                <w:lang w:val="en-GB"/>
              </w:rPr>
              <w:t>[19]</w:t>
            </w:r>
            <w:r w:rsidR="00F55BE6" w:rsidRPr="001912F1">
              <w:rPr>
                <w:rFonts w:ascii="Times New Roman" w:hAnsi="Times New Roman" w:cs="Times New Roman"/>
                <w:sz w:val="22"/>
                <w:szCs w:val="22"/>
                <w:lang w:val="en-GB"/>
              </w:rPr>
              <w:fldChar w:fldCharType="end"/>
            </w:r>
          </w:p>
        </w:tc>
      </w:tr>
      <w:tr w:rsidR="001912F1" w:rsidRPr="001912F1" w14:paraId="7967846A" w14:textId="77777777" w:rsidTr="00A06958">
        <w:tc>
          <w:tcPr>
            <w:tcW w:w="470" w:type="dxa"/>
          </w:tcPr>
          <w:p w14:paraId="67BF5E2D" w14:textId="77777777" w:rsidR="00F55BE6" w:rsidRPr="001912F1" w:rsidRDefault="00F55BE6" w:rsidP="00FD5957">
            <w:pPr>
              <w:rPr>
                <w:rFonts w:ascii="Times New Roman" w:hAnsi="Times New Roman" w:cs="Times New Roman"/>
                <w:sz w:val="22"/>
                <w:szCs w:val="22"/>
              </w:rPr>
            </w:pPr>
            <w:r w:rsidRPr="001912F1">
              <w:rPr>
                <w:rFonts w:ascii="Times New Roman" w:hAnsi="Times New Roman" w:cs="Times New Roman"/>
                <w:sz w:val="22"/>
                <w:szCs w:val="22"/>
              </w:rPr>
              <w:t>5</w:t>
            </w:r>
          </w:p>
        </w:tc>
        <w:tc>
          <w:tcPr>
            <w:tcW w:w="4064" w:type="dxa"/>
          </w:tcPr>
          <w:p w14:paraId="338CD09F" w14:textId="33D68B45" w:rsidR="00F55BE6" w:rsidRPr="001912F1" w:rsidRDefault="00F820A6" w:rsidP="00FD5957">
            <w:pPr>
              <w:rPr>
                <w:rFonts w:ascii="Times New Roman" w:hAnsi="Times New Roman" w:cs="Times New Roman"/>
                <w:sz w:val="22"/>
                <w:szCs w:val="22"/>
              </w:rPr>
            </w:pPr>
            <w:r w:rsidRPr="001912F1">
              <w:rPr>
                <w:rFonts w:ascii="Times New Roman" w:hAnsi="Times New Roman" w:cs="Times New Roman"/>
                <w:sz w:val="22"/>
                <w:szCs w:val="22"/>
              </w:rPr>
              <w:t xml:space="preserve">Hwang and Tan </w:t>
            </w:r>
            <w:r w:rsidR="00F55BE6" w:rsidRPr="001912F1">
              <w:rPr>
                <w:rFonts w:ascii="Times New Roman" w:hAnsi="Times New Roman" w:cs="Times New Roman"/>
                <w:sz w:val="22"/>
                <w:szCs w:val="22"/>
              </w:rPr>
              <w:fldChar w:fldCharType="begin" w:fldLock="1"/>
            </w:r>
            <w:r w:rsidR="00792D4F">
              <w:rPr>
                <w:rFonts w:ascii="Times New Roman" w:hAnsi="Times New Roman" w:cs="Times New Roman"/>
                <w:sz w:val="22"/>
                <w:szCs w:val="22"/>
              </w:rPr>
              <w:instrText>ADDIN CSL_CITATION { "citationItems" : [ { "id" : "ITEM-1", "itemData" : { "DOI" : "10.1002/sd.492", "author" : [ { "dropping-particle" : "", "family" : "Hwang", "given" : "Bon-gang", "non-dropping-particle" : "", "parse-names" : false, "suffix" : "" }, { "dropping-particle" : "", "family" : "Tan", "given" : "Jac See", "non-dropping-particle" : "", "parse-names" : false, "suffix" : "" } ], "container-title" : "Sustainable Development", "id" : "ITEM-1", "issue" : "July 2010", "issued" : { "date-parts" : [ [ "2012" ] ] }, "page" : "335-349", "title" : "Green Building Project Management: Obstacles and Solutions for Sustainable Development", "type" : "article-journal", "volume" : "349" }, "uris" : [ "http://www.mendeley.com/documents/?uuid=56b689f1-fa2d-4e2e-a0af-a784165b672e" ] } ], "mendeley" : { "formattedCitation" : "[28]", "plainTextFormattedCitation" : "[28]", "previouslyFormattedCitation" : "[28]" }, "properties" : { "noteIndex" : 0 }, "schema" : "https://github.com/citation-style-language/schema/raw/master/csl-citation.json" }</w:instrText>
            </w:r>
            <w:r w:rsidR="00F55BE6" w:rsidRPr="001912F1">
              <w:rPr>
                <w:rFonts w:ascii="Times New Roman" w:hAnsi="Times New Roman" w:cs="Times New Roman"/>
                <w:sz w:val="22"/>
                <w:szCs w:val="22"/>
              </w:rPr>
              <w:fldChar w:fldCharType="separate"/>
            </w:r>
            <w:r w:rsidR="00A172E2" w:rsidRPr="00A172E2">
              <w:rPr>
                <w:rFonts w:ascii="Times New Roman" w:hAnsi="Times New Roman" w:cs="Times New Roman"/>
                <w:noProof/>
                <w:sz w:val="22"/>
                <w:szCs w:val="22"/>
              </w:rPr>
              <w:t>[28]</w:t>
            </w:r>
            <w:r w:rsidR="00F55BE6" w:rsidRPr="001912F1">
              <w:rPr>
                <w:rFonts w:ascii="Times New Roman" w:hAnsi="Times New Roman" w:cs="Times New Roman"/>
                <w:sz w:val="22"/>
                <w:szCs w:val="22"/>
              </w:rPr>
              <w:fldChar w:fldCharType="end"/>
            </w:r>
          </w:p>
        </w:tc>
        <w:tc>
          <w:tcPr>
            <w:tcW w:w="564" w:type="dxa"/>
          </w:tcPr>
          <w:p w14:paraId="3C2C294C" w14:textId="77777777" w:rsidR="00F55BE6" w:rsidRPr="001912F1" w:rsidRDefault="00F55BE6" w:rsidP="00FD5957">
            <w:pPr>
              <w:rPr>
                <w:rFonts w:ascii="Times New Roman" w:hAnsi="Times New Roman" w:cs="Times New Roman"/>
                <w:sz w:val="22"/>
                <w:szCs w:val="22"/>
              </w:rPr>
            </w:pPr>
            <w:r w:rsidRPr="001912F1">
              <w:rPr>
                <w:rFonts w:ascii="Times New Roman" w:hAnsi="Times New Roman" w:cs="Times New Roman"/>
                <w:sz w:val="22"/>
                <w:szCs w:val="22"/>
              </w:rPr>
              <w:t>35</w:t>
            </w:r>
          </w:p>
        </w:tc>
        <w:tc>
          <w:tcPr>
            <w:tcW w:w="3918" w:type="dxa"/>
          </w:tcPr>
          <w:p w14:paraId="053911AB" w14:textId="5A093AAF" w:rsidR="00F55BE6" w:rsidRPr="001912F1" w:rsidRDefault="00657383" w:rsidP="00FD5957">
            <w:pPr>
              <w:rPr>
                <w:rFonts w:ascii="Times New Roman" w:hAnsi="Times New Roman" w:cs="Times New Roman"/>
                <w:sz w:val="22"/>
                <w:szCs w:val="22"/>
              </w:rPr>
            </w:pPr>
            <w:r w:rsidRPr="001912F1">
              <w:rPr>
                <w:rFonts w:ascii="Times New Roman" w:hAnsi="Times New Roman" w:cs="Times New Roman"/>
                <w:sz w:val="22"/>
                <w:szCs w:val="22"/>
              </w:rPr>
              <w:t>Qazi et al.</w:t>
            </w:r>
            <w:r w:rsidR="00F55BE6" w:rsidRPr="001912F1">
              <w:rPr>
                <w:rFonts w:ascii="Times New Roman" w:hAnsi="Times New Roman" w:cs="Times New Roman"/>
                <w:sz w:val="22"/>
                <w:szCs w:val="22"/>
              </w:rPr>
              <w:fldChar w:fldCharType="begin" w:fldLock="1"/>
            </w:r>
            <w:r w:rsidR="00792D4F">
              <w:rPr>
                <w:rFonts w:ascii="Times New Roman" w:hAnsi="Times New Roman" w:cs="Times New Roman"/>
                <w:sz w:val="22"/>
                <w:szCs w:val="22"/>
              </w:rPr>
              <w:instrText>ADDIN CSL_CITATION { "citationItems" : [ { "id" : "ITEM-1", "itemData" : { "DOI" : "10.1016/j.scs.2020.102576", "ISSN" : "22106707", "abstract" : "Sustainability-related risks and risk management frameworks have been introduced in the literature to help project managers identify and manage critical risks influencing project sustainability. Theoretically grounded in the framework of Monte Carlo Simulation, this paper introduces and operationalizes a new process for prioritizing sustainability-related project risks using risk matrix data. Sustainability-related construction project risks have never been assessed relative to different confidence levels across the risk matrix-based exposure zones. The application of the proposed process on construction projects completed in the United Arab Emirates reveals that the conventional risk prioritization scheme undermines the importance of tail risks (unexpected events), whereas such risks are captured in the proposed process. In contrast to the most critical risks identified using the conventional scheme such as shortage of client's funding, insufficient or incorrect sustainable design operation, and design changes, the proposed process prioritizes risks such as poor productivity of labor and equipment in sustainable construction, unreasonable tight schedule for sustainable construction, and poor scope definition of sustainable construction. The proposed process is generalizable to prioritizing risks influencing sustainability in international construction projects and beneficial for enhancing project sustainability as there is a huge uncertainty associated with sustainability-related risks.", "author" : [ { "dropping-particle" : "", "family" : "Qazi", "given" : "Abroon", "non-dropping-particle" : "", "parse-names" : false, "suffix" : "" }, { "dropping-particle" : "", "family" : "Shamayleh", "given" : "Abdulrahim", "non-dropping-particle" : "", "parse-names" : false, "suffix" : "" }, { "dropping-particle" : "", "family" : "El-Sayegh", "given" : "Sameh", "non-dropping-particle" : "", "parse-names" : false, "suffix" : "" }, { "dropping-particle" : "", "family" : "Formaneck", "given" : "Steven", "non-dropping-particle" : "", "parse-names" : false, "suffix" : "" } ], "container-title" : "Sustainable Cities and Society", "id" : "ITEM-1", "issue" : "October 2020", "issued" : { "date-parts" : [ [ "2021" ] ] }, "page" : "102576", "publisher" : "Elsevier Ltd", "title" : "Prioritizing risks in sustainable construction projects using a risk matrix-based Monte Carlo Simulation approach", "type" : "article-journal", "volume" : "65" }, "uris" : [ "http://www.mendeley.com/documents/?uuid=d343b87e-3e9d-492e-94c0-a48649785ed7" ] } ], "mendeley" : { "formattedCitation" : "[14]", "plainTextFormattedCitation" : "[14]", "previouslyFormattedCitation" : "[14]" }, "properties" : { "noteIndex" : 0 }, "schema" : "https://github.com/citation-style-language/schema/raw/master/csl-citation.json" }</w:instrText>
            </w:r>
            <w:r w:rsidR="00F55BE6" w:rsidRPr="001912F1">
              <w:rPr>
                <w:rFonts w:ascii="Times New Roman" w:hAnsi="Times New Roman" w:cs="Times New Roman"/>
                <w:sz w:val="22"/>
                <w:szCs w:val="22"/>
              </w:rPr>
              <w:fldChar w:fldCharType="separate"/>
            </w:r>
            <w:r w:rsidR="00A172E2" w:rsidRPr="00A172E2">
              <w:rPr>
                <w:rFonts w:ascii="Times New Roman" w:hAnsi="Times New Roman" w:cs="Times New Roman"/>
                <w:noProof/>
                <w:sz w:val="22"/>
                <w:szCs w:val="22"/>
              </w:rPr>
              <w:t>[14]</w:t>
            </w:r>
            <w:r w:rsidR="00F55BE6" w:rsidRPr="001912F1">
              <w:rPr>
                <w:rFonts w:ascii="Times New Roman" w:hAnsi="Times New Roman" w:cs="Times New Roman"/>
                <w:sz w:val="22"/>
                <w:szCs w:val="22"/>
              </w:rPr>
              <w:fldChar w:fldCharType="end"/>
            </w:r>
            <w:r w:rsidR="00F55BE6" w:rsidRPr="001912F1">
              <w:rPr>
                <w:rFonts w:ascii="Times New Roman" w:hAnsi="Times New Roman" w:cs="Times New Roman"/>
                <w:sz w:val="22"/>
                <w:szCs w:val="22"/>
                <w:lang w:val="en-GB"/>
              </w:rPr>
              <w:t xml:space="preserve"> </w:t>
            </w:r>
          </w:p>
        </w:tc>
      </w:tr>
      <w:tr w:rsidR="001912F1" w:rsidRPr="001912F1" w14:paraId="75480314" w14:textId="77777777" w:rsidTr="00A06958">
        <w:tc>
          <w:tcPr>
            <w:tcW w:w="470" w:type="dxa"/>
          </w:tcPr>
          <w:p w14:paraId="134FD8A9" w14:textId="77777777" w:rsidR="00F55BE6" w:rsidRPr="001912F1" w:rsidRDefault="00F55BE6" w:rsidP="00FD5957">
            <w:pPr>
              <w:rPr>
                <w:rFonts w:ascii="Times New Roman" w:hAnsi="Times New Roman" w:cs="Times New Roman"/>
                <w:sz w:val="22"/>
                <w:szCs w:val="22"/>
              </w:rPr>
            </w:pPr>
            <w:r w:rsidRPr="001912F1">
              <w:rPr>
                <w:rFonts w:ascii="Times New Roman" w:hAnsi="Times New Roman" w:cs="Times New Roman"/>
                <w:sz w:val="22"/>
                <w:szCs w:val="22"/>
              </w:rPr>
              <w:t>6</w:t>
            </w:r>
          </w:p>
        </w:tc>
        <w:tc>
          <w:tcPr>
            <w:tcW w:w="4064" w:type="dxa"/>
          </w:tcPr>
          <w:p w14:paraId="79379280" w14:textId="47F0745F" w:rsidR="00F55BE6" w:rsidRPr="001912F1" w:rsidRDefault="00F820A6" w:rsidP="00FD5957">
            <w:pPr>
              <w:rPr>
                <w:rFonts w:ascii="Times New Roman" w:hAnsi="Times New Roman" w:cs="Times New Roman"/>
                <w:sz w:val="22"/>
                <w:szCs w:val="22"/>
              </w:rPr>
            </w:pPr>
            <w:r w:rsidRPr="001912F1">
              <w:rPr>
                <w:rFonts w:ascii="Times New Roman" w:hAnsi="Times New Roman" w:cs="Times New Roman"/>
                <w:sz w:val="22"/>
                <w:szCs w:val="22"/>
              </w:rPr>
              <w:t xml:space="preserve">Zou and </w:t>
            </w:r>
            <w:proofErr w:type="spellStart"/>
            <w:r w:rsidRPr="001912F1">
              <w:rPr>
                <w:rFonts w:ascii="Times New Roman" w:hAnsi="Times New Roman" w:cs="Times New Roman"/>
                <w:sz w:val="22"/>
                <w:szCs w:val="22"/>
              </w:rPr>
              <w:t>Couani</w:t>
            </w:r>
            <w:proofErr w:type="spellEnd"/>
            <w:r w:rsidRPr="001912F1">
              <w:rPr>
                <w:rFonts w:ascii="Times New Roman" w:hAnsi="Times New Roman" w:cs="Times New Roman"/>
                <w:sz w:val="22"/>
                <w:szCs w:val="22"/>
              </w:rPr>
              <w:t xml:space="preserve"> </w:t>
            </w:r>
            <w:r w:rsidR="00F55BE6" w:rsidRPr="001912F1">
              <w:rPr>
                <w:rFonts w:ascii="Times New Roman" w:hAnsi="Times New Roman" w:cs="Times New Roman"/>
                <w:sz w:val="22"/>
                <w:szCs w:val="22"/>
              </w:rPr>
              <w:fldChar w:fldCharType="begin" w:fldLock="1"/>
            </w:r>
            <w:r w:rsidR="00792D4F">
              <w:rPr>
                <w:rFonts w:ascii="Times New Roman" w:hAnsi="Times New Roman" w:cs="Times New Roman"/>
                <w:sz w:val="22"/>
                <w:szCs w:val="22"/>
              </w:rPr>
              <w:instrText>ADDIN CSL_CITATION { "citationItems" : [ { "id" : "ITEM-1", "itemData" : { "DOI" : "10.1080/17452007.2012.659507", "ISSN" : "17527589", "abstract" : "The call for green building development provides the construction supply chain with new business opportunities. However, there are significant risks associated with such opportunities. This research aims at understanding the major risks and their distributions in the supply chain and developing strategies to manage these risks. 250 sets of survey questionnaires were set out to selected industry professionals in Australia and 93 sets were returned with 91 sets valid. The results show that the risks in green building development vary and are unequally distributed throughout the supply chain, but there are common risks with \u2018lack of commitment in the supply chain to go green\u2019 and \u2018higher investment costs\u2019 as the most important risks overall. The results also show that considerable improvement could be made to green building performance through research and development, training and education, supply chain co-ordination, knowledge and information sharing, experience accumulation and technology application. The research finding suggests that members in the supply chain: record green-related information in a central database; utilize expertise of green building professionals; clearly communicate green building objectives and responsibilities to all supply chain members; invest in greenbuilding training and education regarding responsibilities, benefits, technology and solutions; and team up with suppliers and manufacturers for developing green-complied products and materials.", "author" : [ { "dropping-particle" : "", "family" : "Zou", "given" : "Patrick X.W.", "non-dropping-particle" : "", "parse-names" : false, "suffix" : "" }, { "dropping-particle" : "", "family" : "Couani", "given" : "Paul", "non-dropping-particle" : "", "parse-names" : false, "suffix" : "" } ], "container-title" : "Architectural Engineering and Design Management", "id" : "ITEM-1", "issue" : "2", "issued" : { "date-parts" : [ [ "2012" ] ] }, "page" : "143-158", "title" : "Managing risks in green building supply chain", "type" : "article-journal", "volume" : "8" }, "uris" : [ "http://www.mendeley.com/documents/?uuid=e69165f8-c38a-4b64-a85d-f8dd1fb12f6a" ] } ], "mendeley" : { "formattedCitation" : "[29]", "plainTextFormattedCitation" : "[29]", "previouslyFormattedCitation" : "[29]" }, "properties" : { "noteIndex" : 0 }, "schema" : "https://github.com/citation-style-language/schema/raw/master/csl-citation.json" }</w:instrText>
            </w:r>
            <w:r w:rsidR="00F55BE6" w:rsidRPr="001912F1">
              <w:rPr>
                <w:rFonts w:ascii="Times New Roman" w:hAnsi="Times New Roman" w:cs="Times New Roman"/>
                <w:sz w:val="22"/>
                <w:szCs w:val="22"/>
              </w:rPr>
              <w:fldChar w:fldCharType="separate"/>
            </w:r>
            <w:r w:rsidR="00A172E2" w:rsidRPr="00A172E2">
              <w:rPr>
                <w:rFonts w:ascii="Times New Roman" w:hAnsi="Times New Roman" w:cs="Times New Roman"/>
                <w:noProof/>
                <w:sz w:val="22"/>
                <w:szCs w:val="22"/>
              </w:rPr>
              <w:t>[29]</w:t>
            </w:r>
            <w:r w:rsidR="00F55BE6" w:rsidRPr="001912F1">
              <w:rPr>
                <w:rFonts w:ascii="Times New Roman" w:hAnsi="Times New Roman" w:cs="Times New Roman"/>
                <w:sz w:val="22"/>
                <w:szCs w:val="22"/>
              </w:rPr>
              <w:fldChar w:fldCharType="end"/>
            </w:r>
          </w:p>
        </w:tc>
        <w:tc>
          <w:tcPr>
            <w:tcW w:w="564" w:type="dxa"/>
          </w:tcPr>
          <w:p w14:paraId="63FC20CC" w14:textId="77777777" w:rsidR="00F55BE6" w:rsidRPr="001912F1" w:rsidRDefault="00F55BE6" w:rsidP="00FD5957">
            <w:pPr>
              <w:rPr>
                <w:rFonts w:ascii="Times New Roman" w:hAnsi="Times New Roman" w:cs="Times New Roman"/>
                <w:sz w:val="22"/>
                <w:szCs w:val="22"/>
              </w:rPr>
            </w:pPr>
            <w:r w:rsidRPr="001912F1">
              <w:rPr>
                <w:rFonts w:ascii="Times New Roman" w:hAnsi="Times New Roman" w:cs="Times New Roman"/>
                <w:sz w:val="22"/>
                <w:szCs w:val="22"/>
              </w:rPr>
              <w:t>36</w:t>
            </w:r>
          </w:p>
        </w:tc>
        <w:tc>
          <w:tcPr>
            <w:tcW w:w="3918" w:type="dxa"/>
          </w:tcPr>
          <w:p w14:paraId="5A832C51" w14:textId="21E79EB2" w:rsidR="00F55BE6" w:rsidRPr="001912F1" w:rsidRDefault="00657383" w:rsidP="00FD5957">
            <w:pPr>
              <w:rPr>
                <w:rFonts w:ascii="Times New Roman" w:hAnsi="Times New Roman" w:cs="Times New Roman"/>
                <w:sz w:val="22"/>
                <w:szCs w:val="22"/>
              </w:rPr>
            </w:pPr>
            <w:r w:rsidRPr="001912F1">
              <w:rPr>
                <w:rFonts w:ascii="Times New Roman" w:hAnsi="Times New Roman" w:cs="Times New Roman"/>
                <w:sz w:val="22"/>
                <w:szCs w:val="22"/>
                <w:lang w:val="en-GB"/>
              </w:rPr>
              <w:t>El-Sayegh et al.</w:t>
            </w:r>
            <w:r w:rsidR="00F55BE6" w:rsidRPr="001912F1">
              <w:rPr>
                <w:rFonts w:ascii="Times New Roman" w:hAnsi="Times New Roman" w:cs="Times New Roman"/>
                <w:sz w:val="22"/>
                <w:szCs w:val="22"/>
                <w:lang w:val="en-GB"/>
              </w:rPr>
              <w:fldChar w:fldCharType="begin" w:fldLock="1"/>
            </w:r>
            <w:r w:rsidR="00792D4F">
              <w:rPr>
                <w:rFonts w:ascii="Times New Roman" w:hAnsi="Times New Roman" w:cs="Times New Roman"/>
                <w:sz w:val="22"/>
                <w:szCs w:val="22"/>
                <w:lang w:val="en-GB"/>
              </w:rPr>
              <w:instrText>ADDIN CSL_CITATION { "citationItems" : [ { "id" : "ITEM-1", "itemData" : { "DOI" : "10.1080/15623599.2018.1536963", "ISSN" : "15623599", "abstract" : "There is a big shift towards sustainable construction projects in the United Arab Emirates (UAE). Sustainable construction projects are riskier than traditional projects. The purpose of this paper is to identify and assess the risks in sustainable construction projects in the UAE. This will help project participants to properly manage these risks in their projects. A list of thirty risks was identified based on literature review. These risks were grouped into five categories: management, technical, green team, green materials and regulatory/economic. A survey was then developed and sent to professionals from the UAE. The respondents evaluated each risk in terms of its probability of occurrence and potential impact. Forty-four responses were collected. The thirty risks were ranked based on the risk severity (probability multiplied by impact). The top five risks are shortage of clients\u2019 funding, insufficient or incorrect sustainable design information, design changes, unreasonably tight schedule for sustainable construction and poor scope definition in sustainable construction. Risk identification and assessment are important part of project risk management. This allows for appropriate risk response planning and control.", "author" : [ { "dropping-particle" : "", "family" : "El-Sayegh", "given" : "Sameh M.", "non-dropping-particle" : "", "parse-names" : false, "suffix" : "" }, { "dropping-particle" : "", "family" : "Manjikian", "given" : "Solair", "non-dropping-particle" : "", "parse-names" : false, "suffix" : "" }, { "dropping-particle" : "", "family" : "Ibrahim", "given" : "Ahmed", "non-dropping-particle" : "", "parse-names" : false, "suffix" : "" }, { "dropping-particle" : "", "family" : "Abouelyousr", "given" : "Ahmed", "non-dropping-particle" : "", "parse-names" : false, "suffix" : "" }, { "dropping-particle" : "", "family" : "Jabbour", "given" : "Raed", "non-dropping-particle" : "", "parse-names" : false, "suffix" : "" } ], "container-title" : "International Journal of Construction Management", "id" : "ITEM-1", "issue" : "4", "issued" : { "date-parts" : [ [ "2021" ] ] }, "page" : "327-336", "publisher" : "Taylor &amp; Francis", "title" : "Risk identification and assessment in sustainable construction projects in the UAE", "type" : "article-journal", "volume" : "21" }, "uris" : [ "http://www.mendeley.com/documents/?uuid=233d8ceb-657d-4fd5-99b0-028e6bc56e4e" ] } ], "mendeley" : { "formattedCitation" : "[30]", "plainTextFormattedCitation" : "[30]", "previouslyFormattedCitation" : "[30]" }, "properties" : { "noteIndex" : 0 }, "schema" : "https://github.com/citation-style-language/schema/raw/master/csl-citation.json" }</w:instrText>
            </w:r>
            <w:r w:rsidR="00F55BE6" w:rsidRPr="001912F1">
              <w:rPr>
                <w:rFonts w:ascii="Times New Roman" w:hAnsi="Times New Roman" w:cs="Times New Roman"/>
                <w:sz w:val="22"/>
                <w:szCs w:val="22"/>
                <w:lang w:val="en-GB"/>
              </w:rPr>
              <w:fldChar w:fldCharType="separate"/>
            </w:r>
            <w:r w:rsidR="00A172E2" w:rsidRPr="00A172E2">
              <w:rPr>
                <w:rFonts w:ascii="Times New Roman" w:hAnsi="Times New Roman" w:cs="Times New Roman"/>
                <w:noProof/>
                <w:sz w:val="22"/>
                <w:szCs w:val="22"/>
                <w:lang w:val="en-GB"/>
              </w:rPr>
              <w:t>[30]</w:t>
            </w:r>
            <w:r w:rsidR="00F55BE6" w:rsidRPr="001912F1">
              <w:rPr>
                <w:rFonts w:ascii="Times New Roman" w:hAnsi="Times New Roman" w:cs="Times New Roman"/>
                <w:sz w:val="22"/>
                <w:szCs w:val="22"/>
                <w:lang w:val="en-GB"/>
              </w:rPr>
              <w:fldChar w:fldCharType="end"/>
            </w:r>
          </w:p>
        </w:tc>
      </w:tr>
      <w:tr w:rsidR="001912F1" w:rsidRPr="001912F1" w14:paraId="0BE435E8" w14:textId="77777777" w:rsidTr="00A06958">
        <w:tc>
          <w:tcPr>
            <w:tcW w:w="470" w:type="dxa"/>
          </w:tcPr>
          <w:p w14:paraId="66AB066E" w14:textId="77777777" w:rsidR="00F55BE6" w:rsidRPr="001912F1" w:rsidRDefault="00F55BE6" w:rsidP="00FD5957">
            <w:pPr>
              <w:rPr>
                <w:rFonts w:ascii="Times New Roman" w:hAnsi="Times New Roman" w:cs="Times New Roman"/>
                <w:sz w:val="22"/>
                <w:szCs w:val="22"/>
              </w:rPr>
            </w:pPr>
            <w:r w:rsidRPr="001912F1">
              <w:rPr>
                <w:rFonts w:ascii="Times New Roman" w:hAnsi="Times New Roman" w:cs="Times New Roman"/>
                <w:sz w:val="22"/>
                <w:szCs w:val="22"/>
              </w:rPr>
              <w:t>7</w:t>
            </w:r>
          </w:p>
        </w:tc>
        <w:tc>
          <w:tcPr>
            <w:tcW w:w="4064" w:type="dxa"/>
          </w:tcPr>
          <w:p w14:paraId="4A22A704" w14:textId="27BD4391" w:rsidR="00F55BE6" w:rsidRPr="001912F1" w:rsidRDefault="00F820A6" w:rsidP="00FD5957">
            <w:pPr>
              <w:rPr>
                <w:rFonts w:ascii="Times New Roman" w:hAnsi="Times New Roman" w:cs="Times New Roman"/>
                <w:sz w:val="22"/>
                <w:szCs w:val="22"/>
              </w:rPr>
            </w:pPr>
            <w:r w:rsidRPr="001912F1">
              <w:rPr>
                <w:rFonts w:ascii="Times New Roman" w:hAnsi="Times New Roman" w:cs="Times New Roman"/>
                <w:sz w:val="22"/>
                <w:szCs w:val="22"/>
              </w:rPr>
              <w:t xml:space="preserve">Shi et al. </w:t>
            </w:r>
            <w:r w:rsidR="00F55BE6" w:rsidRPr="001912F1">
              <w:rPr>
                <w:rFonts w:ascii="Times New Roman" w:hAnsi="Times New Roman" w:cs="Times New Roman"/>
                <w:sz w:val="22"/>
                <w:szCs w:val="22"/>
              </w:rPr>
              <w:fldChar w:fldCharType="begin" w:fldLock="1"/>
            </w:r>
            <w:r w:rsidR="00792D4F">
              <w:rPr>
                <w:rFonts w:ascii="Times New Roman" w:hAnsi="Times New Roman" w:cs="Times New Roman"/>
                <w:sz w:val="22"/>
                <w:szCs w:val="22"/>
              </w:rPr>
              <w:instrText>ADDIN CSL_CITATION { "citationItems" : [ { "id" : "ITEM-1", "itemData" : { "DOI" : "10.1016/j.habitatint.2013.01.003", "ISSN" : "01973975", "abstract" : "Construction activities have significant impacts on the community and environment. As a result, green construction has been promoted to mitigate these issues. A questionnaire survey was conducted with major stakeholders of the construction industry in Shanghai to investigate issues associated with the adoption of green construction. The results showed that additional cost, incremental time and limited availability of green suppliers and information are critical barriers. Discussions were made to breakdown these barriers to foster green construction practice. This study provides a useful reference to both policy makers and industry practitioners to implement green construction. \u00a9 2013 Elsevier Ltd.", "author" : [ { "dropping-particle" : "", "family" : "Shi", "given" : "Qian", "non-dropping-particle" : "", "parse-names" : false, "suffix" : "" }, { "dropping-particle" : "", "family" : "Zuo", "given" : "Jian", "non-dropping-particle" : "", "parse-names" : false, "suffix" : "" }, { "dropping-particle" : "", "family" : "Huang", "given" : "Rui", "non-dropping-particle" : "", "parse-names" : false, "suffix" : "" }, { "dropping-particle" : "", "family" : "Huang", "given" : "Jing", "non-dropping-particle" : "", "parse-names" : false, "suffix" : "" }, { "dropping-particle" : "", "family" : "Pullen", "given" : "Stephen", "non-dropping-particle" : "", "parse-names" : false, "suffix" : "" } ], "container-title" : "Habitat International", "id" : "ITEM-1", "issued" : { "date-parts" : [ [ "2013" ] ] }, "page" : "1-8", "publisher" : "Elsevier Ltd", "title" : "Identifying the critical factors for green construction - An empirical study in China", "type" : "article-journal", "volume" : "40" }, "uris" : [ "http://www.mendeley.com/documents/?uuid=5a183a57-812b-416f-8686-59ed4189c167" ] } ], "mendeley" : { "formattedCitation" : "[31]", "plainTextFormattedCitation" : "[31]", "previouslyFormattedCitation" : "[31]" }, "properties" : { "noteIndex" : 0 }, "schema" : "https://github.com/citation-style-language/schema/raw/master/csl-citation.json" }</w:instrText>
            </w:r>
            <w:r w:rsidR="00F55BE6" w:rsidRPr="001912F1">
              <w:rPr>
                <w:rFonts w:ascii="Times New Roman" w:hAnsi="Times New Roman" w:cs="Times New Roman"/>
                <w:sz w:val="22"/>
                <w:szCs w:val="22"/>
              </w:rPr>
              <w:fldChar w:fldCharType="separate"/>
            </w:r>
            <w:r w:rsidR="00A172E2" w:rsidRPr="00A172E2">
              <w:rPr>
                <w:rFonts w:ascii="Times New Roman" w:hAnsi="Times New Roman" w:cs="Times New Roman"/>
                <w:noProof/>
                <w:sz w:val="22"/>
                <w:szCs w:val="22"/>
              </w:rPr>
              <w:t>[31]</w:t>
            </w:r>
            <w:r w:rsidR="00F55BE6" w:rsidRPr="001912F1">
              <w:rPr>
                <w:rFonts w:ascii="Times New Roman" w:hAnsi="Times New Roman" w:cs="Times New Roman"/>
                <w:sz w:val="22"/>
                <w:szCs w:val="22"/>
              </w:rPr>
              <w:fldChar w:fldCharType="end"/>
            </w:r>
          </w:p>
        </w:tc>
        <w:tc>
          <w:tcPr>
            <w:tcW w:w="564" w:type="dxa"/>
          </w:tcPr>
          <w:p w14:paraId="2E6E245D" w14:textId="77777777" w:rsidR="00F55BE6" w:rsidRPr="001912F1" w:rsidRDefault="00F55BE6" w:rsidP="00FD5957">
            <w:pPr>
              <w:rPr>
                <w:rFonts w:ascii="Times New Roman" w:hAnsi="Times New Roman" w:cs="Times New Roman"/>
                <w:sz w:val="22"/>
                <w:szCs w:val="22"/>
              </w:rPr>
            </w:pPr>
            <w:r w:rsidRPr="001912F1">
              <w:rPr>
                <w:rFonts w:ascii="Times New Roman" w:hAnsi="Times New Roman" w:cs="Times New Roman"/>
                <w:sz w:val="22"/>
                <w:szCs w:val="22"/>
              </w:rPr>
              <w:t>37</w:t>
            </w:r>
          </w:p>
        </w:tc>
        <w:tc>
          <w:tcPr>
            <w:tcW w:w="3918" w:type="dxa"/>
          </w:tcPr>
          <w:p w14:paraId="5275CA71" w14:textId="692A1DF1" w:rsidR="00F55BE6" w:rsidRPr="001912F1" w:rsidRDefault="00657383" w:rsidP="00FD5957">
            <w:pPr>
              <w:rPr>
                <w:rFonts w:ascii="Times New Roman" w:hAnsi="Times New Roman" w:cs="Times New Roman"/>
                <w:sz w:val="22"/>
                <w:szCs w:val="22"/>
              </w:rPr>
            </w:pPr>
            <w:proofErr w:type="spellStart"/>
            <w:r w:rsidRPr="001912F1">
              <w:rPr>
                <w:rFonts w:ascii="Times New Roman" w:hAnsi="Times New Roman" w:cs="Times New Roman"/>
                <w:sz w:val="22"/>
                <w:szCs w:val="22"/>
              </w:rPr>
              <w:t>Adabre</w:t>
            </w:r>
            <w:proofErr w:type="spellEnd"/>
            <w:r w:rsidRPr="001912F1">
              <w:rPr>
                <w:rFonts w:ascii="Times New Roman" w:hAnsi="Times New Roman" w:cs="Times New Roman"/>
                <w:sz w:val="22"/>
                <w:szCs w:val="22"/>
              </w:rPr>
              <w:t xml:space="preserve"> et al.</w:t>
            </w:r>
            <w:r w:rsidR="00F55BE6" w:rsidRPr="001912F1">
              <w:rPr>
                <w:rFonts w:ascii="Times New Roman" w:hAnsi="Times New Roman" w:cs="Times New Roman"/>
                <w:sz w:val="22"/>
                <w:szCs w:val="22"/>
              </w:rPr>
              <w:fldChar w:fldCharType="begin" w:fldLock="1"/>
            </w:r>
            <w:r w:rsidR="00792D4F">
              <w:rPr>
                <w:rFonts w:ascii="Times New Roman" w:hAnsi="Times New Roman" w:cs="Times New Roman"/>
                <w:sz w:val="22"/>
                <w:szCs w:val="22"/>
              </w:rPr>
              <w:instrText>ADDIN CSL_CITATION { "citationItems" : [ { "id" : "ITEM-1", "itemData" : { "DOI" : "10.1016/j.jobe.2021.102385", "ISSN" : "23527102", "abstract" : "Ensuring safe, affordable and energy efficient housing facilities to members of the general public by 2030 are prominent objectives delineated within the United Nation's (UN) Sustainable Development Goals (SDGs). However, attaining these goals has been negatively influenced by various risk factors. This study explores linear relationships among clusters of these risk factors and the sustainable development goals in the Ghanaian housing market. Specifically, 21 risk factors, established through a comprehensive literature review, were categorized into four main clusters/constructs, namely: 1) political and procurement risks; 2) financial-related risks; 3) design and construction risks and 4) operation and maintenance risks. A questionnaire survey was conducted with respondents mostly in the formal/regulated/controlled sector of the Ghanaian housing market. Partial least square structural equation modelling (PLS-SEM) on the data revealed causal relationships among constructs of risks that could influence the SDGs. Results revealed that only \u2018political and procurement risks\u2019 have a significant impact (t-value of 2.321) on the SDGs. Besides, this risk category has significant impacts on all the other risk categories with the highest impact (t-value of 4.538) on \u2018design and construction risks\u2019. The study contributes to the scientific literature by providing a novel investigation of the influence of risk constructs on the SDGs in housing. The study's findings may be used to influence research informed local policymakers and supranational organizations who seek to develop interventions/policies for reducing the housing crisis in most cities in Ghana and other sub-Saharan African countries.", "author" : [ { "dropping-particle" : "", "family" : "Adabre", "given" : "Michael Atafo", "non-dropping-particle" : "", "parse-names" : false, "suffix" : "" }, { "dropping-particle" : "", "family" : "Chan", "given" : "Albert P.C.", "non-dropping-particle" : "", "parse-names" : false, "suffix" : "" }, { "dropping-particle" : "", "family" : "Edwards", "given" : "David J.", "non-dropping-particle" : "", "parse-names" : false, "suffix" : "" }, { "dropping-particle" : "", "family" : "Adinyira", "given" : "Emmanuel", "non-dropping-particle" : "", "parse-names" : false, "suffix" : "" } ], "container-title" : "Journal of Building Engineering", "id" : "ITEM-1", "issue" : "March", "issued" : { "date-parts" : [ [ "2021" ] ] }, "page" : "102385", "publisher" : "Elsevier Ltd", "title" : "Assessing critical risk factors (CRFs) to sustainable housing: The perspective of a sub-Saharan African country", "type" : "article-journal", "volume" : "41" }, "uris" : [ "http://www.mendeley.com/documents/?uuid=d994fc39-f939-42c5-816d-2bca2a87b880" ] } ], "mendeley" : { "formattedCitation" : "[32]", "plainTextFormattedCitation" : "[32]", "previouslyFormattedCitation" : "[32]" }, "properties" : { "noteIndex" : 0 }, "schema" : "https://github.com/citation-style-language/schema/raw/master/csl-citation.json" }</w:instrText>
            </w:r>
            <w:r w:rsidR="00F55BE6" w:rsidRPr="001912F1">
              <w:rPr>
                <w:rFonts w:ascii="Times New Roman" w:hAnsi="Times New Roman" w:cs="Times New Roman"/>
                <w:sz w:val="22"/>
                <w:szCs w:val="22"/>
              </w:rPr>
              <w:fldChar w:fldCharType="separate"/>
            </w:r>
            <w:r w:rsidR="00A172E2" w:rsidRPr="00A172E2">
              <w:rPr>
                <w:rFonts w:ascii="Times New Roman" w:hAnsi="Times New Roman" w:cs="Times New Roman"/>
                <w:noProof/>
                <w:sz w:val="22"/>
                <w:szCs w:val="22"/>
              </w:rPr>
              <w:t>[32]</w:t>
            </w:r>
            <w:r w:rsidR="00F55BE6" w:rsidRPr="001912F1">
              <w:rPr>
                <w:rFonts w:ascii="Times New Roman" w:hAnsi="Times New Roman" w:cs="Times New Roman"/>
                <w:sz w:val="22"/>
                <w:szCs w:val="22"/>
              </w:rPr>
              <w:fldChar w:fldCharType="end"/>
            </w:r>
          </w:p>
        </w:tc>
      </w:tr>
      <w:tr w:rsidR="001912F1" w:rsidRPr="001912F1" w14:paraId="0CC78555" w14:textId="77777777" w:rsidTr="00A06958">
        <w:tc>
          <w:tcPr>
            <w:tcW w:w="470" w:type="dxa"/>
          </w:tcPr>
          <w:p w14:paraId="4CF4CB7D" w14:textId="77777777" w:rsidR="00F55BE6" w:rsidRPr="001912F1" w:rsidRDefault="00F55BE6" w:rsidP="00FD5957">
            <w:pPr>
              <w:rPr>
                <w:rFonts w:ascii="Times New Roman" w:hAnsi="Times New Roman" w:cs="Times New Roman"/>
                <w:sz w:val="22"/>
                <w:szCs w:val="22"/>
              </w:rPr>
            </w:pPr>
            <w:r w:rsidRPr="001912F1">
              <w:rPr>
                <w:rFonts w:ascii="Times New Roman" w:hAnsi="Times New Roman" w:cs="Times New Roman"/>
                <w:sz w:val="22"/>
                <w:szCs w:val="22"/>
              </w:rPr>
              <w:t>8</w:t>
            </w:r>
          </w:p>
        </w:tc>
        <w:tc>
          <w:tcPr>
            <w:tcW w:w="4064" w:type="dxa"/>
          </w:tcPr>
          <w:p w14:paraId="662F5BD1" w14:textId="6F299173" w:rsidR="00F55BE6" w:rsidRPr="001912F1" w:rsidRDefault="0027352C" w:rsidP="00FD5957">
            <w:pPr>
              <w:rPr>
                <w:rFonts w:ascii="Times New Roman" w:hAnsi="Times New Roman" w:cs="Times New Roman"/>
                <w:sz w:val="22"/>
                <w:szCs w:val="22"/>
              </w:rPr>
            </w:pPr>
            <w:r w:rsidRPr="001912F1">
              <w:rPr>
                <w:rFonts w:ascii="Times New Roman" w:hAnsi="Times New Roman" w:cs="Times New Roman"/>
                <w:sz w:val="22"/>
                <w:szCs w:val="22"/>
              </w:rPr>
              <w:t xml:space="preserve">Kasai and </w:t>
            </w:r>
            <w:proofErr w:type="spellStart"/>
            <w:r w:rsidRPr="001912F1">
              <w:rPr>
                <w:rFonts w:ascii="Times New Roman" w:hAnsi="Times New Roman" w:cs="Times New Roman"/>
                <w:sz w:val="22"/>
                <w:szCs w:val="22"/>
              </w:rPr>
              <w:t>Jabbour</w:t>
            </w:r>
            <w:proofErr w:type="spellEnd"/>
            <w:r w:rsidRPr="001912F1">
              <w:rPr>
                <w:rFonts w:ascii="Times New Roman" w:hAnsi="Times New Roman" w:cs="Times New Roman"/>
                <w:sz w:val="22"/>
                <w:szCs w:val="22"/>
              </w:rPr>
              <w:t xml:space="preserve"> </w:t>
            </w:r>
            <w:r w:rsidR="00F55BE6" w:rsidRPr="001912F1">
              <w:rPr>
                <w:rFonts w:ascii="Times New Roman" w:hAnsi="Times New Roman" w:cs="Times New Roman"/>
                <w:sz w:val="22"/>
                <w:szCs w:val="22"/>
              </w:rPr>
              <w:fldChar w:fldCharType="begin" w:fldLock="1"/>
            </w:r>
            <w:r w:rsidR="00792D4F">
              <w:rPr>
                <w:rFonts w:ascii="Times New Roman" w:hAnsi="Times New Roman" w:cs="Times New Roman"/>
                <w:sz w:val="22"/>
                <w:szCs w:val="22"/>
              </w:rPr>
              <w:instrText>ADDIN CSL_CITATION { "citationItems" : [ { "id" : "ITEM-1", "itemData" : { "DOI" : "10.1016/j.ijsbe.2014.05.004", "ISSN" : "22126104", "abstract" : "The objective of this short communication is to identify and analyze the main barriers to the adoption of green buildings at two traditional Schools/Colleges of Engineering in the state of S\u00e3o Paulo, Brazil. The methodological process employed is the multiple case studies used to diagnose the main barriers to installing green buildings in these two cases. The intention, of the institutions, to adopt greener buildings has been observed, considering the commitment of top management and that the institutions have put forth to accelerate this greening process. However, the barriers to adoption are evident, especially those of a technical and cultural origin. Based on these results, the study proposes possible solutions and guidelines to overcome such barriers, aimed at facilitating the adoption of green technologies in the buildings at Higher Education Institutions (HEIs)/Schools/Colleges of Engineering.", "author" : [ { "dropping-particle" : "", "family" : "Kasai", "given" : "Nayara", "non-dropping-particle" : "", "parse-names" : false, "suffix" : "" }, { "dropping-particle" : "", "family" : "Jabbour", "given" : "Charbel Jos\u00e9 Chiappetta", "non-dropping-particle" : "", "parse-names" : false, "suffix" : "" } ], "container-title" : "International Journal of Sustainable Built Environment", "id" : "ITEM-1", "issue" : "1", "issued" : { "date-parts" : [ [ "2014" ] ] }, "page" : "87-95", "title" : "Barriers to green buildings at two Brazilian Engineering Schools", "type" : "article-journal", "volume" : "3" }, "uris" : [ "http://www.mendeley.com/documents/?uuid=8df43dbd-9d14-4386-b744-69e3f63e6f37" ] } ], "mendeley" : { "formattedCitation" : "[33]", "plainTextFormattedCitation" : "[33]", "previouslyFormattedCitation" : "[33]" }, "properties" : { "noteIndex" : 0 }, "schema" : "https://github.com/citation-style-language/schema/raw/master/csl-citation.json" }</w:instrText>
            </w:r>
            <w:r w:rsidR="00F55BE6" w:rsidRPr="001912F1">
              <w:rPr>
                <w:rFonts w:ascii="Times New Roman" w:hAnsi="Times New Roman" w:cs="Times New Roman"/>
                <w:sz w:val="22"/>
                <w:szCs w:val="22"/>
              </w:rPr>
              <w:fldChar w:fldCharType="separate"/>
            </w:r>
            <w:r w:rsidR="00A172E2" w:rsidRPr="00A172E2">
              <w:rPr>
                <w:rFonts w:ascii="Times New Roman" w:hAnsi="Times New Roman" w:cs="Times New Roman"/>
                <w:noProof/>
                <w:sz w:val="22"/>
                <w:szCs w:val="22"/>
              </w:rPr>
              <w:t>[33]</w:t>
            </w:r>
            <w:r w:rsidR="00F55BE6" w:rsidRPr="001912F1">
              <w:rPr>
                <w:rFonts w:ascii="Times New Roman" w:hAnsi="Times New Roman" w:cs="Times New Roman"/>
                <w:sz w:val="22"/>
                <w:szCs w:val="22"/>
              </w:rPr>
              <w:fldChar w:fldCharType="end"/>
            </w:r>
          </w:p>
        </w:tc>
        <w:tc>
          <w:tcPr>
            <w:tcW w:w="564" w:type="dxa"/>
          </w:tcPr>
          <w:p w14:paraId="41E23FDC" w14:textId="77777777" w:rsidR="00F55BE6" w:rsidRPr="001912F1" w:rsidRDefault="00F55BE6" w:rsidP="00FD5957">
            <w:pPr>
              <w:rPr>
                <w:rFonts w:ascii="Times New Roman" w:hAnsi="Times New Roman" w:cs="Times New Roman"/>
                <w:sz w:val="22"/>
                <w:szCs w:val="22"/>
              </w:rPr>
            </w:pPr>
            <w:r w:rsidRPr="001912F1">
              <w:rPr>
                <w:rFonts w:ascii="Times New Roman" w:hAnsi="Times New Roman" w:cs="Times New Roman"/>
                <w:sz w:val="22"/>
                <w:szCs w:val="22"/>
              </w:rPr>
              <w:t>38</w:t>
            </w:r>
          </w:p>
        </w:tc>
        <w:tc>
          <w:tcPr>
            <w:tcW w:w="3918" w:type="dxa"/>
          </w:tcPr>
          <w:p w14:paraId="1FB8BA15" w14:textId="0BE191D1" w:rsidR="00F55BE6" w:rsidRPr="001912F1" w:rsidRDefault="00657383" w:rsidP="00FD5957">
            <w:pPr>
              <w:rPr>
                <w:rFonts w:ascii="Times New Roman" w:hAnsi="Times New Roman" w:cs="Times New Roman"/>
                <w:sz w:val="22"/>
                <w:szCs w:val="22"/>
              </w:rPr>
            </w:pPr>
            <w:r w:rsidRPr="001912F1">
              <w:rPr>
                <w:rFonts w:ascii="Times New Roman" w:hAnsi="Times New Roman" w:cs="Times New Roman"/>
                <w:sz w:val="22"/>
                <w:szCs w:val="22"/>
              </w:rPr>
              <w:t>Liu et al.</w:t>
            </w:r>
            <w:r w:rsidR="00F55BE6" w:rsidRPr="001912F1">
              <w:rPr>
                <w:rFonts w:ascii="Times New Roman" w:hAnsi="Times New Roman" w:cs="Times New Roman"/>
                <w:sz w:val="22"/>
                <w:szCs w:val="22"/>
              </w:rPr>
              <w:fldChar w:fldCharType="begin" w:fldLock="1"/>
            </w:r>
            <w:r w:rsidR="00792D4F">
              <w:rPr>
                <w:rFonts w:ascii="Times New Roman" w:hAnsi="Times New Roman" w:cs="Times New Roman"/>
                <w:sz w:val="22"/>
                <w:szCs w:val="22"/>
              </w:rPr>
              <w:instrText>ADDIN CSL_CITATION { "citationItems" : [ { "id" : "ITEM-1", "itemData" : { "DOI" : "10.1061/(asce)is.1943-555x.0000617", "ISSN" : "1076-0342", "abstract" : "International construction is a high-risk undertaking with multiple objectives and uncertainties. This study aims to clarify the complex relationships between the risks of international construction and the objectives of sustainable project performance. The scope of sustainable project performance includes the environment and health and safety in addition to the common project objectives of cost, time, and quality. A metanetwork modeling approach was adopted to analyze and evaluate the impact of each risk and its relationship with the project objectives, which were built using a case study and questionnaire data. The results indicate that despite the common impact of the increased material prices on the cost objective, the risk of environmental problems caused by contractors during the construction stage had the greatest impact on international construction. At the construction site, decision-makers or managers can clearly identify risk relationships and control the corresponding risks to the project objectives. This study identifies the relationships between the risks and the project objectives and can serve as a practical reference for managing international construction.", "author" : [ { "dropping-particle" : "", "family" : "Liu", "given" : "Mei", "non-dropping-particle" : "", "parse-names" : false, "suffix" : "" }, { "dropping-particle" : "", "family" : "Chong", "given" : "Heap-Yih", "non-dropping-particle" : "", "parse-names" : false, "suffix" : "" }, { "dropping-particle" : "", "family" : "Liao", "given" : "Pin-Chao", "non-dropping-particle" : "", "parse-names" : false, "suffix" : "" }, { "dropping-particle" : "", "family" : "Ganbat", "given" : "Tsenguun", "non-dropping-particle" : "", "parse-names" : false, "suffix" : "" } ], "container-title" : "Journal of Infrastructure Systems", "id" : "ITEM-1", "issue" : "3", "issued" : { "date-parts" : [ [ "2021" ] ] }, "page" : "04021020", "title" : "Risk-Based Metanetwork Modeling for Sustainable Project Performance in International Construction", "type" : "article-journal", "volume" : "27" }, "uris" : [ "http://www.mendeley.com/documents/?uuid=e115ef67-b4b5-4238-8790-18d6d96e0b70" ] } ], "mendeley" : { "formattedCitation" : "[34]", "plainTextFormattedCitation" : "[34]", "previouslyFormattedCitation" : "[34]" }, "properties" : { "noteIndex" : 0 }, "schema" : "https://github.com/citation-style-language/schema/raw/master/csl-citation.json" }</w:instrText>
            </w:r>
            <w:r w:rsidR="00F55BE6" w:rsidRPr="001912F1">
              <w:rPr>
                <w:rFonts w:ascii="Times New Roman" w:hAnsi="Times New Roman" w:cs="Times New Roman"/>
                <w:sz w:val="22"/>
                <w:szCs w:val="22"/>
              </w:rPr>
              <w:fldChar w:fldCharType="separate"/>
            </w:r>
            <w:r w:rsidR="00A172E2" w:rsidRPr="00A172E2">
              <w:rPr>
                <w:rFonts w:ascii="Times New Roman" w:hAnsi="Times New Roman" w:cs="Times New Roman"/>
                <w:noProof/>
                <w:sz w:val="22"/>
                <w:szCs w:val="22"/>
              </w:rPr>
              <w:t>[34]</w:t>
            </w:r>
            <w:r w:rsidR="00F55BE6" w:rsidRPr="001912F1">
              <w:rPr>
                <w:rFonts w:ascii="Times New Roman" w:hAnsi="Times New Roman" w:cs="Times New Roman"/>
                <w:sz w:val="22"/>
                <w:szCs w:val="22"/>
              </w:rPr>
              <w:fldChar w:fldCharType="end"/>
            </w:r>
          </w:p>
        </w:tc>
      </w:tr>
      <w:tr w:rsidR="001912F1" w:rsidRPr="001912F1" w14:paraId="47CB6A54" w14:textId="77777777" w:rsidTr="00A06958">
        <w:tc>
          <w:tcPr>
            <w:tcW w:w="470" w:type="dxa"/>
          </w:tcPr>
          <w:p w14:paraId="5D52CF37" w14:textId="77777777" w:rsidR="00F55BE6" w:rsidRPr="001912F1" w:rsidRDefault="00F55BE6" w:rsidP="00FD5957">
            <w:pPr>
              <w:rPr>
                <w:rFonts w:ascii="Times New Roman" w:hAnsi="Times New Roman" w:cs="Times New Roman"/>
                <w:sz w:val="22"/>
                <w:szCs w:val="22"/>
              </w:rPr>
            </w:pPr>
            <w:r w:rsidRPr="001912F1">
              <w:rPr>
                <w:rFonts w:ascii="Times New Roman" w:hAnsi="Times New Roman" w:cs="Times New Roman"/>
                <w:sz w:val="22"/>
                <w:szCs w:val="22"/>
              </w:rPr>
              <w:t>9</w:t>
            </w:r>
          </w:p>
        </w:tc>
        <w:tc>
          <w:tcPr>
            <w:tcW w:w="4064" w:type="dxa"/>
          </w:tcPr>
          <w:p w14:paraId="4CE459CE" w14:textId="1C1A2DF9" w:rsidR="00F55BE6" w:rsidRPr="001912F1" w:rsidRDefault="0027352C" w:rsidP="00FD5957">
            <w:pPr>
              <w:rPr>
                <w:rFonts w:ascii="Times New Roman" w:hAnsi="Times New Roman" w:cs="Times New Roman"/>
                <w:sz w:val="22"/>
                <w:szCs w:val="22"/>
              </w:rPr>
            </w:pPr>
            <w:r w:rsidRPr="001912F1">
              <w:rPr>
                <w:rFonts w:ascii="Times New Roman" w:hAnsi="Times New Roman" w:cs="Times New Roman"/>
                <w:sz w:val="22"/>
                <w:szCs w:val="22"/>
              </w:rPr>
              <w:t xml:space="preserve">Hwang et al. </w:t>
            </w:r>
            <w:r w:rsidR="00F55BE6" w:rsidRPr="001912F1">
              <w:rPr>
                <w:rFonts w:ascii="Times New Roman" w:hAnsi="Times New Roman" w:cs="Times New Roman"/>
                <w:sz w:val="22"/>
                <w:szCs w:val="22"/>
              </w:rPr>
              <w:fldChar w:fldCharType="begin" w:fldLock="1"/>
            </w:r>
            <w:r w:rsidR="00792D4F">
              <w:rPr>
                <w:rFonts w:ascii="Times New Roman" w:hAnsi="Times New Roman" w:cs="Times New Roman"/>
                <w:sz w:val="22"/>
                <w:szCs w:val="22"/>
              </w:rPr>
              <w:instrText>ADDIN CSL_CITATION { "citationItems" : [ { "id" : "ITEM-1", "itemData" : { "DOI" : "10.1002/pmj.21512", "ISSN" : "19389507", "abstract" : "The objectives of this study are to identify the risks in green retrofit projects in Singapore; analyze their risk criticalities; compare the risk criticalities between conventional and green retrofit projects; and provide mitigation measures for the critical risks. Twenty risks and 37 mitigation measures were identified from a literature review. A questionnaire survey was performed with 30 professionals experienced in green retrofits, and five post-survey interviews were conducted. The results indicated \"post-retrofit tenants' cooperation risk\" was the top risk, and that 19 risks were more critical in green retrofits than in conventional retrofits. Additionally, 28 mitigation measures obtained significant agreement.", "author" : [ { "dropping-particle" : "", "family" : "Hwang", "given" : "Bon Gang", "non-dropping-particle" : "", "parse-names" : false, "suffix" : "" }, { "dropping-particle" : "", "family" : "Zhao", "given" : "Xianbo", "non-dropping-particle" : "", "parse-names" : false, "suffix" : "" }, { "dropping-particle" : "", "family" : "See", "given" : "Yi Lin", "non-dropping-particle" : "", "parse-names" : false, "suffix" : "" }, { "dropping-particle" : "", "family" : "Zhong", "given" : "Yun", "non-dropping-particle" : "", "parse-names" : false, "suffix" : "" } ], "container-title" : "Project Management Journal", "id" : "ITEM-1", "issue" : "4", "issued" : { "date-parts" : [ [ "2015" ] ] }, "page" : "76-89", "title" : "Addressing Risks in Green Retrofit Projects: The Case of Singapore", "type" : "article-journal", "volume" : "46" }, "uris" : [ "http://www.mendeley.com/documents/?uuid=a8c38fb3-ff23-492e-9a94-127df5cfb339" ] } ], "mendeley" : { "formattedCitation" : "[35]", "plainTextFormattedCitation" : "[35]", "previouslyFormattedCitation" : "[35]" }, "properties" : { "noteIndex" : 0 }, "schema" : "https://github.com/citation-style-language/schema/raw/master/csl-citation.json" }</w:instrText>
            </w:r>
            <w:r w:rsidR="00F55BE6" w:rsidRPr="001912F1">
              <w:rPr>
                <w:rFonts w:ascii="Times New Roman" w:hAnsi="Times New Roman" w:cs="Times New Roman"/>
                <w:sz w:val="22"/>
                <w:szCs w:val="22"/>
              </w:rPr>
              <w:fldChar w:fldCharType="separate"/>
            </w:r>
            <w:r w:rsidR="00A172E2" w:rsidRPr="00A172E2">
              <w:rPr>
                <w:rFonts w:ascii="Times New Roman" w:hAnsi="Times New Roman" w:cs="Times New Roman"/>
                <w:noProof/>
                <w:sz w:val="22"/>
                <w:szCs w:val="22"/>
              </w:rPr>
              <w:t>[35]</w:t>
            </w:r>
            <w:r w:rsidR="00F55BE6" w:rsidRPr="001912F1">
              <w:rPr>
                <w:rFonts w:ascii="Times New Roman" w:hAnsi="Times New Roman" w:cs="Times New Roman"/>
                <w:sz w:val="22"/>
                <w:szCs w:val="22"/>
              </w:rPr>
              <w:fldChar w:fldCharType="end"/>
            </w:r>
          </w:p>
        </w:tc>
        <w:tc>
          <w:tcPr>
            <w:tcW w:w="564" w:type="dxa"/>
          </w:tcPr>
          <w:p w14:paraId="6F561218" w14:textId="77777777" w:rsidR="00F55BE6" w:rsidRPr="001912F1" w:rsidRDefault="00F55BE6" w:rsidP="00FD5957">
            <w:pPr>
              <w:rPr>
                <w:rFonts w:ascii="Times New Roman" w:hAnsi="Times New Roman" w:cs="Times New Roman"/>
                <w:sz w:val="22"/>
                <w:szCs w:val="22"/>
              </w:rPr>
            </w:pPr>
            <w:r w:rsidRPr="001912F1">
              <w:rPr>
                <w:rFonts w:ascii="Times New Roman" w:hAnsi="Times New Roman" w:cs="Times New Roman"/>
                <w:sz w:val="22"/>
                <w:szCs w:val="22"/>
              </w:rPr>
              <w:t>39</w:t>
            </w:r>
          </w:p>
        </w:tc>
        <w:tc>
          <w:tcPr>
            <w:tcW w:w="3918" w:type="dxa"/>
          </w:tcPr>
          <w:p w14:paraId="54010FE3" w14:textId="21FDAFA2" w:rsidR="00F55BE6" w:rsidRPr="001912F1" w:rsidRDefault="00657383" w:rsidP="00FD5957">
            <w:pPr>
              <w:rPr>
                <w:rFonts w:ascii="Times New Roman" w:hAnsi="Times New Roman" w:cs="Times New Roman"/>
                <w:sz w:val="22"/>
                <w:szCs w:val="22"/>
              </w:rPr>
            </w:pPr>
            <w:r w:rsidRPr="001912F1">
              <w:rPr>
                <w:rFonts w:ascii="Times New Roman" w:hAnsi="Times New Roman" w:cs="Times New Roman"/>
                <w:sz w:val="22"/>
                <w:szCs w:val="22"/>
              </w:rPr>
              <w:t>Love et al.</w:t>
            </w:r>
            <w:r w:rsidR="00F55BE6" w:rsidRPr="001912F1">
              <w:rPr>
                <w:rFonts w:ascii="Times New Roman" w:hAnsi="Times New Roman" w:cs="Times New Roman"/>
                <w:sz w:val="22"/>
                <w:szCs w:val="22"/>
              </w:rPr>
              <w:fldChar w:fldCharType="begin" w:fldLock="1"/>
            </w:r>
            <w:r w:rsidR="00792D4F">
              <w:rPr>
                <w:rFonts w:ascii="Times New Roman" w:hAnsi="Times New Roman" w:cs="Times New Roman"/>
                <w:sz w:val="22"/>
                <w:szCs w:val="22"/>
              </w:rPr>
              <w:instrText>ADDIN CSL_CITATION { "citationItems" : [ { "id" : "ITEM-1", "itemData" : { "DOI" : "10.1061/(asce)co.1943-7862.0000461", "ISSN" : "0733-9364", "abstract" : "The issues influencing the construction of Western Australia's first six-star Green Star energy-rated commercial office building are examined. Green Star is a comprehensive, national, voluntary environmental rating system that evaluates the environmental design and construction of buildings and is undertaken by the Green Building Council of Australia. A six-star rating signifies world leadership in environmentally sustainable design and construction. The case study presented in this paper describes how a client acted as a catalyst for driving the sustainability agenda. The client's key drivers for implementing sustainable technologies were procurement and organizational resources. Existing building regulations and a lack of government incentives were identified as being the main barriers to implementing sustainable technologies. The case findings presented provide an opportunity for clients and practitioners to learn from the experiences of others who have, and continue to address the environmental challenges facing the built environment. ? 2012 American Society of Civil Engineers.", "author" : [ { "dropping-particle" : "", "family" : "Love", "given" : "Peter E. D.", "non-dropping-particle" : "", "parse-names" : false, "suffix" : "" }, { "dropping-particle" : "", "family" : "Niedzweicki", "given" : "Michael", "non-dropping-particle" : "", "parse-names" : false, "suffix" : "" }, { "dropping-particle" : "", "family" : "Bullen", "given" : "Peter A.", "non-dropping-particle" : "", "parse-names" : false, "suffix" : "" }, { "dropping-particle" : "", "family" : "Edwards", "given" : "David J.", "non-dropping-particle" : "", "parse-names" : false, "suffix" : "" } ], "container-title" : "Journal of Construction Engineering and Management", "id" : "ITEM-1", "issue" : "5", "issued" : { "date-parts" : [ [ "2012" ] ] }, "page" : "652-660", "title" : "Achieving the Green Building Council of Australia\u2019s World Leadership Rating in an Office Building in Perth", "type" : "article-journal", "volume" : "138" }, "uris" : [ "http://www.mendeley.com/documents/?uuid=97748d44-ec74-4ba4-bb49-07c11f994677" ] } ], "mendeley" : { "formattedCitation" : "[36]", "plainTextFormattedCitation" : "[36]", "previouslyFormattedCitation" : "[36]" }, "properties" : { "noteIndex" : 0 }, "schema" : "https://github.com/citation-style-language/schema/raw/master/csl-citation.json" }</w:instrText>
            </w:r>
            <w:r w:rsidR="00F55BE6" w:rsidRPr="001912F1">
              <w:rPr>
                <w:rFonts w:ascii="Times New Roman" w:hAnsi="Times New Roman" w:cs="Times New Roman"/>
                <w:sz w:val="22"/>
                <w:szCs w:val="22"/>
              </w:rPr>
              <w:fldChar w:fldCharType="separate"/>
            </w:r>
            <w:r w:rsidR="00A172E2" w:rsidRPr="00A172E2">
              <w:rPr>
                <w:rFonts w:ascii="Times New Roman" w:hAnsi="Times New Roman" w:cs="Times New Roman"/>
                <w:noProof/>
                <w:sz w:val="22"/>
                <w:szCs w:val="22"/>
              </w:rPr>
              <w:t>[36]</w:t>
            </w:r>
            <w:r w:rsidR="00F55BE6" w:rsidRPr="001912F1">
              <w:rPr>
                <w:rFonts w:ascii="Times New Roman" w:hAnsi="Times New Roman" w:cs="Times New Roman"/>
                <w:sz w:val="22"/>
                <w:szCs w:val="22"/>
              </w:rPr>
              <w:fldChar w:fldCharType="end"/>
            </w:r>
          </w:p>
        </w:tc>
      </w:tr>
      <w:tr w:rsidR="001912F1" w:rsidRPr="001912F1" w14:paraId="2ABACCF8" w14:textId="77777777" w:rsidTr="00A06958">
        <w:tc>
          <w:tcPr>
            <w:tcW w:w="470" w:type="dxa"/>
          </w:tcPr>
          <w:p w14:paraId="61BB03D0" w14:textId="77777777" w:rsidR="00F55BE6" w:rsidRPr="001912F1" w:rsidRDefault="00F55BE6" w:rsidP="00FD5957">
            <w:pPr>
              <w:rPr>
                <w:rFonts w:ascii="Times New Roman" w:hAnsi="Times New Roman" w:cs="Times New Roman"/>
                <w:sz w:val="22"/>
                <w:szCs w:val="22"/>
              </w:rPr>
            </w:pPr>
            <w:r w:rsidRPr="001912F1">
              <w:rPr>
                <w:rFonts w:ascii="Times New Roman" w:hAnsi="Times New Roman" w:cs="Times New Roman"/>
                <w:sz w:val="22"/>
                <w:szCs w:val="22"/>
              </w:rPr>
              <w:t>10</w:t>
            </w:r>
          </w:p>
        </w:tc>
        <w:tc>
          <w:tcPr>
            <w:tcW w:w="4064" w:type="dxa"/>
          </w:tcPr>
          <w:p w14:paraId="5E8E2099" w14:textId="73181B8E" w:rsidR="00F55BE6" w:rsidRPr="001912F1" w:rsidRDefault="0027352C" w:rsidP="00FD5957">
            <w:pPr>
              <w:rPr>
                <w:rFonts w:ascii="Times New Roman" w:hAnsi="Times New Roman" w:cs="Times New Roman"/>
                <w:sz w:val="22"/>
                <w:szCs w:val="22"/>
              </w:rPr>
            </w:pPr>
            <w:r w:rsidRPr="001912F1">
              <w:rPr>
                <w:rFonts w:ascii="Times New Roman" w:hAnsi="Times New Roman" w:cs="Times New Roman"/>
                <w:sz w:val="22"/>
                <w:szCs w:val="22"/>
              </w:rPr>
              <w:t>Gan et al.</w:t>
            </w:r>
            <w:r w:rsidR="00F55BE6" w:rsidRPr="001912F1">
              <w:rPr>
                <w:rFonts w:ascii="Times New Roman" w:hAnsi="Times New Roman" w:cs="Times New Roman"/>
                <w:sz w:val="22"/>
                <w:szCs w:val="22"/>
              </w:rPr>
              <w:fldChar w:fldCharType="begin" w:fldLock="1"/>
            </w:r>
            <w:r w:rsidR="00792D4F">
              <w:rPr>
                <w:rFonts w:ascii="Times New Roman" w:hAnsi="Times New Roman" w:cs="Times New Roman"/>
                <w:sz w:val="22"/>
                <w:szCs w:val="22"/>
              </w:rPr>
              <w:instrText>ADDIN CSL_CITATION { "citationItems" : [ { "id" : "ITEM-1", "itemData" : { "DOI" : "10.1016/j.habitatint.2015.01.005", "ISSN" : "01973975", "abstract" : "Rapid urbanization in developing countries such as China has been creating unprecedented opportunities for the adoption of sustainable construction (SC). Owners, as a key driver of urbanization, play an influential role for other stakeholders to undertake SC practices. However, lacking their demands and requirements of owners were regarded as the main barriers for the adoption of SC. Notwithstanding the diversity of previous studies on the barriers to SC, there is a dearth of research from the owner's perspective. This paper presents an empirical study identifying the critical factors impeding the adoption of SC from the owners' point of view. A list of 25 factors was preliminarily identified through extensive literature review and interviews with industry professionals. This was followed by a questionnaire survey to collect owners' opinions on the relative importance of these factors. Using factor analysis, seven most critical factors are identified, namely, economic feasibility, awareness, support from project stakeholders, legislation and regulation, operability of SC, resource risk, and project management model. The research findings show that economic feasibility, awareness, legislation and regulation are the most important factors impeding owners in adopting SC practices. This implied that the government plays a vital role in removing the barriers impeding the greater adoption of SC by building owners in China. This is helpful for a transition to the low carbon urbanization.", "author" : [ { "dropping-particle" : "", "family" : "Gan", "given" : "Xiaolong", "non-dropping-particle" : "", "parse-names" : false, "suffix" : "" }, { "dropping-particle" : "", "family" : "Zuo", "given" : "Jian", "non-dropping-particle" : "", "parse-names" : false, "suffix" : "" }, { "dropping-particle" : "", "family" : "Ye", "given" : "Kunhui", "non-dropping-particle" : "", "parse-names" : false, "suffix" : "" }, { "dropping-particle" : "", "family" : "Skitmore", "given" : "Martin", "non-dropping-particle" : "", "parse-names" : false, "suffix" : "" }, { "dropping-particle" : "", "family" : "Xiong", "given" : "Bo", "non-dropping-particle" : "", "parse-names" : false, "suffix" : "" } ], "container-title" : "Habitat International", "id" : "ITEM-1", "issued" : { "date-parts" : [ [ "2015" ] ] }, "page" : "61-68", "publisher" : "Elsevier Ltd", "title" : "Why sustainable construction? Why not? An owner's perspective", "type" : "article-journal", "volume" : "47" }, "uris" : [ "http://www.mendeley.com/documents/?uuid=cb13ea56-8557-4bb5-80ae-6768b8de8584" ] } ], "mendeley" : { "formattedCitation" : "[37]", "plainTextFormattedCitation" : "[37]", "previouslyFormattedCitation" : "[37]" }, "properties" : { "noteIndex" : 0 }, "schema" : "https://github.com/citation-style-language/schema/raw/master/csl-citation.json" }</w:instrText>
            </w:r>
            <w:r w:rsidR="00F55BE6" w:rsidRPr="001912F1">
              <w:rPr>
                <w:rFonts w:ascii="Times New Roman" w:hAnsi="Times New Roman" w:cs="Times New Roman"/>
                <w:sz w:val="22"/>
                <w:szCs w:val="22"/>
              </w:rPr>
              <w:fldChar w:fldCharType="separate"/>
            </w:r>
            <w:r w:rsidR="00A172E2" w:rsidRPr="00A172E2">
              <w:rPr>
                <w:rFonts w:ascii="Times New Roman" w:hAnsi="Times New Roman" w:cs="Times New Roman"/>
                <w:noProof/>
                <w:sz w:val="22"/>
                <w:szCs w:val="22"/>
              </w:rPr>
              <w:t>[37]</w:t>
            </w:r>
            <w:r w:rsidR="00F55BE6" w:rsidRPr="001912F1">
              <w:rPr>
                <w:rFonts w:ascii="Times New Roman" w:hAnsi="Times New Roman" w:cs="Times New Roman"/>
                <w:sz w:val="22"/>
                <w:szCs w:val="22"/>
              </w:rPr>
              <w:fldChar w:fldCharType="end"/>
            </w:r>
          </w:p>
        </w:tc>
        <w:tc>
          <w:tcPr>
            <w:tcW w:w="564" w:type="dxa"/>
          </w:tcPr>
          <w:p w14:paraId="0D8565DA" w14:textId="77777777" w:rsidR="00F55BE6" w:rsidRPr="001912F1" w:rsidRDefault="00F55BE6" w:rsidP="00FD5957">
            <w:pPr>
              <w:rPr>
                <w:rFonts w:ascii="Times New Roman" w:hAnsi="Times New Roman" w:cs="Times New Roman"/>
                <w:sz w:val="22"/>
                <w:szCs w:val="22"/>
              </w:rPr>
            </w:pPr>
            <w:r w:rsidRPr="001912F1">
              <w:rPr>
                <w:rFonts w:ascii="Times New Roman" w:hAnsi="Times New Roman" w:cs="Times New Roman"/>
                <w:sz w:val="22"/>
                <w:szCs w:val="22"/>
              </w:rPr>
              <w:t>40</w:t>
            </w:r>
          </w:p>
        </w:tc>
        <w:tc>
          <w:tcPr>
            <w:tcW w:w="3918" w:type="dxa"/>
          </w:tcPr>
          <w:p w14:paraId="51A10E9F" w14:textId="0135F942" w:rsidR="00F55BE6" w:rsidRPr="001912F1" w:rsidRDefault="00657383" w:rsidP="00FD5957">
            <w:pPr>
              <w:rPr>
                <w:rFonts w:ascii="Times New Roman" w:hAnsi="Times New Roman" w:cs="Times New Roman"/>
                <w:sz w:val="22"/>
                <w:szCs w:val="22"/>
              </w:rPr>
            </w:pPr>
            <w:proofErr w:type="spellStart"/>
            <w:r w:rsidRPr="001912F1">
              <w:rPr>
                <w:rFonts w:ascii="Times New Roman" w:hAnsi="Times New Roman" w:cs="Times New Roman"/>
                <w:bCs/>
                <w:sz w:val="22"/>
                <w:szCs w:val="22"/>
              </w:rPr>
              <w:t>Dewlaney</w:t>
            </w:r>
            <w:proofErr w:type="spellEnd"/>
            <w:r w:rsidRPr="001912F1">
              <w:rPr>
                <w:rFonts w:ascii="Times New Roman" w:hAnsi="Times New Roman" w:cs="Times New Roman"/>
                <w:bCs/>
                <w:sz w:val="22"/>
                <w:szCs w:val="22"/>
              </w:rPr>
              <w:t xml:space="preserve"> et al.</w:t>
            </w:r>
            <w:r w:rsidR="00F55BE6" w:rsidRPr="001912F1">
              <w:rPr>
                <w:rFonts w:ascii="Times New Roman" w:hAnsi="Times New Roman" w:cs="Times New Roman"/>
                <w:bCs/>
                <w:sz w:val="22"/>
                <w:szCs w:val="22"/>
              </w:rPr>
              <w:fldChar w:fldCharType="begin" w:fldLock="1"/>
            </w:r>
            <w:r w:rsidR="00792D4F">
              <w:rPr>
                <w:rFonts w:ascii="Times New Roman" w:hAnsi="Times New Roman" w:cs="Times New Roman"/>
                <w:bCs/>
                <w:sz w:val="22"/>
                <w:szCs w:val="22"/>
              </w:rPr>
              <w:instrText>ADDIN CSL_CITATION { "citationItems" : [ { "id" : "ITEM-1", "itemData" : { "DOI" : "10.1061/(asce)co.1943-7862.0000504", "ISSN" : "0733-9364", "abstract" : "A recent study found that Leadership in Energy and Environmental Design (LEED) certified buildings have a recordable injury rate that is 9% higher than traditional, non-LEED buildings. A follow-up study showed that there are distinct aspects of the design elements and means and methods of construction used to achieve LEED certification that have negative impacts on worker safety. The research described in this paper builds on previous knowledge by quantifying the percent increase in base-level safety risk resulting from the design strategies and construction methods implemented to earn specific LEED credits. A total of 26 interviews and 11 validation interviews were conducted with designers and contractors who had completed an average of four LEED projects, 100 traditional projects, in their average of 18 years of experience in the architecture, engineering, and construction industry. The results indicate that design elements and means and methods of construction implemented to achieve 12 of the 49 LEED credits increase the frequency of injuries or exposure to known, high risk environments. The most significant impacts are a 36% increase in lacerations, strains, and sprains from recycling construction materials; a 24% increase in falls to lower level during roof work because of the installation of on-site renewable energy (e.g., PV panels); a 19% increase in eye strain when installing reflective roof membranes; and a 14% increase in exposure to harmful substances when installing innovative wastewater technologies. These results can be used to understand the safety impacts of sustainable building design, will enhance designer awareness, and help contractors to better prioritize safety resources. \u00a9 2012 American Society of Civil Engineers.", "author" : [ { "dropping-particle" : "", "family" : "Dewlaney", "given" : "Katherine S.", "non-dropping-particle" : "", "parse-names" : false, "suffix" : "" }, { "dropping-particle" : "", "family" : "Hallowell", "given" : "Matthew R.", "non-dropping-particle" : "", "parse-names" : false, "suffix" : "" }, { "dropping-particle" : "", "family" : "Fortunato", "given" : "Bernard R.", "non-dropping-particle" : "", "parse-names" : false, "suffix" : "" } ], "container-title" : "Journal of Construction Engineering and Management", "id" : "ITEM-1", "issue" : "8", "issued" : { "date-parts" : [ [ "2012" ] ] }, "page" : "964-971", "title" : "Safety Risk Quantification for High Performance Sustainable Building Construction", "type" : "article-journal", "volume" : "138" }, "uris" : [ "http://www.mendeley.com/documents/?uuid=726132ff-b745-4cdf-8043-00d0ee55e892" ] } ], "mendeley" : { "formattedCitation" : "[38]", "plainTextFormattedCitation" : "[38]", "previouslyFormattedCitation" : "[38]" }, "properties" : { "noteIndex" : 0 }, "schema" : "https://github.com/citation-style-language/schema/raw/master/csl-citation.json" }</w:instrText>
            </w:r>
            <w:r w:rsidR="00F55BE6" w:rsidRPr="001912F1">
              <w:rPr>
                <w:rFonts w:ascii="Times New Roman" w:hAnsi="Times New Roman" w:cs="Times New Roman"/>
                <w:bCs/>
                <w:sz w:val="22"/>
                <w:szCs w:val="22"/>
              </w:rPr>
              <w:fldChar w:fldCharType="separate"/>
            </w:r>
            <w:r w:rsidR="00A172E2" w:rsidRPr="00A172E2">
              <w:rPr>
                <w:rFonts w:ascii="Times New Roman" w:hAnsi="Times New Roman" w:cs="Times New Roman"/>
                <w:bCs/>
                <w:noProof/>
                <w:sz w:val="22"/>
                <w:szCs w:val="22"/>
              </w:rPr>
              <w:t>[38]</w:t>
            </w:r>
            <w:r w:rsidR="00F55BE6" w:rsidRPr="001912F1">
              <w:rPr>
                <w:rFonts w:ascii="Times New Roman" w:hAnsi="Times New Roman" w:cs="Times New Roman"/>
                <w:bCs/>
                <w:sz w:val="22"/>
                <w:szCs w:val="22"/>
              </w:rPr>
              <w:fldChar w:fldCharType="end"/>
            </w:r>
            <w:r w:rsidR="00F55BE6" w:rsidRPr="001912F1">
              <w:rPr>
                <w:rFonts w:ascii="Times New Roman" w:hAnsi="Times New Roman" w:cs="Times New Roman"/>
                <w:b/>
                <w:sz w:val="22"/>
                <w:szCs w:val="22"/>
              </w:rPr>
              <w:t xml:space="preserve"> </w:t>
            </w:r>
          </w:p>
        </w:tc>
      </w:tr>
      <w:tr w:rsidR="001912F1" w:rsidRPr="001912F1" w14:paraId="7A82CDE0" w14:textId="77777777" w:rsidTr="00A06958">
        <w:tc>
          <w:tcPr>
            <w:tcW w:w="470" w:type="dxa"/>
          </w:tcPr>
          <w:p w14:paraId="5B560C73" w14:textId="77777777" w:rsidR="00F55BE6" w:rsidRPr="001912F1" w:rsidRDefault="00F55BE6" w:rsidP="00FD5957">
            <w:pPr>
              <w:rPr>
                <w:rFonts w:ascii="Times New Roman" w:hAnsi="Times New Roman" w:cs="Times New Roman"/>
                <w:sz w:val="22"/>
                <w:szCs w:val="22"/>
              </w:rPr>
            </w:pPr>
            <w:r w:rsidRPr="001912F1">
              <w:rPr>
                <w:rFonts w:ascii="Times New Roman" w:hAnsi="Times New Roman" w:cs="Times New Roman"/>
                <w:sz w:val="22"/>
                <w:szCs w:val="22"/>
              </w:rPr>
              <w:t>11</w:t>
            </w:r>
          </w:p>
        </w:tc>
        <w:tc>
          <w:tcPr>
            <w:tcW w:w="4064" w:type="dxa"/>
          </w:tcPr>
          <w:p w14:paraId="0F288720" w14:textId="4221EA22" w:rsidR="00F55BE6" w:rsidRPr="001912F1" w:rsidRDefault="0027352C" w:rsidP="00FD5957">
            <w:pPr>
              <w:rPr>
                <w:rFonts w:ascii="Times New Roman" w:hAnsi="Times New Roman" w:cs="Times New Roman"/>
                <w:sz w:val="22"/>
                <w:szCs w:val="22"/>
              </w:rPr>
            </w:pPr>
            <w:r w:rsidRPr="001912F1">
              <w:rPr>
                <w:rFonts w:ascii="Times New Roman" w:hAnsi="Times New Roman" w:cs="Times New Roman"/>
                <w:sz w:val="22"/>
                <w:szCs w:val="22"/>
              </w:rPr>
              <w:t xml:space="preserve">Yang et al. </w:t>
            </w:r>
            <w:r w:rsidR="00F55BE6" w:rsidRPr="001912F1">
              <w:rPr>
                <w:rFonts w:ascii="Times New Roman" w:hAnsi="Times New Roman" w:cs="Times New Roman"/>
                <w:sz w:val="22"/>
                <w:szCs w:val="22"/>
              </w:rPr>
              <w:fldChar w:fldCharType="begin" w:fldLock="1"/>
            </w:r>
            <w:r w:rsidR="00792D4F">
              <w:rPr>
                <w:rFonts w:ascii="Times New Roman" w:hAnsi="Times New Roman" w:cs="Times New Roman"/>
                <w:sz w:val="22"/>
                <w:szCs w:val="22"/>
              </w:rPr>
              <w:instrText>ADDIN CSL_CITATION { "citationItems" : [ { "id" : "ITEM-1", "itemData" : { "DOI" : "10.1016/j.ijproman.2015.09.010", "ISBN" : "9780955239083", "ISSN" : "02637863", "abstract" : "This research aims to model the interactive networks of the risks associated with different stakeholders in green building projects and to gain an understanding of the key risk networks. Case studies of green star accredited office building projects were undertaken in China and Australia. Case data were collected through focused group workshops, face-to-face interviews and desktop studies, and analysed by using social network analysis methods. The results show that while reputation risk is important in both countries, the ethical risk of 'assessment experience and fairness' has been highlighted as crucial in the Chinese context. The results further show that government plays an important role in improving the societies' knowledge and awareness on green technology uptake in China. The social network analysis method in this research improves the effectiveness and accuracy of stakeholder and risk analysis by demystifying the social complexity which is usually overlooked in traditional linear risk impact analysis.", "author" : [ { "dropping-particle" : "", "family" : "Yang", "given" : "Rebecca J.", "non-dropping-particle" : "", "parse-names" : false, "suffix" : "" }, { "dropping-particle" : "", "family" : "Zou", "given" : "Patrick X.W.", "non-dropping-particle" : "", "parse-names" : false, "suffix" : "" }, { "dropping-particle" : "", "family" : "Wang", "given" : "Jiayuan", "non-dropping-particle" : "", "parse-names" : false, "suffix" : "" } ], "container-title" : "International Journal of Project Management", "id" : "ITEM-1", "issue" : "1", "issued" : { "date-parts" : [ [ "2016" ] ] }, "page" : "66-81", "publisher" : "Elsevier Ltd and Association for Project Management and the International Project Management Association", "title" : "Modelling stakeholder-associated risk networks in green building projects", "type" : "article-journal", "volume" : "34" }, "uris" : [ "http://www.mendeley.com/documents/?uuid=bd4c2af2-5fb1-4a46-ada7-d83487c2cf12" ] } ], "mendeley" : { "formattedCitation" : "[39]", "plainTextFormattedCitation" : "[39]", "previouslyFormattedCitation" : "[39]" }, "properties" : { "noteIndex" : 0 }, "schema" : "https://github.com/citation-style-language/schema/raw/master/csl-citation.json" }</w:instrText>
            </w:r>
            <w:r w:rsidR="00F55BE6" w:rsidRPr="001912F1">
              <w:rPr>
                <w:rFonts w:ascii="Times New Roman" w:hAnsi="Times New Roman" w:cs="Times New Roman"/>
                <w:sz w:val="22"/>
                <w:szCs w:val="22"/>
              </w:rPr>
              <w:fldChar w:fldCharType="separate"/>
            </w:r>
            <w:r w:rsidR="00A172E2" w:rsidRPr="00A172E2">
              <w:rPr>
                <w:rFonts w:ascii="Times New Roman" w:hAnsi="Times New Roman" w:cs="Times New Roman"/>
                <w:noProof/>
                <w:sz w:val="22"/>
                <w:szCs w:val="22"/>
              </w:rPr>
              <w:t>[39]</w:t>
            </w:r>
            <w:r w:rsidR="00F55BE6" w:rsidRPr="001912F1">
              <w:rPr>
                <w:rFonts w:ascii="Times New Roman" w:hAnsi="Times New Roman" w:cs="Times New Roman"/>
                <w:sz w:val="22"/>
                <w:szCs w:val="22"/>
              </w:rPr>
              <w:fldChar w:fldCharType="end"/>
            </w:r>
          </w:p>
        </w:tc>
        <w:tc>
          <w:tcPr>
            <w:tcW w:w="564" w:type="dxa"/>
          </w:tcPr>
          <w:p w14:paraId="20D486F5" w14:textId="77777777" w:rsidR="00F55BE6" w:rsidRPr="001912F1" w:rsidRDefault="00F55BE6" w:rsidP="00FD5957">
            <w:pPr>
              <w:rPr>
                <w:rFonts w:ascii="Times New Roman" w:hAnsi="Times New Roman" w:cs="Times New Roman"/>
                <w:sz w:val="22"/>
                <w:szCs w:val="22"/>
              </w:rPr>
            </w:pPr>
            <w:r w:rsidRPr="001912F1">
              <w:rPr>
                <w:rFonts w:ascii="Times New Roman" w:hAnsi="Times New Roman" w:cs="Times New Roman"/>
                <w:sz w:val="22"/>
                <w:szCs w:val="22"/>
              </w:rPr>
              <w:t>41</w:t>
            </w:r>
          </w:p>
        </w:tc>
        <w:tc>
          <w:tcPr>
            <w:tcW w:w="3918" w:type="dxa"/>
          </w:tcPr>
          <w:p w14:paraId="144A1E8D" w14:textId="59B10951" w:rsidR="00F55BE6" w:rsidRPr="001912F1" w:rsidRDefault="00657383" w:rsidP="00FD5957">
            <w:pPr>
              <w:rPr>
                <w:rFonts w:ascii="Times New Roman" w:hAnsi="Times New Roman" w:cs="Times New Roman"/>
                <w:sz w:val="22"/>
                <w:szCs w:val="22"/>
              </w:rPr>
            </w:pPr>
            <w:r w:rsidRPr="001912F1">
              <w:rPr>
                <w:rFonts w:ascii="Times New Roman" w:hAnsi="Times New Roman" w:cs="Times New Roman"/>
                <w:bCs/>
                <w:sz w:val="22"/>
                <w:szCs w:val="22"/>
              </w:rPr>
              <w:t xml:space="preserve">Del Puerto and Crowson </w:t>
            </w:r>
            <w:r w:rsidR="00F55BE6" w:rsidRPr="001912F1">
              <w:rPr>
                <w:rFonts w:ascii="Times New Roman" w:hAnsi="Times New Roman" w:cs="Times New Roman"/>
                <w:bCs/>
                <w:sz w:val="22"/>
                <w:szCs w:val="22"/>
              </w:rPr>
              <w:fldChar w:fldCharType="begin" w:fldLock="1"/>
            </w:r>
            <w:r w:rsidR="00792D4F">
              <w:rPr>
                <w:rFonts w:ascii="Times New Roman" w:hAnsi="Times New Roman" w:cs="Times New Roman"/>
                <w:bCs/>
                <w:sz w:val="22"/>
                <w:szCs w:val="22"/>
              </w:rPr>
              <w:instrText>ADDIN CSL_CITATION { "citationItems" : [ { "id" : "ITEM-1", "itemData" : { "DOI" : "10.1002/j.2161-1920.2013.00025.x", "ISSN" : "00220787", "abstract" : "Training individuals who are at risk of unemployment/underemployment to increase their employability is a mission of many nonprofit agencies. These training programs, often supported by government funding, attempt to reduce these individuals' reliance on government assistance. The purpose of this study is to obtain hard data and an in-depth understanding about the factors that contribute to the success of the Green Construction training program. The methodology used is a multimethod, multimeasure approach, which provides a reasonably robust triangulation of results. The findings indicate that the program is successful because it has good participant retention, knowledge gain, and placement rates. \u00a9 2013 by the American Counseling Association. All rights reserved.", "author" : [ { "dropping-particle" : "", "family" : "Puerto", "given" : "Carla Lopez", "non-dropping-particle" : "Del", "parse-names" : false, "suffix" : "" }, { "dropping-particle" : "", "family" : "Crowson", "given" : "Adrienne", "non-dropping-particle" : "", "parse-names" : false, "suffix" : "" } ], "container-title" : "Journal of Employment Counseling", "id" : "ITEM-1", "issue" : "2", "issued" : { "date-parts" : [ [ "2013" ] ] }, "page" : "59-70", "title" : "Green construction and energy training program for at-risk individuals: A case study", "type" : "article-journal", "volume" : "50" }, "uris" : [ "http://www.mendeley.com/documents/?uuid=55092f3f-07bf-4b68-af10-eab4d143ecdd" ] } ], "mendeley" : { "formattedCitation" : "[40]", "plainTextFormattedCitation" : "[40]", "previouslyFormattedCitation" : "[40]" }, "properties" : { "noteIndex" : 0 }, "schema" : "https://github.com/citation-style-language/schema/raw/master/csl-citation.json" }</w:instrText>
            </w:r>
            <w:r w:rsidR="00F55BE6" w:rsidRPr="001912F1">
              <w:rPr>
                <w:rFonts w:ascii="Times New Roman" w:hAnsi="Times New Roman" w:cs="Times New Roman"/>
                <w:bCs/>
                <w:sz w:val="22"/>
                <w:szCs w:val="22"/>
              </w:rPr>
              <w:fldChar w:fldCharType="separate"/>
            </w:r>
            <w:r w:rsidR="00A172E2" w:rsidRPr="00A172E2">
              <w:rPr>
                <w:rFonts w:ascii="Times New Roman" w:hAnsi="Times New Roman" w:cs="Times New Roman"/>
                <w:bCs/>
                <w:noProof/>
                <w:sz w:val="22"/>
                <w:szCs w:val="22"/>
              </w:rPr>
              <w:t>[40]</w:t>
            </w:r>
            <w:r w:rsidR="00F55BE6" w:rsidRPr="001912F1">
              <w:rPr>
                <w:rFonts w:ascii="Times New Roman" w:hAnsi="Times New Roman" w:cs="Times New Roman"/>
                <w:bCs/>
                <w:sz w:val="22"/>
                <w:szCs w:val="22"/>
              </w:rPr>
              <w:fldChar w:fldCharType="end"/>
            </w:r>
          </w:p>
        </w:tc>
      </w:tr>
      <w:tr w:rsidR="001912F1" w:rsidRPr="001912F1" w14:paraId="0F03C941" w14:textId="77777777" w:rsidTr="00A06958">
        <w:tc>
          <w:tcPr>
            <w:tcW w:w="470" w:type="dxa"/>
          </w:tcPr>
          <w:p w14:paraId="07211598" w14:textId="77777777" w:rsidR="00F55BE6" w:rsidRPr="001912F1" w:rsidRDefault="00F55BE6" w:rsidP="00FD5957">
            <w:pPr>
              <w:rPr>
                <w:rFonts w:ascii="Times New Roman" w:hAnsi="Times New Roman" w:cs="Times New Roman"/>
                <w:sz w:val="22"/>
                <w:szCs w:val="22"/>
              </w:rPr>
            </w:pPr>
            <w:r w:rsidRPr="001912F1">
              <w:rPr>
                <w:rFonts w:ascii="Times New Roman" w:hAnsi="Times New Roman" w:cs="Times New Roman"/>
                <w:sz w:val="22"/>
                <w:szCs w:val="22"/>
              </w:rPr>
              <w:t>12</w:t>
            </w:r>
          </w:p>
        </w:tc>
        <w:tc>
          <w:tcPr>
            <w:tcW w:w="4064" w:type="dxa"/>
          </w:tcPr>
          <w:p w14:paraId="1B462E94" w14:textId="34BD7734" w:rsidR="00F55BE6" w:rsidRPr="001912F1" w:rsidRDefault="0027352C" w:rsidP="00FD5957">
            <w:pPr>
              <w:rPr>
                <w:rFonts w:ascii="Times New Roman" w:hAnsi="Times New Roman" w:cs="Times New Roman"/>
                <w:sz w:val="22"/>
                <w:szCs w:val="22"/>
              </w:rPr>
            </w:pPr>
            <w:r w:rsidRPr="001912F1">
              <w:rPr>
                <w:rFonts w:ascii="Times New Roman" w:hAnsi="Times New Roman" w:cs="Times New Roman"/>
                <w:sz w:val="22"/>
                <w:szCs w:val="22"/>
              </w:rPr>
              <w:t>Azeem et al.</w:t>
            </w:r>
            <w:r w:rsidR="00F55BE6" w:rsidRPr="001912F1">
              <w:rPr>
                <w:rFonts w:ascii="Times New Roman" w:hAnsi="Times New Roman" w:cs="Times New Roman"/>
                <w:sz w:val="22"/>
                <w:szCs w:val="22"/>
              </w:rPr>
              <w:fldChar w:fldCharType="begin" w:fldLock="1"/>
            </w:r>
            <w:r w:rsidR="00792D4F">
              <w:rPr>
                <w:rFonts w:ascii="Times New Roman" w:hAnsi="Times New Roman" w:cs="Times New Roman"/>
                <w:sz w:val="22"/>
                <w:szCs w:val="22"/>
              </w:rPr>
              <w:instrText>ADDIN CSL_CITATION { "citationItems" : [ { "id" : "ITEM-1", "itemData" : { "DOI" : "10.1108/SASBE-06-2017-0023", "ISSN" : "20466102", "abstract" : "Purpose: The purpose of this paper is to investigate the barriers inhibiting the adoption of green building and measures to promote this approach in Pakistan. Design/methodology/approach: Barriers and measures were identified and examined by using a combination of research methods, including literature review, questionnaire survey, and in-depth interviews with the construction industry-related practitioners working in Pakistan. Ranking technique and factor analysis were used to identify the significant issues associated with the adoption of green building practices. Findings: As per the survey results, the most critical barrier is \u201clack of awareness among people about the importance and advantages of adopting green building practices,\u201d followed by \u201clack of incentives from government\u201d and \u201clack of green building codes and regulations,\u201d respectively. The results also indicate that most important measure to promote the adoption of green buildings is \u201ccreation of public awareness toward green initiatives through seminars, workshops, and discussions,\u201d followed by \u201cavailability of green building codes and regulations (mandatory to apply)\u201d and \u201cfinancial incentives and penalties by the government (e.g. soft loan, tax) for promoting green building practices,\u201d respectively. Research limitations/implications: Research limitation is that its findings, other than Pakistan, cannot be generalized to other developing countries. Practical implications: Findings of the research will be helpful in sensitizing the regulatory agencies, the policy makers, and the building construction practitioners about the barriers to adoption of green building practices. The suggested measures will help in devising policies and economic measures to promote the construction of green and environment-friendly buildings. Social implications: This research will help the common people to know about the importance of green buildings that may lead to a deviation from the practice of traditional buildings to a widespread trend of building green buildings. This will lead to drastic reduction in demand for energy and considerable monetary savings for the common people. Originality/value: The findings of this study are expected to contribute valuable information to decision makers for the better understanding of key issues that call for more attention in the promotion of efforts of green building practices in Pakistan. The results are based on the perception of local stakeholders, but might also be \u2026", "author" : [ { "dropping-particle" : "", "family" : "Azeem", "given" : "Sana", "non-dropping-particle" : "", "parse-names" : false, "suffix" : "" }, { "dropping-particle" : "", "family" : "Naeem", "given" : "Malik Asghar", "non-dropping-particle" : "", "parse-names" : false, "suffix" : "" }, { "dropping-particle" : "", "family" : "Waheed", "given" : "Abdul", "non-dropping-particle" : "", "parse-names" : false, "suffix" : "" }, { "dropping-particle" : "", "family" : "Thaheem", "given" : "Muhammad Jamaluddin", "non-dropping-particle" : "", "parse-names" : false, "suffix" : "" } ], "container-title" : "Smart and Sustainable Built Environment", "id" : "ITEM-1", "issue" : "3", "issued" : { "date-parts" : [ [ "2017" ] ] }, "page" : "86-100", "title" : "Examining barriers and measures to promote the adoption of green building practices in Pakistan", "type" : "article-journal", "volume" : "6" }, "uris" : [ "http://www.mendeley.com/documents/?uuid=24b6b492-90c2-4372-b338-65b9da1a2b0e" ] } ], "mendeley" : { "formattedCitation" : "[41]", "plainTextFormattedCitation" : "[41]", "previouslyFormattedCitation" : "[41]" }, "properties" : { "noteIndex" : 0 }, "schema" : "https://github.com/citation-style-language/schema/raw/master/csl-citation.json" }</w:instrText>
            </w:r>
            <w:r w:rsidR="00F55BE6" w:rsidRPr="001912F1">
              <w:rPr>
                <w:rFonts w:ascii="Times New Roman" w:hAnsi="Times New Roman" w:cs="Times New Roman"/>
                <w:sz w:val="22"/>
                <w:szCs w:val="22"/>
              </w:rPr>
              <w:fldChar w:fldCharType="separate"/>
            </w:r>
            <w:r w:rsidR="00A172E2" w:rsidRPr="00A172E2">
              <w:rPr>
                <w:rFonts w:ascii="Times New Roman" w:hAnsi="Times New Roman" w:cs="Times New Roman"/>
                <w:noProof/>
                <w:sz w:val="22"/>
                <w:szCs w:val="22"/>
              </w:rPr>
              <w:t>[41]</w:t>
            </w:r>
            <w:r w:rsidR="00F55BE6" w:rsidRPr="001912F1">
              <w:rPr>
                <w:rFonts w:ascii="Times New Roman" w:hAnsi="Times New Roman" w:cs="Times New Roman"/>
                <w:sz w:val="22"/>
                <w:szCs w:val="22"/>
              </w:rPr>
              <w:fldChar w:fldCharType="end"/>
            </w:r>
          </w:p>
        </w:tc>
        <w:tc>
          <w:tcPr>
            <w:tcW w:w="564" w:type="dxa"/>
          </w:tcPr>
          <w:p w14:paraId="6E75ACBE" w14:textId="77777777" w:rsidR="00F55BE6" w:rsidRPr="001912F1" w:rsidRDefault="00F55BE6" w:rsidP="00FD5957">
            <w:pPr>
              <w:rPr>
                <w:rFonts w:ascii="Times New Roman" w:hAnsi="Times New Roman" w:cs="Times New Roman"/>
                <w:sz w:val="22"/>
                <w:szCs w:val="22"/>
              </w:rPr>
            </w:pPr>
            <w:r w:rsidRPr="001912F1">
              <w:rPr>
                <w:rFonts w:ascii="Times New Roman" w:hAnsi="Times New Roman" w:cs="Times New Roman"/>
                <w:sz w:val="22"/>
                <w:szCs w:val="22"/>
              </w:rPr>
              <w:t>42</w:t>
            </w:r>
          </w:p>
        </w:tc>
        <w:tc>
          <w:tcPr>
            <w:tcW w:w="3918" w:type="dxa"/>
          </w:tcPr>
          <w:p w14:paraId="3370F214" w14:textId="10FA3D20" w:rsidR="00F55BE6" w:rsidRPr="001912F1" w:rsidRDefault="00657383" w:rsidP="00FD5957">
            <w:pPr>
              <w:rPr>
                <w:rFonts w:ascii="Times New Roman" w:hAnsi="Times New Roman" w:cs="Times New Roman"/>
                <w:sz w:val="22"/>
                <w:szCs w:val="22"/>
              </w:rPr>
            </w:pPr>
            <w:r w:rsidRPr="001912F1">
              <w:rPr>
                <w:rFonts w:ascii="Times New Roman" w:hAnsi="Times New Roman" w:cs="Times New Roman"/>
                <w:sz w:val="22"/>
                <w:szCs w:val="22"/>
              </w:rPr>
              <w:t xml:space="preserve">Hwang and Ng </w:t>
            </w:r>
            <w:r w:rsidR="00F55BE6" w:rsidRPr="001912F1">
              <w:rPr>
                <w:rFonts w:ascii="Times New Roman" w:hAnsi="Times New Roman" w:cs="Times New Roman"/>
                <w:sz w:val="22"/>
                <w:szCs w:val="22"/>
              </w:rPr>
              <w:fldChar w:fldCharType="begin" w:fldLock="1"/>
            </w:r>
            <w:r w:rsidR="00792D4F">
              <w:rPr>
                <w:rFonts w:ascii="Times New Roman" w:hAnsi="Times New Roman" w:cs="Times New Roman"/>
                <w:sz w:val="22"/>
                <w:szCs w:val="22"/>
              </w:rPr>
              <w:instrText>ADDIN CSL_CITATION { "citationItems" : [ { "id" : "ITEM-1", "itemData" : { "DOI" : "10.1016/j.ijproman.2012.05.004", "ISSN" : "02637863", "abstract" : "A competent project manager is vital to project success. While many studies have examined competency of project managers, few have done so in the context of green construction. Therefore, this study aims to identify challenges faced by project managers who execute green construction projects and to determine the critical knowledge areas and skills that are necessary to respond to such challenges. Through literature review, surveys and interviews with project managers, this study will help establish a knowledge base for project managers to be competitive and to effectively execute sustainable projects. \u00a9 2012 Association for Project Management and the International Project Management Association and Elsevier Ltd.", "author" : [ { "dropping-particle" : "", "family" : "Hwang", "given" : "Bon Gang", "non-dropping-particle" : "", "parse-names" : false, "suffix" : "" }, { "dropping-particle" : "", "family" : "Ng", "given" : "Wei Jian", "non-dropping-particle" : "", "parse-names" : false, "suffix" : "" } ], "container-title" : "International Journal of Project Management", "id" : "ITEM-1", "issue" : "2", "issued" : { "date-parts" : [ [ "2013" ] ] }, "page" : "272-284", "publisher" : "Association for Project Management and the International Project Management Association and Elsevier Ltd", "title" : "Project management knowledge and skills for green construction: Overcoming challenges", "type" : "article-journal", "volume" : "31" }, "uris" : [ "http://www.mendeley.com/documents/?uuid=e9264a44-f2e1-4df4-a845-ef1a6396a1de" ] } ], "mendeley" : { "formattedCitation" : "[42]", "plainTextFormattedCitation" : "[42]", "previouslyFormattedCitation" : "[42]" }, "properties" : { "noteIndex" : 0 }, "schema" : "https://github.com/citation-style-language/schema/raw/master/csl-citation.json" }</w:instrText>
            </w:r>
            <w:r w:rsidR="00F55BE6" w:rsidRPr="001912F1">
              <w:rPr>
                <w:rFonts w:ascii="Times New Roman" w:hAnsi="Times New Roman" w:cs="Times New Roman"/>
                <w:sz w:val="22"/>
                <w:szCs w:val="22"/>
              </w:rPr>
              <w:fldChar w:fldCharType="separate"/>
            </w:r>
            <w:r w:rsidR="00A172E2" w:rsidRPr="00A172E2">
              <w:rPr>
                <w:rFonts w:ascii="Times New Roman" w:hAnsi="Times New Roman" w:cs="Times New Roman"/>
                <w:noProof/>
                <w:sz w:val="22"/>
                <w:szCs w:val="22"/>
              </w:rPr>
              <w:t>[42]</w:t>
            </w:r>
            <w:r w:rsidR="00F55BE6" w:rsidRPr="001912F1">
              <w:rPr>
                <w:rFonts w:ascii="Times New Roman" w:hAnsi="Times New Roman" w:cs="Times New Roman"/>
                <w:sz w:val="22"/>
                <w:szCs w:val="22"/>
              </w:rPr>
              <w:fldChar w:fldCharType="end"/>
            </w:r>
          </w:p>
        </w:tc>
      </w:tr>
      <w:tr w:rsidR="001912F1" w:rsidRPr="001912F1" w14:paraId="2F3AD755" w14:textId="77777777" w:rsidTr="00A06958">
        <w:tc>
          <w:tcPr>
            <w:tcW w:w="470" w:type="dxa"/>
          </w:tcPr>
          <w:p w14:paraId="1F4C69E1" w14:textId="77777777" w:rsidR="00F55BE6" w:rsidRPr="001912F1" w:rsidRDefault="00F55BE6" w:rsidP="00FD5957">
            <w:pPr>
              <w:rPr>
                <w:rFonts w:ascii="Times New Roman" w:hAnsi="Times New Roman" w:cs="Times New Roman"/>
                <w:sz w:val="22"/>
                <w:szCs w:val="22"/>
              </w:rPr>
            </w:pPr>
            <w:r w:rsidRPr="001912F1">
              <w:rPr>
                <w:rFonts w:ascii="Times New Roman" w:hAnsi="Times New Roman" w:cs="Times New Roman"/>
                <w:sz w:val="22"/>
                <w:szCs w:val="22"/>
              </w:rPr>
              <w:t>13</w:t>
            </w:r>
          </w:p>
        </w:tc>
        <w:tc>
          <w:tcPr>
            <w:tcW w:w="4064" w:type="dxa"/>
          </w:tcPr>
          <w:p w14:paraId="5186971B" w14:textId="05C105D9" w:rsidR="00F55BE6" w:rsidRPr="001912F1" w:rsidRDefault="0027352C" w:rsidP="00FD5957">
            <w:pPr>
              <w:rPr>
                <w:rFonts w:ascii="Times New Roman" w:hAnsi="Times New Roman" w:cs="Times New Roman"/>
                <w:sz w:val="22"/>
                <w:szCs w:val="22"/>
              </w:rPr>
            </w:pPr>
            <w:r w:rsidRPr="001912F1">
              <w:rPr>
                <w:rFonts w:ascii="Times New Roman" w:hAnsi="Times New Roman" w:cs="Times New Roman"/>
                <w:sz w:val="22"/>
                <w:szCs w:val="22"/>
              </w:rPr>
              <w:t>Nguyen et al.</w:t>
            </w:r>
            <w:r w:rsidR="00F55BE6" w:rsidRPr="001912F1">
              <w:rPr>
                <w:rFonts w:ascii="Times New Roman" w:hAnsi="Times New Roman" w:cs="Times New Roman"/>
                <w:sz w:val="22"/>
                <w:szCs w:val="22"/>
              </w:rPr>
              <w:fldChar w:fldCharType="begin" w:fldLock="1"/>
            </w:r>
            <w:r w:rsidR="00792D4F">
              <w:rPr>
                <w:rFonts w:ascii="Times New Roman" w:hAnsi="Times New Roman" w:cs="Times New Roman"/>
                <w:sz w:val="22"/>
                <w:szCs w:val="22"/>
              </w:rPr>
              <w:instrText>ADDIN CSL_CITATION { "citationItems" : [ { "id" : "ITEM-1", "itemData" : { "DOI" : "10.1016/j.resconrec.2017.08.012", "ISSN" : "18790658", "abstract" : "Green building (GB) is one of the most effective solutions to increase the efficiency of buildings through resource utilisation and recycling, mitigating the negative impact of the construction industry on the environment. As a construction innovation, GB has faced numerous challenges to its penetration into a market crowded with conventional buildings. Studies of GB barriers have been conducted around the world, including the United States, Europe, Australia and Asia, but they are scarce in Vietnam and limited to individual perspectives. This paper identifies 41 barriers to GB in Vietnam from the literature and validates them by a survey of 215 construction professionals and government officers. Principal Component Analysis in Exploratory Factor Analysis is used to reveal that, while legislative and institutional barriers are widely perceived as the most challenging obstacles, social and cognitive barriers as a whole represent the main hindrances involved. Final remarks include policy recommendations for GB adoption in Vietnam and suggestions for further research.", "author" : [ { "dropping-particle" : "", "family" : "Nguyen", "given" : "Hong Trang", "non-dropping-particle" : "", "parse-names" : false, "suffix" : "" }, { "dropping-particle" : "", "family" : "Skitmore", "given" : "Martin", "non-dropping-particle" : "", "parse-names" : false, "suffix" : "" }, { "dropping-particle" : "", "family" : "Gray", "given" : "Matthew", "non-dropping-particle" : "", "parse-names" : false, "suffix" : "" }, { "dropping-particle" : "", "family" : "Zhang", "given" : "Xiaoling", "non-dropping-particle" : "", "parse-names" : false, "suffix" : "" }, { "dropping-particle" : "", "family" : "Olanipekun", "given" : "Ayokunle Olubunmi", "non-dropping-particle" : "", "parse-names" : false, "suffix" : "" } ], "container-title" : "Resources, Conservation and Recycling", "id" : "ITEM-1", "issue" : "August", "issued" : { "date-parts" : [ [ "2017" ] ] }, "page" : "8-20", "publisher" : "Elsevier", "title" : "Will green building development take off? An exploratory study of barriers to green building in Vietnam", "type" : "article-journal", "volume" : "127" }, "uris" : [ "http://www.mendeley.com/documents/?uuid=c4d43f01-c6f8-435c-8e83-5d36a54622fe" ] } ], "mendeley" : { "formattedCitation" : "[43]", "plainTextFormattedCitation" : "[43]", "previouslyFormattedCitation" : "[43]" }, "properties" : { "noteIndex" : 0 }, "schema" : "https://github.com/citation-style-language/schema/raw/master/csl-citation.json" }</w:instrText>
            </w:r>
            <w:r w:rsidR="00F55BE6" w:rsidRPr="001912F1">
              <w:rPr>
                <w:rFonts w:ascii="Times New Roman" w:hAnsi="Times New Roman" w:cs="Times New Roman"/>
                <w:sz w:val="22"/>
                <w:szCs w:val="22"/>
              </w:rPr>
              <w:fldChar w:fldCharType="separate"/>
            </w:r>
            <w:r w:rsidR="00A172E2" w:rsidRPr="00A172E2">
              <w:rPr>
                <w:rFonts w:ascii="Times New Roman" w:hAnsi="Times New Roman" w:cs="Times New Roman"/>
                <w:noProof/>
                <w:sz w:val="22"/>
                <w:szCs w:val="22"/>
              </w:rPr>
              <w:t>[43]</w:t>
            </w:r>
            <w:r w:rsidR="00F55BE6" w:rsidRPr="001912F1">
              <w:rPr>
                <w:rFonts w:ascii="Times New Roman" w:hAnsi="Times New Roman" w:cs="Times New Roman"/>
                <w:sz w:val="22"/>
                <w:szCs w:val="22"/>
              </w:rPr>
              <w:fldChar w:fldCharType="end"/>
            </w:r>
          </w:p>
        </w:tc>
        <w:tc>
          <w:tcPr>
            <w:tcW w:w="564" w:type="dxa"/>
          </w:tcPr>
          <w:p w14:paraId="335FD3C1" w14:textId="77777777" w:rsidR="00F55BE6" w:rsidRPr="001912F1" w:rsidRDefault="00F55BE6" w:rsidP="00FD5957">
            <w:pPr>
              <w:rPr>
                <w:rFonts w:ascii="Times New Roman" w:hAnsi="Times New Roman" w:cs="Times New Roman"/>
                <w:sz w:val="22"/>
                <w:szCs w:val="22"/>
              </w:rPr>
            </w:pPr>
            <w:r w:rsidRPr="001912F1">
              <w:rPr>
                <w:rFonts w:ascii="Times New Roman" w:hAnsi="Times New Roman" w:cs="Times New Roman"/>
                <w:sz w:val="22"/>
                <w:szCs w:val="22"/>
              </w:rPr>
              <w:t>43</w:t>
            </w:r>
          </w:p>
        </w:tc>
        <w:tc>
          <w:tcPr>
            <w:tcW w:w="3918" w:type="dxa"/>
          </w:tcPr>
          <w:p w14:paraId="7E4B70FF" w14:textId="584FB415" w:rsidR="00F55BE6" w:rsidRPr="001912F1" w:rsidRDefault="00657383" w:rsidP="00FD5957">
            <w:pPr>
              <w:rPr>
                <w:rFonts w:ascii="Times New Roman" w:hAnsi="Times New Roman" w:cs="Times New Roman"/>
                <w:sz w:val="22"/>
                <w:szCs w:val="22"/>
              </w:rPr>
            </w:pPr>
            <w:r w:rsidRPr="001912F1">
              <w:rPr>
                <w:rFonts w:ascii="Times New Roman" w:hAnsi="Times New Roman" w:cs="Times New Roman"/>
                <w:bCs/>
                <w:sz w:val="22"/>
                <w:szCs w:val="22"/>
              </w:rPr>
              <w:t>Shen et al.</w:t>
            </w:r>
            <w:r w:rsidR="00F55BE6" w:rsidRPr="001912F1">
              <w:rPr>
                <w:rFonts w:ascii="Times New Roman" w:hAnsi="Times New Roman" w:cs="Times New Roman"/>
                <w:bCs/>
                <w:sz w:val="22"/>
                <w:szCs w:val="22"/>
              </w:rPr>
              <w:fldChar w:fldCharType="begin" w:fldLock="1"/>
            </w:r>
            <w:r w:rsidR="00792D4F">
              <w:rPr>
                <w:rFonts w:ascii="Times New Roman" w:hAnsi="Times New Roman" w:cs="Times New Roman"/>
                <w:bCs/>
                <w:sz w:val="22"/>
                <w:szCs w:val="22"/>
              </w:rPr>
              <w:instrText>ADDIN CSL_CITATION { "citationItems" : [ { "id" : "ITEM-1", "itemData" : { "DOI" : "10.1016/j.resconrec.2016.10.004", "ISSN" : "18790658", "abstract" : "The procurement and use of green building materials are considered effective methods for improving environmental performance of real estate products. However, green procurement is still in its infancy and has not been widely adopted in the real estate industry especially in those developing countries such as China. Barriers that hinder real estate developers from adopting green procurement merit detailed investigation. This study examines the knowledge of real estate developers in adopting green procurement and the barriers encountered in real estate development within the context of the Chinese real estate business. Research data used for analysis are collected through questionnaire surveys to real estate developers in Chongqing of China. The hierarchical cluster analysis technique is employed to conduct a comprehensive analysis for identifying significant barriers. The semi-structured interview is used to verify and interpret the results of hierarchical cluster analysis, and develop suggestions for mitigating those significant barriers in promoting green procurement. The study reveals that real estate developers in Chongqing, China have little understanding of green procurement and green building materials, and few of them have experience in adopting green procurement strategy. The most significant barriers contributing to this include little marketing benefits and lack of incentive policies. The research findings provide valuable reference for assisting relevant government departments and developers to take measures towards mitigating the green procurement barriers in real estate development.", "author" : [ { "dropping-particle" : "", "family" : "Shen", "given" : "Liyin", "non-dropping-particle" : "", "parse-names" : false, "suffix" : "" }, { "dropping-particle" : "", "family" : "Zhang", "given" : "Zhenyu", "non-dropping-particle" : "", "parse-names" : false, "suffix" : "" }, { "dropping-particle" : "", "family" : "Long", "given" : "Zhijian", "non-dropping-particle" : "", "parse-names" : false, "suffix" : "" } ], "container-title" : "Resources, Conservation and Recycling", "id" : "ITEM-1", "issued" : { "date-parts" : [ [ "2017" ] ] }, "page" : "160-168", "publisher" : "Elsevier B.V.", "title" : "Significant barriers to green procurement in real estate development", "type" : "article-journal", "volume" : "116" }, "uris" : [ "http://www.mendeley.com/documents/?uuid=2ad4c1bb-bb15-4547-a00d-2010c3988415" ] } ], "mendeley" : { "formattedCitation" : "[44]", "plainTextFormattedCitation" : "[44]", "previouslyFormattedCitation" : "[44]" }, "properties" : { "noteIndex" : 0 }, "schema" : "https://github.com/citation-style-language/schema/raw/master/csl-citation.json" }</w:instrText>
            </w:r>
            <w:r w:rsidR="00F55BE6" w:rsidRPr="001912F1">
              <w:rPr>
                <w:rFonts w:ascii="Times New Roman" w:hAnsi="Times New Roman" w:cs="Times New Roman"/>
                <w:bCs/>
                <w:sz w:val="22"/>
                <w:szCs w:val="22"/>
              </w:rPr>
              <w:fldChar w:fldCharType="separate"/>
            </w:r>
            <w:r w:rsidR="00A172E2" w:rsidRPr="00A172E2">
              <w:rPr>
                <w:rFonts w:ascii="Times New Roman" w:hAnsi="Times New Roman" w:cs="Times New Roman"/>
                <w:bCs/>
                <w:noProof/>
                <w:sz w:val="22"/>
                <w:szCs w:val="22"/>
              </w:rPr>
              <w:t>[44]</w:t>
            </w:r>
            <w:r w:rsidR="00F55BE6" w:rsidRPr="001912F1">
              <w:rPr>
                <w:rFonts w:ascii="Times New Roman" w:hAnsi="Times New Roman" w:cs="Times New Roman"/>
                <w:bCs/>
                <w:sz w:val="22"/>
                <w:szCs w:val="22"/>
              </w:rPr>
              <w:fldChar w:fldCharType="end"/>
            </w:r>
          </w:p>
        </w:tc>
      </w:tr>
      <w:tr w:rsidR="001912F1" w:rsidRPr="001912F1" w14:paraId="27684859" w14:textId="77777777" w:rsidTr="00A06958">
        <w:tc>
          <w:tcPr>
            <w:tcW w:w="470" w:type="dxa"/>
          </w:tcPr>
          <w:p w14:paraId="7F63928B" w14:textId="77777777" w:rsidR="00F55BE6" w:rsidRPr="001912F1" w:rsidRDefault="00F55BE6" w:rsidP="00FD5957">
            <w:pPr>
              <w:rPr>
                <w:rFonts w:ascii="Times New Roman" w:hAnsi="Times New Roman" w:cs="Times New Roman"/>
                <w:sz w:val="22"/>
                <w:szCs w:val="22"/>
              </w:rPr>
            </w:pPr>
            <w:r w:rsidRPr="001912F1">
              <w:rPr>
                <w:rFonts w:ascii="Times New Roman" w:hAnsi="Times New Roman" w:cs="Times New Roman"/>
                <w:sz w:val="22"/>
                <w:szCs w:val="22"/>
              </w:rPr>
              <w:t>14</w:t>
            </w:r>
          </w:p>
        </w:tc>
        <w:tc>
          <w:tcPr>
            <w:tcW w:w="4064" w:type="dxa"/>
          </w:tcPr>
          <w:p w14:paraId="29F9E751" w14:textId="6D69CCE3" w:rsidR="00F55BE6" w:rsidRPr="001912F1" w:rsidRDefault="0027352C" w:rsidP="00FD5957">
            <w:pPr>
              <w:rPr>
                <w:rFonts w:ascii="Times New Roman" w:hAnsi="Times New Roman" w:cs="Times New Roman"/>
                <w:sz w:val="22"/>
                <w:szCs w:val="22"/>
              </w:rPr>
            </w:pPr>
            <w:r w:rsidRPr="001912F1">
              <w:rPr>
                <w:rFonts w:ascii="Times New Roman" w:hAnsi="Times New Roman" w:cs="Times New Roman"/>
                <w:sz w:val="22"/>
                <w:szCs w:val="22"/>
              </w:rPr>
              <w:t>Hwang et al.</w:t>
            </w:r>
            <w:r w:rsidR="00F55BE6" w:rsidRPr="001912F1">
              <w:rPr>
                <w:rFonts w:ascii="Times New Roman" w:hAnsi="Times New Roman" w:cs="Times New Roman"/>
                <w:sz w:val="22"/>
                <w:szCs w:val="22"/>
              </w:rPr>
              <w:fldChar w:fldCharType="begin" w:fldLock="1"/>
            </w:r>
            <w:r w:rsidR="00792D4F">
              <w:rPr>
                <w:rFonts w:ascii="Times New Roman" w:hAnsi="Times New Roman" w:cs="Times New Roman"/>
                <w:sz w:val="22"/>
                <w:szCs w:val="22"/>
              </w:rPr>
              <w:instrText>ADDIN CSL_CITATION { "citationItems" : [ { "id" : "ITEM-1", "itemData" : { "DOI" : "10.3390/su9071116", "ISSN" : "20711050", "abstract" : "Recently, an increasing number of green residential buildings have been developed worldwide owing to active promotion from the authorities and increasing interest from customers. However, in the same way as traditional residential buildings, the construction of green residential buildings faces various risks. The aims of this study are to identify and assess the diverse risks in green residential building construction projects, compare their risk criticalities with those in traditional counterparts, and propose helpful risk mitigation measures. To achieve these goals, a comprehensive literature review was first conducted, and a questionnaire was then administered to 30 construction companies in Singapore. Survey results showed that \"complex procedures to obtain approvals\", \"overlooked high initial cost\", \"unclear requirements of owners\", \"employment constraint\", and \"lack of availability of green materials and equipment\" were the top five critical risks in green residential building construction projects. Survey results also showed that green residential building projects were facing risks at a more critical level than those traditional residential building projects. Additionally, this study proposed fourteen risk mitigation measures to tackle the risks in green residential building construction projects. This study has contributed to the body of knowledge by identifying and evaluating the critical risks and mitigation measures in green residential building construction projects. Meanwhile, the findings from this study can also provide an in-depth understanding of risk management in green residential building construction projects to practitioners and thus benefit the practice.", "author" : [ { "dropping-particle" : "", "family" : "Hwang", "given" : "Bon Gang", "non-dropping-particle" : "", "parse-names" : false, "suffix" : "" }, { "dropping-particle" : "", "family" : "Shan", "given" : "Ming", "non-dropping-particle" : "", "parse-names" : false, "suffix" : "" }, { "dropping-particle" : "", "family" : "Phua", "given" : "Helena", "non-dropping-particle" : "", "parse-names" : false, "suffix" : "" }, { "dropping-particle" : "", "family" : "Chi", "given" : "Seokho", "non-dropping-particle" : "", "parse-names" : false, "suffix" : "" } ], "container-title" : "Sustainability (Switzerland)", "id" : "ITEM-1", "issue" : "7", "issued" : { "date-parts" : [ [ "2017" ] ] }, "page" : "9-11", "title" : "An exploratory analysis of risks in green residential building construction projects: The case of Singapore", "type" : "article-journal", "volume" : "9" }, "uris" : [ "http://www.mendeley.com/documents/?uuid=0c9c78d7-49e3-45f0-8a05-1258acddcbeb" ] } ], "mendeley" : { "formattedCitation" : "[45]", "plainTextFormattedCitation" : "[45]", "previouslyFormattedCitation" : "[45]" }, "properties" : { "noteIndex" : 0 }, "schema" : "https://github.com/citation-style-language/schema/raw/master/csl-citation.json" }</w:instrText>
            </w:r>
            <w:r w:rsidR="00F55BE6" w:rsidRPr="001912F1">
              <w:rPr>
                <w:rFonts w:ascii="Times New Roman" w:hAnsi="Times New Roman" w:cs="Times New Roman"/>
                <w:sz w:val="22"/>
                <w:szCs w:val="22"/>
              </w:rPr>
              <w:fldChar w:fldCharType="separate"/>
            </w:r>
            <w:r w:rsidR="00A172E2" w:rsidRPr="00A172E2">
              <w:rPr>
                <w:rFonts w:ascii="Times New Roman" w:hAnsi="Times New Roman" w:cs="Times New Roman"/>
                <w:noProof/>
                <w:sz w:val="22"/>
                <w:szCs w:val="22"/>
              </w:rPr>
              <w:t>[45]</w:t>
            </w:r>
            <w:r w:rsidR="00F55BE6" w:rsidRPr="001912F1">
              <w:rPr>
                <w:rFonts w:ascii="Times New Roman" w:hAnsi="Times New Roman" w:cs="Times New Roman"/>
                <w:sz w:val="22"/>
                <w:szCs w:val="22"/>
              </w:rPr>
              <w:fldChar w:fldCharType="end"/>
            </w:r>
          </w:p>
        </w:tc>
        <w:tc>
          <w:tcPr>
            <w:tcW w:w="564" w:type="dxa"/>
          </w:tcPr>
          <w:p w14:paraId="732BDBF9" w14:textId="77777777" w:rsidR="00F55BE6" w:rsidRPr="001912F1" w:rsidRDefault="00F55BE6" w:rsidP="00FD5957">
            <w:pPr>
              <w:rPr>
                <w:rFonts w:ascii="Times New Roman" w:hAnsi="Times New Roman" w:cs="Times New Roman"/>
                <w:sz w:val="22"/>
                <w:szCs w:val="22"/>
              </w:rPr>
            </w:pPr>
            <w:r w:rsidRPr="001912F1">
              <w:rPr>
                <w:rFonts w:ascii="Times New Roman" w:hAnsi="Times New Roman" w:cs="Times New Roman"/>
                <w:sz w:val="22"/>
                <w:szCs w:val="22"/>
              </w:rPr>
              <w:t>44</w:t>
            </w:r>
          </w:p>
        </w:tc>
        <w:tc>
          <w:tcPr>
            <w:tcW w:w="3918" w:type="dxa"/>
          </w:tcPr>
          <w:p w14:paraId="74A2DF95" w14:textId="2029BFAE" w:rsidR="00F55BE6" w:rsidRPr="001912F1" w:rsidRDefault="0027352C" w:rsidP="00FD5957">
            <w:pPr>
              <w:rPr>
                <w:rFonts w:ascii="Times New Roman" w:hAnsi="Times New Roman" w:cs="Times New Roman"/>
                <w:sz w:val="22"/>
                <w:szCs w:val="22"/>
              </w:rPr>
            </w:pPr>
            <w:r w:rsidRPr="001912F1">
              <w:rPr>
                <w:rFonts w:ascii="Times New Roman" w:hAnsi="Times New Roman" w:cs="Times New Roman"/>
                <w:sz w:val="22"/>
                <w:szCs w:val="22"/>
              </w:rPr>
              <w:t>Hwang et al.</w:t>
            </w:r>
            <w:r w:rsidR="00F55BE6" w:rsidRPr="001912F1">
              <w:rPr>
                <w:rFonts w:ascii="Times New Roman" w:hAnsi="Times New Roman" w:cs="Times New Roman"/>
                <w:b/>
                <w:bCs/>
                <w:sz w:val="22"/>
                <w:szCs w:val="22"/>
              </w:rPr>
              <w:fldChar w:fldCharType="begin" w:fldLock="1"/>
            </w:r>
            <w:r w:rsidR="00792D4F">
              <w:rPr>
                <w:rFonts w:ascii="Times New Roman" w:hAnsi="Times New Roman" w:cs="Times New Roman"/>
                <w:b/>
                <w:bCs/>
                <w:sz w:val="22"/>
                <w:szCs w:val="22"/>
              </w:rPr>
              <w:instrText>ADDIN CSL_CITATION { "citationItems" : [ { "id" : "ITEM-1", "itemData" : { "DOI" : "10.1108/ECAM-07-2014-0095", "ISSN" : "09699988", "abstract" : "Purpose - The purposes of this paper are to: investigate schedule performance of new and retrofitting green building projects; identify the critical factors that influence the schedule performance of new and retrofitting green building projects; and provide solutions to improve schedule performance of new and retrofitting green building projects. Design/methodology/approach - A questionnaire survey were conducted and responses were received from 34 firms experienced in green building projects in Singapore. After the data from the survey had been analyzed, face-to-face interviews were conducted with two senior project managers to solicit comments on the survey results. Findings - This study identified the degree of project delay in 98 new green building projects and 51 retrofitting green building projects in Singapore. The result indicated that 22 percent of the Singaporean green building projects were plagued with delay and retrofitting projects had a significantly higher likelihood of delay and significantly longer extension than new projects. In addition, \"consultant cooperation to solve problems\" was the most influential to schedule performance of both new and retrofitting green building projects, and the two project groups agreed on the overall ranking of the factors affecting schedule performance. Research limitations/implications - There may be geographical limitation on the conclusions drawn from the findings. Also, the sample size was still small, despite a relatively high response rate. In addition, the majority of the respondents were contractors as other project players were reluctant to respond to the survey. Practical implications - This study provides a clear understanding of the schedule performance of green building projects as well as the critical factors that should be highlighted when constructing green building projects. Also, strategies to overcome the negative impact of these factors allow practitioners to better deal with the potential causes of delay and to attain the schedule performance. Originality/value - Although construction delays have been widely investigated in previous studies relating to construction management, few have attempted to analyze the schedule performance of new and retrofitting green buildings. Thus, this study adds significantly to the existing research on both green building and construction delay.", "author" : [ { "dropping-particle" : "", "family" : "Hwang", "given" : "Bon Gang", "non-dropping-particle" : "", "parse-names" : false, "suffix" : "" }, { "dropping-particle" : "", "family" : "Zhao", "given" : "Xianbo", "non-dropping-particle" : "", "parse-names" : false, "suffix" : "" }, { "dropping-particle" : "", "family" : "Tan", "given" : "Lene Lay Ghim", "non-dropping-particle" : "", "parse-names" : false, "suffix" : "" } ], "container-title" : "Engineering, Construction and Architectural Management", "id" : "ITEM-1", "issue" : "3", "issued" : { "date-parts" : [ [ "2015" ] ] }, "page" : "327-346", "title" : "Green building projects: Schedule performance, influential factors and solutions", "type" : "article-journal", "volume" : "22" }, "uris" : [ "http://www.mendeley.com/documents/?uuid=e020c0f7-6bfc-4207-8382-7157d819de99" ] } ], "mendeley" : { "formattedCitation" : "[46]", "plainTextFormattedCitation" : "[46]", "previouslyFormattedCitation" : "[46]" }, "properties" : { "noteIndex" : 0 }, "schema" : "https://github.com/citation-style-language/schema/raw/master/csl-citation.json" }</w:instrText>
            </w:r>
            <w:r w:rsidR="00F55BE6" w:rsidRPr="001912F1">
              <w:rPr>
                <w:rFonts w:ascii="Times New Roman" w:hAnsi="Times New Roman" w:cs="Times New Roman"/>
                <w:b/>
                <w:bCs/>
                <w:sz w:val="22"/>
                <w:szCs w:val="22"/>
              </w:rPr>
              <w:fldChar w:fldCharType="separate"/>
            </w:r>
            <w:r w:rsidR="00A172E2" w:rsidRPr="00A172E2">
              <w:rPr>
                <w:rFonts w:ascii="Times New Roman" w:hAnsi="Times New Roman" w:cs="Times New Roman"/>
                <w:bCs/>
                <w:noProof/>
                <w:sz w:val="22"/>
                <w:szCs w:val="22"/>
              </w:rPr>
              <w:t>[46]</w:t>
            </w:r>
            <w:r w:rsidR="00F55BE6" w:rsidRPr="001912F1">
              <w:rPr>
                <w:rFonts w:ascii="Times New Roman" w:hAnsi="Times New Roman" w:cs="Times New Roman"/>
                <w:b/>
                <w:bCs/>
                <w:sz w:val="22"/>
                <w:szCs w:val="22"/>
              </w:rPr>
              <w:fldChar w:fldCharType="end"/>
            </w:r>
          </w:p>
        </w:tc>
      </w:tr>
      <w:tr w:rsidR="001912F1" w:rsidRPr="001912F1" w14:paraId="609CACB9" w14:textId="77777777" w:rsidTr="00A06958">
        <w:tc>
          <w:tcPr>
            <w:tcW w:w="470" w:type="dxa"/>
          </w:tcPr>
          <w:p w14:paraId="66AC437D" w14:textId="77777777" w:rsidR="00F55BE6" w:rsidRPr="001912F1" w:rsidRDefault="00F55BE6" w:rsidP="00FD5957">
            <w:pPr>
              <w:rPr>
                <w:rFonts w:ascii="Times New Roman" w:hAnsi="Times New Roman" w:cs="Times New Roman"/>
                <w:sz w:val="22"/>
                <w:szCs w:val="22"/>
              </w:rPr>
            </w:pPr>
            <w:r w:rsidRPr="001912F1">
              <w:rPr>
                <w:rFonts w:ascii="Times New Roman" w:hAnsi="Times New Roman" w:cs="Times New Roman"/>
                <w:sz w:val="22"/>
                <w:szCs w:val="22"/>
              </w:rPr>
              <w:t>15</w:t>
            </w:r>
          </w:p>
        </w:tc>
        <w:tc>
          <w:tcPr>
            <w:tcW w:w="4064" w:type="dxa"/>
          </w:tcPr>
          <w:p w14:paraId="79A60559" w14:textId="4AF4929B" w:rsidR="00F55BE6" w:rsidRPr="001912F1" w:rsidRDefault="0027352C" w:rsidP="00FD5957">
            <w:pPr>
              <w:rPr>
                <w:rFonts w:ascii="Times New Roman" w:hAnsi="Times New Roman" w:cs="Times New Roman"/>
                <w:sz w:val="22"/>
                <w:szCs w:val="22"/>
              </w:rPr>
            </w:pPr>
            <w:r w:rsidRPr="001912F1">
              <w:rPr>
                <w:rFonts w:ascii="Times New Roman" w:hAnsi="Times New Roman" w:cs="Times New Roman"/>
                <w:sz w:val="22"/>
                <w:szCs w:val="22"/>
              </w:rPr>
              <w:t>Chan et al.</w:t>
            </w:r>
            <w:r w:rsidR="00F55BE6" w:rsidRPr="001912F1">
              <w:rPr>
                <w:rFonts w:ascii="Times New Roman" w:hAnsi="Times New Roman" w:cs="Times New Roman"/>
                <w:sz w:val="22"/>
                <w:szCs w:val="22"/>
              </w:rPr>
              <w:fldChar w:fldCharType="begin" w:fldLock="1"/>
            </w:r>
            <w:r w:rsidR="00792D4F">
              <w:rPr>
                <w:rFonts w:ascii="Times New Roman" w:hAnsi="Times New Roman" w:cs="Times New Roman"/>
                <w:sz w:val="22"/>
                <w:szCs w:val="22"/>
              </w:rPr>
              <w:instrText>ADDIN CSL_CITATION { "citationItems" : [ { "id" : "ITEM-1", "itemData" : { "DOI" : "10.1016/j.jclepro.2017.10.235", "ISSN" : "09596526", "abstract" : "Although green building technologies (GBTs) have been advocated in the construction industry to address sustainability issues, their adoption is still plagued with barriers. The barriers that hinder GBTs adoption need detailed investigation. However, few studies have been conducted on the barriers to GBTs adoption in developing countries such as Ghana. This study aims to investigate the critical barriers to GBTs adoption with reference to the Ghanaian construction market. To achieve the objective, 26 barriers were identified from a comprehensive literature review, and a questionnaire survey was performed with 43 professionals with green building experience. The ranking analysis results indicated that 20 barriers were critical. The top three most critical barriers were higher costs of GBTs, lack of government incentives, and lack of financing schemes (e.g., bank loans). A comparative analysis showed that while the most critical barriers to GBTs adoption in the developing country of Ghana mostly vary from those in the developed countries of the US, Canada, and Australia, higher costs of GBTs remains a top barrier in all the countries. Furthermore, factor analysis revealed that the underlying grouped barriers for the 20 critical barriers were government-related, human-related, knowledge and information-related, market-related, and cost and risk-related barriers. This study also showed that the most dominant of the five underlying groups was government-related barriers, which highlights the government's role in promoting GBTs adoption in Ghana. This study adds to the green building literature by analyzing GBTs adoption barriers within the context of a developing country, which could help policy makers and practitioners take suitable measures to mitigate the barriers and thereby promote the GBTs adoption. Future research will investigate the interrelationships between the critical barriers and their impacts on the GBTs adoption activity.", "author" : [ { "dropping-particle" : "", "family" : "Chan", "given" : "Albert Ping Chuen", "non-dropping-particle" : "", "parse-names" : false, "suffix" : "" }, { "dropping-particle" : "", "family" : "Darko", "given" : "Amos", "non-dropping-particle" : "", "parse-names" : false, "suffix" : "" }, { "dropping-particle" : "", "family" : "Olanipekun", "given" : "Ayokunle Olubunmi", "non-dropping-particle" : "", "parse-names" : false, "suffix" : "" }, { "dropping-particle" : "", "family" : "Ameyaw", "given" : "Ernest Effah", "non-dropping-particle" : "", "parse-names" : false, "suffix" : "" } ], "container-title" : "Journal of Cleaner Production", "id" : "ITEM-1", "issued" : { "date-parts" : [ [ "2018" ] ] }, "page" : "1067-1079", "publisher" : "Elsevier Ltd", "title" : "Critical barriers to green building technologies adoption in developing countries: The case of Ghana", "type" : "article-journal", "volume" : "172" }, "uris" : [ "http://www.mendeley.com/documents/?uuid=8a8aad17-7360-4974-915d-09aa3d8c1c93" ] } ], "mendeley" : { "formattedCitation" : "[47]", "plainTextFormattedCitation" : "[47]", "previouslyFormattedCitation" : "[47]" }, "properties" : { "noteIndex" : 0 }, "schema" : "https://github.com/citation-style-language/schema/raw/master/csl-citation.json" }</w:instrText>
            </w:r>
            <w:r w:rsidR="00F55BE6" w:rsidRPr="001912F1">
              <w:rPr>
                <w:rFonts w:ascii="Times New Roman" w:hAnsi="Times New Roman" w:cs="Times New Roman"/>
                <w:sz w:val="22"/>
                <w:szCs w:val="22"/>
              </w:rPr>
              <w:fldChar w:fldCharType="separate"/>
            </w:r>
            <w:r w:rsidR="00A172E2" w:rsidRPr="00A172E2">
              <w:rPr>
                <w:rFonts w:ascii="Times New Roman" w:hAnsi="Times New Roman" w:cs="Times New Roman"/>
                <w:noProof/>
                <w:sz w:val="22"/>
                <w:szCs w:val="22"/>
              </w:rPr>
              <w:t>[47]</w:t>
            </w:r>
            <w:r w:rsidR="00F55BE6" w:rsidRPr="001912F1">
              <w:rPr>
                <w:rFonts w:ascii="Times New Roman" w:hAnsi="Times New Roman" w:cs="Times New Roman"/>
                <w:sz w:val="22"/>
                <w:szCs w:val="22"/>
              </w:rPr>
              <w:fldChar w:fldCharType="end"/>
            </w:r>
          </w:p>
        </w:tc>
        <w:tc>
          <w:tcPr>
            <w:tcW w:w="564" w:type="dxa"/>
          </w:tcPr>
          <w:p w14:paraId="71281998" w14:textId="77777777" w:rsidR="00F55BE6" w:rsidRPr="001912F1" w:rsidRDefault="00F55BE6" w:rsidP="00FD5957">
            <w:pPr>
              <w:rPr>
                <w:rFonts w:ascii="Times New Roman" w:hAnsi="Times New Roman" w:cs="Times New Roman"/>
                <w:sz w:val="22"/>
                <w:szCs w:val="22"/>
              </w:rPr>
            </w:pPr>
            <w:r w:rsidRPr="001912F1">
              <w:rPr>
                <w:rFonts w:ascii="Times New Roman" w:hAnsi="Times New Roman" w:cs="Times New Roman"/>
                <w:sz w:val="22"/>
                <w:szCs w:val="22"/>
              </w:rPr>
              <w:t>45</w:t>
            </w:r>
          </w:p>
        </w:tc>
        <w:tc>
          <w:tcPr>
            <w:tcW w:w="3918" w:type="dxa"/>
          </w:tcPr>
          <w:p w14:paraId="2A6ADC93" w14:textId="3EDE2F55" w:rsidR="00F55BE6" w:rsidRPr="001912F1" w:rsidRDefault="0027352C" w:rsidP="00FD5957">
            <w:pPr>
              <w:rPr>
                <w:rFonts w:ascii="Times New Roman" w:hAnsi="Times New Roman" w:cs="Times New Roman"/>
                <w:sz w:val="22"/>
                <w:szCs w:val="22"/>
              </w:rPr>
            </w:pPr>
            <w:proofErr w:type="spellStart"/>
            <w:r w:rsidRPr="001912F1">
              <w:rPr>
                <w:rFonts w:ascii="Times New Roman" w:hAnsi="Times New Roman" w:cs="Times New Roman"/>
                <w:sz w:val="22"/>
                <w:szCs w:val="22"/>
              </w:rPr>
              <w:t>Polat</w:t>
            </w:r>
            <w:proofErr w:type="spellEnd"/>
            <w:r w:rsidRPr="001912F1">
              <w:rPr>
                <w:rFonts w:ascii="Times New Roman" w:hAnsi="Times New Roman" w:cs="Times New Roman"/>
                <w:sz w:val="22"/>
                <w:szCs w:val="22"/>
              </w:rPr>
              <w:t xml:space="preserve"> et al.</w:t>
            </w:r>
            <w:r w:rsidR="00F55BE6" w:rsidRPr="001912F1">
              <w:rPr>
                <w:rFonts w:ascii="Times New Roman" w:hAnsi="Times New Roman" w:cs="Times New Roman"/>
                <w:sz w:val="22"/>
                <w:szCs w:val="22"/>
              </w:rPr>
              <w:fldChar w:fldCharType="begin" w:fldLock="1"/>
            </w:r>
            <w:r w:rsidR="00792D4F">
              <w:rPr>
                <w:rFonts w:ascii="Times New Roman" w:hAnsi="Times New Roman" w:cs="Times New Roman"/>
                <w:sz w:val="22"/>
                <w:szCs w:val="22"/>
              </w:rPr>
              <w:instrText>ADDIN CSL_CITATION { "citationItems" : [ { "id" : "ITEM-1", "itemData" : { "DOI" : "10.1016/j.proeng.2017.08.036", "ISSN" : "18777058", "abstract" : "Green projects, especially housing projects, have become popular in recent years in the Turkish construction industry. Although the number of green projects is increasing, this type of projects involves several material-related risks. The contractors, who undertake green projects, should be aware of these risks and take precautions against them in order to shield themselves from the possible negative outcomes of these risks. The aim of this study to identify the material-related risk factors that can be experienced by contractors during the construction phase of these projects. For this purpose, an extensive literature review was carried out and a total of 25 factors were identified and a questionnaire survey was designed. These questionnaires were submitted to 50 randomly selected contractors, designers, and consultants and 25 of them returned the completed questionnaires. Based on the responses, the impacts of these risks on cost and time performances of the green projects were ranked and evaluated. It was found that \"negligence of constructability in green designs\" is the most severe risk factor that affects the cost and time performances of green projects, and the most severe factors are \"design-related\" and \"contractor-related\" factors.", "author" : [ { "dropping-particle" : "", "family" : "Polat", "given" : "Gul", "non-dropping-particle" : "", "parse-names" : false, "suffix" : "" }, { "dropping-particle" : "", "family" : "Turkoglu", "given" : "Harun", "non-dropping-particle" : "", "parse-names" : false, "suffix" : "" }, { "dropping-particle" : "", "family" : "Gurgun", "given" : "Asli Pelin", "non-dropping-particle" : "", "parse-names" : false, "suffix" : "" } ], "container-title" : "Procedia Engineering", "id" : "ITEM-1", "issue" : "June", "issued" : { "date-parts" : [ [ "2017" ] ] }, "page" : "956-963", "publisher" : "The Author(s)", "title" : "Identification of Material-related Risks in Green Buildings", "type" : "article-journal", "volume" : "196" }, "uris" : [ "http://www.mendeley.com/documents/?uuid=d524f6db-23a1-488c-bd13-8a0dce9482dd" ] } ], "mendeley" : { "formattedCitation" : "[48]", "plainTextFormattedCitation" : "[48]", "previouslyFormattedCitation" : "[48]" }, "properties" : { "noteIndex" : 0 }, "schema" : "https://github.com/citation-style-language/schema/raw/master/csl-citation.json" }</w:instrText>
            </w:r>
            <w:r w:rsidR="00F55BE6" w:rsidRPr="001912F1">
              <w:rPr>
                <w:rFonts w:ascii="Times New Roman" w:hAnsi="Times New Roman" w:cs="Times New Roman"/>
                <w:sz w:val="22"/>
                <w:szCs w:val="22"/>
              </w:rPr>
              <w:fldChar w:fldCharType="separate"/>
            </w:r>
            <w:r w:rsidR="00A172E2" w:rsidRPr="00A172E2">
              <w:rPr>
                <w:rFonts w:ascii="Times New Roman" w:hAnsi="Times New Roman" w:cs="Times New Roman"/>
                <w:noProof/>
                <w:sz w:val="22"/>
                <w:szCs w:val="22"/>
              </w:rPr>
              <w:t>[48]</w:t>
            </w:r>
            <w:r w:rsidR="00F55BE6" w:rsidRPr="001912F1">
              <w:rPr>
                <w:rFonts w:ascii="Times New Roman" w:hAnsi="Times New Roman" w:cs="Times New Roman"/>
                <w:sz w:val="22"/>
                <w:szCs w:val="22"/>
              </w:rPr>
              <w:fldChar w:fldCharType="end"/>
            </w:r>
          </w:p>
        </w:tc>
      </w:tr>
      <w:tr w:rsidR="001912F1" w:rsidRPr="001912F1" w14:paraId="644C7BE6" w14:textId="77777777" w:rsidTr="00A06958">
        <w:tc>
          <w:tcPr>
            <w:tcW w:w="470" w:type="dxa"/>
          </w:tcPr>
          <w:p w14:paraId="759B0D52" w14:textId="77777777" w:rsidR="00F55BE6" w:rsidRPr="001912F1" w:rsidRDefault="00F55BE6" w:rsidP="00FD5957">
            <w:pPr>
              <w:rPr>
                <w:rFonts w:ascii="Times New Roman" w:hAnsi="Times New Roman" w:cs="Times New Roman"/>
                <w:sz w:val="22"/>
                <w:szCs w:val="22"/>
              </w:rPr>
            </w:pPr>
            <w:r w:rsidRPr="001912F1">
              <w:rPr>
                <w:rFonts w:ascii="Times New Roman" w:hAnsi="Times New Roman" w:cs="Times New Roman"/>
                <w:sz w:val="22"/>
                <w:szCs w:val="22"/>
              </w:rPr>
              <w:t>16</w:t>
            </w:r>
          </w:p>
        </w:tc>
        <w:tc>
          <w:tcPr>
            <w:tcW w:w="4064" w:type="dxa"/>
          </w:tcPr>
          <w:p w14:paraId="585AF401" w14:textId="662E775B" w:rsidR="00F55BE6" w:rsidRPr="001912F1" w:rsidRDefault="0027352C" w:rsidP="00FD5957">
            <w:pPr>
              <w:rPr>
                <w:rFonts w:ascii="Times New Roman" w:hAnsi="Times New Roman" w:cs="Times New Roman"/>
                <w:sz w:val="22"/>
                <w:szCs w:val="22"/>
              </w:rPr>
            </w:pPr>
            <w:r w:rsidRPr="001912F1">
              <w:rPr>
                <w:rFonts w:ascii="Times New Roman" w:hAnsi="Times New Roman" w:cs="Times New Roman"/>
                <w:sz w:val="22"/>
                <w:szCs w:val="22"/>
              </w:rPr>
              <w:t xml:space="preserve">Ismael and Shealy </w:t>
            </w:r>
            <w:r w:rsidR="00F55BE6" w:rsidRPr="001912F1">
              <w:rPr>
                <w:rFonts w:ascii="Times New Roman" w:hAnsi="Times New Roman" w:cs="Times New Roman"/>
                <w:sz w:val="22"/>
                <w:szCs w:val="22"/>
              </w:rPr>
              <w:fldChar w:fldCharType="begin" w:fldLock="1"/>
            </w:r>
            <w:r w:rsidR="00792D4F">
              <w:rPr>
                <w:rFonts w:ascii="Times New Roman" w:hAnsi="Times New Roman" w:cs="Times New Roman"/>
                <w:sz w:val="22"/>
                <w:szCs w:val="22"/>
              </w:rPr>
              <w:instrText>ADDIN CSL_CITATION { "citationItems" : [ { "id" : "ITEM-1", "itemData" : { "DOI" : "10.3390/su10061854", "ISSN" : "20711050", "abstract" : "Sustainable construction is fundamentally different than traditional construction because it requires whole systems thinking, early collaboration across stakeholders, and core principles like reducing resource consumption, eliminating toxins, and applying life cycle costing. Construction professionals unfamiliar with this mindset and approach may perceive sustainable construction as risky. One of the global regions in need of more sustainable construction is the Middle Eastern and North African (MENA) region. The MENA region is one of the fastest developing in the world. However, it is the slowest one in implementing sustainable construction practices. Kuwait, in particular, contributes 53% more carbon emissions per capita than the United States. To understand how the Kuwaiti construction industry perceives risks associated with more sustainable construction, a survey was developed with 52 risk elements in which 131 industry professionals responded. The results indicate that industry professionals perceive a lack of public awareness as the risk element with the highest probability of occurrence. The risk element with the highest possible negative impact on future projects is designers' and contractors' inexperience with sustainable construction. Other risks were found to include a high initial cost for materials and overall project costs. Educational interventions, changes in risk allocation, and behavioral science to reframe upfront costs as long-term savings are offered as possible solutions.", "author" : [ { "dropping-particle" : "", "family" : "Ismael", "given" : "Dalya", "non-dropping-particle" : "", "parse-names" : false, "suffix" : "" }, { "dropping-particle" : "", "family" : "Shealy", "given" : "Tripp", "non-dropping-particle" : "", "parse-names" : false, "suffix" : "" } ], "container-title" : "Sustainability (Switzerland)", "id" : "ITEM-1", "issue" : "6", "issued" : { "date-parts" : [ [ "2018" ] ] }, "title" : "Sustainable construction risk perceptions in the Kuwaiti construction industry", "type" : "article-journal", "volume" : "10" }, "uris" : [ "http://www.mendeley.com/documents/?uuid=78a38aa9-ae4d-4b0f-b882-dbd9984c4d1d" ] } ], "mendeley" : { "formattedCitation" : "[49]", "plainTextFormattedCitation" : "[49]", "previouslyFormattedCitation" : "[49]" }, "properties" : { "noteIndex" : 0 }, "schema" : "https://github.com/citation-style-language/schema/raw/master/csl-citation.json" }</w:instrText>
            </w:r>
            <w:r w:rsidR="00F55BE6" w:rsidRPr="001912F1">
              <w:rPr>
                <w:rFonts w:ascii="Times New Roman" w:hAnsi="Times New Roman" w:cs="Times New Roman"/>
                <w:sz w:val="22"/>
                <w:szCs w:val="22"/>
              </w:rPr>
              <w:fldChar w:fldCharType="separate"/>
            </w:r>
            <w:r w:rsidR="00A172E2" w:rsidRPr="00A172E2">
              <w:rPr>
                <w:rFonts w:ascii="Times New Roman" w:hAnsi="Times New Roman" w:cs="Times New Roman"/>
                <w:noProof/>
                <w:sz w:val="22"/>
                <w:szCs w:val="22"/>
              </w:rPr>
              <w:t>[49]</w:t>
            </w:r>
            <w:r w:rsidR="00F55BE6" w:rsidRPr="001912F1">
              <w:rPr>
                <w:rFonts w:ascii="Times New Roman" w:hAnsi="Times New Roman" w:cs="Times New Roman"/>
                <w:sz w:val="22"/>
                <w:szCs w:val="22"/>
              </w:rPr>
              <w:fldChar w:fldCharType="end"/>
            </w:r>
          </w:p>
        </w:tc>
        <w:tc>
          <w:tcPr>
            <w:tcW w:w="564" w:type="dxa"/>
          </w:tcPr>
          <w:p w14:paraId="344FB5E3" w14:textId="77777777" w:rsidR="00F55BE6" w:rsidRPr="001912F1" w:rsidRDefault="00F55BE6" w:rsidP="00FD5957">
            <w:pPr>
              <w:rPr>
                <w:rFonts w:ascii="Times New Roman" w:hAnsi="Times New Roman" w:cs="Times New Roman"/>
                <w:sz w:val="22"/>
                <w:szCs w:val="22"/>
              </w:rPr>
            </w:pPr>
            <w:r w:rsidRPr="001912F1">
              <w:rPr>
                <w:rFonts w:ascii="Times New Roman" w:hAnsi="Times New Roman" w:cs="Times New Roman"/>
                <w:sz w:val="22"/>
                <w:szCs w:val="22"/>
              </w:rPr>
              <w:t>46</w:t>
            </w:r>
          </w:p>
        </w:tc>
        <w:tc>
          <w:tcPr>
            <w:tcW w:w="3918" w:type="dxa"/>
          </w:tcPr>
          <w:p w14:paraId="7101920A" w14:textId="14CAC6F5" w:rsidR="00F55BE6" w:rsidRPr="001912F1" w:rsidRDefault="0027352C" w:rsidP="00FD5957">
            <w:pPr>
              <w:rPr>
                <w:rFonts w:ascii="Times New Roman" w:hAnsi="Times New Roman" w:cs="Times New Roman"/>
                <w:sz w:val="22"/>
                <w:szCs w:val="22"/>
              </w:rPr>
            </w:pPr>
            <w:proofErr w:type="spellStart"/>
            <w:r w:rsidRPr="001912F1">
              <w:rPr>
                <w:rFonts w:ascii="Times New Roman" w:hAnsi="Times New Roman" w:cs="Times New Roman"/>
                <w:sz w:val="22"/>
                <w:szCs w:val="22"/>
              </w:rPr>
              <w:t>Alamdari</w:t>
            </w:r>
            <w:proofErr w:type="spellEnd"/>
            <w:r w:rsidRPr="001912F1">
              <w:rPr>
                <w:rFonts w:ascii="Times New Roman" w:hAnsi="Times New Roman" w:cs="Times New Roman"/>
                <w:sz w:val="22"/>
                <w:szCs w:val="22"/>
              </w:rPr>
              <w:t xml:space="preserve"> et al.</w:t>
            </w:r>
            <w:r w:rsidR="00F55BE6" w:rsidRPr="001912F1">
              <w:rPr>
                <w:rFonts w:ascii="Times New Roman" w:hAnsi="Times New Roman" w:cs="Times New Roman"/>
                <w:sz w:val="22"/>
                <w:szCs w:val="22"/>
              </w:rPr>
              <w:fldChar w:fldCharType="begin" w:fldLock="1"/>
            </w:r>
            <w:r w:rsidR="00792D4F">
              <w:rPr>
                <w:rFonts w:ascii="Times New Roman" w:hAnsi="Times New Roman" w:cs="Times New Roman"/>
                <w:sz w:val="22"/>
                <w:szCs w:val="22"/>
              </w:rPr>
              <w:instrText>ADDIN CSL_CITATION { "citationItems" : [ { "id" : "ITEM-1", "itemData" : { "DOI" : "10.1108/ECAM-07-2021-0663", "ISSN" : "09699988", "abstract" : "Purpose: Green construction has begun implementing sustainable and environmentally friendly practices, but there has not yet been an assessment for green construction supply chain risks in the literature. Identification and assessment of potential risks will result in more appropriate risk mitigation strategies to overcome disruptions affecting higher performance. Thus, this study aims to identify green construction supply chain risks of residential mega-projects. Design/methodology/approach: Interpretive structural modeling (ISM) provided a hierarchical model composed of seven layers that elucidated the driving influences between the elements. Matrice d\u2019impacts croises-multiplication appliq\u00fae an classement (MICMAC) analysis classified the elements into the driver, linkage and dependent variables based on their dependence and driving powers, providing a clearer understanding of risk factors and their influential characteristics. Using experts' knowledge and experience is compatible with the subjective nature of \u2018supply chain risks\u2019 and is more suitable while collecting pertinent quantitative data which is far more challenging. Findings: Tenable output, using an international expert group, addressed key risk factors. Technical expertise and skilled labor, key customers, and corporate culture are found as elements with most driving power, and the final product and logistics coordination and supply chain configuration found as the most dependent risk factors. Managerial implications addressed the most fundamental risk sources and suggested practical proactive risk management approaches to maximize green supply chain performance. Originality/value: Identified supply chain oriented key risk factors of the residential green mega projects add novelty to the context of green construction projects' supply chain management. And eliciting the influential relations of the key risk factors provide a bigger picture of key risks in green residential mega projects that can be extended by sub-risks related to process activities. Assessing supply chain risks' interactions in the context of green residential mega projects is a novel contribution to mega construction-project management's body of knowledge. Also, the key risk factors were categorized based on the characteristics known as driving power and dependence.", "author" : [ { "dropping-particle" : "", "family" : "Alamdari", "given" : "Ardalan Marandi", "non-dropping-particle" : "", "parse-names" : false, "suffix" : "" }, { "dropping-particle" : "", "family" : "Jabarzadeh", "given" : "Younis", "non-dropping-particle" : "", "parse-names" : false, "suffix" : "" }, { "dropping-particle" : "", "family" : "Samson", "given" : "Daniel", "non-dropping-particle" : "", "parse-names" : false, "suffix" : "" }, { "dropping-particle" : "", "family" : "Sanoubar", "given" : "Naser", "non-dropping-particle" : "", "parse-names" : false, "suffix" : "" } ], "container-title" : "Engineering, Construction and Architectural Management", "id" : "ITEM-1", "issue" : "Ahead-of-print", "issued" : { "date-parts" : [ [ "2021" ] ] }, "page" : "1-30", "title" : "Supply chain risk factors in green construction of residential mega projects \u2013 interactions and categorization", "type" : "article-journal", "volume" : "Ahead-of-p" }, "uris" : [ "http://www.mendeley.com/documents/?uuid=86770466-95f6-45ac-b4af-c9fc450e5637" ] } ], "mendeley" : { "formattedCitation" : "[50]", "plainTextFormattedCitation" : "[50]", "previouslyFormattedCitation" : "[50]" }, "properties" : { "noteIndex" : 0 }, "schema" : "https://github.com/citation-style-language/schema/raw/master/csl-citation.json" }</w:instrText>
            </w:r>
            <w:r w:rsidR="00F55BE6" w:rsidRPr="001912F1">
              <w:rPr>
                <w:rFonts w:ascii="Times New Roman" w:hAnsi="Times New Roman" w:cs="Times New Roman"/>
                <w:sz w:val="22"/>
                <w:szCs w:val="22"/>
              </w:rPr>
              <w:fldChar w:fldCharType="separate"/>
            </w:r>
            <w:r w:rsidR="00A172E2" w:rsidRPr="00A172E2">
              <w:rPr>
                <w:rFonts w:ascii="Times New Roman" w:hAnsi="Times New Roman" w:cs="Times New Roman"/>
                <w:noProof/>
                <w:sz w:val="22"/>
                <w:szCs w:val="22"/>
              </w:rPr>
              <w:t>[50]</w:t>
            </w:r>
            <w:r w:rsidR="00F55BE6" w:rsidRPr="001912F1">
              <w:rPr>
                <w:rFonts w:ascii="Times New Roman" w:hAnsi="Times New Roman" w:cs="Times New Roman"/>
                <w:sz w:val="22"/>
                <w:szCs w:val="22"/>
              </w:rPr>
              <w:fldChar w:fldCharType="end"/>
            </w:r>
          </w:p>
        </w:tc>
      </w:tr>
      <w:tr w:rsidR="001912F1" w:rsidRPr="001912F1" w14:paraId="5F3BD2C3" w14:textId="77777777" w:rsidTr="00A06958">
        <w:tc>
          <w:tcPr>
            <w:tcW w:w="470" w:type="dxa"/>
          </w:tcPr>
          <w:p w14:paraId="653A008B" w14:textId="77777777" w:rsidR="00F55BE6" w:rsidRPr="001912F1" w:rsidRDefault="00F55BE6" w:rsidP="00FD5957">
            <w:pPr>
              <w:rPr>
                <w:rFonts w:ascii="Times New Roman" w:hAnsi="Times New Roman" w:cs="Times New Roman"/>
                <w:sz w:val="22"/>
                <w:szCs w:val="22"/>
              </w:rPr>
            </w:pPr>
            <w:r w:rsidRPr="001912F1">
              <w:rPr>
                <w:rFonts w:ascii="Times New Roman" w:hAnsi="Times New Roman" w:cs="Times New Roman"/>
                <w:sz w:val="22"/>
                <w:szCs w:val="22"/>
              </w:rPr>
              <w:t>17</w:t>
            </w:r>
          </w:p>
        </w:tc>
        <w:tc>
          <w:tcPr>
            <w:tcW w:w="4064" w:type="dxa"/>
          </w:tcPr>
          <w:p w14:paraId="7D33B41A" w14:textId="73F4A627" w:rsidR="00F55BE6" w:rsidRPr="001912F1" w:rsidRDefault="0027352C" w:rsidP="00FD5957">
            <w:pPr>
              <w:rPr>
                <w:rFonts w:ascii="Times New Roman" w:hAnsi="Times New Roman" w:cs="Times New Roman"/>
                <w:sz w:val="22"/>
                <w:szCs w:val="22"/>
              </w:rPr>
            </w:pPr>
            <w:r w:rsidRPr="001912F1">
              <w:rPr>
                <w:rFonts w:ascii="Times New Roman" w:hAnsi="Times New Roman" w:cs="Times New Roman"/>
                <w:sz w:val="22"/>
                <w:szCs w:val="22"/>
              </w:rPr>
              <w:t xml:space="preserve">Ranawaka and </w:t>
            </w:r>
            <w:proofErr w:type="spellStart"/>
            <w:r w:rsidRPr="001912F1">
              <w:rPr>
                <w:rFonts w:ascii="Times New Roman" w:hAnsi="Times New Roman" w:cs="Times New Roman"/>
                <w:sz w:val="22"/>
                <w:szCs w:val="22"/>
              </w:rPr>
              <w:t>Mallawaarachchi</w:t>
            </w:r>
            <w:proofErr w:type="spellEnd"/>
            <w:r w:rsidRPr="001912F1">
              <w:rPr>
                <w:rFonts w:ascii="Times New Roman" w:hAnsi="Times New Roman" w:cs="Times New Roman"/>
                <w:sz w:val="22"/>
                <w:szCs w:val="22"/>
              </w:rPr>
              <w:t xml:space="preserve"> </w:t>
            </w:r>
            <w:r w:rsidR="00F55BE6" w:rsidRPr="001912F1">
              <w:rPr>
                <w:rFonts w:ascii="Times New Roman" w:hAnsi="Times New Roman" w:cs="Times New Roman"/>
                <w:sz w:val="22"/>
                <w:szCs w:val="22"/>
              </w:rPr>
              <w:fldChar w:fldCharType="begin" w:fldLock="1"/>
            </w:r>
            <w:r w:rsidR="00792D4F">
              <w:rPr>
                <w:rFonts w:ascii="Times New Roman" w:hAnsi="Times New Roman" w:cs="Times New Roman"/>
                <w:sz w:val="22"/>
                <w:szCs w:val="22"/>
              </w:rPr>
              <w:instrText>ADDIN CSL_CITATION { "citationItems" : [ { "id" : "ITEM-1", "itemData" : { "DOI" : "10.1108/BEPAM-10-2017-0088", "ISSN" : "20441258", "abstract" : "Purpose: The purpose of this paper is to evaluate the risks associated with green retrofit projects in Sri Lanka in order to develop a risk responsive framework. Design/methodology/approach: The survey method under the quantitative approach was selected as the research methodology as this research is required evaluating the risks associated with green retrofit projects. Both preliminary survey and the main questionnaire survey were conducted to collect the data. The survey data were evaluated and analysed by using mode value as a descriptive statistical analysis technique, and the risk rating matrix. Findings: The overall results of risk assessment deliberated that there are ten \u201ccritical\u201d risk factors, such as construction cost, inflation, energy saving uncertainty, warranty risk, delay in project completion, productivity and quality risks, requirement of permits and their approval, design changes, damage to structure or property and procurement delay influencing green retrofitting. Finally, a risk responsive framework was developed by proposing suitable strategies for mitigating the risks associated with green retrofitting. Practical implications: The developed framework can be used as a basis to mitigate the risks associated with green retrofitting projects. An abundant upgrade of existing high-rise buildings into green can be reached. Originality/value: A little attention paid on green retrofitting and the absence of proper risk management strategy for green retrofit projects in current practice have made this research a paramount need and a focal point.", "author" : [ { "dropping-particle" : "", "family" : "Ranawaka", "given" : "Indeewari", "non-dropping-particle" : "", "parse-names" : false, "suffix" : "" }, { "dropping-particle" : "", "family" : "Mallawaarachchi", "given" : "Harshini", "non-dropping-particle" : "", "parse-names" : false, "suffix" : "" } ], "container-title" : "Built Environment Project and Asset Management", "id" : "ITEM-1", "issue" : "5", "issued" : { "date-parts" : [ [ "2018" ] ] }, "page" : "477-490", "title" : "A risk-responsive framework for green retrofit projects in Sri Lanka", "type" : "article-journal", "volume" : "8" }, "uris" : [ "http://www.mendeley.com/documents/?uuid=828760d2-2cdf-421d-94ad-f8cc326c766f" ] } ], "mendeley" : { "formattedCitation" : "[51]", "plainTextFormattedCitation" : "[51]", "previouslyFormattedCitation" : "[51]" }, "properties" : { "noteIndex" : 0 }, "schema" : "https://github.com/citation-style-language/schema/raw/master/csl-citation.json" }</w:instrText>
            </w:r>
            <w:r w:rsidR="00F55BE6" w:rsidRPr="001912F1">
              <w:rPr>
                <w:rFonts w:ascii="Times New Roman" w:hAnsi="Times New Roman" w:cs="Times New Roman"/>
                <w:sz w:val="22"/>
                <w:szCs w:val="22"/>
              </w:rPr>
              <w:fldChar w:fldCharType="separate"/>
            </w:r>
            <w:r w:rsidR="00A172E2" w:rsidRPr="00A172E2">
              <w:rPr>
                <w:rFonts w:ascii="Times New Roman" w:hAnsi="Times New Roman" w:cs="Times New Roman"/>
                <w:noProof/>
                <w:sz w:val="22"/>
                <w:szCs w:val="22"/>
              </w:rPr>
              <w:t>[51]</w:t>
            </w:r>
            <w:r w:rsidR="00F55BE6" w:rsidRPr="001912F1">
              <w:rPr>
                <w:rFonts w:ascii="Times New Roman" w:hAnsi="Times New Roman" w:cs="Times New Roman"/>
                <w:sz w:val="22"/>
                <w:szCs w:val="22"/>
              </w:rPr>
              <w:fldChar w:fldCharType="end"/>
            </w:r>
          </w:p>
        </w:tc>
        <w:tc>
          <w:tcPr>
            <w:tcW w:w="564" w:type="dxa"/>
          </w:tcPr>
          <w:p w14:paraId="439140F5" w14:textId="77777777" w:rsidR="00F55BE6" w:rsidRPr="001912F1" w:rsidRDefault="00F55BE6" w:rsidP="00FD5957">
            <w:pPr>
              <w:rPr>
                <w:rFonts w:ascii="Times New Roman" w:hAnsi="Times New Roman" w:cs="Times New Roman"/>
                <w:sz w:val="22"/>
                <w:szCs w:val="22"/>
              </w:rPr>
            </w:pPr>
            <w:r w:rsidRPr="001912F1">
              <w:rPr>
                <w:rFonts w:ascii="Times New Roman" w:hAnsi="Times New Roman" w:cs="Times New Roman"/>
                <w:sz w:val="22"/>
                <w:szCs w:val="22"/>
              </w:rPr>
              <w:t>47</w:t>
            </w:r>
          </w:p>
        </w:tc>
        <w:tc>
          <w:tcPr>
            <w:tcW w:w="3918" w:type="dxa"/>
          </w:tcPr>
          <w:p w14:paraId="3675C60E" w14:textId="513C2749" w:rsidR="00F55BE6" w:rsidRPr="001912F1" w:rsidRDefault="0027352C" w:rsidP="00FD5957">
            <w:pPr>
              <w:rPr>
                <w:rFonts w:ascii="Times New Roman" w:hAnsi="Times New Roman" w:cs="Times New Roman"/>
                <w:sz w:val="22"/>
                <w:szCs w:val="22"/>
              </w:rPr>
            </w:pPr>
            <w:r w:rsidRPr="001912F1">
              <w:rPr>
                <w:rFonts w:ascii="Times New Roman" w:hAnsi="Times New Roman" w:cs="Times New Roman"/>
                <w:sz w:val="22"/>
                <w:szCs w:val="22"/>
              </w:rPr>
              <w:t xml:space="preserve">Othman and </w:t>
            </w:r>
            <w:proofErr w:type="spellStart"/>
            <w:r w:rsidRPr="001912F1">
              <w:rPr>
                <w:rFonts w:ascii="Times New Roman" w:hAnsi="Times New Roman" w:cs="Times New Roman"/>
                <w:sz w:val="22"/>
                <w:szCs w:val="22"/>
              </w:rPr>
              <w:t>Abdelwahab</w:t>
            </w:r>
            <w:proofErr w:type="spellEnd"/>
            <w:r w:rsidRPr="001912F1">
              <w:rPr>
                <w:rFonts w:ascii="Times New Roman" w:hAnsi="Times New Roman" w:cs="Times New Roman"/>
                <w:sz w:val="22"/>
                <w:szCs w:val="22"/>
              </w:rPr>
              <w:t xml:space="preserve"> </w:t>
            </w:r>
            <w:r w:rsidR="00F55BE6" w:rsidRPr="001912F1">
              <w:rPr>
                <w:rFonts w:ascii="Times New Roman" w:hAnsi="Times New Roman" w:cs="Times New Roman"/>
                <w:sz w:val="22"/>
                <w:szCs w:val="22"/>
              </w:rPr>
              <w:fldChar w:fldCharType="begin" w:fldLock="1"/>
            </w:r>
            <w:r w:rsidR="00792D4F">
              <w:rPr>
                <w:rFonts w:ascii="Times New Roman" w:hAnsi="Times New Roman" w:cs="Times New Roman"/>
                <w:sz w:val="22"/>
                <w:szCs w:val="22"/>
              </w:rPr>
              <w:instrText>ADDIN CSL_CITATION { "citationItems" : [ { "id" : "ITEM-1", "itemData" : { "DOI" : "10.1108/JEDT-09-2017-0087", "ISSN" : "17260531", "abstract" : "Purpose: The purpose of this paper is to develop a framework integrating risk management (RM) into the architectural design process (ADP) as an approach for delivering sustainable construction projects. Design/methodology/approach: A research methodology, which consisted of literature review and field study, is designed to accomplish four objectives. First, to provide a comprehensive literature review of the concepts of sustainability, ADP and RM. Second, to present and synthesis the results of two relevant studies focused on identifying, quantifying and classifying the risks associated with ADP; and investigating the perception and application of Egyptian architectural design firms (ADFs) towards integrating RM into ADP as an approach for delivering sustainable construction projects. Third, to develop a framework that integrates RM into ADP towards delivering sustainable construction projects. Finally, to draw conclusions and recommendations to improve the practice of delivering sustainable construction projects among ADFs, construction professionals and governmental authorities. Findings: ADP is a fundamental phase of the construction process because the decisions adopted during this phase affect the project performance throughout its life cycle. While RM is widely applied in different sectors of the construction industry, its application in ADP received scant attention in construction literature. The research identified 18 key risks that affect the sustainable delivery of construction projects during ADP. The architect, the client and the project manager are the highest ranked responsible parties for the occurrence of these key risks. The field study highlighted the need to develop a framework to facilitate integrating RM into ADP. Research limitations/implications: This paper focused only on the integration of RM into ADP. Originality/value: The conducted literature review and field study provided an in-depth understanding of the key risks that affect the sustainable delivery of construction projects during ADP. Through its five stages, the proposed framework is expected to serve as a foundation for integrating RM into ADP as an approach for delivering sustainable projects. This ideology has received scant attention in construction literature. The developed framework represents a synthesis that is novel and creative in thought and adds value to the knowledge in a manner that has not previously occurred.", "author" : [ { "dropping-particle" : "", "family" : "Othman", "given" : "Ayman Ahmed Ezzat", "non-dropping-particle" : "", "parse-names" : false, "suffix" : "" }, { "dropping-particle" : "", "family" : "Abdelwahab", "given" : "Nermeen Mohamed Amin", "non-dropping-particle" : "", "parse-names" : false, "suffix" : "" } ], "container-title" : "Journal of Engineering, Design and Technology", "id" : "ITEM-1", "issue" : "1", "issued" : { "date-parts" : [ [ "2018" ] ] }, "page" : "25-43", "title" : "Achieving sustainability through integrating risk management into the architectural design process", "type" : "article-journal", "volume" : "16" }, "uris" : [ "http://www.mendeley.com/documents/?uuid=2545e899-4854-4408-ae55-f036d9ec521b" ] } ], "mendeley" : { "formattedCitation" : "[52]", "plainTextFormattedCitation" : "[52]", "previouslyFormattedCitation" : "[52]" }, "properties" : { "noteIndex" : 0 }, "schema" : "https://github.com/citation-style-language/schema/raw/master/csl-citation.json" }</w:instrText>
            </w:r>
            <w:r w:rsidR="00F55BE6" w:rsidRPr="001912F1">
              <w:rPr>
                <w:rFonts w:ascii="Times New Roman" w:hAnsi="Times New Roman" w:cs="Times New Roman"/>
                <w:sz w:val="22"/>
                <w:szCs w:val="22"/>
              </w:rPr>
              <w:fldChar w:fldCharType="separate"/>
            </w:r>
            <w:r w:rsidR="00A172E2" w:rsidRPr="00A172E2">
              <w:rPr>
                <w:rFonts w:ascii="Times New Roman" w:hAnsi="Times New Roman" w:cs="Times New Roman"/>
                <w:noProof/>
                <w:sz w:val="22"/>
                <w:szCs w:val="22"/>
              </w:rPr>
              <w:t>[52]</w:t>
            </w:r>
            <w:r w:rsidR="00F55BE6" w:rsidRPr="001912F1">
              <w:rPr>
                <w:rFonts w:ascii="Times New Roman" w:hAnsi="Times New Roman" w:cs="Times New Roman"/>
                <w:sz w:val="22"/>
                <w:szCs w:val="22"/>
              </w:rPr>
              <w:fldChar w:fldCharType="end"/>
            </w:r>
          </w:p>
        </w:tc>
      </w:tr>
      <w:tr w:rsidR="001912F1" w:rsidRPr="001912F1" w14:paraId="1B8FD71A" w14:textId="77777777" w:rsidTr="00A06958">
        <w:tc>
          <w:tcPr>
            <w:tcW w:w="470" w:type="dxa"/>
          </w:tcPr>
          <w:p w14:paraId="15116E37" w14:textId="77777777" w:rsidR="00F55BE6" w:rsidRPr="001912F1" w:rsidRDefault="00F55BE6" w:rsidP="00FD5957">
            <w:pPr>
              <w:rPr>
                <w:rFonts w:ascii="Times New Roman" w:hAnsi="Times New Roman" w:cs="Times New Roman"/>
                <w:sz w:val="22"/>
                <w:szCs w:val="22"/>
              </w:rPr>
            </w:pPr>
            <w:r w:rsidRPr="001912F1">
              <w:rPr>
                <w:rFonts w:ascii="Times New Roman" w:hAnsi="Times New Roman" w:cs="Times New Roman"/>
                <w:sz w:val="22"/>
                <w:szCs w:val="22"/>
              </w:rPr>
              <w:t>18</w:t>
            </w:r>
          </w:p>
        </w:tc>
        <w:tc>
          <w:tcPr>
            <w:tcW w:w="4064" w:type="dxa"/>
          </w:tcPr>
          <w:p w14:paraId="58BDF29F" w14:textId="3EAA52C3" w:rsidR="00F55BE6" w:rsidRPr="001912F1" w:rsidRDefault="0027352C" w:rsidP="00FD5957">
            <w:pPr>
              <w:rPr>
                <w:rFonts w:ascii="Times New Roman" w:hAnsi="Times New Roman" w:cs="Times New Roman"/>
                <w:sz w:val="22"/>
                <w:szCs w:val="22"/>
              </w:rPr>
            </w:pPr>
            <w:proofErr w:type="spellStart"/>
            <w:r w:rsidRPr="001912F1">
              <w:rPr>
                <w:rFonts w:ascii="Times New Roman" w:hAnsi="Times New Roman" w:cs="Times New Roman"/>
                <w:sz w:val="22"/>
                <w:szCs w:val="22"/>
              </w:rPr>
              <w:t>Javed</w:t>
            </w:r>
            <w:proofErr w:type="spellEnd"/>
            <w:r w:rsidRPr="001912F1">
              <w:rPr>
                <w:rFonts w:ascii="Times New Roman" w:hAnsi="Times New Roman" w:cs="Times New Roman"/>
                <w:sz w:val="22"/>
                <w:szCs w:val="22"/>
              </w:rPr>
              <w:t xml:space="preserve"> et al.</w:t>
            </w:r>
            <w:r w:rsidR="00F55BE6" w:rsidRPr="001912F1">
              <w:rPr>
                <w:rFonts w:ascii="Times New Roman" w:hAnsi="Times New Roman" w:cs="Times New Roman"/>
                <w:sz w:val="22"/>
                <w:szCs w:val="22"/>
              </w:rPr>
              <w:fldChar w:fldCharType="begin" w:fldLock="1"/>
            </w:r>
            <w:r w:rsidR="00792D4F">
              <w:rPr>
                <w:rFonts w:ascii="Times New Roman" w:hAnsi="Times New Roman" w:cs="Times New Roman"/>
                <w:sz w:val="22"/>
                <w:szCs w:val="22"/>
              </w:rPr>
              <w:instrText>ADDIN CSL_CITATION { "citationItems" : [ { "id" : "ITEM-1", "itemData" : { "DOI" : "10.1108/SASBE-11-2018-0060", "ISSN" : "20466102", "abstract" : "Purpose: The formal application of project risk management (PRM) in green building projects is still an emergent part of project management. The purpose of this paper is to provide a conceptual PRM framework that increases the probability of success in green building projects by minimizing unexpected events. Design/methodology/approach: This paper interprets the related literature and uses the opinion of green building experts. It exposes some pertinent elements needed for structuring the PRM framework and suggests some mitigation actions for high-ranked risks. It also performs ex-post analysis on a case study to practically validate the proposed framework. Findings: It is found that high initial cost, lack of experienced contractors and subcontractors, consideration of lifecycle inflation and experience in green building project management are the most significant risks. To address them, the framework proposes a rigorous selection of contractors, provision of financial incentives from the government, setting of a time buffer to accommodate legal process and development of a deliberate proactive financial model. Originality/value: This paper contributes to the body of knowledge and practice by providing a reasonable strategy for employing the PRM framework capable of effectively managing risk in green building projects to keep organizations competitive within the business environment. The overall aim of this study is to contribute to the further development of the area of risk assessment and risk management from a knowledge-based perspective.", "author" : [ { "dropping-particle" : "", "family" : "Javed", "given" : "Nida", "non-dropping-particle" : "", "parse-names" : false, "suffix" : "" }, { "dropping-particle" : "", "family" : "Thaheem", "given" : "Muhammad Jamaluddin", "non-dropping-particle" : "", "parse-names" : false, "suffix" : "" }, { "dropping-particle" : "", "family" : "Bakhtawar", "given" : "Beenish", "non-dropping-particle" : "", "parse-names" : false, "suffix" : "" }, { "dropping-particle" : "", "family" : "Nasir", "given" : "Abdur Rehman", "non-dropping-particle" : "", "parse-names" : false, "suffix" : "" }, { "dropping-particle" : "", "family" : "Khan", "given" : "Khurram Iqbal Ahmad", "non-dropping-particle" : "", "parse-names" : false, "suffix" : "" }, { "dropping-particle" : "", "family" : "Gabriel", "given" : "Hamza Farooq", "non-dropping-particle" : "", "parse-names" : false, "suffix" : "" } ], "container-title" : "Smart and Sustainable Built Environment", "id" : "ITEM-1", "issue" : "2", "issued" : { "date-parts" : [ [ "2020" ] ] }, "page" : "156-173", "title" : "Managing risk in green building projects: toward a dedicated framework", "type" : "article-journal", "volume" : "9" }, "uris" : [ "http://www.mendeley.com/documents/?uuid=ac142cad-7ce2-43fc-b320-f8aff0f3b6d5" ] } ], "mendeley" : { "formattedCitation" : "[53]", "plainTextFormattedCitation" : "[53]", "previouslyFormattedCitation" : "[53]" }, "properties" : { "noteIndex" : 0 }, "schema" : "https://github.com/citation-style-language/schema/raw/master/csl-citation.json" }</w:instrText>
            </w:r>
            <w:r w:rsidR="00F55BE6" w:rsidRPr="001912F1">
              <w:rPr>
                <w:rFonts w:ascii="Times New Roman" w:hAnsi="Times New Roman" w:cs="Times New Roman"/>
                <w:sz w:val="22"/>
                <w:szCs w:val="22"/>
              </w:rPr>
              <w:fldChar w:fldCharType="separate"/>
            </w:r>
            <w:r w:rsidR="00A172E2" w:rsidRPr="00A172E2">
              <w:rPr>
                <w:rFonts w:ascii="Times New Roman" w:hAnsi="Times New Roman" w:cs="Times New Roman"/>
                <w:noProof/>
                <w:sz w:val="22"/>
                <w:szCs w:val="22"/>
              </w:rPr>
              <w:t>[53]</w:t>
            </w:r>
            <w:r w:rsidR="00F55BE6" w:rsidRPr="001912F1">
              <w:rPr>
                <w:rFonts w:ascii="Times New Roman" w:hAnsi="Times New Roman" w:cs="Times New Roman"/>
                <w:sz w:val="22"/>
                <w:szCs w:val="22"/>
              </w:rPr>
              <w:fldChar w:fldCharType="end"/>
            </w:r>
          </w:p>
        </w:tc>
        <w:tc>
          <w:tcPr>
            <w:tcW w:w="564" w:type="dxa"/>
          </w:tcPr>
          <w:p w14:paraId="0A1191E9" w14:textId="77777777" w:rsidR="00F55BE6" w:rsidRPr="001912F1" w:rsidRDefault="00F55BE6" w:rsidP="00FD5957">
            <w:pPr>
              <w:rPr>
                <w:rFonts w:ascii="Times New Roman" w:hAnsi="Times New Roman" w:cs="Times New Roman"/>
                <w:sz w:val="22"/>
                <w:szCs w:val="22"/>
              </w:rPr>
            </w:pPr>
            <w:r w:rsidRPr="001912F1">
              <w:rPr>
                <w:rFonts w:ascii="Times New Roman" w:hAnsi="Times New Roman" w:cs="Times New Roman"/>
                <w:sz w:val="22"/>
                <w:szCs w:val="22"/>
              </w:rPr>
              <w:t>48</w:t>
            </w:r>
          </w:p>
        </w:tc>
        <w:tc>
          <w:tcPr>
            <w:tcW w:w="3918" w:type="dxa"/>
          </w:tcPr>
          <w:p w14:paraId="5F174A72" w14:textId="793C1874" w:rsidR="00F55BE6" w:rsidRPr="001912F1" w:rsidRDefault="0027352C" w:rsidP="00FD5957">
            <w:pPr>
              <w:rPr>
                <w:rFonts w:ascii="Times New Roman" w:hAnsi="Times New Roman" w:cs="Times New Roman"/>
                <w:sz w:val="22"/>
                <w:szCs w:val="22"/>
              </w:rPr>
            </w:pPr>
            <w:r w:rsidRPr="001912F1">
              <w:rPr>
                <w:rFonts w:ascii="Times New Roman" w:hAnsi="Times New Roman" w:cs="Times New Roman"/>
                <w:bCs/>
                <w:sz w:val="22"/>
                <w:szCs w:val="22"/>
              </w:rPr>
              <w:t>Zhang et al.</w:t>
            </w:r>
            <w:r w:rsidR="00F55BE6" w:rsidRPr="001912F1">
              <w:rPr>
                <w:rFonts w:ascii="Times New Roman" w:hAnsi="Times New Roman" w:cs="Times New Roman"/>
                <w:bCs/>
                <w:sz w:val="22"/>
                <w:szCs w:val="22"/>
              </w:rPr>
              <w:fldChar w:fldCharType="begin" w:fldLock="1"/>
            </w:r>
            <w:r w:rsidR="00792D4F">
              <w:rPr>
                <w:rFonts w:ascii="Times New Roman" w:hAnsi="Times New Roman" w:cs="Times New Roman"/>
                <w:bCs/>
                <w:sz w:val="22"/>
                <w:szCs w:val="22"/>
              </w:rPr>
              <w:instrText>ADDIN CSL_CITATION { "citationItems" : [ { "id" : "ITEM-1", "itemData" : { "DOI" : "10.1007/s10668-021-01734-0", "ISBN" : "0123456789", "ISSN" : "15732975", "abstract" : "The development and implementation of green product certification have created new requirements for risk assessment of the certification process. Conventional methods of scoring and subjective evaluation are at odds with the requirements of timeliness, objectivity, intelligence and authority of green certification risk assessment in the era of \u201cbig data.\u201d In this study, an improved prototype decision structure was developed based on published literature. Then the Delphi method was used to reach consensus among experts, identify the key risk points of green building materials certification (GBMC), and build a formal decision structure consisting of three aspects and 11 risk points. A conventional back-propagation (BP) neural network model and a Levenberg\u2013Marquardt (L\u2013M) improved BP model, were used to assess the risk of GBMC. The applicability and characteristics of the two models were compared using empirical data. Both models accurately described the risk of GBMC, but the improved LMBP model performed better. The results showed that the new LMBP model performs better than the conventional BP model in terms of mean square error, gradient to a solution, and training efficiency. The enhancement effects were improved by 99.1%, 91.9%, and 33.3%, respectively. This paper believes that when assessing the risk of GBMC, considerations should include not only the risk in the certification process, but also the internal risk of certification agencies and certification businesses. Furthermore, the proposed LMBP model is suitable for use in assessing the risk assessment of GBMC, especially in the environment of \u201cbig data\u201d. In order to effectively control the risk of GBMC, the risk of certification institutions, including historical risk, experience risk and ability risk, as well as the risk related to the application enterprise, including its credit risk, satisfaction risk and green index risk, should be taken into account seriously.", "author" : [ { "dropping-particle" : "", "family" : "Zhang", "given" : "Changlu", "non-dropping-particle" : "", "parse-names" : false, "suffix" : "" }, { "dropping-particle" : "", "family" : "Zhang", "given" : "Jian", "non-dropping-particle" : "", "parse-names" : false, "suffix" : "" }, { "dropping-particle" : "", "family" : "Jiang", "given" : "Peng", "non-dropping-particle" : "", "parse-names" : false, "suffix" : "" } ], "container-title" : "Environment, Development and Sustainability", "id" : "ITEM-1", "issue" : "0123456789", "issued" : { "date-parts" : [ [ "2021" ] ] }, "publisher" : "Springer Netherlands", "title" : "Assessing the risk of green building materials certification using the back-propagation neural network", "type" : "article-journal" }, "uris" : [ "http://www.mendeley.com/documents/?uuid=dc1997ae-d1c4-4f5b-bec6-0acc7a398fe2" ] } ], "mendeley" : { "formattedCitation" : "[54]", "plainTextFormattedCitation" : "[54]", "previouslyFormattedCitation" : "[54]" }, "properties" : { "noteIndex" : 0 }, "schema" : "https://github.com/citation-style-language/schema/raw/master/csl-citation.json" }</w:instrText>
            </w:r>
            <w:r w:rsidR="00F55BE6" w:rsidRPr="001912F1">
              <w:rPr>
                <w:rFonts w:ascii="Times New Roman" w:hAnsi="Times New Roman" w:cs="Times New Roman"/>
                <w:bCs/>
                <w:sz w:val="22"/>
                <w:szCs w:val="22"/>
              </w:rPr>
              <w:fldChar w:fldCharType="separate"/>
            </w:r>
            <w:r w:rsidR="00A172E2" w:rsidRPr="00A172E2">
              <w:rPr>
                <w:rFonts w:ascii="Times New Roman" w:hAnsi="Times New Roman" w:cs="Times New Roman"/>
                <w:bCs/>
                <w:noProof/>
                <w:sz w:val="22"/>
                <w:szCs w:val="22"/>
              </w:rPr>
              <w:t>[54]</w:t>
            </w:r>
            <w:r w:rsidR="00F55BE6" w:rsidRPr="001912F1">
              <w:rPr>
                <w:rFonts w:ascii="Times New Roman" w:hAnsi="Times New Roman" w:cs="Times New Roman"/>
                <w:bCs/>
                <w:sz w:val="22"/>
                <w:szCs w:val="22"/>
              </w:rPr>
              <w:fldChar w:fldCharType="end"/>
            </w:r>
            <w:r w:rsidR="00F55BE6" w:rsidRPr="001912F1">
              <w:rPr>
                <w:rFonts w:ascii="Times New Roman" w:hAnsi="Times New Roman" w:cs="Times New Roman"/>
                <w:bCs/>
                <w:sz w:val="22"/>
                <w:szCs w:val="22"/>
              </w:rPr>
              <w:t xml:space="preserve"> </w:t>
            </w:r>
          </w:p>
        </w:tc>
      </w:tr>
      <w:tr w:rsidR="001912F1" w:rsidRPr="001912F1" w14:paraId="37C936C6" w14:textId="77777777" w:rsidTr="00A06958">
        <w:tc>
          <w:tcPr>
            <w:tcW w:w="470" w:type="dxa"/>
          </w:tcPr>
          <w:p w14:paraId="783BB232" w14:textId="77777777" w:rsidR="00F55BE6" w:rsidRPr="001912F1" w:rsidRDefault="00F55BE6" w:rsidP="00FD5957">
            <w:pPr>
              <w:rPr>
                <w:rFonts w:ascii="Times New Roman" w:hAnsi="Times New Roman" w:cs="Times New Roman"/>
                <w:sz w:val="22"/>
                <w:szCs w:val="22"/>
              </w:rPr>
            </w:pPr>
            <w:r w:rsidRPr="001912F1">
              <w:rPr>
                <w:rFonts w:ascii="Times New Roman" w:hAnsi="Times New Roman" w:cs="Times New Roman"/>
                <w:sz w:val="22"/>
                <w:szCs w:val="22"/>
              </w:rPr>
              <w:t>19</w:t>
            </w:r>
          </w:p>
        </w:tc>
        <w:tc>
          <w:tcPr>
            <w:tcW w:w="4064" w:type="dxa"/>
          </w:tcPr>
          <w:p w14:paraId="25301962" w14:textId="39D495DD" w:rsidR="00F55BE6" w:rsidRPr="001912F1" w:rsidRDefault="0027352C" w:rsidP="00FD5957">
            <w:pPr>
              <w:rPr>
                <w:rFonts w:ascii="Times New Roman" w:hAnsi="Times New Roman" w:cs="Times New Roman"/>
                <w:sz w:val="22"/>
                <w:szCs w:val="22"/>
              </w:rPr>
            </w:pPr>
            <w:r w:rsidRPr="001912F1">
              <w:rPr>
                <w:rFonts w:ascii="Times New Roman" w:hAnsi="Times New Roman" w:cs="Times New Roman"/>
                <w:sz w:val="22"/>
                <w:szCs w:val="22"/>
                <w:lang w:val="en-GB"/>
              </w:rPr>
              <w:t xml:space="preserve">Andal and </w:t>
            </w:r>
            <w:proofErr w:type="spellStart"/>
            <w:r w:rsidRPr="001912F1">
              <w:rPr>
                <w:rFonts w:ascii="Times New Roman" w:hAnsi="Times New Roman" w:cs="Times New Roman"/>
                <w:sz w:val="22"/>
                <w:szCs w:val="22"/>
                <w:lang w:val="en-GB"/>
              </w:rPr>
              <w:t>Juanzon</w:t>
            </w:r>
            <w:proofErr w:type="spellEnd"/>
            <w:r w:rsidRPr="001912F1">
              <w:rPr>
                <w:rFonts w:ascii="Times New Roman" w:hAnsi="Times New Roman" w:cs="Times New Roman"/>
                <w:sz w:val="22"/>
                <w:szCs w:val="22"/>
                <w:lang w:val="en-GB"/>
              </w:rPr>
              <w:t xml:space="preserve"> </w:t>
            </w:r>
            <w:r w:rsidR="00F55BE6" w:rsidRPr="001912F1">
              <w:rPr>
                <w:rFonts w:ascii="Times New Roman" w:hAnsi="Times New Roman" w:cs="Times New Roman"/>
                <w:sz w:val="22"/>
                <w:szCs w:val="22"/>
                <w:lang w:val="en-GB"/>
              </w:rPr>
              <w:fldChar w:fldCharType="begin" w:fldLock="1"/>
            </w:r>
            <w:r w:rsidR="00792D4F">
              <w:rPr>
                <w:rFonts w:ascii="Times New Roman" w:hAnsi="Times New Roman" w:cs="Times New Roman"/>
                <w:sz w:val="22"/>
                <w:szCs w:val="22"/>
                <w:lang w:val="en-GB"/>
              </w:rPr>
              <w:instrText>ADDIN CSL_CITATION { "citationItems" : [ { "id" : "ITEM-1", "itemData" : { "DOI" : "10.13189/cea.2020.080610", "ISSN" : "23321121", "abstract" : "Regardless of achieving sustainability through building materials, there are always risks when implementing new techniques and methods. Since this research focused on condominium fit-out projects\u2019 utilization of sustainable materials, it will be useful if risks associated should be identified and analyzed first. The motivation for risk identification in this research focused on the environmental and economic dimensions of sustainability and risk criteria were identified through various literature reviews. The criteria include the following RC1-Adopting with the utilization of sustainable materials, RC2-Appropriate material selections and specifications, RC3-Availability of sustainable materials, RC4-Affordability of sustainable materials, RC5-Project delivery and schedule, and RC6-Scheme of a life-cycle. Prioritization of risk criteria was conducted by Analytic Hierarchy Process (AHP) with the ratings gathered from surveyed construction professionals. The data presented showed that a geometric mean (GM) of normalized principal eigenvector value made three (3) main criteria on top of the list. Namely, RC4 with GM=14.89% at rank number 3; RC6 at rank number 2 with GM=16.22%, and the criterion which garnered a unanimous ranking for all respondents at topmost priority is RC5 having a GM=38.77%. The results obtained can be a guide in planning, navigating, and obtaining significant and favorable results in sustainable initiatives.", "author" : [ { "dropping-particle" : "", "family" : "Andal", "given" : "Ereck R.", "non-dropping-particle" : "", "parse-names" : false, "suffix" : "" }, { "dropping-particle" : "", "family" : "Juanzon", "given" : "Joseph Berlin P.", "non-dropping-particle" : "", "parse-names" : false, "suffix" : "" } ], "container-title" : "Civil Engineering and Architecture", "id" : "ITEM-1", "issue" : "6", "issued" : { "date-parts" : [ [ "2020" ] ] }, "page" : "1266-1276", "title" : "Identifying risks in implementing sustainable building materials in condominium fit-out projects using analytic hierarchy process", "type" : "article-journal", "volume" : "8" }, "uris" : [ "http://www.mendeley.com/documents/?uuid=77a28373-8008-4c24-bc6f-996f819dc947" ] } ], "mendeley" : { "formattedCitation" : "[55]", "plainTextFormattedCitation" : "[55]", "previouslyFormattedCitation" : "[55]" }, "properties" : { "noteIndex" : 0 }, "schema" : "https://github.com/citation-style-language/schema/raw/master/csl-citation.json" }</w:instrText>
            </w:r>
            <w:r w:rsidR="00F55BE6" w:rsidRPr="001912F1">
              <w:rPr>
                <w:rFonts w:ascii="Times New Roman" w:hAnsi="Times New Roman" w:cs="Times New Roman"/>
                <w:sz w:val="22"/>
                <w:szCs w:val="22"/>
                <w:lang w:val="en-GB"/>
              </w:rPr>
              <w:fldChar w:fldCharType="separate"/>
            </w:r>
            <w:r w:rsidR="00A172E2" w:rsidRPr="00A172E2">
              <w:rPr>
                <w:rFonts w:ascii="Times New Roman" w:hAnsi="Times New Roman" w:cs="Times New Roman"/>
                <w:noProof/>
                <w:sz w:val="22"/>
                <w:szCs w:val="22"/>
                <w:lang w:val="en-GB"/>
              </w:rPr>
              <w:t>[55]</w:t>
            </w:r>
            <w:r w:rsidR="00F55BE6" w:rsidRPr="001912F1">
              <w:rPr>
                <w:rFonts w:ascii="Times New Roman" w:hAnsi="Times New Roman" w:cs="Times New Roman"/>
                <w:sz w:val="22"/>
                <w:szCs w:val="22"/>
                <w:lang w:val="en-GB"/>
              </w:rPr>
              <w:fldChar w:fldCharType="end"/>
            </w:r>
          </w:p>
        </w:tc>
        <w:tc>
          <w:tcPr>
            <w:tcW w:w="564" w:type="dxa"/>
          </w:tcPr>
          <w:p w14:paraId="414A89C3" w14:textId="77777777" w:rsidR="00F55BE6" w:rsidRPr="001912F1" w:rsidRDefault="00F55BE6" w:rsidP="00FD5957">
            <w:pPr>
              <w:rPr>
                <w:rFonts w:ascii="Times New Roman" w:hAnsi="Times New Roman" w:cs="Times New Roman"/>
                <w:sz w:val="22"/>
                <w:szCs w:val="22"/>
              </w:rPr>
            </w:pPr>
            <w:r w:rsidRPr="001912F1">
              <w:rPr>
                <w:rFonts w:ascii="Times New Roman" w:hAnsi="Times New Roman" w:cs="Times New Roman"/>
                <w:sz w:val="22"/>
                <w:szCs w:val="22"/>
              </w:rPr>
              <w:t>49</w:t>
            </w:r>
          </w:p>
        </w:tc>
        <w:tc>
          <w:tcPr>
            <w:tcW w:w="3918" w:type="dxa"/>
          </w:tcPr>
          <w:p w14:paraId="6393CA6A" w14:textId="3DDEA6B2" w:rsidR="00F55BE6" w:rsidRPr="001912F1" w:rsidRDefault="0027352C" w:rsidP="00FD5957">
            <w:pPr>
              <w:rPr>
                <w:rFonts w:ascii="Times New Roman" w:hAnsi="Times New Roman" w:cs="Times New Roman"/>
                <w:sz w:val="22"/>
                <w:szCs w:val="22"/>
              </w:rPr>
            </w:pPr>
            <w:r w:rsidRPr="001912F1">
              <w:rPr>
                <w:rFonts w:ascii="Times New Roman" w:hAnsi="Times New Roman" w:cs="Times New Roman"/>
                <w:sz w:val="22"/>
                <w:szCs w:val="22"/>
              </w:rPr>
              <w:t xml:space="preserve">Xiao et al. </w:t>
            </w:r>
            <w:r w:rsidR="00F55BE6" w:rsidRPr="001912F1">
              <w:rPr>
                <w:rFonts w:ascii="Times New Roman" w:hAnsi="Times New Roman" w:cs="Times New Roman"/>
                <w:sz w:val="22"/>
                <w:szCs w:val="22"/>
              </w:rPr>
              <w:fldChar w:fldCharType="begin" w:fldLock="1"/>
            </w:r>
            <w:r w:rsidR="00792D4F">
              <w:rPr>
                <w:rFonts w:ascii="Times New Roman" w:hAnsi="Times New Roman" w:cs="Times New Roman"/>
                <w:sz w:val="22"/>
                <w:szCs w:val="22"/>
              </w:rPr>
              <w:instrText>ADDIN CSL_CITATION { "citationItems" : [ { "id" : "ITEM-1", "itemData" : { "DOI" : "10.1016/j.jclepro.2020.123852", "ISSN" : "09596526", "abstract" : "Green building (GB) projects require the schedule risk control method for better project delivery during the project execution phase because of the associated higher risks generated by the innovative technologies and tools. The progress monitoring technology and the corrective action approach play an important role in controlling the schedule risk in an accurate and efficient manner. The delay in the information communication and signal emission can ultimately cause subsequent delays in implementing the corrective action. Therefore, we propose an improved buffer management approach to dynamically control the schedule risk in green building (GB) projects in this paper. We identify the deviations of the actual progress based on lidar technology and four-dimensional (4D) design models in order to determine the level of buffer consumed in a timely and precise manner. This method considers the characteristics of activity dependence affected by the risk factors, and dynamically adjusts the buffer thresholds based on the activity dependence parameter to produce precise early warning signal. Furthermore, the proposed method develops an activity crashing strategy with sustainability on the eligible expediting activities and the amount of expediting. We also use a computational study to compare the suggested method with traditional buffer monitoring procedures in purpose of getting the performance of the suggested approach. The results show that the suggested approach has better performance on control effort, and almost the same performance on completion. This not only helps to improve project delivery, but also helps to reduce greenhouse gases (GHGs) emissions and environmental impacts if it is used to control for schedule risks in the execution phase of GB projects.", "author" : [ { "dropping-particle" : "", "family" : "Xiao", "given" : "Lei", "non-dropping-particle" : "", "parse-names" : false, "suffix" : "" }, { "dropping-particle" : "", "family" : "Bie", "given" : "Li", "non-dropping-particle" : "", "parse-names" : false, "suffix" : "" }, { "dropping-particle" : "", "family" : "Bai", "given" : "Xue", "non-dropping-particle" : "", "parse-names" : false, "suffix" : "" } ], "container-title" : "Journal of Cleaner Production", "id" : "ITEM-1", "issued" : { "date-parts" : [ [ "2021" ] ] }, "page" : "123852", "publisher" : "Elsevier Ltd", "title" : "Controlling the schedule risk in green building projects: Buffer management framework with activity dependence", "type" : "article-journal", "volume" : "278" }, "uris" : [ "http://www.mendeley.com/documents/?uuid=df385e62-3dbe-47b9-9a2e-fec69c9307cd" ] } ], "mendeley" : { "formattedCitation" : "[56]", "plainTextFormattedCitation" : "[56]", "previouslyFormattedCitation" : "[56]" }, "properties" : { "noteIndex" : 0 }, "schema" : "https://github.com/citation-style-language/schema/raw/master/csl-citation.json" }</w:instrText>
            </w:r>
            <w:r w:rsidR="00F55BE6" w:rsidRPr="001912F1">
              <w:rPr>
                <w:rFonts w:ascii="Times New Roman" w:hAnsi="Times New Roman" w:cs="Times New Roman"/>
                <w:sz w:val="22"/>
                <w:szCs w:val="22"/>
              </w:rPr>
              <w:fldChar w:fldCharType="separate"/>
            </w:r>
            <w:r w:rsidR="00A172E2" w:rsidRPr="00A172E2">
              <w:rPr>
                <w:rFonts w:ascii="Times New Roman" w:hAnsi="Times New Roman" w:cs="Times New Roman"/>
                <w:noProof/>
                <w:sz w:val="22"/>
                <w:szCs w:val="22"/>
              </w:rPr>
              <w:t>[56]</w:t>
            </w:r>
            <w:r w:rsidR="00F55BE6" w:rsidRPr="001912F1">
              <w:rPr>
                <w:rFonts w:ascii="Times New Roman" w:hAnsi="Times New Roman" w:cs="Times New Roman"/>
                <w:sz w:val="22"/>
                <w:szCs w:val="22"/>
              </w:rPr>
              <w:fldChar w:fldCharType="end"/>
            </w:r>
          </w:p>
        </w:tc>
      </w:tr>
      <w:tr w:rsidR="001912F1" w:rsidRPr="001912F1" w14:paraId="20935CB8" w14:textId="77777777" w:rsidTr="00A06958">
        <w:tc>
          <w:tcPr>
            <w:tcW w:w="470" w:type="dxa"/>
          </w:tcPr>
          <w:p w14:paraId="3D4723D8" w14:textId="77777777" w:rsidR="00F55BE6" w:rsidRPr="001912F1" w:rsidRDefault="00F55BE6" w:rsidP="00FD5957">
            <w:pPr>
              <w:rPr>
                <w:rFonts w:ascii="Times New Roman" w:hAnsi="Times New Roman" w:cs="Times New Roman"/>
                <w:sz w:val="22"/>
                <w:szCs w:val="22"/>
              </w:rPr>
            </w:pPr>
            <w:r w:rsidRPr="001912F1">
              <w:rPr>
                <w:rFonts w:ascii="Times New Roman" w:hAnsi="Times New Roman" w:cs="Times New Roman"/>
                <w:sz w:val="22"/>
                <w:szCs w:val="22"/>
              </w:rPr>
              <w:t>20</w:t>
            </w:r>
          </w:p>
        </w:tc>
        <w:tc>
          <w:tcPr>
            <w:tcW w:w="4064" w:type="dxa"/>
          </w:tcPr>
          <w:p w14:paraId="6D36EE1B" w14:textId="22BC8B61" w:rsidR="00F55BE6" w:rsidRPr="001912F1" w:rsidRDefault="0027352C" w:rsidP="00FD5957">
            <w:pPr>
              <w:rPr>
                <w:rFonts w:ascii="Times New Roman" w:hAnsi="Times New Roman" w:cs="Times New Roman"/>
                <w:sz w:val="22"/>
                <w:szCs w:val="22"/>
              </w:rPr>
            </w:pPr>
            <w:r w:rsidRPr="001912F1">
              <w:rPr>
                <w:rFonts w:ascii="Times New Roman" w:hAnsi="Times New Roman" w:cs="Times New Roman"/>
                <w:sz w:val="22"/>
                <w:szCs w:val="22"/>
                <w:lang w:val="en-GB"/>
              </w:rPr>
              <w:t>Zou et al.</w:t>
            </w:r>
            <w:r w:rsidR="00F55BE6" w:rsidRPr="001912F1">
              <w:rPr>
                <w:rFonts w:ascii="Times New Roman" w:hAnsi="Times New Roman" w:cs="Times New Roman"/>
                <w:sz w:val="22"/>
                <w:szCs w:val="22"/>
                <w:lang w:val="en-GB"/>
              </w:rPr>
              <w:fldChar w:fldCharType="begin" w:fldLock="1"/>
            </w:r>
            <w:r w:rsidR="00792D4F">
              <w:rPr>
                <w:rFonts w:ascii="Times New Roman" w:hAnsi="Times New Roman" w:cs="Times New Roman"/>
                <w:sz w:val="22"/>
                <w:szCs w:val="22"/>
                <w:lang w:val="en-GB"/>
              </w:rPr>
              <w:instrText>ADDIN CSL_CITATION { "citationItems" : [ { "id" : "ITEM-1", "itemData" : { "DOI" : "10.1016/j.ijproman.2007.03.001", "ISSN" : "02637863", "abstract" : "The aim of this paper is to understand the key risks in construction projects in China and to develop strategies to manage them. Risks were prioritized according to their significance of influences on typical project objectives in terms of cost, time, quality, safety and environmental sustainability, and then scrutinized from a joint perspective of project stakeholders and life cycle. Postal questionnaire surveys were used to collect data, based on which a total of 25 key risks were ascertained. These risks were compared with the findings of a parallel survey in the Australian construction industry context to highlight the unique risks associated with construction projects in China. Strategies to manage the risks were sought from the perspectives of project stakeholders and life cycle and in light of the Chinese construction culture. It is concluded that clients, designers and government bodies should take the responsibility to manage their relevant risks and work cooperatively from the feasibility phase onwards to address potential risks in time; contractors and subcontractors with robust construction and management knowledge should be employed to minimize construction risks and carry out safe, efficient and quality construction activities. \u00a9 2007 Elsevier Ltd and IPMA.", "author" : [ { "dropping-particle" : "", "family" : "Zou", "given" : "Patrick X.W.", "non-dropping-particle" : "", "parse-names" : false, "suffix" : "" }, { "dropping-particle" : "", "family" : "Zhang", "given" : "Guomin", "non-dropping-particle" : "", "parse-names" : false, "suffix" : "" }, { "dropping-particle" : "", "family" : "Wang", "given" : "Jiayuan", "non-dropping-particle" : "", "parse-names" : false, "suffix" : "" } ], "container-title" : "International Journal of Project Management", "id" : "ITEM-1", "issue" : "6", "issued" : { "date-parts" : [ [ "2007" ] ] }, "page" : "601-614", "title" : "Understanding the key risks in construction projects in China", "type" : "article-journal", "volume" : "25" }, "uris" : [ "http://www.mendeley.com/documents/?uuid=83601f31-dd3a-449c-8adc-7139951b5500" ] } ], "mendeley" : { "formattedCitation" : "[57]", "plainTextFormattedCitation" : "[57]", "previouslyFormattedCitation" : "[57]" }, "properties" : { "noteIndex" : 0 }, "schema" : "https://github.com/citation-style-language/schema/raw/master/csl-citation.json" }</w:instrText>
            </w:r>
            <w:r w:rsidR="00F55BE6" w:rsidRPr="001912F1">
              <w:rPr>
                <w:rFonts w:ascii="Times New Roman" w:hAnsi="Times New Roman" w:cs="Times New Roman"/>
                <w:sz w:val="22"/>
                <w:szCs w:val="22"/>
                <w:lang w:val="en-GB"/>
              </w:rPr>
              <w:fldChar w:fldCharType="separate"/>
            </w:r>
            <w:r w:rsidR="00A172E2" w:rsidRPr="00A172E2">
              <w:rPr>
                <w:rFonts w:ascii="Times New Roman" w:hAnsi="Times New Roman" w:cs="Times New Roman"/>
                <w:noProof/>
                <w:sz w:val="22"/>
                <w:szCs w:val="22"/>
                <w:lang w:val="en-GB"/>
              </w:rPr>
              <w:t>[57]</w:t>
            </w:r>
            <w:r w:rsidR="00F55BE6" w:rsidRPr="001912F1">
              <w:rPr>
                <w:rFonts w:ascii="Times New Roman" w:hAnsi="Times New Roman" w:cs="Times New Roman"/>
                <w:sz w:val="22"/>
                <w:szCs w:val="22"/>
                <w:lang w:val="en-GB"/>
              </w:rPr>
              <w:fldChar w:fldCharType="end"/>
            </w:r>
          </w:p>
        </w:tc>
        <w:tc>
          <w:tcPr>
            <w:tcW w:w="564" w:type="dxa"/>
          </w:tcPr>
          <w:p w14:paraId="6F597D70" w14:textId="77777777" w:rsidR="00F55BE6" w:rsidRPr="001912F1" w:rsidRDefault="00F55BE6" w:rsidP="00FD5957">
            <w:pPr>
              <w:rPr>
                <w:rFonts w:ascii="Times New Roman" w:hAnsi="Times New Roman" w:cs="Times New Roman"/>
                <w:sz w:val="22"/>
                <w:szCs w:val="22"/>
              </w:rPr>
            </w:pPr>
            <w:r w:rsidRPr="001912F1">
              <w:rPr>
                <w:rFonts w:ascii="Times New Roman" w:hAnsi="Times New Roman" w:cs="Times New Roman"/>
                <w:sz w:val="22"/>
                <w:szCs w:val="22"/>
              </w:rPr>
              <w:t>50</w:t>
            </w:r>
          </w:p>
        </w:tc>
        <w:tc>
          <w:tcPr>
            <w:tcW w:w="3918" w:type="dxa"/>
          </w:tcPr>
          <w:p w14:paraId="572E26CD" w14:textId="5AC94545" w:rsidR="00F55BE6" w:rsidRPr="001912F1" w:rsidRDefault="0027352C" w:rsidP="00FD5957">
            <w:pPr>
              <w:rPr>
                <w:rFonts w:ascii="Times New Roman" w:hAnsi="Times New Roman" w:cs="Times New Roman"/>
                <w:sz w:val="22"/>
                <w:szCs w:val="22"/>
              </w:rPr>
            </w:pPr>
            <w:proofErr w:type="spellStart"/>
            <w:r w:rsidRPr="001912F1">
              <w:rPr>
                <w:rFonts w:ascii="Times New Roman" w:hAnsi="Times New Roman" w:cs="Times New Roman"/>
                <w:bCs/>
                <w:sz w:val="22"/>
                <w:szCs w:val="22"/>
              </w:rPr>
              <w:t>Assaad</w:t>
            </w:r>
            <w:proofErr w:type="spellEnd"/>
            <w:r w:rsidRPr="001912F1">
              <w:rPr>
                <w:rFonts w:ascii="Times New Roman" w:hAnsi="Times New Roman" w:cs="Times New Roman"/>
                <w:bCs/>
                <w:sz w:val="22"/>
                <w:szCs w:val="22"/>
              </w:rPr>
              <w:t xml:space="preserve"> et al.</w:t>
            </w:r>
            <w:r w:rsidR="00F55BE6" w:rsidRPr="001912F1">
              <w:rPr>
                <w:rFonts w:ascii="Times New Roman" w:hAnsi="Times New Roman" w:cs="Times New Roman"/>
                <w:bCs/>
                <w:sz w:val="22"/>
                <w:szCs w:val="22"/>
              </w:rPr>
              <w:fldChar w:fldCharType="begin" w:fldLock="1"/>
            </w:r>
            <w:r w:rsidR="00792D4F">
              <w:rPr>
                <w:rFonts w:ascii="Times New Roman" w:hAnsi="Times New Roman" w:cs="Times New Roman"/>
                <w:bCs/>
                <w:sz w:val="22"/>
                <w:szCs w:val="22"/>
              </w:rPr>
              <w:instrText>ADDIN CSL_CITATION { "citationItems" : [ { "id" : "ITEM-1", "itemData" : { "DOI" : "10.1061/(asce)ae.1943-5568.0000458", "ISSN" : "1076-0431", "abstract" : "Green and sustainable initiatives are among the most noticeable practices in today's design and construction applications. While allocation of contractual obligations under traditional building projects is known to the associated stakeholders, constructing green and sustainable buildings adds new considerations that should be understood by the different project participants. No previous research work has attempted to provide in-depth analysis of how risks and responsibilities should be contractually allocated among the different project participants in green and sustainable buildings. As such, this paper addresses this critical knowledge gap using a research methodology that is based on the dual interrelated analysis of case studies and standard contract forms. On one hand, investigation of previous projects showed that the major areas of concern in relation to the contractual problems associated with green buildings include: governing terms and conditions, certification and documentation, sustainability considerations and requirements, and materials and specifications. On the other hand, critical examination of existing standard forms of contract (i.e., ConsensusDocs 310-2011: Green Building Addendum, and the American Institute of Architects (AIA) E204-2017: Sustainable Projects Exhibit) indicate that: (1) while ConsensusDocs creates a new role within green and sustainable buildings known as \"green building facilitator\"(GBF) who is assigned most risks and responsibilities, AIA indicates that the architect is the project party who possesses these key roles during the design and construction phases; (2) each project party shall be responsible for its own roles in achieving and maintaining the green and sustainable aspects; (3) careful front-end and early planning of the different green and sustainable aspects is crucial to achieve the targeted and elected green and sustainable goals; and (4) collaboration between the different parties is highly crucial in attaining the building's green and sustainable objectives. Consequently, the paper offers contractual synopsis of the risks and responsibilities that are unique to green and sustainable buildings, the proper action that should be allocated for each risk and/or responsibility, and the project participant that is best positioned to bear such risk and/or responsibility. Further, the paper presents contractual recommendations, in the form of checklist questions, to provide profound understanding of the gene\u2026", "author" : [ { "dropping-particle" : "", "family" : "Assaad", "given" : "Rayan", "non-dropping-particle" : "", "parse-names" : false, "suffix" : "" }, { "dropping-particle" : "", "family" : "El-adaway", "given" : "Islam H.", "non-dropping-particle" : "", "parse-names" : false, "suffix" : "" }, { "dropping-particle" : "", "family" : "Baxmeyer", "given" : "Keegan", "non-dropping-particle" : "", "parse-names" : false, "suffix" : "" }, { "dropping-particle" : "", "family" : "Harman", "given" : "Mikala", "non-dropping-particle" : "", "parse-names" : false, "suffix" : "" }, { "dropping-particle" : "", "family" : "Job", "given" : "Levi", "non-dropping-particle" : "", "parse-names" : false, "suffix" : "" }, { "dropping-particle" : "", "family" : "Lashley", "given" : "Hannah", "non-dropping-particle" : "", "parse-names" : false, "suffix" : "" } ], "container-title" : "Journal of Architectural Engineering", "id" : "ITEM-1", "issue" : "2", "issued" : { "date-parts" : [ [ "2021" ] ] }, "page" : "04021002", "title" : "Allocation of Risks and Responsibilities in Green and Sustainable Buildings", "type" : "article-journal", "volume" : "27" }, "uris" : [ "http://www.mendeley.com/documents/?uuid=7f6e417c-f56d-45fa-9191-b5ba0782b4e8" ] } ], "mendeley" : { "formattedCitation" : "[58]", "plainTextFormattedCitation" : "[58]", "previouslyFormattedCitation" : "[58]" }, "properties" : { "noteIndex" : 0 }, "schema" : "https://github.com/citation-style-language/schema/raw/master/csl-citation.json" }</w:instrText>
            </w:r>
            <w:r w:rsidR="00F55BE6" w:rsidRPr="001912F1">
              <w:rPr>
                <w:rFonts w:ascii="Times New Roman" w:hAnsi="Times New Roman" w:cs="Times New Roman"/>
                <w:bCs/>
                <w:sz w:val="22"/>
                <w:szCs w:val="22"/>
              </w:rPr>
              <w:fldChar w:fldCharType="separate"/>
            </w:r>
            <w:r w:rsidR="00A172E2" w:rsidRPr="00A172E2">
              <w:rPr>
                <w:rFonts w:ascii="Times New Roman" w:hAnsi="Times New Roman" w:cs="Times New Roman"/>
                <w:bCs/>
                <w:noProof/>
                <w:sz w:val="22"/>
                <w:szCs w:val="22"/>
              </w:rPr>
              <w:t>[58]</w:t>
            </w:r>
            <w:r w:rsidR="00F55BE6" w:rsidRPr="001912F1">
              <w:rPr>
                <w:rFonts w:ascii="Times New Roman" w:hAnsi="Times New Roman" w:cs="Times New Roman"/>
                <w:bCs/>
                <w:sz w:val="22"/>
                <w:szCs w:val="22"/>
              </w:rPr>
              <w:fldChar w:fldCharType="end"/>
            </w:r>
          </w:p>
        </w:tc>
      </w:tr>
      <w:tr w:rsidR="001912F1" w:rsidRPr="001912F1" w14:paraId="73BA538E" w14:textId="77777777" w:rsidTr="00A06958">
        <w:tc>
          <w:tcPr>
            <w:tcW w:w="470" w:type="dxa"/>
          </w:tcPr>
          <w:p w14:paraId="5058B4F1" w14:textId="77777777" w:rsidR="00F55BE6" w:rsidRPr="001912F1" w:rsidRDefault="00F55BE6" w:rsidP="00FD5957">
            <w:pPr>
              <w:rPr>
                <w:rFonts w:ascii="Times New Roman" w:hAnsi="Times New Roman" w:cs="Times New Roman"/>
                <w:sz w:val="22"/>
                <w:szCs w:val="22"/>
              </w:rPr>
            </w:pPr>
            <w:r w:rsidRPr="001912F1">
              <w:rPr>
                <w:rFonts w:ascii="Times New Roman" w:hAnsi="Times New Roman" w:cs="Times New Roman"/>
                <w:sz w:val="22"/>
                <w:szCs w:val="22"/>
              </w:rPr>
              <w:t>21</w:t>
            </w:r>
          </w:p>
        </w:tc>
        <w:tc>
          <w:tcPr>
            <w:tcW w:w="4064" w:type="dxa"/>
          </w:tcPr>
          <w:p w14:paraId="762260EE" w14:textId="07BDFC9F" w:rsidR="00F55BE6" w:rsidRPr="001912F1" w:rsidRDefault="0027352C" w:rsidP="00FD5957">
            <w:pPr>
              <w:rPr>
                <w:rFonts w:ascii="Times New Roman" w:hAnsi="Times New Roman" w:cs="Times New Roman"/>
                <w:sz w:val="22"/>
                <w:szCs w:val="22"/>
              </w:rPr>
            </w:pPr>
            <w:r w:rsidRPr="001912F1">
              <w:rPr>
                <w:rFonts w:ascii="Times New Roman" w:hAnsi="Times New Roman" w:cs="Times New Roman"/>
                <w:sz w:val="22"/>
                <w:szCs w:val="22"/>
              </w:rPr>
              <w:t>Qin et al.</w:t>
            </w:r>
            <w:r w:rsidR="00F55BE6" w:rsidRPr="001912F1">
              <w:rPr>
                <w:rFonts w:ascii="Times New Roman" w:hAnsi="Times New Roman" w:cs="Times New Roman"/>
                <w:sz w:val="22"/>
                <w:szCs w:val="22"/>
              </w:rPr>
              <w:fldChar w:fldCharType="begin" w:fldLock="1"/>
            </w:r>
            <w:r w:rsidR="00792D4F">
              <w:rPr>
                <w:rFonts w:ascii="Times New Roman" w:hAnsi="Times New Roman" w:cs="Times New Roman"/>
                <w:sz w:val="22"/>
                <w:szCs w:val="22"/>
              </w:rPr>
              <w:instrText>ADDIN CSL_CITATION { "citationItems" : [ { "id" : "ITEM-1", "itemData" : { "DOI" : "10.1016/j.jclepro.2016.03.103", "ISSN" : "09596526", "abstract" : "While the numerous benefits of green construction have been widely recognized, the risks associated with green buildings have however not been addressed appropriately. In response to this knowledge gap, this study aims to assess the risk factors (including political risks, social risks, certification risks, financial/cost risks, quality/technological risks and managerial risks) of the life-cycle of green buildings in China and prioritize their importance based on probability of occurrence and degree of influence. Data were collected through a questionnaire distributed to experts in the construction industry. A Kendall's concordance test followed by a Spearman's rank correlation test was then used to test the consistency of risk ranked by experts from different groups. As a result, among 56 risk factors, 36 are perceived as key risk factors affecting the success construction of green buildings. In the ranking of risk importance, there are obvious differences between owners and contractors, owners and resident engineers, and designers and contractors. The findings present the differences of risk importance among stakeholders and provide a basis for different project participants to implement appropriate risk management strategies according to their perceptions of risk importance.", "author" : [ { "dropping-particle" : "", "family" : "Qin", "given" : "Xuan", "non-dropping-particle" : "", "parse-names" : false, "suffix" : "" }, { "dropping-particle" : "", "family" : "Mo", "given" : "Yiyi", "non-dropping-particle" : "", "parse-names" : false, "suffix" : "" }, { "dropping-particle" : "", "family" : "Jing", "given" : "Lei", "non-dropping-particle" : "", "parse-names" : false, "suffix" : "" } ], "container-title" : "Journal of Cleaner Production", "id" : "ITEM-1", "issued" : { "date-parts" : [ [ "2016" ] ] }, "page" : "148-158", "publisher" : "Elsevier Ltd", "title" : "Risk perceptions of the life-cycle of green buildings in China", "type" : "article-journal", "volume" : "126" }, "uris" : [ "http://www.mendeley.com/documents/?uuid=122864a4-c73e-434b-bc39-c9b04dc400d1" ] } ], "mendeley" : { "formattedCitation" : "[16]", "plainTextFormattedCitation" : "[16]", "previouslyFormattedCitation" : "[16]" }, "properties" : { "noteIndex" : 0 }, "schema" : "https://github.com/citation-style-language/schema/raw/master/csl-citation.json" }</w:instrText>
            </w:r>
            <w:r w:rsidR="00F55BE6" w:rsidRPr="001912F1">
              <w:rPr>
                <w:rFonts w:ascii="Times New Roman" w:hAnsi="Times New Roman" w:cs="Times New Roman"/>
                <w:sz w:val="22"/>
                <w:szCs w:val="22"/>
              </w:rPr>
              <w:fldChar w:fldCharType="separate"/>
            </w:r>
            <w:r w:rsidR="00A172E2" w:rsidRPr="00A172E2">
              <w:rPr>
                <w:rFonts w:ascii="Times New Roman" w:hAnsi="Times New Roman" w:cs="Times New Roman"/>
                <w:noProof/>
                <w:sz w:val="22"/>
                <w:szCs w:val="22"/>
              </w:rPr>
              <w:t>[16]</w:t>
            </w:r>
            <w:r w:rsidR="00F55BE6" w:rsidRPr="001912F1">
              <w:rPr>
                <w:rFonts w:ascii="Times New Roman" w:hAnsi="Times New Roman" w:cs="Times New Roman"/>
                <w:sz w:val="22"/>
                <w:szCs w:val="22"/>
              </w:rPr>
              <w:fldChar w:fldCharType="end"/>
            </w:r>
          </w:p>
        </w:tc>
        <w:tc>
          <w:tcPr>
            <w:tcW w:w="564" w:type="dxa"/>
          </w:tcPr>
          <w:p w14:paraId="1FED936F" w14:textId="77777777" w:rsidR="00F55BE6" w:rsidRPr="001912F1" w:rsidRDefault="00F55BE6" w:rsidP="00FD5957">
            <w:pPr>
              <w:rPr>
                <w:rFonts w:ascii="Times New Roman" w:hAnsi="Times New Roman" w:cs="Times New Roman"/>
                <w:sz w:val="22"/>
                <w:szCs w:val="22"/>
              </w:rPr>
            </w:pPr>
            <w:r w:rsidRPr="001912F1">
              <w:rPr>
                <w:rFonts w:ascii="Times New Roman" w:hAnsi="Times New Roman" w:cs="Times New Roman"/>
                <w:sz w:val="22"/>
                <w:szCs w:val="22"/>
              </w:rPr>
              <w:t>51</w:t>
            </w:r>
          </w:p>
        </w:tc>
        <w:tc>
          <w:tcPr>
            <w:tcW w:w="3918" w:type="dxa"/>
          </w:tcPr>
          <w:p w14:paraId="783DBE4C" w14:textId="09918163" w:rsidR="00F55BE6" w:rsidRPr="001912F1" w:rsidRDefault="0027352C" w:rsidP="00FD5957">
            <w:pPr>
              <w:rPr>
                <w:rFonts w:ascii="Times New Roman" w:hAnsi="Times New Roman" w:cs="Times New Roman"/>
                <w:sz w:val="22"/>
                <w:szCs w:val="22"/>
              </w:rPr>
            </w:pPr>
            <w:r w:rsidRPr="001912F1">
              <w:rPr>
                <w:rFonts w:ascii="Times New Roman" w:hAnsi="Times New Roman" w:cs="Times New Roman"/>
                <w:sz w:val="22"/>
                <w:szCs w:val="22"/>
              </w:rPr>
              <w:t xml:space="preserve">Mohammadi and </w:t>
            </w:r>
            <w:proofErr w:type="spellStart"/>
            <w:r w:rsidRPr="001912F1">
              <w:rPr>
                <w:rFonts w:ascii="Times New Roman" w:hAnsi="Times New Roman" w:cs="Times New Roman"/>
                <w:sz w:val="22"/>
                <w:szCs w:val="22"/>
              </w:rPr>
              <w:t>Birgonul</w:t>
            </w:r>
            <w:proofErr w:type="spellEnd"/>
            <w:r w:rsidRPr="001912F1">
              <w:rPr>
                <w:rFonts w:ascii="Times New Roman" w:hAnsi="Times New Roman" w:cs="Times New Roman"/>
                <w:sz w:val="22"/>
                <w:szCs w:val="22"/>
              </w:rPr>
              <w:t xml:space="preserve"> </w:t>
            </w:r>
            <w:r w:rsidR="00F55BE6" w:rsidRPr="001912F1">
              <w:rPr>
                <w:rFonts w:ascii="Times New Roman" w:hAnsi="Times New Roman" w:cs="Times New Roman"/>
                <w:sz w:val="22"/>
                <w:szCs w:val="22"/>
              </w:rPr>
              <w:fldChar w:fldCharType="begin" w:fldLock="1"/>
            </w:r>
            <w:r w:rsidR="00792D4F">
              <w:rPr>
                <w:rFonts w:ascii="Times New Roman" w:hAnsi="Times New Roman" w:cs="Times New Roman"/>
                <w:sz w:val="22"/>
                <w:szCs w:val="22"/>
              </w:rPr>
              <w:instrText>ADDIN CSL_CITATION { "citationItems" : [ { "id" : "ITEM-1", "itemData" : { "DOI" : "10.1016/j.jclepro.2016.08.153", "ISSN" : "09596526", "abstract" : "Construction sector has a great potential to reduce total energy consumption through the techniques applied in sustainable projects. All over the world, policy makers have already realized the potential and begun setting some governmental goals. Since new regulations for achieving sustainability have been recently set to change the conventionally practiced administrative patterns in construction sector, the number of claims related to sustainability features of the construction projects has been growing ever since. Construction contracts are playing a critical role in preventing these types of legal and administrative risks that can lead to claims. As a result, these changes have caused a need for some alterations in industry's contractual practices. Since the alterations are new to the field, one can, however, find only a limited number of researches on studying and analyzing the possible regulatory risks associated with green projects and their consequent probable legal claims. As a result, the present research intends to fill this gap in the literature, not only by identifying such risk factors which may lead to claims in sustainable construction, but also by assessing the criticality of each factor on the basis of the opinions of industry professionals and analyzing these factors with the relative importance index method. The findings of this study aim to increase the level of awareness of construction professionals about such probable risks. By revealing the possible legal risks of sustainable projects, the study shall also assist various parties of a contract in drafting particular conditions accordingly, in order to prevent probable future claims.", "author" : [ { "dropping-particle" : "", "family" : "Mohammadi", "given" : "Sahra", "non-dropping-particle" : "", "parse-names" : false, "suffix" : "" }, { "dropping-particle" : "", "family" : "Birgonul", "given" : "M. Talat", "non-dropping-particle" : "", "parse-names" : false, "suffix" : "" } ], "container-title" : "Journal of Cleaner Production", "id" : "ITEM-1", "issued" : { "date-parts" : [ [ "2016" ] ] }, "page" : "1078-1084", "publisher" : "Elsevier Ltd", "title" : "Preventing claims in green construction projects through investigating the components of contractual and legal risks", "type" : "article-journal", "volume" : "139" }, "uris" : [ "http://www.mendeley.com/documents/?uuid=29b4df05-ab3e-4c9f-96ab-9caf243e358f" ] } ], "mendeley" : { "formattedCitation" : "[59]", "plainTextFormattedCitation" : "[59]", "previouslyFormattedCitation" : "[59]" }, "properties" : { "noteIndex" : 0 }, "schema" : "https://github.com/citation-style-language/schema/raw/master/csl-citation.json" }</w:instrText>
            </w:r>
            <w:r w:rsidR="00F55BE6" w:rsidRPr="001912F1">
              <w:rPr>
                <w:rFonts w:ascii="Times New Roman" w:hAnsi="Times New Roman" w:cs="Times New Roman"/>
                <w:sz w:val="22"/>
                <w:szCs w:val="22"/>
              </w:rPr>
              <w:fldChar w:fldCharType="separate"/>
            </w:r>
            <w:r w:rsidR="00A172E2" w:rsidRPr="00A172E2">
              <w:rPr>
                <w:rFonts w:ascii="Times New Roman" w:hAnsi="Times New Roman" w:cs="Times New Roman"/>
                <w:noProof/>
                <w:sz w:val="22"/>
                <w:szCs w:val="22"/>
              </w:rPr>
              <w:t>[59]</w:t>
            </w:r>
            <w:r w:rsidR="00F55BE6" w:rsidRPr="001912F1">
              <w:rPr>
                <w:rFonts w:ascii="Times New Roman" w:hAnsi="Times New Roman" w:cs="Times New Roman"/>
                <w:sz w:val="22"/>
                <w:szCs w:val="22"/>
              </w:rPr>
              <w:fldChar w:fldCharType="end"/>
            </w:r>
          </w:p>
        </w:tc>
      </w:tr>
      <w:tr w:rsidR="001912F1" w:rsidRPr="001912F1" w14:paraId="33EF0A4C" w14:textId="77777777" w:rsidTr="00A06958">
        <w:tc>
          <w:tcPr>
            <w:tcW w:w="470" w:type="dxa"/>
          </w:tcPr>
          <w:p w14:paraId="4E2468CB" w14:textId="77777777" w:rsidR="00F55BE6" w:rsidRPr="001912F1" w:rsidRDefault="00F55BE6" w:rsidP="00FD5957">
            <w:pPr>
              <w:rPr>
                <w:rFonts w:ascii="Times New Roman" w:hAnsi="Times New Roman" w:cs="Times New Roman"/>
                <w:sz w:val="22"/>
                <w:szCs w:val="22"/>
              </w:rPr>
            </w:pPr>
            <w:r w:rsidRPr="001912F1">
              <w:rPr>
                <w:rFonts w:ascii="Times New Roman" w:hAnsi="Times New Roman" w:cs="Times New Roman"/>
                <w:sz w:val="22"/>
                <w:szCs w:val="22"/>
              </w:rPr>
              <w:t>22</w:t>
            </w:r>
          </w:p>
        </w:tc>
        <w:tc>
          <w:tcPr>
            <w:tcW w:w="4064" w:type="dxa"/>
          </w:tcPr>
          <w:p w14:paraId="65D51779" w14:textId="43823407" w:rsidR="00F55BE6" w:rsidRPr="001912F1" w:rsidRDefault="0027352C" w:rsidP="00FD5957">
            <w:pPr>
              <w:rPr>
                <w:rFonts w:ascii="Times New Roman" w:hAnsi="Times New Roman" w:cs="Times New Roman"/>
                <w:sz w:val="22"/>
                <w:szCs w:val="22"/>
              </w:rPr>
            </w:pPr>
            <w:r w:rsidRPr="001912F1">
              <w:rPr>
                <w:rFonts w:ascii="Times New Roman" w:hAnsi="Times New Roman" w:cs="Times New Roman"/>
                <w:sz w:val="22"/>
                <w:szCs w:val="22"/>
              </w:rPr>
              <w:t>Zhao et al.</w:t>
            </w:r>
            <w:r w:rsidR="00F55BE6" w:rsidRPr="001912F1">
              <w:rPr>
                <w:rFonts w:ascii="Times New Roman" w:hAnsi="Times New Roman" w:cs="Times New Roman"/>
                <w:sz w:val="22"/>
                <w:szCs w:val="22"/>
              </w:rPr>
              <w:fldChar w:fldCharType="begin" w:fldLock="1"/>
            </w:r>
            <w:r w:rsidR="00792D4F">
              <w:rPr>
                <w:rFonts w:ascii="Times New Roman" w:hAnsi="Times New Roman" w:cs="Times New Roman"/>
                <w:sz w:val="22"/>
                <w:szCs w:val="22"/>
              </w:rPr>
              <w:instrText>ADDIN CSL_CITATION { "citationItems" : [ { "id" : "ITEM-1", "itemData" : { "DOI" : "10.1016/j.jclepro.2015.11.042", "ISSN" : "09596526", "abstract" : "In recent years, green building has attracted wide attention from both academia and industry. As green building projects are inevitably plagued with risks, this study attempted to assess the risks in green building projects in Singapore. Categorizing a list of 28 risk factors into 11 groups, the study performed a questionnaire survey and received 31 responses from project managers in Singapore. A risk assessment model was developed using the fuzzy synthetic evaluation approach. Using the proposed model, the likelihood of occurrence, magnitude of impact and risk criticality of each risk factor, group and the overall risk were calculated. \"Inaccurate cost estimation\" was the top risk factor, and \"cost overrun risk\" was the most critical risk group. The overall risk criticality was high, implying risk management was still necessary for green construction in Singapore. The proposed risk assessment model is reliable and practical for professionals in the green building industry, and can be applied in risk assessment in other countries. As few studies focused on risks in green projects, this study expands the knowledge and literature.", "author" : [ { "dropping-particle" : "", "family" : "Zhao", "given" : "Xianbo", "non-dropping-particle" : "", "parse-names" : false, "suffix" : "" }, { "dropping-particle" : "", "family" : "Hwang", "given" : "Bon Gang", "non-dropping-particle" : "", "parse-names" : false, "suffix" : "" }, { "dropping-particle" : "", "family" : "Gao", "given" : "Yan", "non-dropping-particle" : "", "parse-names" : false, "suffix" : "" } ], "container-title" : "Journal of Cleaner Production", "id" : "ITEM-1", "issue" : "January 2005", "issued" : { "date-parts" : [ [ "2016" ] ] }, "page" : "203-213", "publisher" : "Elsevier Ltd", "title" : "A fuzzy synthetic evaluation approach for risk assessment: A case of Singapore's green projects", "type" : "article-journal", "volume" : "115" }, "uris" : [ "http://www.mendeley.com/documents/?uuid=015d2286-c186-41ff-abe3-429a51c68795" ] } ], "mendeley" : { "formattedCitation" : "[17]", "plainTextFormattedCitation" : "[17]", "previouslyFormattedCitation" : "[17]" }, "properties" : { "noteIndex" : 0 }, "schema" : "https://github.com/citation-style-language/schema/raw/master/csl-citation.json" }</w:instrText>
            </w:r>
            <w:r w:rsidR="00F55BE6" w:rsidRPr="001912F1">
              <w:rPr>
                <w:rFonts w:ascii="Times New Roman" w:hAnsi="Times New Roman" w:cs="Times New Roman"/>
                <w:sz w:val="22"/>
                <w:szCs w:val="22"/>
              </w:rPr>
              <w:fldChar w:fldCharType="separate"/>
            </w:r>
            <w:r w:rsidR="00A172E2" w:rsidRPr="00A172E2">
              <w:rPr>
                <w:rFonts w:ascii="Times New Roman" w:hAnsi="Times New Roman" w:cs="Times New Roman"/>
                <w:noProof/>
                <w:sz w:val="22"/>
                <w:szCs w:val="22"/>
              </w:rPr>
              <w:t>[17]</w:t>
            </w:r>
            <w:r w:rsidR="00F55BE6" w:rsidRPr="001912F1">
              <w:rPr>
                <w:rFonts w:ascii="Times New Roman" w:hAnsi="Times New Roman" w:cs="Times New Roman"/>
                <w:sz w:val="22"/>
                <w:szCs w:val="22"/>
              </w:rPr>
              <w:fldChar w:fldCharType="end"/>
            </w:r>
          </w:p>
        </w:tc>
        <w:tc>
          <w:tcPr>
            <w:tcW w:w="564" w:type="dxa"/>
          </w:tcPr>
          <w:p w14:paraId="3AF27418" w14:textId="77777777" w:rsidR="00F55BE6" w:rsidRPr="001912F1" w:rsidRDefault="00F55BE6" w:rsidP="00FD5957">
            <w:pPr>
              <w:rPr>
                <w:rFonts w:ascii="Times New Roman" w:hAnsi="Times New Roman" w:cs="Times New Roman"/>
                <w:sz w:val="22"/>
                <w:szCs w:val="22"/>
              </w:rPr>
            </w:pPr>
            <w:r w:rsidRPr="001912F1">
              <w:rPr>
                <w:rFonts w:ascii="Times New Roman" w:hAnsi="Times New Roman" w:cs="Times New Roman"/>
                <w:sz w:val="22"/>
                <w:szCs w:val="22"/>
              </w:rPr>
              <w:t>52</w:t>
            </w:r>
          </w:p>
        </w:tc>
        <w:tc>
          <w:tcPr>
            <w:tcW w:w="3918" w:type="dxa"/>
          </w:tcPr>
          <w:p w14:paraId="025C8F38" w14:textId="3A78095B" w:rsidR="00F55BE6" w:rsidRPr="001912F1" w:rsidRDefault="0027352C" w:rsidP="00FD5957">
            <w:pPr>
              <w:rPr>
                <w:rFonts w:ascii="Times New Roman" w:hAnsi="Times New Roman" w:cs="Times New Roman"/>
                <w:sz w:val="22"/>
                <w:szCs w:val="22"/>
              </w:rPr>
            </w:pPr>
            <w:proofErr w:type="spellStart"/>
            <w:r w:rsidRPr="001912F1">
              <w:rPr>
                <w:rFonts w:ascii="Times New Roman" w:hAnsi="Times New Roman" w:cs="Times New Roman"/>
                <w:sz w:val="22"/>
                <w:szCs w:val="22"/>
              </w:rPr>
              <w:t>Tollin</w:t>
            </w:r>
            <w:proofErr w:type="spellEnd"/>
            <w:r w:rsidRPr="001912F1">
              <w:rPr>
                <w:rFonts w:ascii="Times New Roman" w:hAnsi="Times New Roman" w:cs="Times New Roman"/>
                <w:sz w:val="22"/>
                <w:szCs w:val="22"/>
              </w:rPr>
              <w:t xml:space="preserve"> </w:t>
            </w:r>
            <w:r w:rsidR="00F55BE6" w:rsidRPr="001912F1">
              <w:rPr>
                <w:rFonts w:ascii="Times New Roman" w:hAnsi="Times New Roman" w:cs="Times New Roman"/>
                <w:sz w:val="22"/>
                <w:szCs w:val="22"/>
              </w:rPr>
              <w:fldChar w:fldCharType="begin" w:fldLock="1"/>
            </w:r>
            <w:r w:rsidR="00792D4F">
              <w:rPr>
                <w:rFonts w:ascii="Times New Roman" w:hAnsi="Times New Roman" w:cs="Times New Roman"/>
                <w:sz w:val="22"/>
                <w:szCs w:val="22"/>
              </w:rPr>
              <w:instrText>ADDIN CSL_CITATION { "citationItems" : [ { "id" : "ITEM-1", "itemData" : { "DOI" : "10.1080/10406026.2011.593442", "ISSN" : "10406026", "abstract" : "Building \"green\" and seeking certification are becoming necessary considerations for any construction project or construction improvement. The benefits and risks associated with building green will be explored in this article, and insurance solutions are offered. Certified green structures should provide healthier environments to work and live. Productivity should increase and sickness and absenteeism should decrease. The popularity, importance, and number of green building projects will continue to increase. However, green building also involves increased litigation risks associated with design, construction, ownership, and operation. This article will explore those risks, and insurability of such claim exposures. Many of those risks are insurable; some are currently uninsurable. \u00a9 Taylor &amp; Francis Group, LLC.", "author" : [ { "dropping-particle" : "", "family" : "Tollin", "given" : "Howard M.", "non-dropping-particle" : "", "parse-names" : false, "suffix" : "" } ], "container-title" : "Environmental Claims Journal", "id" : "ITEM-1", "issue" : "3-4", "issued" : { "date-parts" : [ [ "2011" ] ] }, "page" : "199-213", "title" : "Green building risks: It's not easy being green", "type" : "article-journal", "volume" : "23" }, "uris" : [ "http://www.mendeley.com/documents/?uuid=ea88b3d5-9aae-4da8-b1de-15e14bef60a8" ] } ], "mendeley" : { "formattedCitation" : "[60]", "plainTextFormattedCitation" : "[60]", "previouslyFormattedCitation" : "[60]" }, "properties" : { "noteIndex" : 0 }, "schema" : "https://github.com/citation-style-language/schema/raw/master/csl-citation.json" }</w:instrText>
            </w:r>
            <w:r w:rsidR="00F55BE6" w:rsidRPr="001912F1">
              <w:rPr>
                <w:rFonts w:ascii="Times New Roman" w:hAnsi="Times New Roman" w:cs="Times New Roman"/>
                <w:sz w:val="22"/>
                <w:szCs w:val="22"/>
              </w:rPr>
              <w:fldChar w:fldCharType="separate"/>
            </w:r>
            <w:r w:rsidR="00A172E2" w:rsidRPr="00A172E2">
              <w:rPr>
                <w:rFonts w:ascii="Times New Roman" w:hAnsi="Times New Roman" w:cs="Times New Roman"/>
                <w:noProof/>
                <w:sz w:val="22"/>
                <w:szCs w:val="22"/>
              </w:rPr>
              <w:t>[60]</w:t>
            </w:r>
            <w:r w:rsidR="00F55BE6" w:rsidRPr="001912F1">
              <w:rPr>
                <w:rFonts w:ascii="Times New Roman" w:hAnsi="Times New Roman" w:cs="Times New Roman"/>
                <w:sz w:val="22"/>
                <w:szCs w:val="22"/>
              </w:rPr>
              <w:fldChar w:fldCharType="end"/>
            </w:r>
          </w:p>
        </w:tc>
      </w:tr>
      <w:tr w:rsidR="001912F1" w:rsidRPr="001912F1" w14:paraId="1255F537" w14:textId="77777777" w:rsidTr="00A06958">
        <w:tc>
          <w:tcPr>
            <w:tcW w:w="470" w:type="dxa"/>
          </w:tcPr>
          <w:p w14:paraId="746ACCDE" w14:textId="77777777" w:rsidR="00F55BE6" w:rsidRPr="001912F1" w:rsidRDefault="00F55BE6" w:rsidP="00FD5957">
            <w:pPr>
              <w:rPr>
                <w:rFonts w:ascii="Times New Roman" w:hAnsi="Times New Roman" w:cs="Times New Roman"/>
                <w:sz w:val="22"/>
                <w:szCs w:val="22"/>
              </w:rPr>
            </w:pPr>
            <w:r w:rsidRPr="001912F1">
              <w:rPr>
                <w:rFonts w:ascii="Times New Roman" w:hAnsi="Times New Roman" w:cs="Times New Roman"/>
                <w:sz w:val="22"/>
                <w:szCs w:val="22"/>
              </w:rPr>
              <w:t>23</w:t>
            </w:r>
          </w:p>
        </w:tc>
        <w:tc>
          <w:tcPr>
            <w:tcW w:w="4064" w:type="dxa"/>
          </w:tcPr>
          <w:p w14:paraId="40424786" w14:textId="748F051A" w:rsidR="00F55BE6" w:rsidRPr="001912F1" w:rsidRDefault="0027352C" w:rsidP="00FD5957">
            <w:pPr>
              <w:rPr>
                <w:rFonts w:ascii="Times New Roman" w:hAnsi="Times New Roman" w:cs="Times New Roman"/>
                <w:sz w:val="22"/>
                <w:szCs w:val="22"/>
              </w:rPr>
            </w:pPr>
            <w:proofErr w:type="spellStart"/>
            <w:r w:rsidRPr="001912F1">
              <w:rPr>
                <w:rFonts w:ascii="Times New Roman" w:hAnsi="Times New Roman" w:cs="Times New Roman"/>
                <w:sz w:val="22"/>
                <w:szCs w:val="22"/>
              </w:rPr>
              <w:t>Ghazvini</w:t>
            </w:r>
            <w:proofErr w:type="spellEnd"/>
            <w:r w:rsidRPr="001912F1">
              <w:rPr>
                <w:rFonts w:ascii="Times New Roman" w:hAnsi="Times New Roman" w:cs="Times New Roman"/>
                <w:sz w:val="22"/>
                <w:szCs w:val="22"/>
              </w:rPr>
              <w:t xml:space="preserve"> et al.</w:t>
            </w:r>
            <w:r w:rsidR="00F55BE6" w:rsidRPr="001912F1">
              <w:rPr>
                <w:rFonts w:ascii="Times New Roman" w:hAnsi="Times New Roman" w:cs="Times New Roman"/>
                <w:sz w:val="22"/>
                <w:szCs w:val="22"/>
              </w:rPr>
              <w:fldChar w:fldCharType="begin" w:fldLock="1"/>
            </w:r>
            <w:r w:rsidR="00792D4F">
              <w:rPr>
                <w:rFonts w:ascii="Times New Roman" w:hAnsi="Times New Roman" w:cs="Times New Roman"/>
                <w:sz w:val="22"/>
                <w:szCs w:val="22"/>
              </w:rPr>
              <w:instrText>ADDIN CSL_CITATION { "citationItems" : [ { "id" : "ITEM-1", "itemData" : { "DOI" : "10.3390/su9091575", "ISSN" : "20711050", "abstract" : "The lack of integrated project control techniques covering both qualitative and quantitative indices is one of the most important reasons leading to unfinished projects under predetermined schedules and expected budgets. Two modern techniques proposed in project control-the critical chain method and buffer management (CCM/BM), and the earned value analysis or earned value management and earned schedule (EVM/ES)-both have advantages and disadvantages. Goldratt proposed the CCM/BM method in 1997 based on the theory of constraint (TOC), but this method was not successful despite some improvements in project control because of some executive reasons. The most noteworthy constraint of this method is the management of time and time risks (use of a time buffer) of the project more than the subject. Goldratt believed that time control could be the most critical issue in project control. In other words, the overall problems associated with each project can be solved as long as the buffer time is under control and there is no need to control the other items. EVM/ES is one of the important techniques used to calculate real project development; it has been used for the integrated management of sustainable projects in recent decades. Using this technique, project managers can predict the final status of the project in terms of the necessary time and cost to finish the project. However, this method is limited by the management of the project cost and the lack of interference in the project risks. In sum, the CCM/BM method focuses on time and its risks associated with the project, thus making it advantageous to other techniques. Conversely, EVM/ES focuses on the costs or schedule with non-probabilistic assumptions, giving some interesting results. Therefore, this study aims to represent an integrated framework that considers the advantages of both CCM/BM and EVM/ES, called the efficiency-risk approach, which is implemented to control sustainable projects efficiently. This hybrid form can simultaneously control all the parameters, including both quantitative and qualitative variables, time, cost, and risk in conjunction with the project. Schedule and cost buffers of the project are derived using new formulations that provide appropriate estimations on the duration and cost for completing the sustainable projects and the relevant risks. The proposed ideas are analyzed and described through an industrial case study in the Steel Company, Isfahan, Iran.", "author" : [ { "dropping-particle" : "", "family" : "Ghazvini", "given" : "Mohammadreza Sharifi", "non-dropping-particle" : "", "parse-names" : false, "suffix" : "" }, { "dropping-particle" : "", "family" : "Ghezavati", "given" : "Vahidreza", "non-dropping-particle" : "", "parse-names" : false, "suffix" : "" }, { "dropping-particle" : "", "family" : "Raissi", "given" : "Sadigh", "non-dropping-particle" : "", "parse-names" : false, "suffix" : "" }, { "dropping-particle" : "", "family" : "Makui", "given" : "Ahmad", "non-dropping-particle" : "", "parse-names" : false, "suffix" : "" } ], "container-title" : "Sustainability (Switzerland)", "id" : "ITEM-1", "issue" : "9", "issued" : { "date-parts" : [ [ "2017" ] ] }, "page" : "1-20", "title" : "An integrated efficiency-risk approach in sustainable project control", "type" : "article-journal", "volume" : "9" }, "uris" : [ "http://www.mendeley.com/documents/?uuid=0443a5f7-4b39-491c-bb5c-44967e6d0fd5" ] } ], "mendeley" : { "formattedCitation" : "[61]", "plainTextFormattedCitation" : "[61]", "previouslyFormattedCitation" : "[61]" }, "properties" : { "noteIndex" : 0 }, "schema" : "https://github.com/citation-style-language/schema/raw/master/csl-citation.json" }</w:instrText>
            </w:r>
            <w:r w:rsidR="00F55BE6" w:rsidRPr="001912F1">
              <w:rPr>
                <w:rFonts w:ascii="Times New Roman" w:hAnsi="Times New Roman" w:cs="Times New Roman"/>
                <w:sz w:val="22"/>
                <w:szCs w:val="22"/>
              </w:rPr>
              <w:fldChar w:fldCharType="separate"/>
            </w:r>
            <w:r w:rsidR="00A172E2" w:rsidRPr="00A172E2">
              <w:rPr>
                <w:rFonts w:ascii="Times New Roman" w:hAnsi="Times New Roman" w:cs="Times New Roman"/>
                <w:noProof/>
                <w:sz w:val="22"/>
                <w:szCs w:val="22"/>
              </w:rPr>
              <w:t>[61]</w:t>
            </w:r>
            <w:r w:rsidR="00F55BE6" w:rsidRPr="001912F1">
              <w:rPr>
                <w:rFonts w:ascii="Times New Roman" w:hAnsi="Times New Roman" w:cs="Times New Roman"/>
                <w:sz w:val="22"/>
                <w:szCs w:val="22"/>
              </w:rPr>
              <w:fldChar w:fldCharType="end"/>
            </w:r>
          </w:p>
        </w:tc>
        <w:tc>
          <w:tcPr>
            <w:tcW w:w="564" w:type="dxa"/>
          </w:tcPr>
          <w:p w14:paraId="49BEC8A7" w14:textId="77777777" w:rsidR="00F55BE6" w:rsidRPr="001912F1" w:rsidRDefault="00F55BE6" w:rsidP="00FD5957">
            <w:pPr>
              <w:rPr>
                <w:rFonts w:ascii="Times New Roman" w:hAnsi="Times New Roman" w:cs="Times New Roman"/>
                <w:sz w:val="22"/>
                <w:szCs w:val="22"/>
              </w:rPr>
            </w:pPr>
            <w:r w:rsidRPr="001912F1">
              <w:rPr>
                <w:rFonts w:ascii="Times New Roman" w:hAnsi="Times New Roman" w:cs="Times New Roman"/>
                <w:sz w:val="22"/>
                <w:szCs w:val="22"/>
              </w:rPr>
              <w:t>53</w:t>
            </w:r>
          </w:p>
        </w:tc>
        <w:tc>
          <w:tcPr>
            <w:tcW w:w="3918" w:type="dxa"/>
          </w:tcPr>
          <w:p w14:paraId="37249ADE" w14:textId="7D74ACDE" w:rsidR="00F55BE6" w:rsidRPr="001912F1" w:rsidRDefault="0027352C" w:rsidP="00FD5957">
            <w:pPr>
              <w:rPr>
                <w:rFonts w:ascii="Times New Roman" w:hAnsi="Times New Roman" w:cs="Times New Roman"/>
                <w:sz w:val="22"/>
                <w:szCs w:val="22"/>
              </w:rPr>
            </w:pPr>
            <w:r w:rsidRPr="001912F1">
              <w:rPr>
                <w:rFonts w:ascii="Times New Roman" w:hAnsi="Times New Roman" w:cs="Times New Roman"/>
                <w:sz w:val="22"/>
                <w:szCs w:val="22"/>
                <w:lang w:val="en-GB"/>
              </w:rPr>
              <w:t>Górecki and Díaz-</w:t>
            </w:r>
            <w:proofErr w:type="spellStart"/>
            <w:r w:rsidRPr="001912F1">
              <w:rPr>
                <w:rFonts w:ascii="Times New Roman" w:hAnsi="Times New Roman" w:cs="Times New Roman"/>
                <w:sz w:val="22"/>
                <w:szCs w:val="22"/>
                <w:lang w:val="en-GB"/>
              </w:rPr>
              <w:t>Madroñero</w:t>
            </w:r>
            <w:proofErr w:type="spellEnd"/>
            <w:r w:rsidRPr="001912F1">
              <w:rPr>
                <w:rFonts w:ascii="Times New Roman" w:hAnsi="Times New Roman" w:cs="Times New Roman"/>
                <w:sz w:val="22"/>
                <w:szCs w:val="22"/>
                <w:lang w:val="en-GB"/>
              </w:rPr>
              <w:t xml:space="preserve"> </w:t>
            </w:r>
            <w:r w:rsidR="00F55BE6" w:rsidRPr="001912F1">
              <w:rPr>
                <w:rFonts w:ascii="Times New Roman" w:hAnsi="Times New Roman" w:cs="Times New Roman"/>
                <w:sz w:val="22"/>
                <w:szCs w:val="22"/>
                <w:lang w:val="en-GB"/>
              </w:rPr>
              <w:fldChar w:fldCharType="begin" w:fldLock="1"/>
            </w:r>
            <w:r w:rsidR="00792D4F">
              <w:rPr>
                <w:rFonts w:ascii="Times New Roman" w:hAnsi="Times New Roman" w:cs="Times New Roman"/>
                <w:sz w:val="22"/>
                <w:szCs w:val="22"/>
                <w:lang w:val="en-GB"/>
              </w:rPr>
              <w:instrText>ADDIN CSL_CITATION { "citationItems" : [ { "id" : "ITEM-1", "itemData" : { "DOI" : "10.3390/SU12083370", "ISSN" : "20711050", "abstract" : "More and more construction projects are closed before they ever start. Among the most significant reasons for project failures is cost risk. Construction companies have many problems with reliable cost management. Rising demands of the key market players insist on making construction projects more sustainable according to the simultaneous improvement of the economic, environmental and social responsiveness dimensions. In order to investigate these problems, a four-phase research methodology has been followed consisting of: (1) literature review to identify research trends and gaps, (2) survey to construction experts to detect their subjective perspectives about risk costs and analyse the corresponding costs structure for the investment in sustainable projects, (3) simulations based on Monte Carlo simulation with an author's methodology for calculating the cost risk with an additional statistical analysis, (4) ending questionnaire to obtain the final feedback from the experts and the validation of obtained results. A contribution to the development of knowledge about cost risk is the observation that the changing probability distributions of individual cost-generating components may include both economic as well as technological and organizational aspects. Thus, with the proposed approach, often complex, global challenges of sustainable construction projects can be tackled in an accessible way.", "author" : [ { "dropping-particle" : "", "family" : "G\u00f3recki", "given" : "Jaros\u0142aw", "non-dropping-particle" : "", "parse-names" : false, "suffix" : "" }, { "dropping-particle" : "", "family" : "D\u00edaz-Madro\u00f1ero", "given" : "Manuel", "non-dropping-particle" : "", "parse-names" : false, "suffix" : "" } ], "container-title" : "Sustainability (Switzerland)", "id" : "ITEM-1", "issue" : "8", "issued" : { "date-parts" : [ [ "2020" ] ] }, "page" : "1-31", "title" : "Who risks and wins?-Simulated cost variance in sustainable construction projects", "type" : "article-journal", "volume" : "12" }, "uris" : [ "http://www.mendeley.com/documents/?uuid=fd48aea9-06f2-4342-a7fd-1f4a02a5bdee" ] } ], "mendeley" : { "formattedCitation" : "[62]", "plainTextFormattedCitation" : "[62]", "previouslyFormattedCitation" : "[62]" }, "properties" : { "noteIndex" : 0 }, "schema" : "https://github.com/citation-style-language/schema/raw/master/csl-citation.json" }</w:instrText>
            </w:r>
            <w:r w:rsidR="00F55BE6" w:rsidRPr="001912F1">
              <w:rPr>
                <w:rFonts w:ascii="Times New Roman" w:hAnsi="Times New Roman" w:cs="Times New Roman"/>
                <w:sz w:val="22"/>
                <w:szCs w:val="22"/>
                <w:lang w:val="en-GB"/>
              </w:rPr>
              <w:fldChar w:fldCharType="separate"/>
            </w:r>
            <w:r w:rsidR="00A172E2" w:rsidRPr="00A172E2">
              <w:rPr>
                <w:rFonts w:ascii="Times New Roman" w:hAnsi="Times New Roman" w:cs="Times New Roman"/>
                <w:noProof/>
                <w:sz w:val="22"/>
                <w:szCs w:val="22"/>
                <w:lang w:val="en-GB"/>
              </w:rPr>
              <w:t>[62]</w:t>
            </w:r>
            <w:r w:rsidR="00F55BE6" w:rsidRPr="001912F1">
              <w:rPr>
                <w:rFonts w:ascii="Times New Roman" w:hAnsi="Times New Roman" w:cs="Times New Roman"/>
                <w:sz w:val="22"/>
                <w:szCs w:val="22"/>
                <w:lang w:val="en-GB"/>
              </w:rPr>
              <w:fldChar w:fldCharType="end"/>
            </w:r>
          </w:p>
        </w:tc>
      </w:tr>
      <w:tr w:rsidR="001912F1" w:rsidRPr="001912F1" w14:paraId="0BB3E2C9" w14:textId="77777777" w:rsidTr="00A06958">
        <w:tc>
          <w:tcPr>
            <w:tcW w:w="470" w:type="dxa"/>
          </w:tcPr>
          <w:p w14:paraId="06AD0C29" w14:textId="77777777" w:rsidR="00F55BE6" w:rsidRPr="001912F1" w:rsidRDefault="00F55BE6" w:rsidP="00FD5957">
            <w:pPr>
              <w:rPr>
                <w:rFonts w:ascii="Times New Roman" w:hAnsi="Times New Roman" w:cs="Times New Roman"/>
                <w:sz w:val="22"/>
                <w:szCs w:val="22"/>
              </w:rPr>
            </w:pPr>
            <w:r w:rsidRPr="001912F1">
              <w:rPr>
                <w:rFonts w:ascii="Times New Roman" w:hAnsi="Times New Roman" w:cs="Times New Roman"/>
                <w:sz w:val="22"/>
                <w:szCs w:val="22"/>
              </w:rPr>
              <w:t>24</w:t>
            </w:r>
          </w:p>
        </w:tc>
        <w:tc>
          <w:tcPr>
            <w:tcW w:w="4064" w:type="dxa"/>
          </w:tcPr>
          <w:p w14:paraId="37B837D1" w14:textId="05B314AA" w:rsidR="00F55BE6" w:rsidRPr="001912F1" w:rsidRDefault="0027352C" w:rsidP="00FD5957">
            <w:pPr>
              <w:rPr>
                <w:rFonts w:ascii="Times New Roman" w:hAnsi="Times New Roman" w:cs="Times New Roman"/>
                <w:sz w:val="22"/>
                <w:szCs w:val="22"/>
              </w:rPr>
            </w:pPr>
            <w:proofErr w:type="spellStart"/>
            <w:r w:rsidRPr="001912F1">
              <w:rPr>
                <w:rFonts w:ascii="Times New Roman" w:hAnsi="Times New Roman" w:cs="Times New Roman"/>
                <w:sz w:val="22"/>
                <w:szCs w:val="22"/>
              </w:rPr>
              <w:t>Alattyih</w:t>
            </w:r>
            <w:proofErr w:type="spellEnd"/>
            <w:r w:rsidRPr="001912F1">
              <w:rPr>
                <w:rFonts w:ascii="Times New Roman" w:hAnsi="Times New Roman" w:cs="Times New Roman"/>
                <w:sz w:val="22"/>
                <w:szCs w:val="22"/>
              </w:rPr>
              <w:t xml:space="preserve"> et al. </w:t>
            </w:r>
            <w:r w:rsidR="00F55BE6" w:rsidRPr="001912F1">
              <w:rPr>
                <w:rFonts w:ascii="Times New Roman" w:hAnsi="Times New Roman" w:cs="Times New Roman"/>
                <w:sz w:val="22"/>
                <w:szCs w:val="22"/>
              </w:rPr>
              <w:fldChar w:fldCharType="begin" w:fldLock="1"/>
            </w:r>
            <w:r w:rsidR="00792D4F">
              <w:rPr>
                <w:rFonts w:ascii="Times New Roman" w:hAnsi="Times New Roman" w:cs="Times New Roman"/>
                <w:sz w:val="22"/>
                <w:szCs w:val="22"/>
              </w:rPr>
              <w:instrText>ADDIN CSL_CITATION { "citationItems" : [ { "id" : "ITEM-1", "itemData" : { "DOI" : "10.3390/app10217388", "ISSN" : "20763417", "abstract" : "Green buildings are playing a pivotal role in sustainable urban development around the world, including Saudi Arabia. Green buildings subject to various sources of risk that influence the potential outcomes of the investments or services added in their design. The present study developed a structured framework to examine various risks that may lead to green buildings\u2019 value destruction in Saudi Arabia. The framework initiates with identification of 66 potential risk factors from reported literature. A questionnaire compiling a list of identified risk factors was hand-delivered to 300 practitioners (managers, engineers, and architects) having knowledge of value engineering in the construction industry, and an overall response rate of 29.7% was achieved. Subsequently, descriptive statistics ranked the risk factors based on scores given by the respondents. The principal component analysis extracted 16 components, based on the likelihood of risk factors impacting the value created by green building design. Finally, the factor analysis grouped the 35 most significant risk factors in 5 clusters-i.e., 8 in functional risk, 13 in financial risk, 3 in operational risk, 3 in environmental risk, and 8 in management risk cluster. The study enhances the understanding of the importance of the risk factors\u2019 impact on value creation. Based on the results, the value management (or engineering) teams and the top-level management can identify, manage, and control the risk factors that have a significant impact on the project value created by green building design.", "author" : [ { "dropping-particle" : "", "family" : "Alattyih", "given" : "Wael", "non-dropping-particle" : "", "parse-names" : false, "suffix" : "" }, { "dropping-particle" : "", "family" : "Haider", "given" : "Husnain", "non-dropping-particle" : "", "parse-names" : false, "suffix" : "" }, { "dropping-particle" : "", "family" : "Boussabaine", "given" : "Halim", "non-dropping-particle" : "", "parse-names" : false, "suffix" : "" } ], "container-title" : "Applied Sciences (Switzerland)", "id" : "ITEM-1", "issue" : "21", "issued" : { "date-parts" : [ [ "2020" ] ] }, "page" : "1-32", "title" : "Risk factors impacting the project value created by green buildings in Saudi Arabia", "type" : "article-journal", "volume" : "10" }, "uris" : [ "http://www.mendeley.com/documents/?uuid=dafaef79-850f-4887-b2e8-33e78cf3ba2e" ] } ], "mendeley" : { "formattedCitation" : "[63]", "plainTextFormattedCitation" : "[63]", "previouslyFormattedCitation" : "[63]" }, "properties" : { "noteIndex" : 0 }, "schema" : "https://github.com/citation-style-language/schema/raw/master/csl-citation.json" }</w:instrText>
            </w:r>
            <w:r w:rsidR="00F55BE6" w:rsidRPr="001912F1">
              <w:rPr>
                <w:rFonts w:ascii="Times New Roman" w:hAnsi="Times New Roman" w:cs="Times New Roman"/>
                <w:sz w:val="22"/>
                <w:szCs w:val="22"/>
              </w:rPr>
              <w:fldChar w:fldCharType="separate"/>
            </w:r>
            <w:r w:rsidR="00A172E2" w:rsidRPr="00A172E2">
              <w:rPr>
                <w:rFonts w:ascii="Times New Roman" w:hAnsi="Times New Roman" w:cs="Times New Roman"/>
                <w:noProof/>
                <w:sz w:val="22"/>
                <w:szCs w:val="22"/>
              </w:rPr>
              <w:t>[63]</w:t>
            </w:r>
            <w:r w:rsidR="00F55BE6" w:rsidRPr="001912F1">
              <w:rPr>
                <w:rFonts w:ascii="Times New Roman" w:hAnsi="Times New Roman" w:cs="Times New Roman"/>
                <w:sz w:val="22"/>
                <w:szCs w:val="22"/>
              </w:rPr>
              <w:fldChar w:fldCharType="end"/>
            </w:r>
          </w:p>
        </w:tc>
        <w:tc>
          <w:tcPr>
            <w:tcW w:w="564" w:type="dxa"/>
          </w:tcPr>
          <w:p w14:paraId="31422C3C" w14:textId="77777777" w:rsidR="00F55BE6" w:rsidRPr="001912F1" w:rsidRDefault="00F55BE6" w:rsidP="00FD5957">
            <w:pPr>
              <w:rPr>
                <w:rFonts w:ascii="Times New Roman" w:hAnsi="Times New Roman" w:cs="Times New Roman"/>
                <w:sz w:val="22"/>
                <w:szCs w:val="22"/>
              </w:rPr>
            </w:pPr>
            <w:r w:rsidRPr="001912F1">
              <w:rPr>
                <w:rFonts w:ascii="Times New Roman" w:hAnsi="Times New Roman" w:cs="Times New Roman"/>
                <w:sz w:val="22"/>
                <w:szCs w:val="22"/>
              </w:rPr>
              <w:t>54</w:t>
            </w:r>
          </w:p>
        </w:tc>
        <w:tc>
          <w:tcPr>
            <w:tcW w:w="3918" w:type="dxa"/>
          </w:tcPr>
          <w:p w14:paraId="52A7D56F" w14:textId="4C68AEA6" w:rsidR="00F55BE6" w:rsidRPr="001912F1" w:rsidRDefault="0027352C" w:rsidP="00FD5957">
            <w:pPr>
              <w:rPr>
                <w:rFonts w:ascii="Times New Roman" w:hAnsi="Times New Roman" w:cs="Times New Roman"/>
                <w:sz w:val="22"/>
                <w:szCs w:val="22"/>
              </w:rPr>
            </w:pPr>
            <w:proofErr w:type="spellStart"/>
            <w:r w:rsidRPr="001912F1">
              <w:rPr>
                <w:rFonts w:ascii="Times New Roman" w:hAnsi="Times New Roman" w:cs="Times New Roman"/>
                <w:bCs/>
                <w:sz w:val="22"/>
                <w:szCs w:val="22"/>
              </w:rPr>
              <w:t>Wadu</w:t>
            </w:r>
            <w:proofErr w:type="spellEnd"/>
            <w:r w:rsidRPr="001912F1">
              <w:rPr>
                <w:rFonts w:ascii="Times New Roman" w:hAnsi="Times New Roman" w:cs="Times New Roman"/>
                <w:bCs/>
                <w:sz w:val="22"/>
                <w:szCs w:val="22"/>
              </w:rPr>
              <w:t xml:space="preserve"> </w:t>
            </w:r>
            <w:proofErr w:type="spellStart"/>
            <w:r w:rsidRPr="001912F1">
              <w:rPr>
                <w:rFonts w:ascii="Times New Roman" w:hAnsi="Times New Roman" w:cs="Times New Roman"/>
                <w:bCs/>
                <w:sz w:val="22"/>
                <w:szCs w:val="22"/>
              </w:rPr>
              <w:t>Mesthrige</w:t>
            </w:r>
            <w:proofErr w:type="spellEnd"/>
            <w:r w:rsidRPr="001912F1">
              <w:rPr>
                <w:rFonts w:ascii="Times New Roman" w:hAnsi="Times New Roman" w:cs="Times New Roman"/>
                <w:bCs/>
                <w:sz w:val="22"/>
                <w:szCs w:val="22"/>
              </w:rPr>
              <w:t xml:space="preserve"> and </w:t>
            </w:r>
            <w:proofErr w:type="spellStart"/>
            <w:r w:rsidRPr="001912F1">
              <w:rPr>
                <w:rFonts w:ascii="Times New Roman" w:hAnsi="Times New Roman" w:cs="Times New Roman"/>
                <w:bCs/>
                <w:sz w:val="22"/>
                <w:szCs w:val="22"/>
              </w:rPr>
              <w:t>Kwong</w:t>
            </w:r>
            <w:proofErr w:type="spellEnd"/>
            <w:r w:rsidRPr="001912F1">
              <w:rPr>
                <w:rFonts w:ascii="Times New Roman" w:hAnsi="Times New Roman" w:cs="Times New Roman"/>
                <w:bCs/>
                <w:sz w:val="22"/>
                <w:szCs w:val="22"/>
              </w:rPr>
              <w:t xml:space="preserve"> </w:t>
            </w:r>
            <w:r w:rsidR="00F55BE6" w:rsidRPr="001912F1">
              <w:rPr>
                <w:rFonts w:ascii="Times New Roman" w:hAnsi="Times New Roman" w:cs="Times New Roman"/>
                <w:bCs/>
                <w:sz w:val="22"/>
                <w:szCs w:val="22"/>
              </w:rPr>
              <w:fldChar w:fldCharType="begin" w:fldLock="1"/>
            </w:r>
            <w:r w:rsidR="00792D4F">
              <w:rPr>
                <w:rFonts w:ascii="Times New Roman" w:hAnsi="Times New Roman" w:cs="Times New Roman"/>
                <w:bCs/>
                <w:sz w:val="22"/>
                <w:szCs w:val="22"/>
              </w:rPr>
              <w:instrText>ADDIN CSL_CITATION { "citationItems" : [ { "id" : "ITEM-1", "itemData" : { "DOI" : "10.1108/SASBE-02-2018-0004", "ISSN" : "20466102", "abstract" : "Purpose: An understanding about the criteria determining the successful application of green features, and the barriers to implementation is essential in order to promote and enhance green building development. The purpose of this paper is twofold: first, the criteria determining the success of GBFs; and second, the barriers to implementing GBFs in Hong Kong. Design/methodology/approach: A multi-method approach comprising a comprehensive questionnaire survey and a semi-structured group discussion with construction professionals, along with three case studies was adopted to address these two issues. Findings: Findings suggest that although environmental performance is the most significant criterion, the living quality of occupants and the costs of green features play a crucial role in determining the success of their application. However, the environmental aspects of buildings are not sufficient for rating or determining the greenness level of a building. As for barriers, the green cost implications; the structural unsuitability of the current stock of old buildings; and the lack of financial incentives were found to be crucial barriers preventing the application of green features in the Hong Kong building sector. Originality/value: GBFs have received extensive attentions by the academia and industry. This paper used a mix method approach by exploring success criteria and barriers to implementing green features in the building sector in Hong Kong. As green building development is still a contemporary subject of discussion, this study would be beneficial to decision makers as it identifies the criteria determining the success of green building adoption and barriers to implementation of such features. Hence, relevant stakeholders will have better understanding of the factors affecting the adoption of GBFs.", "author" : [ { "dropping-particle" : "", "family" : "Wadu Mesthrige", "given" : "Jayantha", "non-dropping-particle" : "", "parse-names" : false, "suffix" : "" }, { "dropping-particle" : "", "family" : "Kwong", "given" : "Ho Yuk", "non-dropping-particle" : "", "parse-names" : false, "suffix" : "" } ], "container-title" : "Smart and Sustainable Built Environment", "id" : "ITEM-1", "issue" : "3-4", "issued" : { "date-parts" : [ [ "2018" ] ] }, "page" : "251-276", "title" : "Criteria and barriers for the application of green building features in Hong Kong", "type" : "article-journal", "volume" : "7" }, "uris" : [ "http://www.mendeley.com/documents/?uuid=81745da7-bb76-4a5c-b7aa-7b659ca106dc" ] } ], "mendeley" : { "formattedCitation" : "[64]", "plainTextFormattedCitation" : "[64]", "previouslyFormattedCitation" : "[64]" }, "properties" : { "noteIndex" : 0 }, "schema" : "https://github.com/citation-style-language/schema/raw/master/csl-citation.json" }</w:instrText>
            </w:r>
            <w:r w:rsidR="00F55BE6" w:rsidRPr="001912F1">
              <w:rPr>
                <w:rFonts w:ascii="Times New Roman" w:hAnsi="Times New Roman" w:cs="Times New Roman"/>
                <w:bCs/>
                <w:sz w:val="22"/>
                <w:szCs w:val="22"/>
              </w:rPr>
              <w:fldChar w:fldCharType="separate"/>
            </w:r>
            <w:r w:rsidR="00A172E2" w:rsidRPr="00A172E2">
              <w:rPr>
                <w:rFonts w:ascii="Times New Roman" w:hAnsi="Times New Roman" w:cs="Times New Roman"/>
                <w:bCs/>
                <w:noProof/>
                <w:sz w:val="22"/>
                <w:szCs w:val="22"/>
              </w:rPr>
              <w:t>[64]</w:t>
            </w:r>
            <w:r w:rsidR="00F55BE6" w:rsidRPr="001912F1">
              <w:rPr>
                <w:rFonts w:ascii="Times New Roman" w:hAnsi="Times New Roman" w:cs="Times New Roman"/>
                <w:bCs/>
                <w:sz w:val="22"/>
                <w:szCs w:val="22"/>
              </w:rPr>
              <w:fldChar w:fldCharType="end"/>
            </w:r>
          </w:p>
        </w:tc>
      </w:tr>
      <w:tr w:rsidR="001912F1" w:rsidRPr="001912F1" w14:paraId="7BCF06BD" w14:textId="77777777" w:rsidTr="00A06958">
        <w:tc>
          <w:tcPr>
            <w:tcW w:w="470" w:type="dxa"/>
          </w:tcPr>
          <w:p w14:paraId="0F0FFC3C" w14:textId="77777777" w:rsidR="00F55BE6" w:rsidRPr="001912F1" w:rsidRDefault="00F55BE6" w:rsidP="00FD5957">
            <w:pPr>
              <w:rPr>
                <w:rFonts w:ascii="Times New Roman" w:hAnsi="Times New Roman" w:cs="Times New Roman"/>
                <w:sz w:val="22"/>
                <w:szCs w:val="22"/>
              </w:rPr>
            </w:pPr>
            <w:r w:rsidRPr="001912F1">
              <w:rPr>
                <w:rFonts w:ascii="Times New Roman" w:hAnsi="Times New Roman" w:cs="Times New Roman"/>
                <w:sz w:val="22"/>
                <w:szCs w:val="22"/>
              </w:rPr>
              <w:t>25</w:t>
            </w:r>
          </w:p>
        </w:tc>
        <w:tc>
          <w:tcPr>
            <w:tcW w:w="4064" w:type="dxa"/>
          </w:tcPr>
          <w:p w14:paraId="734C3AA6" w14:textId="0D8B1E58" w:rsidR="00F55BE6" w:rsidRPr="001912F1" w:rsidRDefault="0027352C" w:rsidP="00FD5957">
            <w:pPr>
              <w:rPr>
                <w:rFonts w:ascii="Times New Roman" w:hAnsi="Times New Roman" w:cs="Times New Roman"/>
                <w:sz w:val="22"/>
                <w:szCs w:val="22"/>
              </w:rPr>
            </w:pPr>
            <w:r w:rsidRPr="001912F1">
              <w:rPr>
                <w:rFonts w:ascii="Times New Roman" w:hAnsi="Times New Roman" w:cs="Times New Roman"/>
                <w:sz w:val="22"/>
                <w:szCs w:val="22"/>
              </w:rPr>
              <w:t>Nguyen et al.</w:t>
            </w:r>
            <w:r w:rsidR="00F55BE6" w:rsidRPr="001912F1">
              <w:rPr>
                <w:rFonts w:ascii="Times New Roman" w:hAnsi="Times New Roman" w:cs="Times New Roman"/>
                <w:sz w:val="22"/>
                <w:szCs w:val="22"/>
              </w:rPr>
              <w:fldChar w:fldCharType="begin" w:fldLock="1"/>
            </w:r>
            <w:r w:rsidR="00792D4F">
              <w:rPr>
                <w:rFonts w:ascii="Times New Roman" w:hAnsi="Times New Roman" w:cs="Times New Roman"/>
                <w:sz w:val="22"/>
                <w:szCs w:val="22"/>
              </w:rPr>
              <w:instrText>ADDIN CSL_CITATION { "citationItems" : [ { "id" : "ITEM-1", "itemData" : { "DOI" : "10.1108/ecam-05-2021-0436", "ISSN" : "0969-9988", "abstract" : "Purpose: Risks are considered a significant obstacle to Green Building (GB) development and have recently received significant attention from both construction practitioners and academics. This study aimed to identify critical GB risks and explore the relationship between participants' characteristics and risk assessment. Design/methodology/approach: Firstly, a list of GB risks was developed based on a comprehensive literature review and interviewing GB experts. After that, a survey of 207 construction professionals was then conducted to validate these GB risk factors. Finally, this research adopted the ANOVA test and hierarchical regression analysis to examine the relationship between participants' characteristics and risk assessment. Findings: The results provided a list of GB risks classified and evaluated according to the GB project life cycle and, thus, may serve as a helpful reference for GB practitioners. Notably, the ANOVA analysis revealed that risk assessment negatively correlates with participants' GB experience, while their industry experience does not affect risk assessment. Furthermore, the hierarchical regression analysis proved that participant roles do not moderate the association between risk assessment and GB experience. Originality/value: This study contributed to GB literature by implementing empirical research on GB risks in a developing country. The results implied the essential role of professionals with rich GB experience in risk management in GB projects. Furthermore, this research could help construction practitioners understand GB risks adequately and thereby have better risk-management strategies for future GB projects.", "author" : [ { "dropping-particle" : "", "family" : "Nguyen", "given" : "Hung Duy", "non-dropping-particle" : "", "parse-names" : false, "suffix" : "" }, { "dropping-particle" : "", "family" : "Do", "given" : "Quang Nhat Huu", "non-dropping-particle" : "", "parse-names" : false, "suffix" : "" }, { "dropping-particle" : "", "family" : "Macchion", "given" : "Laura", "non-dropping-particle" : "", "parse-names" : false, "suffix" : "" } ], "container-title" : "Engineering, Construction and Architectural Management", "id" : "ITEM-1", "issue" : "ahead-of-print", "issued" : { "date-parts" : [ [ "2021" ] ] }, "title" : "Influence of practitioners' characteristics on risk assessment in Green Building projects in emerging economies: a case of Vietnam", "type" : "article-journal", "volume" : "ahead-of-p" }, "uris" : [ "http://www.mendeley.com/documents/?uuid=86757d47-fe6f-4e30-b644-386b0db9b262" ] } ], "mendeley" : { "formattedCitation" : "[65]", "plainTextFormattedCitation" : "[65]", "previouslyFormattedCitation" : "[65]" }, "properties" : { "noteIndex" : 0 }, "schema" : "https://github.com/citation-style-language/schema/raw/master/csl-citation.json" }</w:instrText>
            </w:r>
            <w:r w:rsidR="00F55BE6" w:rsidRPr="001912F1">
              <w:rPr>
                <w:rFonts w:ascii="Times New Roman" w:hAnsi="Times New Roman" w:cs="Times New Roman"/>
                <w:sz w:val="22"/>
                <w:szCs w:val="22"/>
              </w:rPr>
              <w:fldChar w:fldCharType="separate"/>
            </w:r>
            <w:r w:rsidR="00A172E2" w:rsidRPr="00A172E2">
              <w:rPr>
                <w:rFonts w:ascii="Times New Roman" w:hAnsi="Times New Roman" w:cs="Times New Roman"/>
                <w:noProof/>
                <w:sz w:val="22"/>
                <w:szCs w:val="22"/>
              </w:rPr>
              <w:t>[65]</w:t>
            </w:r>
            <w:r w:rsidR="00F55BE6" w:rsidRPr="001912F1">
              <w:rPr>
                <w:rFonts w:ascii="Times New Roman" w:hAnsi="Times New Roman" w:cs="Times New Roman"/>
                <w:sz w:val="22"/>
                <w:szCs w:val="22"/>
              </w:rPr>
              <w:fldChar w:fldCharType="end"/>
            </w:r>
          </w:p>
        </w:tc>
        <w:tc>
          <w:tcPr>
            <w:tcW w:w="564" w:type="dxa"/>
          </w:tcPr>
          <w:p w14:paraId="4E72DCA1" w14:textId="77777777" w:rsidR="00F55BE6" w:rsidRPr="001912F1" w:rsidRDefault="00F55BE6" w:rsidP="00FD5957">
            <w:pPr>
              <w:rPr>
                <w:rFonts w:ascii="Times New Roman" w:hAnsi="Times New Roman" w:cs="Times New Roman"/>
                <w:sz w:val="22"/>
                <w:szCs w:val="22"/>
              </w:rPr>
            </w:pPr>
            <w:r w:rsidRPr="001912F1">
              <w:rPr>
                <w:rFonts w:ascii="Times New Roman" w:hAnsi="Times New Roman" w:cs="Times New Roman"/>
                <w:sz w:val="22"/>
                <w:szCs w:val="22"/>
              </w:rPr>
              <w:t>55</w:t>
            </w:r>
          </w:p>
        </w:tc>
        <w:tc>
          <w:tcPr>
            <w:tcW w:w="3918" w:type="dxa"/>
          </w:tcPr>
          <w:p w14:paraId="2786DCBD" w14:textId="30CFD4DD" w:rsidR="00F55BE6" w:rsidRPr="001912F1" w:rsidRDefault="0027352C" w:rsidP="00FD5957">
            <w:pPr>
              <w:rPr>
                <w:rFonts w:ascii="Times New Roman" w:hAnsi="Times New Roman" w:cs="Times New Roman"/>
                <w:sz w:val="22"/>
                <w:szCs w:val="22"/>
              </w:rPr>
            </w:pPr>
            <w:proofErr w:type="spellStart"/>
            <w:r w:rsidRPr="001912F1">
              <w:rPr>
                <w:rFonts w:ascii="Times New Roman" w:hAnsi="Times New Roman" w:cs="Times New Roman"/>
                <w:sz w:val="22"/>
                <w:szCs w:val="22"/>
              </w:rPr>
              <w:t>Karakhan</w:t>
            </w:r>
            <w:proofErr w:type="spellEnd"/>
            <w:r w:rsidRPr="001912F1">
              <w:rPr>
                <w:rFonts w:ascii="Times New Roman" w:hAnsi="Times New Roman" w:cs="Times New Roman"/>
                <w:sz w:val="22"/>
                <w:szCs w:val="22"/>
              </w:rPr>
              <w:t xml:space="preserve"> and </w:t>
            </w:r>
            <w:proofErr w:type="spellStart"/>
            <w:r w:rsidRPr="001912F1">
              <w:rPr>
                <w:rFonts w:ascii="Times New Roman" w:hAnsi="Times New Roman" w:cs="Times New Roman"/>
                <w:sz w:val="22"/>
                <w:szCs w:val="22"/>
              </w:rPr>
              <w:t>Gambatese</w:t>
            </w:r>
            <w:proofErr w:type="spellEnd"/>
            <w:r w:rsidRPr="001912F1">
              <w:rPr>
                <w:rFonts w:ascii="Times New Roman" w:hAnsi="Times New Roman" w:cs="Times New Roman"/>
                <w:sz w:val="22"/>
                <w:szCs w:val="22"/>
              </w:rPr>
              <w:t xml:space="preserve"> </w:t>
            </w:r>
            <w:r w:rsidR="00F55BE6" w:rsidRPr="001912F1">
              <w:rPr>
                <w:rFonts w:ascii="Times New Roman" w:hAnsi="Times New Roman" w:cs="Times New Roman"/>
                <w:sz w:val="22"/>
                <w:szCs w:val="22"/>
              </w:rPr>
              <w:fldChar w:fldCharType="begin" w:fldLock="1"/>
            </w:r>
            <w:r w:rsidR="00792D4F">
              <w:rPr>
                <w:rFonts w:ascii="Times New Roman" w:hAnsi="Times New Roman" w:cs="Times New Roman"/>
                <w:sz w:val="22"/>
                <w:szCs w:val="22"/>
              </w:rPr>
              <w:instrText>ADDIN CSL_CITATION { "citationItems" : [ { "id" : "ITEM-1", "itemData" : { "DOI" : "10.1061/(asce)co.1943-7862.0001302", "ISSN" : "0733-9364", "abstract" : "Sustainability is a balanced approach that puts equal focus on the environment, economy, and society. Research suggests that worker health and safety is an integral dimension of social sustainability. The present research contributes to the body of knowledge by assessing, quantifying, and classifying occupational health and safety (OHS) risk associated with the construction, operation, and maintenance of sustainable projects across the United States construction industry and compares it with OHS risk encountered on nonsustainable counterpart projects. The researchers conducted a credit-by-credit review of the leadership in energy and environmental design (LEED) rating system to evaluate the potential positive or negative impact of green design elements and construction practices associated with the implementation of LEED credits on the OHS of construction and maintenance workers. The researchers also quantified OHS risk associated with LEED credits on 41 green projects distributed across the United States. The results show that even though a large number of LEED credits are neutral toward OHS, sustainable construction represented by LEED projects is associated with an increase in base-level safety risk. Finally, a risk model was integrated into a risk plane analysis to classify safety risk associated with each of the LEED credits. The risk classification analyses indicate that two credits are associated with unacceptable risk to OHS across the United States construction industry. It is expected that the findings from this research will benefit safety professionals, academics, designers, and all construction stakeholders by providing evidence of how their chosen sustainable designs may impact OHS on building projects.", "author" : [ { "dropping-particle" : "", "family" : "Karakhan", "given" : "Ali A.", "non-dropping-particle" : "", "parse-names" : false, "suffix" : "" }, { "dropping-particle" : "", "family" : "Gambatese", "given" : "John A.", "non-dropping-particle" : "", "parse-names" : false, "suffix" : "" } ], "container-title" : "Journal of Construction Engineering and Management", "id" : "ITEM-1", "issue" : "7", "issued" : { "date-parts" : [ [ "2017" ] ] }, "page" : "04017018", "title" : "Identification, Quantification, and Classification of Potential Safety Risk for Sustainable Construction in the United States", "type" : "article-journal", "volume" : "143" }, "uris" : [ "http://www.mendeley.com/documents/?uuid=095f6ba8-4ac2-4ca9-ae16-d65dcae28bec" ] } ], "mendeley" : { "formattedCitation" : "[66]", "plainTextFormattedCitation" : "[66]", "previouslyFormattedCitation" : "[66]" }, "properties" : { "noteIndex" : 0 }, "schema" : "https://github.com/citation-style-language/schema/raw/master/csl-citation.json" }</w:instrText>
            </w:r>
            <w:r w:rsidR="00F55BE6" w:rsidRPr="001912F1">
              <w:rPr>
                <w:rFonts w:ascii="Times New Roman" w:hAnsi="Times New Roman" w:cs="Times New Roman"/>
                <w:sz w:val="22"/>
                <w:szCs w:val="22"/>
              </w:rPr>
              <w:fldChar w:fldCharType="separate"/>
            </w:r>
            <w:r w:rsidR="00A172E2" w:rsidRPr="00A172E2">
              <w:rPr>
                <w:rFonts w:ascii="Times New Roman" w:hAnsi="Times New Roman" w:cs="Times New Roman"/>
                <w:noProof/>
                <w:sz w:val="22"/>
                <w:szCs w:val="22"/>
              </w:rPr>
              <w:t>[66]</w:t>
            </w:r>
            <w:r w:rsidR="00F55BE6" w:rsidRPr="001912F1">
              <w:rPr>
                <w:rFonts w:ascii="Times New Roman" w:hAnsi="Times New Roman" w:cs="Times New Roman"/>
                <w:sz w:val="22"/>
                <w:szCs w:val="22"/>
              </w:rPr>
              <w:fldChar w:fldCharType="end"/>
            </w:r>
          </w:p>
        </w:tc>
      </w:tr>
      <w:tr w:rsidR="001912F1" w:rsidRPr="001912F1" w14:paraId="35B402E2" w14:textId="77777777" w:rsidTr="00A06958">
        <w:tc>
          <w:tcPr>
            <w:tcW w:w="470" w:type="dxa"/>
          </w:tcPr>
          <w:p w14:paraId="504276D2" w14:textId="77777777" w:rsidR="00F55BE6" w:rsidRPr="001912F1" w:rsidRDefault="00F55BE6" w:rsidP="00FD5957">
            <w:pPr>
              <w:rPr>
                <w:rFonts w:ascii="Times New Roman" w:hAnsi="Times New Roman" w:cs="Times New Roman"/>
                <w:sz w:val="22"/>
                <w:szCs w:val="22"/>
              </w:rPr>
            </w:pPr>
            <w:r w:rsidRPr="001912F1">
              <w:rPr>
                <w:rFonts w:ascii="Times New Roman" w:hAnsi="Times New Roman" w:cs="Times New Roman"/>
                <w:sz w:val="22"/>
                <w:szCs w:val="22"/>
              </w:rPr>
              <w:t>26</w:t>
            </w:r>
          </w:p>
        </w:tc>
        <w:tc>
          <w:tcPr>
            <w:tcW w:w="4064" w:type="dxa"/>
          </w:tcPr>
          <w:p w14:paraId="20D5415D" w14:textId="1F650357" w:rsidR="00F55BE6" w:rsidRPr="001912F1" w:rsidRDefault="0027352C" w:rsidP="00FD5957">
            <w:pPr>
              <w:rPr>
                <w:rFonts w:ascii="Times New Roman" w:hAnsi="Times New Roman" w:cs="Times New Roman"/>
                <w:sz w:val="22"/>
                <w:szCs w:val="22"/>
              </w:rPr>
            </w:pPr>
            <w:proofErr w:type="spellStart"/>
            <w:r w:rsidRPr="001912F1">
              <w:rPr>
                <w:rFonts w:ascii="Times New Roman" w:hAnsi="Times New Roman" w:cs="Times New Roman"/>
                <w:sz w:val="22"/>
                <w:szCs w:val="22"/>
                <w:lang w:val="en-GB"/>
              </w:rPr>
              <w:t>Mirhosseini</w:t>
            </w:r>
            <w:proofErr w:type="spellEnd"/>
            <w:r w:rsidRPr="001912F1">
              <w:rPr>
                <w:rFonts w:ascii="Times New Roman" w:hAnsi="Times New Roman" w:cs="Times New Roman"/>
                <w:sz w:val="22"/>
                <w:szCs w:val="22"/>
                <w:lang w:val="en-GB"/>
              </w:rPr>
              <w:t xml:space="preserve"> et al. </w:t>
            </w:r>
            <w:r w:rsidR="00F55BE6" w:rsidRPr="001912F1">
              <w:rPr>
                <w:rFonts w:ascii="Times New Roman" w:hAnsi="Times New Roman" w:cs="Times New Roman"/>
                <w:sz w:val="22"/>
                <w:szCs w:val="22"/>
                <w:lang w:val="en-GB"/>
              </w:rPr>
              <w:fldChar w:fldCharType="begin" w:fldLock="1"/>
            </w:r>
            <w:r w:rsidR="00792D4F">
              <w:rPr>
                <w:rFonts w:ascii="Times New Roman" w:hAnsi="Times New Roman" w:cs="Times New Roman"/>
                <w:sz w:val="22"/>
                <w:szCs w:val="22"/>
                <w:lang w:val="en-GB"/>
              </w:rPr>
              <w:instrText>ADDIN CSL_CITATION { "citationItems" : [ { "id" : "ITEM-1", "itemData" : { "DOI" : "10.3390/su14020960", "ISSN" : "20711050", "abstract" : "Determining the factors leading to cost inaccuracy in infrastructure projects relates to sustainability by improving the cost performance of the projects (economic sustainability) and reducing the waste of available resources (environmental sustainability). This study investigates the effects of various factors affecting the cost performance of large-scale road projects in Norway in both the planning and construction phases. To this aim, a quantitative approach using a questionnaire survey was employed to understand the attitude of practitioners towards various factors causing cost increases. An advanced multivariate statistical approach of Partial Least Square Structural Equation Modeling (PLS-SEM) and Relative Importance Index (RII) was utilized to analyze the questionnaire responses. The results of the RII analysis show that local wishes, defective estimations, and long processing times had the most impact on the cost increase during the planning phase. At the same time, scope changes, market conditions, and unforeseen ground conditions were the most influential parameters in the construction phase. Moreover, the results obtained from PLS-SEM reveal that external related factors had the most influence among the other grouped factors (i.e., pre-construction, project management and contractual relationship, contractor\u2019s site management, and external) on cost overrun during the construction phase. Increasing the knowledge of these factors will allow for developing relevant project management approaches targeted at improving economic and environmental sustainability within both the planning and construction phases.", "author" : [ { "dropping-particle" : "", "family" : "Mirhosseini", "given" : "Ali Foroutan", "non-dropping-particle" : "", "parse-names" : false, "suffix" : "" }, { "dropping-particle" : "", "family" : "Pitera", "given" : "Kelly", "non-dropping-particle" : "", "parse-names" : false, "suffix" : "" }, { "dropping-particle" : "", "family" : "Odeck", "given" : "James", "non-dropping-particle" : "", "parse-names" : false, "suffix" : "" }, { "dropping-particle" : "", "family" : "Welde", "given" : "Morten", "non-dropping-particle" : "", "parse-names" : false, "suffix" : "" } ], "container-title" : "Sustainability (Switzerland)", "id" : "ITEM-1", "issue" : "2", "issued" : { "date-parts" : [ [ "2022" ] ] }, "page" : "1-20", "title" : "Sustainable Project Management: Reducing the Risk of Cost Inaccuracy Using a PLS-SEM Approach", "type" : "article-journal", "volume" : "14" }, "uris" : [ "http://www.mendeley.com/documents/?uuid=ff67cff9-283f-4c00-b3fc-69f64e32d524" ] } ], "mendeley" : { "formattedCitation" : "[67]", "plainTextFormattedCitation" : "[67]", "previouslyFormattedCitation" : "[67]" }, "properties" : { "noteIndex" : 0 }, "schema" : "https://github.com/citation-style-language/schema/raw/master/csl-citation.json" }</w:instrText>
            </w:r>
            <w:r w:rsidR="00F55BE6" w:rsidRPr="001912F1">
              <w:rPr>
                <w:rFonts w:ascii="Times New Roman" w:hAnsi="Times New Roman" w:cs="Times New Roman"/>
                <w:sz w:val="22"/>
                <w:szCs w:val="22"/>
                <w:lang w:val="en-GB"/>
              </w:rPr>
              <w:fldChar w:fldCharType="separate"/>
            </w:r>
            <w:r w:rsidR="00A172E2" w:rsidRPr="00A172E2">
              <w:rPr>
                <w:rFonts w:ascii="Times New Roman" w:hAnsi="Times New Roman" w:cs="Times New Roman"/>
                <w:noProof/>
                <w:sz w:val="22"/>
                <w:szCs w:val="22"/>
                <w:lang w:val="en-GB"/>
              </w:rPr>
              <w:t>[67]</w:t>
            </w:r>
            <w:r w:rsidR="00F55BE6" w:rsidRPr="001912F1">
              <w:rPr>
                <w:rFonts w:ascii="Times New Roman" w:hAnsi="Times New Roman" w:cs="Times New Roman"/>
                <w:sz w:val="22"/>
                <w:szCs w:val="22"/>
                <w:lang w:val="en-GB"/>
              </w:rPr>
              <w:fldChar w:fldCharType="end"/>
            </w:r>
          </w:p>
        </w:tc>
        <w:tc>
          <w:tcPr>
            <w:tcW w:w="564" w:type="dxa"/>
          </w:tcPr>
          <w:p w14:paraId="303955EB" w14:textId="77777777" w:rsidR="00F55BE6" w:rsidRPr="001912F1" w:rsidRDefault="00F55BE6" w:rsidP="00FD5957">
            <w:pPr>
              <w:rPr>
                <w:rFonts w:ascii="Times New Roman" w:hAnsi="Times New Roman" w:cs="Times New Roman"/>
                <w:sz w:val="22"/>
                <w:szCs w:val="22"/>
              </w:rPr>
            </w:pPr>
            <w:r w:rsidRPr="001912F1">
              <w:rPr>
                <w:rFonts w:ascii="Times New Roman" w:hAnsi="Times New Roman" w:cs="Times New Roman"/>
                <w:sz w:val="22"/>
                <w:szCs w:val="22"/>
              </w:rPr>
              <w:t>56</w:t>
            </w:r>
          </w:p>
        </w:tc>
        <w:tc>
          <w:tcPr>
            <w:tcW w:w="3918" w:type="dxa"/>
          </w:tcPr>
          <w:p w14:paraId="22A1D6A3" w14:textId="4ACFB12F" w:rsidR="00F55BE6" w:rsidRPr="001912F1" w:rsidRDefault="0027352C" w:rsidP="00FD5957">
            <w:pPr>
              <w:rPr>
                <w:rFonts w:ascii="Times New Roman" w:hAnsi="Times New Roman" w:cs="Times New Roman"/>
                <w:sz w:val="22"/>
                <w:szCs w:val="22"/>
              </w:rPr>
            </w:pPr>
            <w:r w:rsidRPr="001912F1">
              <w:rPr>
                <w:rFonts w:ascii="Times New Roman" w:hAnsi="Times New Roman" w:cs="Times New Roman"/>
                <w:sz w:val="22"/>
                <w:szCs w:val="22"/>
              </w:rPr>
              <w:t>Fortunato et al.</w:t>
            </w:r>
            <w:r w:rsidR="00F55BE6" w:rsidRPr="001912F1">
              <w:rPr>
                <w:rFonts w:ascii="Times New Roman" w:hAnsi="Times New Roman" w:cs="Times New Roman"/>
                <w:sz w:val="22"/>
                <w:szCs w:val="22"/>
              </w:rPr>
              <w:fldChar w:fldCharType="begin" w:fldLock="1"/>
            </w:r>
            <w:r w:rsidR="00792D4F">
              <w:rPr>
                <w:rFonts w:ascii="Times New Roman" w:hAnsi="Times New Roman" w:cs="Times New Roman"/>
                <w:sz w:val="22"/>
                <w:szCs w:val="22"/>
              </w:rPr>
              <w:instrText>ADDIN CSL_CITATION { "citationItems" : [ { "id" : "ITEM-1", "itemData" : { "DOI" : "10.1061/(asce)co.1943-7862.0000446", "ISSN" : "0733-9364", "abstract" : "The United States Green Building Council (USGBC)-sponsored Leadership in Energy and Environmental Design (LEED) green building program represents the largest program in the United States for the measurement, verification, and certification of green buildings. A recent study found that LEED-certified buildings have accounted for a higher injury rate than comparative traditional non-LEED buildings. This finding served as the impetus for the present study, which aimed to identify and evaluate the safety and health risks associated with the design elements and construction management practices implemented to achieve LEED certification. To explore this topic, six detailed case studies and two validation case studies were conducted following a strict protocol developed from guiding literature. The results indicate that (1) workers on LEED construction projects are exposed to work at height, with electrical current, near unstable soils, and near heavy equipment for a greater period of time than workers on traditional projects; (2) workers are exposed to new high-risk tasks such as constructing atria, installing green roofs, and installing photovoltaic (PV) panels; and (3) some credits result in a positive impact on construction worker safety and health when low volatile organic compound (VOC) adhesives and sealants are specified. It is expected that these results can be used by practitioners to focus attention and resources on new highrisk work environments.", "author" : [ { "dropping-particle" : "", "family" : "Fortunato", "given" : "Bernard R.", "non-dropping-particle" : "", "parse-names" : false, "suffix" : "" }, { "dropping-particle" : "", "family" : "Hallowell", "given" : "Matthew R.", "non-dropping-particle" : "", "parse-names" : false, "suffix" : "" }, { "dropping-particle" : "", "family" : "Behm", "given" : "Michael", "non-dropping-particle" : "", "parse-names" : false, "suffix" : "" }, { "dropping-particle" : "", "family" : "Dewlaney", "given" : "Katie", "non-dropping-particle" : "", "parse-names" : false, "suffix" : "" } ], "container-title" : "Journal of Construction Engineering and Management", "id" : "ITEM-1", "issue" : "4", "issued" : { "date-parts" : [ [ "2012" ] ] }, "page" : "499-508", "title" : "Identification of Safety Risks for High-Performance Sustainable Construction Projects", "type" : "article-journal", "volume" : "138" }, "uris" : [ "http://www.mendeley.com/documents/?uuid=8c38d65e-c98d-4f7c-ba7a-46080ae80f07" ] } ], "mendeley" : { "formattedCitation" : "[68]", "plainTextFormattedCitation" : "[68]", "previouslyFormattedCitation" : "[68]" }, "properties" : { "noteIndex" : 0 }, "schema" : "https://github.com/citation-style-language/schema/raw/master/csl-citation.json" }</w:instrText>
            </w:r>
            <w:r w:rsidR="00F55BE6" w:rsidRPr="001912F1">
              <w:rPr>
                <w:rFonts w:ascii="Times New Roman" w:hAnsi="Times New Roman" w:cs="Times New Roman"/>
                <w:sz w:val="22"/>
                <w:szCs w:val="22"/>
              </w:rPr>
              <w:fldChar w:fldCharType="separate"/>
            </w:r>
            <w:r w:rsidR="00A172E2" w:rsidRPr="00A172E2">
              <w:rPr>
                <w:rFonts w:ascii="Times New Roman" w:hAnsi="Times New Roman" w:cs="Times New Roman"/>
                <w:noProof/>
                <w:sz w:val="22"/>
                <w:szCs w:val="22"/>
              </w:rPr>
              <w:t>[68]</w:t>
            </w:r>
            <w:r w:rsidR="00F55BE6" w:rsidRPr="001912F1">
              <w:rPr>
                <w:rFonts w:ascii="Times New Roman" w:hAnsi="Times New Roman" w:cs="Times New Roman"/>
                <w:sz w:val="22"/>
                <w:szCs w:val="22"/>
              </w:rPr>
              <w:fldChar w:fldCharType="end"/>
            </w:r>
          </w:p>
        </w:tc>
      </w:tr>
      <w:tr w:rsidR="001912F1" w:rsidRPr="001912F1" w14:paraId="12AC36A1" w14:textId="77777777" w:rsidTr="00A06958">
        <w:tc>
          <w:tcPr>
            <w:tcW w:w="470" w:type="dxa"/>
          </w:tcPr>
          <w:p w14:paraId="55DF5F82" w14:textId="77777777" w:rsidR="00F55BE6" w:rsidRPr="001912F1" w:rsidRDefault="00F55BE6" w:rsidP="00FD5957">
            <w:pPr>
              <w:rPr>
                <w:rFonts w:ascii="Times New Roman" w:hAnsi="Times New Roman" w:cs="Times New Roman"/>
                <w:sz w:val="22"/>
                <w:szCs w:val="22"/>
              </w:rPr>
            </w:pPr>
            <w:r w:rsidRPr="001912F1">
              <w:rPr>
                <w:rFonts w:ascii="Times New Roman" w:hAnsi="Times New Roman" w:cs="Times New Roman"/>
                <w:sz w:val="22"/>
                <w:szCs w:val="22"/>
              </w:rPr>
              <w:t>27</w:t>
            </w:r>
          </w:p>
        </w:tc>
        <w:tc>
          <w:tcPr>
            <w:tcW w:w="4064" w:type="dxa"/>
          </w:tcPr>
          <w:p w14:paraId="755FDC09" w14:textId="17E23F68" w:rsidR="00F55BE6" w:rsidRPr="001912F1" w:rsidRDefault="0027352C" w:rsidP="00FD5957">
            <w:pPr>
              <w:rPr>
                <w:rFonts w:ascii="Times New Roman" w:hAnsi="Times New Roman" w:cs="Times New Roman"/>
                <w:sz w:val="22"/>
                <w:szCs w:val="22"/>
              </w:rPr>
            </w:pPr>
            <w:r w:rsidRPr="001912F1">
              <w:rPr>
                <w:rFonts w:ascii="Times New Roman" w:hAnsi="Times New Roman" w:cs="Times New Roman"/>
                <w:sz w:val="22"/>
                <w:szCs w:val="22"/>
              </w:rPr>
              <w:t xml:space="preserve">El-Sayegh </w:t>
            </w:r>
            <w:r w:rsidR="00F55BE6" w:rsidRPr="001912F1">
              <w:rPr>
                <w:rFonts w:ascii="Times New Roman" w:hAnsi="Times New Roman" w:cs="Times New Roman"/>
                <w:sz w:val="22"/>
                <w:szCs w:val="22"/>
              </w:rPr>
              <w:fldChar w:fldCharType="begin" w:fldLock="1"/>
            </w:r>
            <w:r w:rsidR="00792D4F">
              <w:rPr>
                <w:rFonts w:ascii="Times New Roman" w:hAnsi="Times New Roman" w:cs="Times New Roman"/>
                <w:sz w:val="22"/>
                <w:szCs w:val="22"/>
              </w:rPr>
              <w:instrText>ADDIN CSL_CITATION { "citationItems" : [ { "id" : "ITEM-1", "itemData" : { "DOI" : "10.1016/j.ijproman.2007.07.004", "ISBN" : "0263-7863", "ISSN" : "02637863", "abstract" : "This study identifies and assesses the significant risks in the UAE construction industry and addresses their proper allocation. Data were collected through a questionnaire distributed to construction experts. The study reveals that economic risks such as inflation and sudden changes in prices, shortage in material and labor supply are significant. Other significant risks include owner risks such as unrealistic construction schedule, improper intervention and changes in design. Political, social and cultural risks are found to be insignificant. Local and international experts are in agreement as to the ranking of construction risks in the UAE. More risks are allocated to contractors or shared between contractors and owners with only two risks allocated directly to the owners. \u00a9 2007 Elsevier Ltd and IPMA.", "author" : [ { "dropping-particle" : "", "family" : "El-Sayegh", "given" : "Sameh Monir", "non-dropping-particle" : "", "parse-names" : false, "suffix" : "" } ], "container-title" : "International Journal of Project Management", "id" : "ITEM-1", "issue" : "4", "issued" : { "date-parts" : [ [ "2008" ] ] }, "page" : "431-438", "title" : "Risk assessment and allocation in the UAE construction industry", "type" : "article-journal", "volume" : "26" }, "uris" : [ "http://www.mendeley.com/documents/?uuid=b66f1fd6-e31d-42e6-ad14-b557f5e45891" ] } ], "mendeley" : { "formattedCitation" : "[69]", "plainTextFormattedCitation" : "[69]", "previouslyFormattedCitation" : "[69]" }, "properties" : { "noteIndex" : 0 }, "schema" : "https://github.com/citation-style-language/schema/raw/master/csl-citation.json" }</w:instrText>
            </w:r>
            <w:r w:rsidR="00F55BE6" w:rsidRPr="001912F1">
              <w:rPr>
                <w:rFonts w:ascii="Times New Roman" w:hAnsi="Times New Roman" w:cs="Times New Roman"/>
                <w:sz w:val="22"/>
                <w:szCs w:val="22"/>
              </w:rPr>
              <w:fldChar w:fldCharType="separate"/>
            </w:r>
            <w:r w:rsidR="00A172E2" w:rsidRPr="00A172E2">
              <w:rPr>
                <w:rFonts w:ascii="Times New Roman" w:hAnsi="Times New Roman" w:cs="Times New Roman"/>
                <w:noProof/>
                <w:sz w:val="22"/>
                <w:szCs w:val="22"/>
              </w:rPr>
              <w:t>[69]</w:t>
            </w:r>
            <w:r w:rsidR="00F55BE6" w:rsidRPr="001912F1">
              <w:rPr>
                <w:rFonts w:ascii="Times New Roman" w:hAnsi="Times New Roman" w:cs="Times New Roman"/>
                <w:sz w:val="22"/>
                <w:szCs w:val="22"/>
              </w:rPr>
              <w:fldChar w:fldCharType="end"/>
            </w:r>
          </w:p>
        </w:tc>
        <w:tc>
          <w:tcPr>
            <w:tcW w:w="564" w:type="dxa"/>
          </w:tcPr>
          <w:p w14:paraId="79892EFD" w14:textId="77777777" w:rsidR="00F55BE6" w:rsidRPr="001912F1" w:rsidRDefault="00F55BE6" w:rsidP="00FD5957">
            <w:pPr>
              <w:rPr>
                <w:rFonts w:ascii="Times New Roman" w:hAnsi="Times New Roman" w:cs="Times New Roman"/>
                <w:sz w:val="22"/>
                <w:szCs w:val="22"/>
              </w:rPr>
            </w:pPr>
            <w:r w:rsidRPr="001912F1">
              <w:rPr>
                <w:rFonts w:ascii="Times New Roman" w:hAnsi="Times New Roman" w:cs="Times New Roman"/>
                <w:sz w:val="22"/>
                <w:szCs w:val="22"/>
              </w:rPr>
              <w:t>57</w:t>
            </w:r>
          </w:p>
        </w:tc>
        <w:tc>
          <w:tcPr>
            <w:tcW w:w="3918" w:type="dxa"/>
          </w:tcPr>
          <w:p w14:paraId="1EDCAB81" w14:textId="447FBF23" w:rsidR="00F55BE6" w:rsidRPr="001912F1" w:rsidRDefault="0027352C" w:rsidP="00FD5957">
            <w:pPr>
              <w:rPr>
                <w:rFonts w:ascii="Times New Roman" w:hAnsi="Times New Roman" w:cs="Times New Roman"/>
                <w:sz w:val="22"/>
                <w:szCs w:val="22"/>
              </w:rPr>
            </w:pPr>
            <w:r w:rsidRPr="001912F1">
              <w:rPr>
                <w:rFonts w:ascii="Times New Roman" w:hAnsi="Times New Roman" w:cs="Times New Roman"/>
                <w:sz w:val="22"/>
                <w:szCs w:val="22"/>
              </w:rPr>
              <w:t>Rosa et al.</w:t>
            </w:r>
            <w:r w:rsidR="00F55BE6" w:rsidRPr="001912F1">
              <w:rPr>
                <w:rFonts w:ascii="Times New Roman" w:hAnsi="Times New Roman" w:cs="Times New Roman"/>
                <w:sz w:val="22"/>
                <w:szCs w:val="22"/>
              </w:rPr>
              <w:fldChar w:fldCharType="begin" w:fldLock="1"/>
            </w:r>
            <w:r w:rsidR="00792D4F">
              <w:rPr>
                <w:rFonts w:ascii="Times New Roman" w:hAnsi="Times New Roman" w:cs="Times New Roman"/>
                <w:sz w:val="22"/>
                <w:szCs w:val="22"/>
              </w:rPr>
              <w:instrText>ADDIN CSL_CITATION { "citationItems" : [ { "id" : "ITEM-1", "itemData" : { "DOI" : "10.1007/s10111-015-0337-z", "ISSN" : "14355566", "abstract" : "Traditional tools found in occupational risk assessments are a preliminary hazard analysis and checklists, both based on the isolation of a particular activity from the entire process and created for application in specific environments of manufacture. This strategy makes the results of such evaluations distant from real situations. Construction is a complex endeavor and can involve multiple contractors and groups working under each contractor. Work occurs under constant change and varying demands. In this context, as workers move through their daily journey, their health and safety are often are threatened by activities carried out by other contractors or groups. The study utilizes the Functional Resonance Analysis Method (FRAM), which aims to describe how function couplings may be combined in such a way that variability of performance, rather than failure or poor functioning, creates an occupational risk. The study also contributes to the evolution of FRAM, by proposing the application of the analytic hierarchy process, to investigate the relative importance of the criteria and alternatives for the identification of phenotypes of performance variability, as well as the aggregation of variability.", "author" : [ { "dropping-particle" : "", "family" : "Rosa", "given" : "Lucio Villarinho", "non-dropping-particle" : "", "parse-names" : false, "suffix" : "" }, { "dropping-particle" : "", "family" : "Haddad", "given" : "Assed Naked", "non-dropping-particle" : "", "parse-names" : false, "suffix" : "" }, { "dropping-particle" : "", "family" : "Carvalho", "given" : "Paulo Victor Rodrigues", "non-dropping-particle" : "de", "parse-names" : false, "suffix" : "" } ], "container-title" : "Cognition, Technology and Work", "id" : "ITEM-1", "issue" : "4", "issued" : { "date-parts" : [ [ "2015" ] ] }, "page" : "559-573", "publisher" : "Springer London", "title" : "Assessing risk in sustainable construction using the Functional Resonance Analysis Method (FRAM)", "type" : "article-journal", "volume" : "17" }, "uris" : [ "http://www.mendeley.com/documents/?uuid=bfa81c3a-6f39-4fc3-b50f-4dc7d01b59cf" ] } ], "mendeley" : { "formattedCitation" : "[70]", "plainTextFormattedCitation" : "[70]", "previouslyFormattedCitation" : "[70]" }, "properties" : { "noteIndex" : 0 }, "schema" : "https://github.com/citation-style-language/schema/raw/master/csl-citation.json" }</w:instrText>
            </w:r>
            <w:r w:rsidR="00F55BE6" w:rsidRPr="001912F1">
              <w:rPr>
                <w:rFonts w:ascii="Times New Roman" w:hAnsi="Times New Roman" w:cs="Times New Roman"/>
                <w:sz w:val="22"/>
                <w:szCs w:val="22"/>
              </w:rPr>
              <w:fldChar w:fldCharType="separate"/>
            </w:r>
            <w:r w:rsidR="00A172E2" w:rsidRPr="00A172E2">
              <w:rPr>
                <w:rFonts w:ascii="Times New Roman" w:hAnsi="Times New Roman" w:cs="Times New Roman"/>
                <w:noProof/>
                <w:sz w:val="22"/>
                <w:szCs w:val="22"/>
              </w:rPr>
              <w:t>[70]</w:t>
            </w:r>
            <w:r w:rsidR="00F55BE6" w:rsidRPr="001912F1">
              <w:rPr>
                <w:rFonts w:ascii="Times New Roman" w:hAnsi="Times New Roman" w:cs="Times New Roman"/>
                <w:sz w:val="22"/>
                <w:szCs w:val="22"/>
              </w:rPr>
              <w:fldChar w:fldCharType="end"/>
            </w:r>
          </w:p>
        </w:tc>
      </w:tr>
      <w:tr w:rsidR="001912F1" w:rsidRPr="001912F1" w14:paraId="0785FF5B" w14:textId="77777777" w:rsidTr="00A06958">
        <w:tc>
          <w:tcPr>
            <w:tcW w:w="470" w:type="dxa"/>
          </w:tcPr>
          <w:p w14:paraId="73B86BE4" w14:textId="77777777" w:rsidR="00F55BE6" w:rsidRPr="001912F1" w:rsidRDefault="00F55BE6" w:rsidP="00FD5957">
            <w:pPr>
              <w:rPr>
                <w:rFonts w:ascii="Times New Roman" w:hAnsi="Times New Roman" w:cs="Times New Roman"/>
                <w:sz w:val="22"/>
                <w:szCs w:val="22"/>
              </w:rPr>
            </w:pPr>
            <w:r w:rsidRPr="001912F1">
              <w:rPr>
                <w:rFonts w:ascii="Times New Roman" w:hAnsi="Times New Roman" w:cs="Times New Roman"/>
                <w:sz w:val="22"/>
                <w:szCs w:val="22"/>
              </w:rPr>
              <w:t>28</w:t>
            </w:r>
          </w:p>
        </w:tc>
        <w:tc>
          <w:tcPr>
            <w:tcW w:w="4064" w:type="dxa"/>
          </w:tcPr>
          <w:p w14:paraId="05100CE2" w14:textId="7684B8E9" w:rsidR="00F55BE6" w:rsidRPr="001912F1" w:rsidRDefault="0027352C" w:rsidP="00FD5957">
            <w:pPr>
              <w:rPr>
                <w:rFonts w:ascii="Times New Roman" w:hAnsi="Times New Roman" w:cs="Times New Roman"/>
                <w:sz w:val="22"/>
                <w:szCs w:val="22"/>
              </w:rPr>
            </w:pPr>
            <w:r w:rsidRPr="001912F1">
              <w:rPr>
                <w:rFonts w:ascii="Times New Roman" w:hAnsi="Times New Roman" w:cs="Times New Roman"/>
                <w:sz w:val="22"/>
                <w:szCs w:val="22"/>
              </w:rPr>
              <w:t xml:space="preserve">Winston </w:t>
            </w:r>
            <w:r w:rsidR="00F55BE6" w:rsidRPr="001912F1">
              <w:rPr>
                <w:rFonts w:ascii="Times New Roman" w:hAnsi="Times New Roman" w:cs="Times New Roman"/>
                <w:sz w:val="22"/>
                <w:szCs w:val="22"/>
              </w:rPr>
              <w:fldChar w:fldCharType="begin" w:fldLock="1"/>
            </w:r>
            <w:r w:rsidR="00792D4F">
              <w:rPr>
                <w:rFonts w:ascii="Times New Roman" w:hAnsi="Times New Roman" w:cs="Times New Roman"/>
                <w:sz w:val="22"/>
                <w:szCs w:val="22"/>
              </w:rPr>
              <w:instrText>ADDIN CSL_CITATION { "citationItems" : [ { "id" : "ITEM-1", "itemData" : { "DOI" : "10.1002/sd.399", "ISSN" : "09680802", "abstract" : "This article outlines the key characteristics of sustainable housing, including environmental, economic and social dimensions. It uses these characteristics to assess housing and regeneration in Dublin since the early 1980s. While regeneration has improved some areas, there are a number of causes for concern. Barriers to achieving sustainable housing include the lack of a shared vision of sustainable housing, inadequate building regulations and non-compliance with existing regulations, limited knowledge and expertise in green building methods, negative perceptions of higher density housing, poor quality designs, negative attitudes to social mix, an emphasis on demolition, a failure to recognize the need for social regeneration and limited resources. The article concludes that it is essential to target resources at enforcing building regulations, providing sufficient social and affordable housing as well as the social infrastructure required for sustainable communities, adequate management and maintenance, and retrofitting the unsustainable housing constructed in the past. \u00a9 2009 John Wiley &amp; Sons, Ltd.", "author" : [ { "dropping-particle" : "", "family" : "Winston", "given" : "Nessa", "non-dropping-particle" : "", "parse-names" : false, "suffix" : "" } ], "container-title" : "Sustainable Development", "id" : "ITEM-1", "issue" : "6", "issued" : { "date-parts" : [ [ "2010" ] ] }, "page" : "319-330", "title" : "Regeneration for sustainable communities? Barriers to implementing sustainable housing in urban areas", "type" : "article-journal", "volume" : "18" }, "uris" : [ "http://www.mendeley.com/documents/?uuid=bfb34112-f7db-4101-b49f-224474d9370a" ] } ], "mendeley" : { "formattedCitation" : "[71]", "plainTextFormattedCitation" : "[71]", "previouslyFormattedCitation" : "[71]" }, "properties" : { "noteIndex" : 0 }, "schema" : "https://github.com/citation-style-language/schema/raw/master/csl-citation.json" }</w:instrText>
            </w:r>
            <w:r w:rsidR="00F55BE6" w:rsidRPr="001912F1">
              <w:rPr>
                <w:rFonts w:ascii="Times New Roman" w:hAnsi="Times New Roman" w:cs="Times New Roman"/>
                <w:sz w:val="22"/>
                <w:szCs w:val="22"/>
              </w:rPr>
              <w:fldChar w:fldCharType="separate"/>
            </w:r>
            <w:r w:rsidR="00A172E2" w:rsidRPr="00A172E2">
              <w:rPr>
                <w:rFonts w:ascii="Times New Roman" w:hAnsi="Times New Roman" w:cs="Times New Roman"/>
                <w:noProof/>
                <w:sz w:val="22"/>
                <w:szCs w:val="22"/>
              </w:rPr>
              <w:t>[71]</w:t>
            </w:r>
            <w:r w:rsidR="00F55BE6" w:rsidRPr="001912F1">
              <w:rPr>
                <w:rFonts w:ascii="Times New Roman" w:hAnsi="Times New Roman" w:cs="Times New Roman"/>
                <w:sz w:val="22"/>
                <w:szCs w:val="22"/>
              </w:rPr>
              <w:fldChar w:fldCharType="end"/>
            </w:r>
          </w:p>
        </w:tc>
        <w:tc>
          <w:tcPr>
            <w:tcW w:w="564" w:type="dxa"/>
          </w:tcPr>
          <w:p w14:paraId="53CAE1BD" w14:textId="77777777" w:rsidR="00F55BE6" w:rsidRPr="001912F1" w:rsidRDefault="00F55BE6" w:rsidP="00FD5957">
            <w:pPr>
              <w:rPr>
                <w:rFonts w:ascii="Times New Roman" w:hAnsi="Times New Roman" w:cs="Times New Roman"/>
                <w:sz w:val="22"/>
                <w:szCs w:val="22"/>
              </w:rPr>
            </w:pPr>
            <w:r w:rsidRPr="001912F1">
              <w:rPr>
                <w:rFonts w:ascii="Times New Roman" w:hAnsi="Times New Roman" w:cs="Times New Roman"/>
                <w:sz w:val="22"/>
                <w:szCs w:val="22"/>
              </w:rPr>
              <w:t>58</w:t>
            </w:r>
          </w:p>
        </w:tc>
        <w:tc>
          <w:tcPr>
            <w:tcW w:w="3918" w:type="dxa"/>
          </w:tcPr>
          <w:p w14:paraId="2942ECDF" w14:textId="748320AD" w:rsidR="00F55BE6" w:rsidRPr="001912F1" w:rsidRDefault="0027352C" w:rsidP="00FD5957">
            <w:pPr>
              <w:rPr>
                <w:rFonts w:ascii="Times New Roman" w:hAnsi="Times New Roman" w:cs="Times New Roman"/>
                <w:sz w:val="22"/>
                <w:szCs w:val="22"/>
              </w:rPr>
            </w:pPr>
            <w:r w:rsidRPr="001912F1">
              <w:rPr>
                <w:rFonts w:ascii="Times New Roman" w:hAnsi="Times New Roman" w:cs="Times New Roman"/>
                <w:sz w:val="22"/>
                <w:szCs w:val="22"/>
                <w:lang w:val="en-GB"/>
              </w:rPr>
              <w:t xml:space="preserve">Zhang and </w:t>
            </w:r>
            <w:proofErr w:type="spellStart"/>
            <w:r w:rsidRPr="001912F1">
              <w:rPr>
                <w:rFonts w:ascii="Times New Roman" w:hAnsi="Times New Roman" w:cs="Times New Roman"/>
                <w:sz w:val="22"/>
                <w:szCs w:val="22"/>
                <w:lang w:val="en-GB"/>
              </w:rPr>
              <w:t>Mohandes</w:t>
            </w:r>
            <w:proofErr w:type="spellEnd"/>
            <w:r w:rsidRPr="001912F1">
              <w:rPr>
                <w:rFonts w:ascii="Times New Roman" w:hAnsi="Times New Roman" w:cs="Times New Roman"/>
                <w:sz w:val="22"/>
                <w:szCs w:val="22"/>
                <w:lang w:val="en-GB"/>
              </w:rPr>
              <w:t xml:space="preserve"> </w:t>
            </w:r>
            <w:r w:rsidR="00F55BE6" w:rsidRPr="001912F1">
              <w:rPr>
                <w:rFonts w:ascii="Times New Roman" w:hAnsi="Times New Roman" w:cs="Times New Roman"/>
                <w:sz w:val="22"/>
                <w:szCs w:val="22"/>
                <w:lang w:val="en-GB"/>
              </w:rPr>
              <w:fldChar w:fldCharType="begin" w:fldLock="1"/>
            </w:r>
            <w:r w:rsidR="00792D4F">
              <w:rPr>
                <w:rFonts w:ascii="Times New Roman" w:hAnsi="Times New Roman" w:cs="Times New Roman"/>
                <w:sz w:val="22"/>
                <w:szCs w:val="22"/>
                <w:lang w:val="en-GB"/>
              </w:rPr>
              <w:instrText>ADDIN CSL_CITATION { "citationItems" : [ { "id" : "ITEM-1", "itemData" : { "DOI" : "10.1016/j.jclepro.2020.122788", "ISSN" : "09596526", "abstract" : "Although quite a few studies have focused on Occupational Health and Safety (OHS)-related issues within the context of sustainable building construction projects, there has been dearth of a study developing a management framework to comprehensively identify, analyze, evaluate, and control the safety risks threatening the involved Green Building Construction Workers (GBCWs). The lack of such consideration leads not only to incurring additional costs for the stakeholders, but also overshadowing the impetus towards the adoption of sustainable developments within the construction industry. As such, using Hong Kong as a case study, a Holistic Z-numbers-based Risk Management Framework (HZRMF) is developed in the current study. The main contributions of the current research to the area of OHS linked to green building construction projects are as follows: (1) identifying all the critical safety risks associated with the relative green-oriented requirements through the proposed integration of Z-numbers with the Delphi technique, (2) calculating the final magnitudes of green-associated safety risks through a novel hybrid Z-numbers-based algorithm by considering the importance weights of risk parameters, (3) evaluating the analyzed safety risks using the proposed five-level strategy, (4) pinpointing the green-oriented requirements that are of high-criticality, and (5) providing a comprehensive list of treatment measures to control the evaluated green-associated safety risks. Ultimately, it was observed that the three most critical safety risks were associated with fall hazards. It is proven that the results and analyses produced in the study using the developed HZRMS could make massive inroads into improving the OHS of the involved GBCWs.", "author" : [ { "dropping-particle" : "", "family" : "Zhang", "given" : "Xueqing", "non-dropping-particle" : "", "parse-names" : false, "suffix" : "" }, { "dropping-particle" : "", "family" : "Mohandes", "given" : "Saeed Reza", "non-dropping-particle" : "", "parse-names" : false, "suffix" : "" } ], "container-title" : "Journal of Cleaner Production", "id" : "ITEM-1", "issued" : { "date-parts" : [ [ "2020" ] ] }, "page" : "122788", "publisher" : "Elsevier Ltd", "title" : "Occupational Health and Safety in green building construction projects: A holistic Z-numbers-based risk management framework", "type" : "article-journal", "volume" : "275" }, "uris" : [ "http://www.mendeley.com/documents/?uuid=9e4a35c9-af2b-43cd-a039-4b12ba1e7343" ] } ], "mendeley" : { "formattedCitation" : "[72]", "plainTextFormattedCitation" : "[72]", "previouslyFormattedCitation" : "[72]" }, "properties" : { "noteIndex" : 0 }, "schema" : "https://github.com/citation-style-language/schema/raw/master/csl-citation.json" }</w:instrText>
            </w:r>
            <w:r w:rsidR="00F55BE6" w:rsidRPr="001912F1">
              <w:rPr>
                <w:rFonts w:ascii="Times New Roman" w:hAnsi="Times New Roman" w:cs="Times New Roman"/>
                <w:sz w:val="22"/>
                <w:szCs w:val="22"/>
                <w:lang w:val="en-GB"/>
              </w:rPr>
              <w:fldChar w:fldCharType="separate"/>
            </w:r>
            <w:r w:rsidR="00A172E2" w:rsidRPr="00A172E2">
              <w:rPr>
                <w:rFonts w:ascii="Times New Roman" w:hAnsi="Times New Roman" w:cs="Times New Roman"/>
                <w:noProof/>
                <w:sz w:val="22"/>
                <w:szCs w:val="22"/>
                <w:lang w:val="en-GB"/>
              </w:rPr>
              <w:t>[72]</w:t>
            </w:r>
            <w:r w:rsidR="00F55BE6" w:rsidRPr="001912F1">
              <w:rPr>
                <w:rFonts w:ascii="Times New Roman" w:hAnsi="Times New Roman" w:cs="Times New Roman"/>
                <w:sz w:val="22"/>
                <w:szCs w:val="22"/>
                <w:lang w:val="en-GB"/>
              </w:rPr>
              <w:fldChar w:fldCharType="end"/>
            </w:r>
          </w:p>
        </w:tc>
      </w:tr>
      <w:tr w:rsidR="001912F1" w:rsidRPr="001912F1" w14:paraId="03399CB3" w14:textId="77777777" w:rsidTr="00A06958">
        <w:tc>
          <w:tcPr>
            <w:tcW w:w="470" w:type="dxa"/>
          </w:tcPr>
          <w:p w14:paraId="3AA1FF74" w14:textId="77777777" w:rsidR="00F55BE6" w:rsidRPr="001912F1" w:rsidRDefault="00F55BE6" w:rsidP="00FD5957">
            <w:pPr>
              <w:rPr>
                <w:rFonts w:ascii="Times New Roman" w:hAnsi="Times New Roman" w:cs="Times New Roman"/>
                <w:sz w:val="22"/>
                <w:szCs w:val="22"/>
              </w:rPr>
            </w:pPr>
            <w:r w:rsidRPr="001912F1">
              <w:rPr>
                <w:rFonts w:ascii="Times New Roman" w:hAnsi="Times New Roman" w:cs="Times New Roman"/>
                <w:sz w:val="22"/>
                <w:szCs w:val="22"/>
              </w:rPr>
              <w:t>29</w:t>
            </w:r>
          </w:p>
        </w:tc>
        <w:tc>
          <w:tcPr>
            <w:tcW w:w="4064" w:type="dxa"/>
          </w:tcPr>
          <w:p w14:paraId="73D1E439" w14:textId="7B995DCB" w:rsidR="00F55BE6" w:rsidRPr="001912F1" w:rsidRDefault="0027352C" w:rsidP="00FD5957">
            <w:pPr>
              <w:rPr>
                <w:rFonts w:ascii="Times New Roman" w:hAnsi="Times New Roman" w:cs="Times New Roman"/>
                <w:sz w:val="22"/>
                <w:szCs w:val="22"/>
              </w:rPr>
            </w:pPr>
            <w:proofErr w:type="spellStart"/>
            <w:r w:rsidRPr="001912F1">
              <w:rPr>
                <w:rFonts w:ascii="Times New Roman" w:hAnsi="Times New Roman" w:cs="Times New Roman"/>
                <w:sz w:val="22"/>
                <w:szCs w:val="22"/>
              </w:rPr>
              <w:t>Rafindadi</w:t>
            </w:r>
            <w:proofErr w:type="spellEnd"/>
            <w:r w:rsidRPr="001912F1">
              <w:rPr>
                <w:rFonts w:ascii="Times New Roman" w:hAnsi="Times New Roman" w:cs="Times New Roman"/>
                <w:sz w:val="22"/>
                <w:szCs w:val="22"/>
              </w:rPr>
              <w:t xml:space="preserve"> et al. </w:t>
            </w:r>
            <w:r w:rsidR="00F55BE6" w:rsidRPr="001912F1">
              <w:rPr>
                <w:rFonts w:ascii="Times New Roman" w:hAnsi="Times New Roman" w:cs="Times New Roman"/>
                <w:sz w:val="22"/>
                <w:szCs w:val="22"/>
              </w:rPr>
              <w:fldChar w:fldCharType="begin" w:fldLock="1"/>
            </w:r>
            <w:r w:rsidR="00792D4F">
              <w:rPr>
                <w:rFonts w:ascii="Times New Roman" w:hAnsi="Times New Roman" w:cs="Times New Roman"/>
                <w:sz w:val="22"/>
                <w:szCs w:val="22"/>
              </w:rPr>
              <w:instrText>ADDIN CSL_CITATION { "citationItems" : [ { "id" : "ITEM-1", "itemData" : { "DOI" : "10.1016/j.sbspro.2014.03.051", "ISSN" : "18770428", "abstract" : "Sustainability goals move projects away from narrowly focused traditional management oriented ambitions of time, cost and quality, giving attention to economic, environmental and social impacts of construction projects. The recent literature identifies the critical project delivery attributes influencing sustainable building and infrastructure project outcomes as: trust and collaboration between key project participants, their commitment to sustainability, their early involvement and contract conditions. This paper presents results of the still ongoing study which is in relatively under-researched area and examines the global perception of sustainable Construction Project Risks. The survey goals were to compare different stakeholders\u2019 evaluation of risks and stakeholders influence on project success. Risk was defined as an implication of uncertainty that could potentially impact project goals, either positively or negatively. Opposite of hypothesis, which was that different stakeholders will prioritize risk sources differently, the findings suggest there is no significant discrepancy between the perceptions of different stakeholders about the sustainable project risks.", "author" : [ { "dropping-particle" : "", "family" : "Rafindadi", "given" : "Aminu Darda\u2019u", "non-dropping-particle" : "", "parse-names" : false, "suffix" : "" }, { "dropping-particle" : "", "family" : "Miki\u0107", "given" : "Miljan", "non-dropping-particle" : "", "parse-names" : false, "suffix" : "" }, { "dropping-particle" : "", "family" : "Kova\u010di\u0107", "given" : "Iva", "non-dropping-particle" : "", "parse-names" : false, "suffix" : "" }, { "dropping-particle" : "", "family" : "Ceki\u0107", "given" : "Zoran", "non-dropping-particle" : "", "parse-names" : false, "suffix" : "" } ], "container-title" : "Procedia - Social and Behavioral Sciences", "id" : "ITEM-1", "issue" : "Williams 1995", "issued" : { "date-parts" : [ [ "2014" ] ] }, "page" : "456-465", "title" : "Global Perception of Sustainable Construction Project Risks", "type" : "article-journal", "volume" : "119" }, "uris" : [ "http://www.mendeley.com/documents/?uuid=1e1e9033-a7f5-4d10-9a67-d2500e050367" ] } ], "mendeley" : { "formattedCitation" : "[73]", "plainTextFormattedCitation" : "[73]", "previouslyFormattedCitation" : "[73]" }, "properties" : { "noteIndex" : 0 }, "schema" : "https://github.com/citation-style-language/schema/raw/master/csl-citation.json" }</w:instrText>
            </w:r>
            <w:r w:rsidR="00F55BE6" w:rsidRPr="001912F1">
              <w:rPr>
                <w:rFonts w:ascii="Times New Roman" w:hAnsi="Times New Roman" w:cs="Times New Roman"/>
                <w:sz w:val="22"/>
                <w:szCs w:val="22"/>
              </w:rPr>
              <w:fldChar w:fldCharType="separate"/>
            </w:r>
            <w:r w:rsidR="00A172E2" w:rsidRPr="00A172E2">
              <w:rPr>
                <w:rFonts w:ascii="Times New Roman" w:hAnsi="Times New Roman" w:cs="Times New Roman"/>
                <w:noProof/>
                <w:sz w:val="22"/>
                <w:szCs w:val="22"/>
              </w:rPr>
              <w:t>[73]</w:t>
            </w:r>
            <w:r w:rsidR="00F55BE6" w:rsidRPr="001912F1">
              <w:rPr>
                <w:rFonts w:ascii="Times New Roman" w:hAnsi="Times New Roman" w:cs="Times New Roman"/>
                <w:sz w:val="22"/>
                <w:szCs w:val="22"/>
              </w:rPr>
              <w:fldChar w:fldCharType="end"/>
            </w:r>
          </w:p>
        </w:tc>
        <w:tc>
          <w:tcPr>
            <w:tcW w:w="564" w:type="dxa"/>
          </w:tcPr>
          <w:p w14:paraId="562D4BCD" w14:textId="77777777" w:rsidR="00F55BE6" w:rsidRPr="001912F1" w:rsidRDefault="00F55BE6" w:rsidP="00FD5957">
            <w:pPr>
              <w:rPr>
                <w:rFonts w:ascii="Times New Roman" w:hAnsi="Times New Roman" w:cs="Times New Roman"/>
                <w:sz w:val="22"/>
                <w:szCs w:val="22"/>
              </w:rPr>
            </w:pPr>
            <w:r w:rsidRPr="001912F1">
              <w:rPr>
                <w:rFonts w:ascii="Times New Roman" w:hAnsi="Times New Roman" w:cs="Times New Roman"/>
                <w:sz w:val="22"/>
                <w:szCs w:val="22"/>
              </w:rPr>
              <w:t>59</w:t>
            </w:r>
          </w:p>
        </w:tc>
        <w:tc>
          <w:tcPr>
            <w:tcW w:w="3918" w:type="dxa"/>
          </w:tcPr>
          <w:p w14:paraId="22C1E34C" w14:textId="504534D8" w:rsidR="00F55BE6" w:rsidRPr="001912F1" w:rsidRDefault="0027352C" w:rsidP="00FD5957">
            <w:pPr>
              <w:rPr>
                <w:rFonts w:ascii="Times New Roman" w:hAnsi="Times New Roman" w:cs="Times New Roman"/>
                <w:sz w:val="22"/>
                <w:szCs w:val="22"/>
              </w:rPr>
            </w:pPr>
            <w:r w:rsidRPr="001912F1">
              <w:rPr>
                <w:rFonts w:ascii="Times New Roman" w:hAnsi="Times New Roman" w:cs="Times New Roman"/>
                <w:bCs/>
                <w:sz w:val="22"/>
                <w:szCs w:val="22"/>
              </w:rPr>
              <w:t>González-Gaya et al.</w:t>
            </w:r>
            <w:r w:rsidR="00F55BE6" w:rsidRPr="001912F1">
              <w:rPr>
                <w:rFonts w:ascii="Times New Roman" w:hAnsi="Times New Roman" w:cs="Times New Roman"/>
                <w:bCs/>
                <w:sz w:val="22"/>
                <w:szCs w:val="22"/>
              </w:rPr>
              <w:fldChar w:fldCharType="begin" w:fldLock="1"/>
            </w:r>
            <w:r w:rsidR="00792D4F">
              <w:rPr>
                <w:rFonts w:ascii="Times New Roman" w:hAnsi="Times New Roman" w:cs="Times New Roman"/>
                <w:bCs/>
                <w:sz w:val="22"/>
                <w:szCs w:val="22"/>
              </w:rPr>
              <w:instrText>ADDIN CSL_CITATION { "citationItems" : [ { "id" : "ITEM-1", "itemData" : { "DOI" : "10.1016/j.promfg.2017.09.123", "ISSN" : "23519789", "abstract" : "The subsector of industrial building has undergone changes in recent years. These have been: economic changes, as a result of the economic crisis experienced by the construction sector, structural changes because many companies specializing in industrial construction have disappeared, regulatory changes by the emergence of new requirements and functional changes because industrial establishments have been become an image of the brand or company. These changes have led to the emergence of new risks to the safety and health of workers or have increased existing risks, assuming an increased exposure or severity of the effects on workers. These risks are referred to as new and emerging risks. The aim of this communication is to carry out an approach to identification and characterization of new and emerging risks in the industrial green building subsector.", "author" : [ { "dropping-particle" : "", "family" : "Gonz\u00e1lez-Gaya", "given" : "C.", "non-dropping-particle" : "", "parse-names" : false, "suffix" : "" }, { "dropping-particle" : "", "family" : "Fuentes-Bargues", "given" : "J. L.", "non-dropping-particle" : "", "parse-names" : false, "suffix" : "" }, { "dropping-particle" : "", "family" : "Brocal-Fern\u00e1ndez", "given" : "F.", "non-dropping-particle" : "", "parse-names" : false, "suffix" : "" }, { "dropping-particle" : "", "family" : "S\u00e1nchez-Lite", "given" : "A.", "non-dropping-particle" : "", "parse-names" : false, "suffix" : "" }, { "dropping-particle" : "", "family" : "Sebasti\u00e1n-P\u00e9rez", "given" : "M. A.", "non-dropping-particle" : "", "parse-names" : false, "suffix" : "" } ], "container-title" : "Procedia Manufacturing", "id" : "ITEM-1", "issued" : { "date-parts" : [ [ "2017" ] ] }, "page" : "1365-1372", "publisher" : "Elsevier B.V.", "title" : "Approach to identification and characterization of the new and emerging risks associated with Industrial Green Building", "type" : "article-journal", "volume" : "13" }, "uris" : [ "http://www.mendeley.com/documents/?uuid=207493b7-8623-486b-8a78-724051a90cb6" ] } ], "mendeley" : { "formattedCitation" : "[74]", "plainTextFormattedCitation" : "[74]", "previouslyFormattedCitation" : "[74]" }, "properties" : { "noteIndex" : 0 }, "schema" : "https://github.com/citation-style-language/schema/raw/master/csl-citation.json" }</w:instrText>
            </w:r>
            <w:r w:rsidR="00F55BE6" w:rsidRPr="001912F1">
              <w:rPr>
                <w:rFonts w:ascii="Times New Roman" w:hAnsi="Times New Roman" w:cs="Times New Roman"/>
                <w:bCs/>
                <w:sz w:val="22"/>
                <w:szCs w:val="22"/>
              </w:rPr>
              <w:fldChar w:fldCharType="separate"/>
            </w:r>
            <w:r w:rsidR="00A172E2" w:rsidRPr="00A172E2">
              <w:rPr>
                <w:rFonts w:ascii="Times New Roman" w:hAnsi="Times New Roman" w:cs="Times New Roman"/>
                <w:bCs/>
                <w:noProof/>
                <w:sz w:val="22"/>
                <w:szCs w:val="22"/>
              </w:rPr>
              <w:t>[74]</w:t>
            </w:r>
            <w:r w:rsidR="00F55BE6" w:rsidRPr="001912F1">
              <w:rPr>
                <w:rFonts w:ascii="Times New Roman" w:hAnsi="Times New Roman" w:cs="Times New Roman"/>
                <w:bCs/>
                <w:sz w:val="22"/>
                <w:szCs w:val="22"/>
              </w:rPr>
              <w:fldChar w:fldCharType="end"/>
            </w:r>
          </w:p>
        </w:tc>
      </w:tr>
      <w:tr w:rsidR="00F55BE6" w:rsidRPr="001912F1" w14:paraId="2B469A90" w14:textId="77777777" w:rsidTr="00A06958">
        <w:tc>
          <w:tcPr>
            <w:tcW w:w="470" w:type="dxa"/>
          </w:tcPr>
          <w:p w14:paraId="543D3A72" w14:textId="77777777" w:rsidR="00F55BE6" w:rsidRPr="001912F1" w:rsidRDefault="00F55BE6" w:rsidP="00FD5957">
            <w:pPr>
              <w:rPr>
                <w:rFonts w:ascii="Times New Roman" w:hAnsi="Times New Roman" w:cs="Times New Roman"/>
                <w:sz w:val="22"/>
                <w:szCs w:val="22"/>
              </w:rPr>
            </w:pPr>
            <w:r w:rsidRPr="001912F1">
              <w:rPr>
                <w:rFonts w:ascii="Times New Roman" w:hAnsi="Times New Roman" w:cs="Times New Roman"/>
                <w:sz w:val="22"/>
                <w:szCs w:val="22"/>
              </w:rPr>
              <w:t>30</w:t>
            </w:r>
          </w:p>
        </w:tc>
        <w:tc>
          <w:tcPr>
            <w:tcW w:w="4064" w:type="dxa"/>
          </w:tcPr>
          <w:p w14:paraId="4BF802D4" w14:textId="2A583C0E" w:rsidR="00F55BE6" w:rsidRPr="001912F1" w:rsidRDefault="0027352C" w:rsidP="00FD5957">
            <w:pPr>
              <w:rPr>
                <w:rFonts w:ascii="Times New Roman" w:hAnsi="Times New Roman" w:cs="Times New Roman"/>
                <w:sz w:val="22"/>
                <w:szCs w:val="22"/>
              </w:rPr>
            </w:pPr>
            <w:r w:rsidRPr="001912F1">
              <w:rPr>
                <w:rFonts w:ascii="Times New Roman" w:hAnsi="Times New Roman" w:cs="Times New Roman"/>
                <w:sz w:val="22"/>
                <w:szCs w:val="22"/>
              </w:rPr>
              <w:t xml:space="preserve">Yang and Zou </w:t>
            </w:r>
            <w:r w:rsidR="00F55BE6" w:rsidRPr="001912F1">
              <w:rPr>
                <w:rFonts w:ascii="Times New Roman" w:hAnsi="Times New Roman" w:cs="Times New Roman"/>
                <w:sz w:val="22"/>
                <w:szCs w:val="22"/>
              </w:rPr>
              <w:fldChar w:fldCharType="begin" w:fldLock="1"/>
            </w:r>
            <w:r w:rsidR="00792D4F">
              <w:rPr>
                <w:rFonts w:ascii="Times New Roman" w:hAnsi="Times New Roman" w:cs="Times New Roman"/>
                <w:sz w:val="22"/>
                <w:szCs w:val="22"/>
              </w:rPr>
              <w:instrText>ADDIN CSL_CITATION { "citationItems" : [ { "id" : "ITEM-1", "itemData" : { "DOI" : "10.1016/j.buildenv.2013.12.014", "ISSN" : "03601323", "abstract" : "Previous research on risks in complex green building projects has been mainly focused on what the risks are and how they may impact on project objectives. Such studies have tended toward an inward looking perspective that treats risks in isolation from one another. In reality, most risks are interrelated and associated with internal or external project stakeholders. To address this research gap, this current research developed a Social Network Analysis (SNA) based stakeholder-associated risk analysis method to assess and analyse the risks and their interactions in complex green building projects. A case study was conducted to highlight the green-specific risks and their profiles, together with the proposed mitigation actions. The research results presented in this paper may broaden researchers and construction professionals' awareness of influential risks in green building projects and enhance their ability to perceive, understand, assess, and mitigate the risks in an effective and efficient way; thereby achieving higher performance in strategic risk management and stakeholder communication in green building project management. \u00a9 2014 Elsevier Ltd.", "author" : [ { "dropping-particle" : "", "family" : "Yang", "given" : "Rebecca J.", "non-dropping-particle" : "", "parse-names" : false, "suffix" : "" }, { "dropping-particle" : "", "family" : "Zou", "given" : "Patrick X.W.", "non-dropping-particle" : "", "parse-names" : false, "suffix" : "" } ], "container-title" : "Building and Environment", "id" : "ITEM-1", "issued" : { "date-parts" : [ [ "2014" ] ] }, "page" : "208-222", "publisher" : "Elsevier Ltd", "title" : "Stakeholder-associated risks and their interactions in complex green building projects: A social network model", "type" : "article-journal", "volume" : "73" }, "uris" : [ "http://www.mendeley.com/documents/?uuid=2a467501-9a6d-4028-977b-4bd633842700" ] } ], "mendeley" : { "formattedCitation" : "[75]", "plainTextFormattedCitation" : "[75]", "previouslyFormattedCitation" : "[75]" }, "properties" : { "noteIndex" : 0 }, "schema" : "https://github.com/citation-style-language/schema/raw/master/csl-citation.json" }</w:instrText>
            </w:r>
            <w:r w:rsidR="00F55BE6" w:rsidRPr="001912F1">
              <w:rPr>
                <w:rFonts w:ascii="Times New Roman" w:hAnsi="Times New Roman" w:cs="Times New Roman"/>
                <w:sz w:val="22"/>
                <w:szCs w:val="22"/>
              </w:rPr>
              <w:fldChar w:fldCharType="separate"/>
            </w:r>
            <w:r w:rsidR="00A172E2" w:rsidRPr="00A172E2">
              <w:rPr>
                <w:rFonts w:ascii="Times New Roman" w:hAnsi="Times New Roman" w:cs="Times New Roman"/>
                <w:noProof/>
                <w:sz w:val="22"/>
                <w:szCs w:val="22"/>
              </w:rPr>
              <w:t>[75]</w:t>
            </w:r>
            <w:r w:rsidR="00F55BE6" w:rsidRPr="001912F1">
              <w:rPr>
                <w:rFonts w:ascii="Times New Roman" w:hAnsi="Times New Roman" w:cs="Times New Roman"/>
                <w:sz w:val="22"/>
                <w:szCs w:val="22"/>
              </w:rPr>
              <w:fldChar w:fldCharType="end"/>
            </w:r>
          </w:p>
        </w:tc>
        <w:tc>
          <w:tcPr>
            <w:tcW w:w="564" w:type="dxa"/>
          </w:tcPr>
          <w:p w14:paraId="04916094" w14:textId="77777777" w:rsidR="00F55BE6" w:rsidRPr="001912F1" w:rsidRDefault="00F55BE6" w:rsidP="00FD5957">
            <w:pPr>
              <w:rPr>
                <w:rFonts w:ascii="Times New Roman" w:hAnsi="Times New Roman" w:cs="Times New Roman"/>
                <w:sz w:val="22"/>
                <w:szCs w:val="22"/>
              </w:rPr>
            </w:pPr>
            <w:r w:rsidRPr="001912F1">
              <w:rPr>
                <w:rFonts w:ascii="Times New Roman" w:hAnsi="Times New Roman" w:cs="Times New Roman"/>
                <w:sz w:val="22"/>
                <w:szCs w:val="22"/>
              </w:rPr>
              <w:t>60</w:t>
            </w:r>
          </w:p>
        </w:tc>
        <w:tc>
          <w:tcPr>
            <w:tcW w:w="3918" w:type="dxa"/>
          </w:tcPr>
          <w:p w14:paraId="5832ADE9" w14:textId="3B2DF906" w:rsidR="00F55BE6" w:rsidRPr="001912F1" w:rsidRDefault="0027352C" w:rsidP="00FD5957">
            <w:pPr>
              <w:rPr>
                <w:rFonts w:ascii="Times New Roman" w:hAnsi="Times New Roman" w:cs="Times New Roman"/>
                <w:sz w:val="22"/>
                <w:szCs w:val="22"/>
              </w:rPr>
            </w:pPr>
            <w:proofErr w:type="spellStart"/>
            <w:r w:rsidRPr="001912F1">
              <w:rPr>
                <w:rFonts w:ascii="Times New Roman" w:hAnsi="Times New Roman" w:cs="Times New Roman"/>
                <w:sz w:val="22"/>
                <w:szCs w:val="22"/>
              </w:rPr>
              <w:t>Mohandes</w:t>
            </w:r>
            <w:proofErr w:type="spellEnd"/>
            <w:r w:rsidRPr="001912F1">
              <w:rPr>
                <w:rFonts w:ascii="Times New Roman" w:hAnsi="Times New Roman" w:cs="Times New Roman"/>
                <w:sz w:val="22"/>
                <w:szCs w:val="22"/>
              </w:rPr>
              <w:t xml:space="preserve"> and Zhang </w:t>
            </w:r>
            <w:r w:rsidR="00F55BE6" w:rsidRPr="001912F1">
              <w:rPr>
                <w:rFonts w:ascii="Times New Roman" w:hAnsi="Times New Roman" w:cs="Times New Roman"/>
                <w:sz w:val="22"/>
                <w:szCs w:val="22"/>
              </w:rPr>
              <w:fldChar w:fldCharType="begin" w:fldLock="1"/>
            </w:r>
            <w:r w:rsidR="00792D4F">
              <w:rPr>
                <w:rFonts w:ascii="Times New Roman" w:hAnsi="Times New Roman" w:cs="Times New Roman"/>
                <w:sz w:val="22"/>
                <w:szCs w:val="22"/>
              </w:rPr>
              <w:instrText>ADDIN CSL_CITATION { "citationItems" : [ { "id" : "ITEM-1", "itemData" : { "DOI" : "10.1016/j.jclepro.2021.125934", "ISSN" : "09596526", "abstract" : "The construction industry has always been infamous due to its staggering numbers of Occupational Health and Safety (OHS)-related injuries, resulting from overlooking all the crucial aspects endangering the involved workers\u2019 lives. Considering this, there has been dearth of a study including all the essential Risk Parameters (RPs) for comprehensively assessing the OHS in the construction industry. Theretofore, a Holistic Occupational Health and Safety Risk Assessment Model (HOHSRAM) is developed in the current study to assess the safety and health of the Construction Workers (CWs\u2019). The developed model is based on the integration of logarithmic fuzzy ANP, interval-valued Pythagorean fuzzy TOPSIS, and grey relational analysis. Based on the application of the developed HOHSRAM to a case of sustainable construction project, the following contributions have been noted; (1) calculating weights related to the safety decision makers having different backgrounds involved in the study using logarithmic-fuzzy-based constrained optimization algorithm, (2) involving the individual biases of the decision makers in the assessment stage, (3) determining all the essential RPs to comprehensively assess the OHS within the construction projects in a systematic way, (4) obtaining the final rankings of the identified safety risks under an interval-valued-Pythagorean fuzzy environment coupled with grey relational analysis. Additionally, it is discerned that the proposed model in this research outperforms the existing assessment methods used in the construction industry, through conducting a comprehensive comparative analysis. The developed HOHSRAM is verified to be beneficial for safety professionals by providing them with an inclusive ranking system, improving the well-being of the involved CWs.", "author" : [ { "dropping-particle" : "", "family" : "Mohandes", "given" : "Saeed Reza", "non-dropping-particle" : "", "parse-names" : false, "suffix" : "" }, { "dropping-particle" : "", "family" : "Zhang", "given" : "Xueqing", "non-dropping-particle" : "", "parse-names" : false, "suffix" : "" } ], "container-title" : "Journal of Cleaner Production", "id" : "ITEM-1", "issued" : { "date-parts" : [ [ "2021" ] ] }, "page" : "125934", "publisher" : "Elsevier Ltd", "title" : "Developing a Holistic Occupational Health and Safety risk assessment model: An application to a case of sustainable construction project", "type" : "article-journal", "volume" : "291" }, "uris" : [ "http://www.mendeley.com/documents/?uuid=0a78e5e8-5484-451e-92dd-c1f89491a131" ] } ], "mendeley" : { "formattedCitation" : "[76]", "plainTextFormattedCitation" : "[76]", "previouslyFormattedCitation" : "[76]" }, "properties" : { "noteIndex" : 0 }, "schema" : "https://github.com/citation-style-language/schema/raw/master/csl-citation.json" }</w:instrText>
            </w:r>
            <w:r w:rsidR="00F55BE6" w:rsidRPr="001912F1">
              <w:rPr>
                <w:rFonts w:ascii="Times New Roman" w:hAnsi="Times New Roman" w:cs="Times New Roman"/>
                <w:sz w:val="22"/>
                <w:szCs w:val="22"/>
              </w:rPr>
              <w:fldChar w:fldCharType="separate"/>
            </w:r>
            <w:r w:rsidR="00A172E2" w:rsidRPr="00A172E2">
              <w:rPr>
                <w:rFonts w:ascii="Times New Roman" w:hAnsi="Times New Roman" w:cs="Times New Roman"/>
                <w:noProof/>
                <w:sz w:val="22"/>
                <w:szCs w:val="22"/>
              </w:rPr>
              <w:t>[76]</w:t>
            </w:r>
            <w:r w:rsidR="00F55BE6" w:rsidRPr="001912F1">
              <w:rPr>
                <w:rFonts w:ascii="Times New Roman" w:hAnsi="Times New Roman" w:cs="Times New Roman"/>
                <w:sz w:val="22"/>
                <w:szCs w:val="22"/>
              </w:rPr>
              <w:fldChar w:fldCharType="end"/>
            </w:r>
          </w:p>
        </w:tc>
      </w:tr>
    </w:tbl>
    <w:p w14:paraId="5F758D9B" w14:textId="77777777" w:rsidR="00946AFF" w:rsidRPr="001912F1" w:rsidRDefault="00946AFF" w:rsidP="00124C9D">
      <w:pPr>
        <w:spacing w:line="480" w:lineRule="auto"/>
        <w:jc w:val="both"/>
        <w:rPr>
          <w:rFonts w:ascii="Times New Roman" w:hAnsi="Times New Roman" w:cs="Times New Roman"/>
        </w:rPr>
      </w:pPr>
    </w:p>
    <w:p w14:paraId="35D73E8C" w14:textId="7D4B2400" w:rsidR="00124C9D" w:rsidRPr="001912F1" w:rsidRDefault="00124C9D" w:rsidP="00FD5957">
      <w:pPr>
        <w:spacing w:line="480" w:lineRule="auto"/>
        <w:jc w:val="both"/>
        <w:rPr>
          <w:rFonts w:ascii="Times New Roman" w:hAnsi="Times New Roman" w:cs="Times New Roman"/>
          <w:i/>
          <w:iCs/>
        </w:rPr>
      </w:pPr>
      <w:r w:rsidRPr="001912F1">
        <w:rPr>
          <w:rFonts w:ascii="Times New Roman" w:hAnsi="Times New Roman" w:cs="Times New Roman"/>
          <w:i/>
          <w:iCs/>
        </w:rPr>
        <w:t>Metadata extraction</w:t>
      </w:r>
      <w:r w:rsidR="00C166B0" w:rsidRPr="001912F1">
        <w:rPr>
          <w:rFonts w:ascii="Times New Roman" w:hAnsi="Times New Roman" w:cs="Times New Roman"/>
          <w:i/>
          <w:iCs/>
        </w:rPr>
        <w:t xml:space="preserve"> and analysis</w:t>
      </w:r>
    </w:p>
    <w:p w14:paraId="2C9F7B63" w14:textId="401C191C" w:rsidR="0052797F" w:rsidRPr="001912F1" w:rsidRDefault="00124C9D" w:rsidP="00124C9D">
      <w:pPr>
        <w:spacing w:line="480" w:lineRule="auto"/>
        <w:jc w:val="both"/>
        <w:rPr>
          <w:rFonts w:ascii="Times New Roman" w:hAnsi="Times New Roman" w:cs="Times New Roman"/>
        </w:rPr>
      </w:pPr>
      <w:r w:rsidRPr="001912F1">
        <w:rPr>
          <w:rFonts w:ascii="Times New Roman" w:hAnsi="Times New Roman" w:cs="Times New Roman"/>
        </w:rPr>
        <w:t xml:space="preserve">The </w:t>
      </w:r>
      <w:r w:rsidR="006C283B" w:rsidRPr="001912F1">
        <w:rPr>
          <w:rFonts w:ascii="Times New Roman" w:hAnsi="Times New Roman" w:cs="Times New Roman"/>
        </w:rPr>
        <w:t>included articles were critically reviewed to extract the relevant metadata. Each study was reviewed to extract the year of publication, journal, context (country), data collection method, data analysis technique, risk factors</w:t>
      </w:r>
      <w:r w:rsidR="00110501" w:rsidRPr="001912F1">
        <w:rPr>
          <w:rFonts w:ascii="Times New Roman" w:hAnsi="Times New Roman" w:cs="Times New Roman"/>
        </w:rPr>
        <w:t xml:space="preserve">, and documented evidence of the interlinkages between </w:t>
      </w:r>
      <w:r w:rsidR="00110501" w:rsidRPr="001912F1">
        <w:rPr>
          <w:rFonts w:ascii="Times New Roman" w:hAnsi="Times New Roman" w:cs="Times New Roman"/>
        </w:rPr>
        <w:lastRenderedPageBreak/>
        <w:t>various risk factors</w:t>
      </w:r>
      <w:r w:rsidR="006C283B" w:rsidRPr="001912F1">
        <w:rPr>
          <w:rFonts w:ascii="Times New Roman" w:hAnsi="Times New Roman" w:cs="Times New Roman"/>
        </w:rPr>
        <w:t xml:space="preserve">. </w:t>
      </w:r>
      <w:r w:rsidR="00110501" w:rsidRPr="001912F1">
        <w:rPr>
          <w:rFonts w:ascii="Times New Roman" w:hAnsi="Times New Roman" w:cs="Times New Roman"/>
        </w:rPr>
        <w:t xml:space="preserve">As a thumb rule </w:t>
      </w:r>
      <w:r w:rsidR="00110501"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"10.1002/sd.2449", "ISSN" : "0968-0802", "author" : [ { "dropping-particle" : "", "family" : "Wuni", "given" : "Ibrahim Yahaya", "non-dropping-particle" : "", "parse-names" : false, "suffix" : "" } ], "container-title" : "Sustainable Development", "id" : "ITEM-1", "issue" : "August", "issued" : { "date-parts" : [ [ "2022" ] ] }, "page" : "1-19", "title" : "A systematic review of the critical success factors for implementing circular economy in construction projects", "type" : "article-journal" }, "uris" : [ "http://www.mendeley.com/documents/?uuid=80b6c39c-b7b0-4bcb-ac43-4ce58d82b395" ] } ], "mendeley" : { "formattedCitation" : "[77]", "plainTextFormattedCitation" : "[77]", "previouslyFormattedCitation" : "[77]" }, "properties" : { "noteIndex" : 0 }, "schema" : "https://github.com/citation-style-language/schema/raw/master/csl-citation.json" }</w:instrText>
      </w:r>
      <w:r w:rsidR="00110501" w:rsidRPr="001912F1">
        <w:rPr>
          <w:rFonts w:ascii="Times New Roman" w:hAnsi="Times New Roman" w:cs="Times New Roman"/>
        </w:rPr>
        <w:fldChar w:fldCharType="separate"/>
      </w:r>
      <w:r w:rsidR="00A172E2" w:rsidRPr="00A172E2">
        <w:rPr>
          <w:rFonts w:ascii="Times New Roman" w:hAnsi="Times New Roman" w:cs="Times New Roman"/>
          <w:noProof/>
        </w:rPr>
        <w:t>[77]</w:t>
      </w:r>
      <w:r w:rsidR="00110501" w:rsidRPr="001912F1">
        <w:rPr>
          <w:rFonts w:ascii="Times New Roman" w:hAnsi="Times New Roman" w:cs="Times New Roman"/>
        </w:rPr>
        <w:fldChar w:fldCharType="end"/>
      </w:r>
      <w:r w:rsidR="00110501" w:rsidRPr="001912F1">
        <w:rPr>
          <w:rFonts w:ascii="Times New Roman" w:hAnsi="Times New Roman" w:cs="Times New Roman"/>
        </w:rPr>
        <w:t xml:space="preserve">, </w:t>
      </w:r>
      <w:r w:rsidR="00C166B0" w:rsidRPr="001912F1">
        <w:rPr>
          <w:rFonts w:ascii="Times New Roman" w:hAnsi="Times New Roman" w:cs="Times New Roman"/>
        </w:rPr>
        <w:t xml:space="preserve">A CRF was only included if at least two articles cited it. The number of times the various CRFs were cited in the included studies was recorded in a data summary sheet in Excel. </w:t>
      </w:r>
      <w:r w:rsidR="00110501" w:rsidRPr="001912F1">
        <w:rPr>
          <w:rFonts w:ascii="Times New Roman" w:hAnsi="Times New Roman" w:cs="Times New Roman"/>
        </w:rPr>
        <w:t xml:space="preserve">The study further derived dimensions (i.e., </w:t>
      </w:r>
      <w:r w:rsidR="00C979D8" w:rsidRPr="001912F1">
        <w:rPr>
          <w:rFonts w:ascii="Times New Roman" w:hAnsi="Times New Roman" w:cs="Times New Roman"/>
        </w:rPr>
        <w:t>taxonomie</w:t>
      </w:r>
      <w:r w:rsidR="00110501" w:rsidRPr="001912F1">
        <w:rPr>
          <w:rFonts w:ascii="Times New Roman" w:hAnsi="Times New Roman" w:cs="Times New Roman"/>
        </w:rPr>
        <w:t xml:space="preserve">s or </w:t>
      </w:r>
      <w:r w:rsidR="00C979D8" w:rsidRPr="001912F1">
        <w:rPr>
          <w:rFonts w:ascii="Times New Roman" w:hAnsi="Times New Roman" w:cs="Times New Roman"/>
        </w:rPr>
        <w:t xml:space="preserve">categories) of the CRFs for GB projects. </w:t>
      </w:r>
      <w:r w:rsidR="0052797F" w:rsidRPr="001912F1">
        <w:rPr>
          <w:rFonts w:ascii="Times New Roman" w:hAnsi="Times New Roman" w:cs="Times New Roman"/>
        </w:rPr>
        <w:t xml:space="preserve">The mean citation scores of the taxonomies of the CRFs for GB projects were computed using </w:t>
      </w:r>
      <w:r w:rsidR="005D3EDE" w:rsidRPr="001912F1">
        <w:rPr>
          <w:rFonts w:ascii="Times New Roman" w:hAnsi="Times New Roman" w:cs="Times New Roman"/>
        </w:rPr>
        <w:t>equation (1)</w:t>
      </w:r>
      <w:r w:rsidR="0052797F" w:rsidRPr="001912F1">
        <w:rPr>
          <w:rFonts w:ascii="Times New Roman" w:hAnsi="Times New Roman" w:cs="Times New Roman"/>
        </w:rPr>
        <w:t>.</w:t>
      </w:r>
    </w:p>
    <w:bookmarkEnd w:id="2"/>
    <w:p w14:paraId="1E78F80C" w14:textId="22D6F8A1" w:rsidR="0052797F" w:rsidRPr="001912F1" w:rsidRDefault="0052797F" w:rsidP="0052797F">
      <w:pPr>
        <w:spacing w:line="480" w:lineRule="auto"/>
        <w:jc w:val="both"/>
        <w:rPr>
          <w:rFonts w:ascii="Times New Roman" w:hAnsi="Times New Roman" w:cs="Times New Roman"/>
        </w:rPr>
      </w:pPr>
      <m:oMath>
        <m:r>
          <m:rPr>
            <m:sty m:val="p"/>
          </m:rPr>
          <w:rPr>
            <w:rFonts w:ascii="Cambria Math" w:hAnsi="Cambria Math" w:cs="Times New Roman"/>
          </w:rPr>
          <m:t>Mean Citation Score (</m:t>
        </m:r>
        <m:sSub>
          <m:sSubPr>
            <m:ctrlPr>
              <w:rPr>
                <w:rFonts w:ascii="Cambria Math" w:hAnsi="Cambria Math" w:cs="Times New Roman"/>
              </w:rPr>
            </m:ctrlPr>
          </m:sSubPr>
          <m:e>
            <m:r>
              <m:rPr>
                <m:sty m:val="p"/>
              </m:rPr>
              <w:rPr>
                <w:rFonts w:ascii="Cambria Math" w:hAnsi="Cambria Math" w:cs="Times New Roman"/>
              </w:rPr>
              <m:t>μ</m:t>
            </m:r>
          </m:e>
          <m:sub>
            <m:r>
              <m:rPr>
                <m:sty m:val="p"/>
              </m:rPr>
              <w:rPr>
                <w:rFonts w:ascii="Cambria Math" w:hAnsi="Cambria Math" w:cs="Times New Roman"/>
              </w:rPr>
              <m:t>j</m:t>
            </m:r>
          </m:sub>
        </m:sSub>
        <m:r>
          <m:rPr>
            <m:sty m:val="p"/>
          </m:rPr>
          <w:rPr>
            <w:rFonts w:ascii="Cambria Math" w:hAnsi="Cambria Math" w:cs="Times New Roman"/>
          </w:rPr>
          <m:t>)=</m:t>
        </m:r>
        <m:f>
          <m:fPr>
            <m:ctrlPr>
              <w:rPr>
                <w:rFonts w:ascii="Cambria Math" w:hAnsi="Cambria Math" w:cs="Times New Roman"/>
              </w:rPr>
            </m:ctrlPr>
          </m:fPr>
          <m:num>
            <m:nary>
              <m:naryPr>
                <m:chr m:val="∑"/>
                <m:grow m:val="1"/>
                <m:ctrlPr>
                  <w:rPr>
                    <w:rFonts w:ascii="Cambria Math" w:hAnsi="Cambria Math" w:cs="Times New Roman"/>
                  </w:rPr>
                </m:ctrlPr>
              </m:naryPr>
              <m:sub>
                <m:r>
                  <m:rPr>
                    <m:sty m:val="p"/>
                  </m:rPr>
                  <w:rPr>
                    <w:rFonts w:ascii="Cambria Math" w:hAnsi="Cambria Math" w:cs="Times New Roman"/>
                  </w:rPr>
                  <m:t>j=1</m:t>
                </m:r>
              </m:sub>
              <m:sup>
                <m:r>
                  <m:rPr>
                    <m:sty m:val="p"/>
                  </m:rPr>
                  <w:rPr>
                    <w:rFonts w:ascii="Cambria Math" w:hAnsi="Cambria Math" w:cs="Times New Roman"/>
                  </w:rPr>
                  <m:t>n</m:t>
                </m:r>
              </m:sup>
              <m:e>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CRF</m:t>
                    </m:r>
                  </m:e>
                  <m:sub>
                    <m:r>
                      <m:rPr>
                        <m:sty m:val="p"/>
                      </m:rPr>
                      <w:rPr>
                        <w:rFonts w:ascii="Cambria Math" w:hAnsi="Cambria Math" w:cs="Times New Roman"/>
                      </w:rPr>
                      <m:t>j</m:t>
                    </m:r>
                  </m:sub>
                </m:sSub>
                <m:r>
                  <m:rPr>
                    <m:sty m:val="p"/>
                  </m:rPr>
                  <w:rPr>
                    <w:rFonts w:ascii="Cambria Math" w:hAnsi="Cambria Math" w:cs="Times New Roman"/>
                  </w:rPr>
                  <m:t>)</m:t>
                </m:r>
              </m:e>
            </m:nary>
          </m:num>
          <m:den>
            <m:r>
              <m:rPr>
                <m:sty m:val="p"/>
              </m:rPr>
              <w:rPr>
                <w:rFonts w:ascii="Cambria Math" w:hAnsi="Cambria Math" w:cs="Times New Roman"/>
              </w:rPr>
              <m:t>n</m:t>
            </m:r>
          </m:den>
        </m:f>
      </m:oMath>
      <w:r w:rsidRPr="001912F1">
        <w:rPr>
          <w:rFonts w:ascii="Times New Roman" w:hAnsi="Times New Roman" w:cs="Times New Roman"/>
        </w:rPr>
        <w:t xml:space="preserve">                                                                                (1)</w:t>
      </w:r>
    </w:p>
    <w:p w14:paraId="38E7C813" w14:textId="77777777" w:rsidR="00421282" w:rsidRPr="001912F1" w:rsidRDefault="0052797F" w:rsidP="005D3EDE">
      <w:pPr>
        <w:spacing w:line="480" w:lineRule="auto"/>
        <w:jc w:val="both"/>
        <w:rPr>
          <w:rFonts w:ascii="Times New Roman" w:hAnsi="Times New Roman" w:cs="Times New Roman"/>
          <w:iCs/>
        </w:rPr>
      </w:pPr>
      <w:r w:rsidRPr="001912F1">
        <w:rPr>
          <w:rFonts w:ascii="Times New Roman" w:hAnsi="Times New Roman" w:cs="Times New Roman"/>
          <w:iCs/>
        </w:rPr>
        <w:t>Where µ</w:t>
      </w:r>
      <w:r w:rsidRPr="001912F1">
        <w:rPr>
          <w:rFonts w:ascii="Times New Roman" w:hAnsi="Times New Roman" w:cs="Times New Roman"/>
          <w:iCs/>
          <w:vertAlign w:val="subscript"/>
        </w:rPr>
        <w:t>j</w:t>
      </w:r>
      <w:r w:rsidRPr="001912F1">
        <w:rPr>
          <w:rFonts w:ascii="Times New Roman" w:hAnsi="Times New Roman" w:cs="Times New Roman"/>
          <w:iCs/>
        </w:rPr>
        <w:t xml:space="preserve"> denotes the mean citation score of a taxonomy of the CRFs; </w:t>
      </w:r>
      <w:proofErr w:type="spellStart"/>
      <w:r w:rsidRPr="001912F1">
        <w:rPr>
          <w:rFonts w:ascii="Times New Roman" w:hAnsi="Times New Roman" w:cs="Times New Roman"/>
          <w:iCs/>
        </w:rPr>
        <w:t>CRF</w:t>
      </w:r>
      <w:r w:rsidRPr="001912F1">
        <w:rPr>
          <w:rFonts w:ascii="Times New Roman" w:hAnsi="Times New Roman" w:cs="Times New Roman"/>
          <w:iCs/>
          <w:vertAlign w:val="subscript"/>
        </w:rPr>
        <w:t>j</w:t>
      </w:r>
      <w:proofErr w:type="spellEnd"/>
      <w:r w:rsidRPr="001912F1">
        <w:rPr>
          <w:rFonts w:ascii="Times New Roman" w:hAnsi="Times New Roman" w:cs="Times New Roman"/>
          <w:iCs/>
        </w:rPr>
        <w:t xml:space="preserve"> represents the citation frequency of a CRF in each taxonomy, and n denotes the number of CRFs in a taxonomy. The mean citation scores were used as surrogate indicators to rank the taxonomies of the CRFs for GB projects. </w:t>
      </w:r>
    </w:p>
    <w:p w14:paraId="3418E544" w14:textId="5BA6508A" w:rsidR="00EE28AA" w:rsidRPr="001912F1" w:rsidRDefault="0052797F" w:rsidP="005D3EDE">
      <w:pPr>
        <w:spacing w:line="480" w:lineRule="auto"/>
        <w:jc w:val="both"/>
        <w:rPr>
          <w:rFonts w:ascii="Times New Roman" w:hAnsi="Times New Roman" w:cs="Times New Roman"/>
        </w:rPr>
      </w:pPr>
      <w:r w:rsidRPr="001912F1">
        <w:rPr>
          <w:rFonts w:ascii="Times New Roman" w:hAnsi="Times New Roman" w:cs="Times New Roman"/>
          <w:iCs/>
        </w:rPr>
        <w:t xml:space="preserve">The study also conducted a Pareto analysis to prioritize the vital few CRFs in various taxonomies. </w:t>
      </w:r>
      <w:bookmarkStart w:id="4" w:name="_Hlk103777557"/>
      <w:r w:rsidR="00421282" w:rsidRPr="001912F1">
        <w:rPr>
          <w:rFonts w:ascii="Times New Roman" w:hAnsi="Times New Roman" w:cs="Times New Roman"/>
          <w:iCs/>
        </w:rPr>
        <w:t xml:space="preserve">A Pareto analysis is a quality control technique conducted based on the heuristic of the “80/20” principle, which postulates that a small proportion (i.e., 20%) of the risks account for a large proportion (i.e., 80%) of the impact of a defined set of risks on the objectives of GB projects </w:t>
      </w:r>
      <w:r w:rsidR="00421282" w:rsidRPr="001912F1">
        <w:rPr>
          <w:rFonts w:ascii="Times New Roman" w:hAnsi="Times New Roman" w:cs="Times New Roman"/>
          <w:iCs/>
        </w:rPr>
        <w:fldChar w:fldCharType="begin" w:fldLock="1"/>
      </w:r>
      <w:r w:rsidR="00792D4F">
        <w:rPr>
          <w:rFonts w:ascii="Times New Roman" w:hAnsi="Times New Roman" w:cs="Times New Roman"/>
          <w:iCs/>
        </w:rPr>
        <w:instrText>ADDIN CSL_CITATION { "citationItems" : [ { "id" : "ITEM-1", "itemData" : { "DOI" : "10.1016/j.spc.2022.10.006", "ISSN" : "23525509", "abstract" : "Circular construction is considered a sustainable construction technique and philosophy to decouple construction activities from the depletion of virgin materials and minimize the enormous environmental impact of the construction industry. Many construction clients and stakeholders have been seduced by the purported benefits of circular construction, often based on expectations and speculations. Unsubstantiated claims about expected benefits subvert the justification and benefits realization process in circular construction projects. Therefore, this study reviewed and mapped the benefits of circular construction. The review identified eighty-six (86) reported, claimed, and speculative benefits of circular construction. The study derived six broad taxonomies of the benefits, comprising environmental benefits, economic benefits, social benefits, business benefits, technological benefits and legislative benefits. Though the findings suggest that circular construction offers benefits beyond the traditional triple bottom line of sustainability, \u201cenvironmental benefits\u201d, \u201ceconomic benefits\u201d, and \u201csocial benefits\u201d remained the top three cited taxonomies of circular construction benefits. A Pareto analysis revealed fifty-five (55) vital benefits of circular construction, comprising 15 environmental, 13 economic, 10 social, 7 business, 4 technological, and 6 legislative benefits. The study further documented the significant flaws and shortcomings of the existing literature, especially the quantitative benefit studies. Thus, the review findings provide an integrated understanding of the possible benefits of circular construction and documented strategies to reliably quantify and prove the benefits.", "author" : [ { "dropping-particle" : "", "family" : "Wuni", "given" : "Ibrahim Yahaya", "non-dropping-particle" : "", "parse-names" : false, "suffix" : "" } ], "container-title" : "Sustainable Production and Consumption", "id" : "ITEM-1", "issued" : { "date-parts" : [ [ "2022" ] ] }, "page" : "528-540", "publisher" : "Elsevier Ltd", "title" : "Burden of proof beyond the triple bottom line: Mapping the benefits of circular construction", "type" : "article-journal", "volume" : "34" }, "uris" : [ "http://www.mendeley.com/documents/?uuid=e09b0964-4f23-4aad-bc9d-b87c5bf31d19" ] } ], "mendeley" : { "formattedCitation" : "[78]", "plainTextFormattedCitation" : "[78]", "previouslyFormattedCitation" : "[78]" }, "properties" : { "noteIndex" : 0 }, "schema" : "https://github.com/citation-style-language/schema/raw/master/csl-citation.json" }</w:instrText>
      </w:r>
      <w:r w:rsidR="00421282" w:rsidRPr="001912F1">
        <w:rPr>
          <w:rFonts w:ascii="Times New Roman" w:hAnsi="Times New Roman" w:cs="Times New Roman"/>
          <w:iCs/>
        </w:rPr>
        <w:fldChar w:fldCharType="separate"/>
      </w:r>
      <w:r w:rsidR="00A172E2" w:rsidRPr="00A172E2">
        <w:rPr>
          <w:rFonts w:ascii="Times New Roman" w:hAnsi="Times New Roman" w:cs="Times New Roman"/>
          <w:iCs/>
          <w:noProof/>
        </w:rPr>
        <w:t>[78]</w:t>
      </w:r>
      <w:r w:rsidR="00421282" w:rsidRPr="001912F1">
        <w:rPr>
          <w:rFonts w:ascii="Times New Roman" w:hAnsi="Times New Roman" w:cs="Times New Roman"/>
          <w:iCs/>
        </w:rPr>
        <w:fldChar w:fldCharType="end"/>
      </w:r>
      <w:r w:rsidR="00421282" w:rsidRPr="001912F1">
        <w:rPr>
          <w:rFonts w:ascii="Times New Roman" w:hAnsi="Times New Roman" w:cs="Times New Roman"/>
          <w:iCs/>
        </w:rPr>
        <w:t xml:space="preserve">. It is conducted based on frequency of occurrence and argues that </w:t>
      </w:r>
      <w:r w:rsidR="005708F6" w:rsidRPr="001912F1">
        <w:rPr>
          <w:rFonts w:ascii="Times New Roman" w:hAnsi="Times New Roman" w:cs="Times New Roman"/>
          <w:iCs/>
        </w:rPr>
        <w:t>the impact of risks can be minimized and control if project teams can identify and mitigate the “vital few” risks (i.e., 20%) accounting for a large proportion (i.e., 80%) of the impact of risks in GB projects.</w:t>
      </w:r>
      <w:r w:rsidR="004427DF" w:rsidRPr="001912F1">
        <w:rPr>
          <w:rFonts w:ascii="Times New Roman" w:hAnsi="Times New Roman" w:cs="Times New Roman"/>
          <w:iCs/>
        </w:rPr>
        <w:t xml:space="preserve"> </w:t>
      </w:r>
      <w:r w:rsidRPr="001912F1">
        <w:rPr>
          <w:rFonts w:ascii="Times New Roman" w:hAnsi="Times New Roman" w:cs="Times New Roman"/>
          <w:iCs/>
        </w:rPr>
        <w:t xml:space="preserve">A Pareto analysis ranks data classifications, in descending order, from the highest to the lowest citation frequencies </w:t>
      </w:r>
      <w:r w:rsidRPr="001912F1">
        <w:rPr>
          <w:rFonts w:ascii="Times New Roman" w:hAnsi="Times New Roman" w:cs="Times New Roman"/>
          <w:iCs/>
        </w:rPr>
        <w:fldChar w:fldCharType="begin" w:fldLock="1"/>
      </w:r>
      <w:r w:rsidR="00792D4F">
        <w:rPr>
          <w:rFonts w:ascii="Times New Roman" w:hAnsi="Times New Roman" w:cs="Times New Roman"/>
          <w:iCs/>
        </w:rPr>
        <w:instrText>ADDIN CSL_CITATION { "citationItems" : [ { "id" : "ITEM-1", "itemData" : { "DOI" : "10.1080/17509653.2018.1504237", "ISSN" : "17509661", "abstract" : "More and more organizations are involved in green supply chain practices to sustain business market competition, achieve customer loyalty, improve brand image, and minimize negative environmental impacts. Examples of these practices are green design, green purchasing, green manufacturing, green packaging, green logistics, and green marketing. In this paper, we investigate barriers in green supply chain management and identify the \u2018critical\u2019 or \u2018vital\u2019 using Pareto analysis. The data for green supply chain barriers is extracted using literature review and expert surveys. Pareto analysis is conducted on the two data sources to identify the priority barriers and the common barriers are determined as \u2018vital few\u2019. The results of our study yield \u2018difficulty in transforming positive environmental attitudes into action\u2019 and \u2018lack of awareness about reverse logistics adoption\u2019 as the top priority barriers followed by \u2018high cost of hazardous waste disposal\u2019, \u2018perception of \u201cout of responsibility\u201d zone\u2019, \u2018lack of R&amp;D capability on ESER (Environmental and Sustainability Education Research)\u2019, and \u2018lack of corporate social responsibility\u2019. These barriers are related to awareness, cost, commitment and resources. Interested organizations should therefore put focus on these barriers to make green supply chain practices successful.", "author" : [ { "dropping-particle" : "", "family" : "Kaur", "given" : "Jasneet", "non-dropping-particle" : "", "parse-names" : false, "suffix" : "" }, { "dropping-particle" : "", "family" : "Sidhu", "given" : "Ramneet", "non-dropping-particle" : "", "parse-names" : false, "suffix" : "" }, { "dropping-particle" : "", "family" : "Awasthi", "given" : "Anjali", "non-dropping-particle" : "", "parse-names" : false, "suffix" : "" }, { "dropping-particle" : "", "family" : "Srivastava", "given" : "Samir K.", "non-dropping-particle" : "", "parse-names" : false, "suffix" : "" } ], "container-title" : "International Journal of Management Science and Engineering Management", "id" : "ITEM-1", "issue" : "2", "issued" : { "date-parts" : [ [ "2019" ] ] }, "page" : "113-123", "publisher" : "Taylor &amp; Francis", "title" : "A Pareto investigation on critical barriers in green supply chain management", "type" : "article-journal", "volume" : "14" }, "uris" : [ "http://www.mendeley.com/documents/?uuid=369174c6-cf6e-4dac-a2c6-9bdc8b822afb" ] } ], "mendeley" : { "formattedCitation" : "[79]", "plainTextFormattedCitation" : "[79]", "previouslyFormattedCitation" : "[79]" }, "properties" : { "noteIndex" : 0 }, "schema" : "https://github.com/citation-style-language/schema/raw/master/csl-citation.json" }</w:instrText>
      </w:r>
      <w:r w:rsidRPr="001912F1">
        <w:rPr>
          <w:rFonts w:ascii="Times New Roman" w:hAnsi="Times New Roman" w:cs="Times New Roman"/>
          <w:iCs/>
        </w:rPr>
        <w:fldChar w:fldCharType="separate"/>
      </w:r>
      <w:r w:rsidR="00A172E2" w:rsidRPr="00A172E2">
        <w:rPr>
          <w:rFonts w:ascii="Times New Roman" w:hAnsi="Times New Roman" w:cs="Times New Roman"/>
          <w:iCs/>
          <w:noProof/>
        </w:rPr>
        <w:t>[79]</w:t>
      </w:r>
      <w:r w:rsidRPr="001912F1">
        <w:rPr>
          <w:rFonts w:ascii="Times New Roman" w:hAnsi="Times New Roman" w:cs="Times New Roman"/>
          <w:iCs/>
        </w:rPr>
        <w:fldChar w:fldCharType="end"/>
      </w:r>
      <w:r w:rsidR="0059083D" w:rsidRPr="001912F1">
        <w:rPr>
          <w:rFonts w:ascii="Times New Roman" w:hAnsi="Times New Roman" w:cs="Times New Roman"/>
          <w:iCs/>
        </w:rPr>
        <w:t xml:space="preserve"> </w:t>
      </w:r>
      <w:r w:rsidRPr="001912F1">
        <w:rPr>
          <w:rFonts w:ascii="Times New Roman" w:hAnsi="Times New Roman" w:cs="Times New Roman"/>
          <w:iCs/>
        </w:rPr>
        <w:t>based on the heuristic of the “80/20” rule. In a Pareto chart, the total (cumulative) frequency is equated to 100%, such that the “vital few” CRFs occupy a substantial amount (80%) of the cumulative citation frequencies and the “trivial many” occupy the remaining 20% of the cumulative citation frequencies.</w:t>
      </w:r>
      <w:r w:rsidR="004427DF" w:rsidRPr="001912F1">
        <w:rPr>
          <w:rFonts w:ascii="Times New Roman" w:hAnsi="Times New Roman" w:cs="Times New Roman"/>
          <w:iCs/>
        </w:rPr>
        <w:t xml:space="preserve"> A Pareto analysis was appropriate for the study because the main data was a frequency of citations (i.e., occurrence) in the reviewed literature. The citation frequency was used as a proxy measure to prioritize the identified risks to inform resource allocation.  Pareto analyses have been used to </w:t>
      </w:r>
      <w:r w:rsidR="004427DF" w:rsidRPr="001912F1">
        <w:rPr>
          <w:rFonts w:ascii="Times New Roman" w:hAnsi="Times New Roman" w:cs="Times New Roman"/>
          <w:iCs/>
        </w:rPr>
        <w:lastRenderedPageBreak/>
        <w:t xml:space="preserve">prioritize benefits </w:t>
      </w:r>
      <w:r w:rsidR="004427DF" w:rsidRPr="001912F1">
        <w:rPr>
          <w:rFonts w:ascii="Times New Roman" w:hAnsi="Times New Roman" w:cs="Times New Roman"/>
          <w:iCs/>
        </w:rPr>
        <w:fldChar w:fldCharType="begin" w:fldLock="1"/>
      </w:r>
      <w:r w:rsidR="00792D4F">
        <w:rPr>
          <w:rFonts w:ascii="Times New Roman" w:hAnsi="Times New Roman" w:cs="Times New Roman"/>
          <w:iCs/>
        </w:rPr>
        <w:instrText>ADDIN CSL_CITATION { "citationItems" : [ { "id" : "ITEM-1", "itemData" : { "DOI" : "10.1016/j.spc.2022.10.006", "ISSN" : "23525509", "abstract" : "Circular construction is considered a sustainable construction technique and philosophy to decouple construction activities from the depletion of virgin materials and minimize the enormous environmental impact of the construction industry. Many construction clients and stakeholders have been seduced by the purported benefits of circular construction, often based on expectations and speculations. Unsubstantiated claims about expected benefits subvert the justification and benefits realization process in circular construction projects. Therefore, this study reviewed and mapped the benefits of circular construction. The review identified eighty-six (86) reported, claimed, and speculative benefits of circular construction. The study derived six broad taxonomies of the benefits, comprising environmental benefits, economic benefits, social benefits, business benefits, technological benefits and legislative benefits. Though the findings suggest that circular construction offers benefits beyond the traditional triple bottom line of sustainability, \u201cenvironmental benefits\u201d, \u201ceconomic benefits\u201d, and \u201csocial benefits\u201d remained the top three cited taxonomies of circular construction benefits. A Pareto analysis revealed fifty-five (55) vital benefits of circular construction, comprising 15 environmental, 13 economic, 10 social, 7 business, 4 technological, and 6 legislative benefits. The study further documented the significant flaws and shortcomings of the existing literature, especially the quantitative benefit studies. Thus, the review findings provide an integrated understanding of the possible benefits of circular construction and documented strategies to reliably quantify and prove the benefits.", "author" : [ { "dropping-particle" : "", "family" : "Wuni", "given" : "Ibrahim Yahaya", "non-dropping-particle" : "", "parse-names" : false, "suffix" : "" } ], "container-title" : "Sustainable Production and Consumption", "id" : "ITEM-1", "issued" : { "date-parts" : [ [ "2022" ] ] }, "page" : "528-540", "publisher" : "Elsevier Ltd", "title" : "Burden of proof beyond the triple bottom line: Mapping the benefits of circular construction", "type" : "article-journal", "volume" : "34" }, "uris" : [ "http://www.mendeley.com/documents/?uuid=e09b0964-4f23-4aad-bc9d-b87c5bf31d19" ] } ], "mendeley" : { "formattedCitation" : "[78]", "plainTextFormattedCitation" : "[78]", "previouslyFormattedCitation" : "[78]" }, "properties" : { "noteIndex" : 0 }, "schema" : "https://github.com/citation-style-language/schema/raw/master/csl-citation.json" }</w:instrText>
      </w:r>
      <w:r w:rsidR="004427DF" w:rsidRPr="001912F1">
        <w:rPr>
          <w:rFonts w:ascii="Times New Roman" w:hAnsi="Times New Roman" w:cs="Times New Roman"/>
          <w:iCs/>
        </w:rPr>
        <w:fldChar w:fldCharType="separate"/>
      </w:r>
      <w:r w:rsidR="00A172E2" w:rsidRPr="00A172E2">
        <w:rPr>
          <w:rFonts w:ascii="Times New Roman" w:hAnsi="Times New Roman" w:cs="Times New Roman"/>
          <w:iCs/>
          <w:noProof/>
        </w:rPr>
        <w:t>[78]</w:t>
      </w:r>
      <w:r w:rsidR="004427DF" w:rsidRPr="001912F1">
        <w:rPr>
          <w:rFonts w:ascii="Times New Roman" w:hAnsi="Times New Roman" w:cs="Times New Roman"/>
          <w:iCs/>
        </w:rPr>
        <w:fldChar w:fldCharType="end"/>
      </w:r>
      <w:r w:rsidR="004427DF" w:rsidRPr="001912F1">
        <w:rPr>
          <w:rFonts w:ascii="Times New Roman" w:hAnsi="Times New Roman" w:cs="Times New Roman"/>
          <w:iCs/>
        </w:rPr>
        <w:t xml:space="preserve">, barriers </w:t>
      </w:r>
      <w:r w:rsidR="004427DF" w:rsidRPr="001912F1">
        <w:rPr>
          <w:rFonts w:ascii="Times New Roman" w:hAnsi="Times New Roman" w:cs="Times New Roman"/>
          <w:iCs/>
        </w:rPr>
        <w:fldChar w:fldCharType="begin" w:fldLock="1"/>
      </w:r>
      <w:r w:rsidR="00792D4F">
        <w:rPr>
          <w:rFonts w:ascii="Times New Roman" w:hAnsi="Times New Roman" w:cs="Times New Roman"/>
          <w:iCs/>
        </w:rPr>
        <w:instrText>ADDIN CSL_CITATION { "citationItems" : [ { "id" : "ITEM-1", "itemData" : { "DOI" : "10.1016/j.buildenv.2022.109453", "ISSN" : "03601323", "abstract" : "The construction industry is a top priority in the transition to a circular economy (CE) due to the significant ecological footprint, wastage, and depletion of enormous resources. However, as an industry ill-reputed for a stringent change resistance, complex products, and among the least digitized in the world, the transition to CE in construction suffers unprecedented barriers. This study conducted a systematic review of fifty-three relevant studies to investigate and map the barriers to CE adoption in the construction industry. The analysis revealed a growing scientific research interest in the barriers from 2018 to 2022. The study established ninety-five (95) barriers to CE adoption in the construction industry, prioritized and ranked using citation frequencies. The study developed eleven taxonomies (i.e., typologies or categories) of the barriers, including cultural, market, knowledge, financial, management, regulatory, technological, supply chain, stakeholder, technical, and organizational barriers. The most persistent taxonomies of the barriers include financial, knowledge, regulatory, management, and supply chain barriers. The study discussed the possible interactions between the barriers responsible for the push effects and chain reaction mechanisms leading to CE failure in the construction industry and established the need for an integrated strategy to break the chain. It proposed a strategy map containing targeted intervention mechanisms and countermeasures to mitigate the vital few barriers in the various taxonomies of the barriers. The findings provide a holistic understanding of the main causes of the unsuccessful transition to CE in the construction industry and provide a sound basis to develop integrated strategies to improve CE adoption.", "author" : [ { "dropping-particle" : "", "family" : "Wuni", "given" : "Ibrahim Yahaya", "non-dropping-particle" : "", "parse-names" : false, "suffix" : "" } ], "container-title" : "Building and Environment", "id" : "ITEM-1", "issue" : "September", "issued" : { "date-parts" : [ [ "2022" ] ] }, "title" : "Mapping the barriers to circular economy adoption in the construction industry: A systematic review, Pareto analysis, and mitigation strategy map", "type" : "article-journal", "volume" : "223" }, "uris" : [ "http://www.mendeley.com/documents/?uuid=29c8e032-d589-3c40-ace7-84632098952b" ] } ], "mendeley" : { "formattedCitation" : "[80]", "plainTextFormattedCitation" : "[80]", "previouslyFormattedCitation" : "[80]" }, "properties" : { "noteIndex" : 0 }, "schema" : "https://github.com/citation-style-language/schema/raw/master/csl-citation.json" }</w:instrText>
      </w:r>
      <w:r w:rsidR="004427DF" w:rsidRPr="001912F1">
        <w:rPr>
          <w:rFonts w:ascii="Times New Roman" w:hAnsi="Times New Roman" w:cs="Times New Roman"/>
          <w:iCs/>
        </w:rPr>
        <w:fldChar w:fldCharType="separate"/>
      </w:r>
      <w:r w:rsidR="00A172E2" w:rsidRPr="00A172E2">
        <w:rPr>
          <w:rFonts w:ascii="Times New Roman" w:hAnsi="Times New Roman" w:cs="Times New Roman"/>
          <w:iCs/>
          <w:noProof/>
        </w:rPr>
        <w:t>[80]</w:t>
      </w:r>
      <w:r w:rsidR="004427DF" w:rsidRPr="001912F1">
        <w:rPr>
          <w:rFonts w:ascii="Times New Roman" w:hAnsi="Times New Roman" w:cs="Times New Roman"/>
          <w:iCs/>
        </w:rPr>
        <w:fldChar w:fldCharType="end"/>
      </w:r>
      <w:r w:rsidR="004427DF" w:rsidRPr="001912F1">
        <w:rPr>
          <w:rFonts w:ascii="Times New Roman" w:hAnsi="Times New Roman" w:cs="Times New Roman"/>
          <w:iCs/>
        </w:rPr>
        <w:t xml:space="preserve">, and critical success factors </w:t>
      </w:r>
      <w:r w:rsidR="004427DF" w:rsidRPr="001912F1">
        <w:rPr>
          <w:rFonts w:ascii="Times New Roman" w:hAnsi="Times New Roman" w:cs="Times New Roman"/>
          <w:iCs/>
        </w:rPr>
        <w:fldChar w:fldCharType="begin" w:fldLock="1"/>
      </w:r>
      <w:r w:rsidR="00792D4F">
        <w:rPr>
          <w:rFonts w:ascii="Times New Roman" w:hAnsi="Times New Roman" w:cs="Times New Roman"/>
          <w:iCs/>
        </w:rPr>
        <w:instrText>ADDIN CSL_CITATION { "citationItems" : [ { "id" : "ITEM-1", "itemData" : { "DOI" : "10.1002/sd.2449", "ISSN" : "0968-0802", "author" : [ { "dropping-particle" : "", "family" : "Wuni", "given" : "Ibrahim Yahaya", "non-dropping-particle" : "", "parse-names" : false, "suffix" : "" } ], "container-title" : "Sustainable Development", "id" : "ITEM-1", "issue" : "August", "issued" : { "date-parts" : [ [ "2022" ] ] }, "page" : "1-19", "title" : "A systematic review of the critical success factors for implementing circular economy in construction projects", "type" : "article-journal" }, "uris" : [ "http://www.mendeley.com/documents/?uuid=80b6c39c-b7b0-4bcb-ac43-4ce58d82b395" ] } ], "mendeley" : { "formattedCitation" : "[77]", "plainTextFormattedCitation" : "[77]", "previouslyFormattedCitation" : "[77]" }, "properties" : { "noteIndex" : 0 }, "schema" : "https://github.com/citation-style-language/schema/raw/master/csl-citation.json" }</w:instrText>
      </w:r>
      <w:r w:rsidR="004427DF" w:rsidRPr="001912F1">
        <w:rPr>
          <w:rFonts w:ascii="Times New Roman" w:hAnsi="Times New Roman" w:cs="Times New Roman"/>
          <w:iCs/>
        </w:rPr>
        <w:fldChar w:fldCharType="separate"/>
      </w:r>
      <w:r w:rsidR="00A172E2" w:rsidRPr="00A172E2">
        <w:rPr>
          <w:rFonts w:ascii="Times New Roman" w:hAnsi="Times New Roman" w:cs="Times New Roman"/>
          <w:iCs/>
          <w:noProof/>
        </w:rPr>
        <w:t>[77]</w:t>
      </w:r>
      <w:r w:rsidR="004427DF" w:rsidRPr="001912F1">
        <w:rPr>
          <w:rFonts w:ascii="Times New Roman" w:hAnsi="Times New Roman" w:cs="Times New Roman"/>
          <w:iCs/>
        </w:rPr>
        <w:fldChar w:fldCharType="end"/>
      </w:r>
      <w:r w:rsidR="004427DF" w:rsidRPr="001912F1">
        <w:rPr>
          <w:rFonts w:ascii="Times New Roman" w:hAnsi="Times New Roman" w:cs="Times New Roman"/>
          <w:iCs/>
        </w:rPr>
        <w:t xml:space="preserve"> for circular construction based on citation frequencies. Based on precedents </w:t>
      </w:r>
      <w:r w:rsidR="004427DF" w:rsidRPr="001912F1">
        <w:rPr>
          <w:rFonts w:ascii="Times New Roman" w:hAnsi="Times New Roman" w:cs="Times New Roman"/>
          <w:iCs/>
        </w:rPr>
        <w:fldChar w:fldCharType="begin" w:fldLock="1"/>
      </w:r>
      <w:r w:rsidR="00792D4F">
        <w:rPr>
          <w:rFonts w:ascii="Times New Roman" w:hAnsi="Times New Roman" w:cs="Times New Roman"/>
          <w:iCs/>
        </w:rPr>
        <w:instrText>ADDIN CSL_CITATION { "citationItems" : [ { "id" : "ITEM-1", "itemData" : { "DOI" : "10.1016/j.spc.2022.10.006", "ISSN" : "23525509", "abstract" : "Circular construction is considered a sustainable construction technique and philosophy to decouple construction activities from the depletion of virgin materials and minimize the enormous environmental impact of the construction industry. Many construction clients and stakeholders have been seduced by the purported benefits of circular construction, often based on expectations and speculations. Unsubstantiated claims about expected benefits subvert the justification and benefits realization process in circular construction projects. Therefore, this study reviewed and mapped the benefits of circular construction. The review identified eighty-six (86) reported, claimed, and speculative benefits of circular construction. The study derived six broad taxonomies of the benefits, comprising environmental benefits, economic benefits, social benefits, business benefits, technological benefits and legislative benefits. Though the findings suggest that circular construction offers benefits beyond the traditional triple bottom line of sustainability, \u201cenvironmental benefits\u201d, \u201ceconomic benefits\u201d, and \u201csocial benefits\u201d remained the top three cited taxonomies of circular construction benefits. A Pareto analysis revealed fifty-five (55) vital benefits of circular construction, comprising 15 environmental, 13 economic, 10 social, 7 business, 4 technological, and 6 legislative benefits. The study further documented the significant flaws and shortcomings of the existing literature, especially the quantitative benefit studies. Thus, the review findings provide an integrated understanding of the possible benefits of circular construction and documented strategies to reliably quantify and prove the benefits.", "author" : [ { "dropping-particle" : "", "family" : "Wuni", "given" : "Ibrahim Yahaya", "non-dropping-particle" : "", "parse-names" : false, "suffix" : "" } ], "container-title" : "Sustainable Production and Consumption", "id" : "ITEM-1", "issued" : { "date-parts" : [ [ "2022" ] ] }, "page" : "528-540", "publisher" : "Elsevier Ltd", "title" : "Burden of proof beyond the triple bottom line: Mapping the benefits of circular construction", "type" : "article-journal", "volume" : "34" }, "uris" : [ "http://www.mendeley.com/documents/?uuid=e09b0964-4f23-4aad-bc9d-b87c5bf31d19" ] }, { "id" : "ITEM-2", "itemData" : { "DOI" : "10.1016/j.buildenv.2022.109453", "ISSN" : "03601323", "abstract" : "The construction industry is a top priority in the transition to a circular economy (CE) due to the significant ecological footprint, wastage, and depletion of enormous resources. However, as an industry ill-reputed for a stringent change resistance, complex products, and among the least digitized in the world, the transition to CE in construction suffers unprecedented barriers. This study conducted a systematic review of fifty-three relevant studies to investigate and map the barriers to CE adoption in the construction industry. The analysis revealed a growing scientific research interest in the barriers from 2018 to 2022. The study established ninety-five (95) barriers to CE adoption in the construction industry, prioritized and ranked using citation frequencies. The study developed eleven taxonomies (i.e., typologies or categories) of the barriers, including cultural, market, knowledge, financial, management, regulatory, technological, supply chain, stakeholder, technical, and organizational barriers. The most persistent taxonomies of the barriers include financial, knowledge, regulatory, management, and supply chain barriers. The study discussed the possible interactions between the barriers responsible for the push effects and chain reaction mechanisms leading to CE failure in the construction industry and established the need for an integrated strategy to break the chain. It proposed a strategy map containing targeted intervention mechanisms and countermeasures to mitigate the vital few barriers in the various taxonomies of the barriers. The findings provide a holistic understanding of the main causes of the unsuccessful transition to CE in the construction industry and provide a sound basis to develop integrated strategies to improve CE adoption.", "author" : [ { "dropping-particle" : "", "family" : "Wuni", "given" : "Ibrahim Yahaya", "non-dropping-particle" : "", "parse-names" : false, "suffix" : "" } ], "container-title" : "Building and Environment", "id" : "ITEM-2", "issue" : "September", "issued" : { "date-parts" : [ [ "2022" ] ] }, "title" : "Mapping the barriers to circular economy adoption in the construction industry: A systematic review, Pareto analysis, and mitigation strategy map", "type" : "article-journal", "volume" : "223" }, "uris" : [ "http://www.mendeley.com/documents/?uuid=29c8e032-d589-3c40-ace7-84632098952b" ] }, { "id" : "ITEM-3", "itemData" : { "DOI" : "10.1002/sd.2449", "ISSN" : "0968-0802", "author" : [ { "dropping-particle" : "", "family" : "Wuni", "given" : "Ibrahim Yahaya", "non-dropping-particle" : "", "parse-names" : false, "suffix" : "" } ], "container-title" : "Sustainable Development", "id" : "ITEM-3", "issue" : "August", "issued" : { "date-parts" : [ [ "2022" ] ] }, "page" : "1-19", "title" : "A systematic review of the critical success factors for implementing circular economy in construction projects", "type" : "article-journal" }, "uris" : [ "http://www.mendeley.com/documents/?uuid=80b6c39c-b7b0-4bcb-ac43-4ce58d82b395" ] } ], "mendeley" : { "formattedCitation" : "[77,78,80]", "plainTextFormattedCitation" : "[77,78,80]", "previouslyFormattedCitation" : "[77,78,80]" }, "properties" : { "noteIndex" : 0 }, "schema" : "https://github.com/citation-style-language/schema/raw/master/csl-citation.json" }</w:instrText>
      </w:r>
      <w:r w:rsidR="004427DF" w:rsidRPr="001912F1">
        <w:rPr>
          <w:rFonts w:ascii="Times New Roman" w:hAnsi="Times New Roman" w:cs="Times New Roman"/>
          <w:iCs/>
        </w:rPr>
        <w:fldChar w:fldCharType="separate"/>
      </w:r>
      <w:r w:rsidR="00A172E2" w:rsidRPr="00A172E2">
        <w:rPr>
          <w:rFonts w:ascii="Times New Roman" w:hAnsi="Times New Roman" w:cs="Times New Roman"/>
          <w:iCs/>
          <w:noProof/>
        </w:rPr>
        <w:t>[77,78,80]</w:t>
      </w:r>
      <w:r w:rsidR="004427DF" w:rsidRPr="001912F1">
        <w:rPr>
          <w:rFonts w:ascii="Times New Roman" w:hAnsi="Times New Roman" w:cs="Times New Roman"/>
          <w:iCs/>
        </w:rPr>
        <w:fldChar w:fldCharType="end"/>
      </w:r>
      <w:r w:rsidR="004427DF" w:rsidRPr="001912F1">
        <w:rPr>
          <w:rFonts w:ascii="Times New Roman" w:hAnsi="Times New Roman" w:cs="Times New Roman"/>
          <w:iCs/>
        </w:rPr>
        <w:t>, t</w:t>
      </w:r>
      <w:r w:rsidRPr="001912F1">
        <w:rPr>
          <w:rFonts w:ascii="Times New Roman" w:hAnsi="Times New Roman" w:cs="Times New Roman"/>
          <w:iCs/>
        </w:rPr>
        <w:t xml:space="preserve">his study used Pareto charts to prioritize </w:t>
      </w:r>
      <w:r w:rsidR="00110501" w:rsidRPr="001912F1">
        <w:rPr>
          <w:rFonts w:ascii="Times New Roman" w:hAnsi="Times New Roman" w:cs="Times New Roman"/>
          <w:iCs/>
        </w:rPr>
        <w:t>the</w:t>
      </w:r>
      <w:r w:rsidRPr="001912F1">
        <w:rPr>
          <w:rFonts w:ascii="Times New Roman" w:hAnsi="Times New Roman" w:cs="Times New Roman"/>
          <w:iCs/>
        </w:rPr>
        <w:t xml:space="preserve"> vital CRFs for GB projects</w:t>
      </w:r>
      <w:bookmarkEnd w:id="4"/>
      <w:r w:rsidRPr="001912F1">
        <w:rPr>
          <w:rFonts w:ascii="Times New Roman" w:hAnsi="Times New Roman" w:cs="Times New Roman"/>
          <w:iCs/>
        </w:rPr>
        <w:t>.</w:t>
      </w:r>
      <w:r w:rsidRPr="001912F1">
        <w:rPr>
          <w:rFonts w:ascii="Times New Roman" w:hAnsi="Times New Roman" w:cs="Times New Roman"/>
        </w:rPr>
        <w:t xml:space="preserve"> </w:t>
      </w:r>
      <w:r w:rsidR="004427DF" w:rsidRPr="001912F1">
        <w:rPr>
          <w:rFonts w:ascii="Times New Roman" w:hAnsi="Times New Roman" w:cs="Times New Roman"/>
        </w:rPr>
        <w:t xml:space="preserve">Finally, the study extracted and documented the relationships between the identified risks in the literature to build a theory </w:t>
      </w:r>
      <w:r w:rsidR="00400BEA" w:rsidRPr="001912F1">
        <w:rPr>
          <w:rFonts w:ascii="Times New Roman" w:hAnsi="Times New Roman" w:cs="Times New Roman"/>
        </w:rPr>
        <w:t xml:space="preserve">to explain the interdependencies among the various risk constructs in GB projects. </w:t>
      </w:r>
      <w:r w:rsidR="00F726B7" w:rsidRPr="001912F1">
        <w:rPr>
          <w:rFonts w:ascii="Times New Roman" w:hAnsi="Times New Roman" w:cs="Times New Roman"/>
        </w:rPr>
        <w:t>Based on the total interpretive structural modelling</w:t>
      </w:r>
      <w:r w:rsidR="005E67CF" w:rsidRPr="001912F1">
        <w:rPr>
          <w:rFonts w:ascii="Times New Roman" w:hAnsi="Times New Roman" w:cs="Times New Roman"/>
        </w:rPr>
        <w:t xml:space="preserve"> (TISM)</w:t>
      </w:r>
      <w:r w:rsidR="00F726B7" w:rsidRPr="001912F1">
        <w:rPr>
          <w:rFonts w:ascii="Times New Roman" w:hAnsi="Times New Roman" w:cs="Times New Roman"/>
        </w:rPr>
        <w:t xml:space="preserve"> framework </w:t>
      </w:r>
      <w:r w:rsidR="00F726B7"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"10.1007/s10479-016-2312-3", "ISSN" : "15729338", "abstract" : "\u00a9 2016 Springer Science+Business Media New York Interpretive structural modelling (ISM) has been further interpreted in the form of total interpretive structural modelling (TISM). These are graphical models that represent the hierarchical relationships and help in better and precise conceptualization and theory building. ISM only interprets the nodes in a digraph, but TISM interprets both nodes and links. The errors observed in applications of ISM and TISM reported in past have acted as motivation for this paper to provide checks and guidelines for correctness of total interpretive structural models. The paper first gives an overview of past applications of TISM. The process of TISM is first outlined and then the guidelines and thumb rules are provided to check the correctness of TISM at each step. Some typical errors in TISM models and their modifications are discussed to help future modellers to translate their ill-structured mental models into sound theoretical models. A discussion on usefulness of TISM for big data analytics for theory building is provided and future directions of research are outlined.", "author" : [ { "dropping-particle" : "", "family" : "Sushil", "given" : "Singh", "non-dropping-particle" : "", "parse-names" : false, "suffix" : "" } ], "container-title" : "Annals of Operations Research", "id" : "ITEM-1", "issue" : "1-2", "issued" : { "date-parts" : [ [ "2018" ] ] }, "page" : "473-487", "publisher" : "Springer US", "title" : "How to check correctness of total interpretive structural models?", "type" : "article-journal", "volume" : "270" }, "uris" : [ "http://www.mendeley.com/documents/?uuid=d6ed8b84-12b8-4f8f-b789-51b64822f911" ] } ], "mendeley" : { "formattedCitation" : "[81]", "plainTextFormattedCitation" : "[81]", "previouslyFormattedCitation" : "[81]" }, "properties" : { "noteIndex" : 0 }, "schema" : "https://github.com/citation-style-language/schema/raw/master/csl-citation.json" }</w:instrText>
      </w:r>
      <w:r w:rsidR="00F726B7" w:rsidRPr="001912F1">
        <w:rPr>
          <w:rFonts w:ascii="Times New Roman" w:hAnsi="Times New Roman" w:cs="Times New Roman"/>
        </w:rPr>
        <w:fldChar w:fldCharType="separate"/>
      </w:r>
      <w:r w:rsidR="00A172E2" w:rsidRPr="00A172E2">
        <w:rPr>
          <w:rFonts w:ascii="Times New Roman" w:hAnsi="Times New Roman" w:cs="Times New Roman"/>
          <w:noProof/>
        </w:rPr>
        <w:t>[81]</w:t>
      </w:r>
      <w:r w:rsidR="00F726B7" w:rsidRPr="001912F1">
        <w:rPr>
          <w:rFonts w:ascii="Times New Roman" w:hAnsi="Times New Roman" w:cs="Times New Roman"/>
        </w:rPr>
        <w:fldChar w:fldCharType="end"/>
      </w:r>
      <w:r w:rsidR="00F726B7" w:rsidRPr="001912F1">
        <w:rPr>
          <w:rFonts w:ascii="Times New Roman" w:hAnsi="Times New Roman" w:cs="Times New Roman"/>
        </w:rPr>
        <w:t>, the study constructed a theoretical model explaining the relationships and hierarchies among the taxonomies of the risks in GB projects.</w:t>
      </w:r>
      <w:r w:rsidR="005E67CF" w:rsidRPr="001912F1">
        <w:rPr>
          <w:rFonts w:ascii="Times New Roman" w:hAnsi="Times New Roman" w:cs="Times New Roman"/>
        </w:rPr>
        <w:t xml:space="preserve"> </w:t>
      </w:r>
    </w:p>
    <w:p w14:paraId="46356CAE" w14:textId="37A17170" w:rsidR="00A146D9" w:rsidRPr="001912F1" w:rsidRDefault="005E67CF" w:rsidP="005D3EDE">
      <w:pPr>
        <w:spacing w:line="480" w:lineRule="auto"/>
        <w:jc w:val="both"/>
        <w:rPr>
          <w:rFonts w:ascii="Times New Roman" w:hAnsi="Times New Roman" w:cs="Times New Roman"/>
        </w:rPr>
      </w:pPr>
      <w:r w:rsidRPr="001912F1">
        <w:rPr>
          <w:rFonts w:ascii="Times New Roman" w:hAnsi="Times New Roman" w:cs="Times New Roman"/>
        </w:rPr>
        <w:t>TISM is a system-thinking technique that can decompose a complex problem and explain how the components are interlinked to explain the dynamic behavior of the system</w:t>
      </w:r>
      <w:r w:rsidR="00E05E61" w:rsidRPr="001912F1">
        <w:rPr>
          <w:rFonts w:ascii="Times New Roman" w:hAnsi="Times New Roman" w:cs="Times New Roman"/>
        </w:rPr>
        <w:t xml:space="preserve"> </w:t>
      </w:r>
      <w:r w:rsidR="00E05E61"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"10.1007/s10479-016-2312-3", "ISSN" : "15729338", "abstract" : "\u00a9 2016 Springer Science+Business Media New York Interpretive structural modelling (ISM) has been further interpreted in the form of total interpretive structural modelling (TISM). These are graphical models that represent the hierarchical relationships and help in better and precise conceptualization and theory building. ISM only interprets the nodes in a digraph, but TISM interprets both nodes and links. The errors observed in applications of ISM and TISM reported in past have acted as motivation for this paper to provide checks and guidelines for correctness of total interpretive structural models. The paper first gives an overview of past applications of TISM. The process of TISM is first outlined and then the guidelines and thumb rules are provided to check the correctness of TISM at each step. Some typical errors in TISM models and their modifications are discussed to help future modellers to translate their ill-structured mental models into sound theoretical models. A discussion on usefulness of TISM for big data analytics for theory building is provided and future directions of research are outlined.", "author" : [ { "dropping-particle" : "", "family" : "Sushil", "given" : "Singh", "non-dropping-particle" : "", "parse-names" : false, "suffix" : "" } ], "container-title" : "Annals of Operations Research", "id" : "ITEM-1", "issue" : "1-2", "issued" : { "date-parts" : [ [ "2018" ] ] }, "page" : "473-487", "publisher" : "Springer US", "title" : "How to check correctness of total interpretive structural models?", "type" : "article-journal", "volume" : "270" }, "uris" : [ "http://www.mendeley.com/documents/?uuid=d6ed8b84-12b8-4f8f-b789-51b64822f911" ] } ], "mendeley" : { "formattedCitation" : "[81]", "plainTextFormattedCitation" : "[81]", "previouslyFormattedCitation" : "[81]" }, "properties" : { "noteIndex" : 0 }, "schema" : "https://github.com/citation-style-language/schema/raw/master/csl-citation.json" }</w:instrText>
      </w:r>
      <w:r w:rsidR="00E05E61" w:rsidRPr="001912F1">
        <w:rPr>
          <w:rFonts w:ascii="Times New Roman" w:hAnsi="Times New Roman" w:cs="Times New Roman"/>
        </w:rPr>
        <w:fldChar w:fldCharType="separate"/>
      </w:r>
      <w:r w:rsidR="00A172E2" w:rsidRPr="00A172E2">
        <w:rPr>
          <w:rFonts w:ascii="Times New Roman" w:hAnsi="Times New Roman" w:cs="Times New Roman"/>
          <w:noProof/>
        </w:rPr>
        <w:t>[81]</w:t>
      </w:r>
      <w:r w:rsidR="00E05E61" w:rsidRPr="001912F1">
        <w:rPr>
          <w:rFonts w:ascii="Times New Roman" w:hAnsi="Times New Roman" w:cs="Times New Roman"/>
        </w:rPr>
        <w:fldChar w:fldCharType="end"/>
      </w:r>
      <w:r w:rsidRPr="001912F1">
        <w:rPr>
          <w:rFonts w:ascii="Times New Roman" w:hAnsi="Times New Roman" w:cs="Times New Roman"/>
        </w:rPr>
        <w:t>.</w:t>
      </w:r>
      <w:r w:rsidR="00E05E61" w:rsidRPr="001912F1">
        <w:rPr>
          <w:rFonts w:ascii="Times New Roman" w:hAnsi="Times New Roman" w:cs="Times New Roman"/>
        </w:rPr>
        <w:t xml:space="preserve"> It can capture the causal relationships and transitive links </w:t>
      </w:r>
      <w:r w:rsidR="00C36DBC" w:rsidRPr="001912F1">
        <w:rPr>
          <w:rFonts w:ascii="Times New Roman" w:hAnsi="Times New Roman" w:cs="Times New Roman"/>
        </w:rPr>
        <w:t>among constructs of a complex system. TISM uses nodes to represent the constructs and lines to depict the links or relationship between two constructs in a hierarchical model based on driving powers and dependencies</w:t>
      </w:r>
      <w:r w:rsidR="007A72CF" w:rsidRPr="001912F1">
        <w:rPr>
          <w:rFonts w:ascii="Times New Roman" w:hAnsi="Times New Roman" w:cs="Times New Roman"/>
        </w:rPr>
        <w:t xml:space="preserve"> </w:t>
      </w:r>
      <w:r w:rsidR="007A72CF"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"10.1007/s10479-016-2312-3", "ISSN" : "15729338", "abstract" : "\u00a9 2016 Springer Science+Business Media New York Interpretive structural modelling (ISM) has been further interpreted in the form of total interpretive structural modelling (TISM). These are graphical models that represent the hierarchical relationships and help in better and precise conceptualization and theory building. ISM only interprets the nodes in a digraph, but TISM interprets both nodes and links. The errors observed in applications of ISM and TISM reported in past have acted as motivation for this paper to provide checks and guidelines for correctness of total interpretive structural models. The paper first gives an overview of past applications of TISM. The process of TISM is first outlined and then the guidelines and thumb rules are provided to check the correctness of TISM at each step. Some typical errors in TISM models and their modifications are discussed to help future modellers to translate their ill-structured mental models into sound theoretical models. A discussion on usefulness of TISM for big data analytics for theory building is provided and future directions of research are outlined.", "author" : [ { "dropping-particle" : "", "family" : "Sushil", "given" : "Singh", "non-dropping-particle" : "", "parse-names" : false, "suffix" : "" } ], "container-title" : "Annals of Operations Research", "id" : "ITEM-1", "issue" : "1-2", "issued" : { "date-parts" : [ [ "2018" ] ] }, "page" : "473-487", "publisher" : "Springer US", "title" : "How to check correctness of total interpretive structural models?", "type" : "article-journal", "volume" : "270" }, "uris" : [ "http://www.mendeley.com/documents/?uuid=d6ed8b84-12b8-4f8f-b789-51b64822f911" ] } ], "mendeley" : { "formattedCitation" : "[81]", "plainTextFormattedCitation" : "[81]", "previouslyFormattedCitation" : "[81]" }, "properties" : { "noteIndex" : 0 }, "schema" : "https://github.com/citation-style-language/schema/raw/master/csl-citation.json" }</w:instrText>
      </w:r>
      <w:r w:rsidR="007A72CF" w:rsidRPr="001912F1">
        <w:rPr>
          <w:rFonts w:ascii="Times New Roman" w:hAnsi="Times New Roman" w:cs="Times New Roman"/>
        </w:rPr>
        <w:fldChar w:fldCharType="separate"/>
      </w:r>
      <w:r w:rsidR="00A172E2" w:rsidRPr="00A172E2">
        <w:rPr>
          <w:rFonts w:ascii="Times New Roman" w:hAnsi="Times New Roman" w:cs="Times New Roman"/>
          <w:noProof/>
        </w:rPr>
        <w:t>[81]</w:t>
      </w:r>
      <w:r w:rsidR="007A72CF" w:rsidRPr="001912F1">
        <w:rPr>
          <w:rFonts w:ascii="Times New Roman" w:hAnsi="Times New Roman" w:cs="Times New Roman"/>
        </w:rPr>
        <w:fldChar w:fldCharType="end"/>
      </w:r>
      <w:r w:rsidR="00C36DBC" w:rsidRPr="001912F1">
        <w:rPr>
          <w:rFonts w:ascii="Times New Roman" w:hAnsi="Times New Roman" w:cs="Times New Roman"/>
        </w:rPr>
        <w:t>.</w:t>
      </w:r>
      <w:r w:rsidR="007A72CF" w:rsidRPr="001912F1">
        <w:rPr>
          <w:rFonts w:ascii="Times New Roman" w:hAnsi="Times New Roman" w:cs="Times New Roman"/>
        </w:rPr>
        <w:t xml:space="preserve"> The typical procedures for constructing an accurate and reliable TISM model of risks for GB projects include: (</w:t>
      </w:r>
      <w:proofErr w:type="spellStart"/>
      <w:r w:rsidR="007A72CF" w:rsidRPr="001912F1">
        <w:rPr>
          <w:rFonts w:ascii="Times New Roman" w:hAnsi="Times New Roman" w:cs="Times New Roman"/>
        </w:rPr>
        <w:t>i</w:t>
      </w:r>
      <w:proofErr w:type="spellEnd"/>
      <w:r w:rsidR="007A72CF" w:rsidRPr="001912F1">
        <w:rPr>
          <w:rFonts w:ascii="Times New Roman" w:hAnsi="Times New Roman" w:cs="Times New Roman"/>
        </w:rPr>
        <w:t>) identifying, defining, and verifying various risks, (ii) determining the relationships between the various risk constructs, (iii) generating interpretive logic of pairwise comparison, (iv) developing an agency matrix, (v) developing the final reachability matrix, (vi) developing a binary interaction matrix, (vii) hierarchical partitioning the reachability matrix intro different levels, (viii) drawing a directed graph (i.e., diagraph), (ix) developing a direct interaction matrix, and (x) constructing and interpreting a TISM model.</w:t>
      </w:r>
      <w:r w:rsidR="00EE28AA" w:rsidRPr="001912F1">
        <w:rPr>
          <w:rFonts w:ascii="Times New Roman" w:hAnsi="Times New Roman" w:cs="Times New Roman"/>
        </w:rPr>
        <w:t xml:space="preserve"> A detailed description of the TISM techniques and these procedures would unnecessarily lengthen the paper and should be referred elsewhere</w:t>
      </w:r>
      <w:r w:rsidR="00451231" w:rsidRPr="001912F1">
        <w:rPr>
          <w:rFonts w:ascii="Times New Roman" w:hAnsi="Times New Roman" w:cs="Times New Roman"/>
        </w:rPr>
        <w:t xml:space="preserve"> </w:t>
      </w:r>
      <w:r w:rsidR="00451231"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"10.1007/s10479-016-2312-3", "ISSN" : "15729338", "abstract" : "\u00a9 2016 Springer Science+Business Media New York Interpretive structural modelling (ISM) has been further interpreted in the form of total interpretive structural modelling (TISM). These are graphical models that represent the hierarchical relationships and help in better and precise conceptualization and theory building. ISM only interprets the nodes in a digraph, but TISM interprets both nodes and links. The errors observed in applications of ISM and TISM reported in past have acted as motivation for this paper to provide checks and guidelines for correctness of total interpretive structural models. The paper first gives an overview of past applications of TISM. The process of TISM is first outlined and then the guidelines and thumb rules are provided to check the correctness of TISM at each step. Some typical errors in TISM models and their modifications are discussed to help future modellers to translate their ill-structured mental models into sound theoretical models. A discussion on usefulness of TISM for big data analytics for theory building is provided and future directions of research are outlined.", "author" : [ { "dropping-particle" : "", "family" : "Sushil", "given" : "Singh", "non-dropping-particle" : "", "parse-names" : false, "suffix" : "" } ], "container-title" : "Annals of Operations Research", "id" : "ITEM-1", "issue" : "1-2", "issued" : { "date-parts" : [ [ "2018" ] ] }, "page" : "473-487", "publisher" : "Springer US", "title" : "How to check correctness of total interpretive structural models?", "type" : "article-journal", "volume" : "270" }, "uris" : [ "http://www.mendeley.com/documents/?uuid=d6ed8b84-12b8-4f8f-b789-51b64822f911" ] } ], "mendeley" : { "formattedCitation" : "[81]", "plainTextFormattedCitation" : "[81]", "previouslyFormattedCitation" : "[81]" }, "properties" : { "noteIndex" : 0 }, "schema" : "https://github.com/citation-style-language/schema/raw/master/csl-citation.json" }</w:instrText>
      </w:r>
      <w:r w:rsidR="00451231" w:rsidRPr="001912F1">
        <w:rPr>
          <w:rFonts w:ascii="Times New Roman" w:hAnsi="Times New Roman" w:cs="Times New Roman"/>
        </w:rPr>
        <w:fldChar w:fldCharType="separate"/>
      </w:r>
      <w:r w:rsidR="00A172E2" w:rsidRPr="00A172E2">
        <w:rPr>
          <w:rFonts w:ascii="Times New Roman" w:hAnsi="Times New Roman" w:cs="Times New Roman"/>
          <w:noProof/>
        </w:rPr>
        <w:t>[81]</w:t>
      </w:r>
      <w:r w:rsidR="00451231" w:rsidRPr="001912F1">
        <w:rPr>
          <w:rFonts w:ascii="Times New Roman" w:hAnsi="Times New Roman" w:cs="Times New Roman"/>
        </w:rPr>
        <w:fldChar w:fldCharType="end"/>
      </w:r>
      <w:r w:rsidR="00EE28AA" w:rsidRPr="001912F1">
        <w:rPr>
          <w:rFonts w:ascii="Times New Roman" w:hAnsi="Times New Roman" w:cs="Times New Roman"/>
        </w:rPr>
        <w:t>.</w:t>
      </w:r>
      <w:r w:rsidR="00451231" w:rsidRPr="001912F1">
        <w:rPr>
          <w:rFonts w:ascii="Times New Roman" w:hAnsi="Times New Roman" w:cs="Times New Roman"/>
        </w:rPr>
        <w:t xml:space="preserve"> The biggest challenge of constructing a TISM model is establishing the relationships between the risk constructs, which are already established in the literature. </w:t>
      </w:r>
      <w:r w:rsidR="000E4660" w:rsidRPr="001912F1">
        <w:rPr>
          <w:rFonts w:ascii="Times New Roman" w:hAnsi="Times New Roman" w:cs="Times New Roman"/>
        </w:rPr>
        <w:t xml:space="preserve">Wuni </w:t>
      </w:r>
      <w:r w:rsidR="000E4660"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"10.1002/sd.2449", "ISSN" : "0968-0802", "author" : [ { "dropping-particle" : "", "family" : "Wuni", "given" : "Ibrahim Yahaya", "non-dropping-particle" : "", "parse-names" : false, "suffix" : "" } ], "container-title" : "Sustainable Development", "id" : "ITEM-1", "issue" : "August", "issued" : { "date-parts" : [ [ "2022" ] ] }, "page" : "1-19", "title" : "A systematic review of the critical success factors for implementing circular economy in construction projects", "type" : "article-journal" }, "uris" : [ "http://www.mendeley.com/documents/?uuid=80b6c39c-b7b0-4bcb-ac43-4ce58d82b395" ] } ], "mendeley" : { "formattedCitation" : "[77]", "plainTextFormattedCitation" : "[77]", "previouslyFormattedCitation" : "[77]" }, "properties" : { "noteIndex" : 0 }, "schema" : "https://github.com/citation-style-language/schema/raw/master/csl-citation.json" }</w:instrText>
      </w:r>
      <w:r w:rsidR="000E4660" w:rsidRPr="001912F1">
        <w:rPr>
          <w:rFonts w:ascii="Times New Roman" w:hAnsi="Times New Roman" w:cs="Times New Roman"/>
        </w:rPr>
        <w:fldChar w:fldCharType="separate"/>
      </w:r>
      <w:r w:rsidR="00A172E2" w:rsidRPr="00A172E2">
        <w:rPr>
          <w:rFonts w:ascii="Times New Roman" w:hAnsi="Times New Roman" w:cs="Times New Roman"/>
          <w:noProof/>
        </w:rPr>
        <w:t>[77]</w:t>
      </w:r>
      <w:r w:rsidR="000E4660" w:rsidRPr="001912F1">
        <w:rPr>
          <w:rFonts w:ascii="Times New Roman" w:hAnsi="Times New Roman" w:cs="Times New Roman"/>
        </w:rPr>
        <w:fldChar w:fldCharType="end"/>
      </w:r>
      <w:r w:rsidR="000E4660" w:rsidRPr="001912F1">
        <w:rPr>
          <w:rFonts w:ascii="Times New Roman" w:hAnsi="Times New Roman" w:cs="Times New Roman"/>
        </w:rPr>
        <w:t xml:space="preserve"> leveraged the theoretical positions of established relationships in the </w:t>
      </w:r>
      <w:r w:rsidR="000E4660" w:rsidRPr="001912F1">
        <w:rPr>
          <w:rFonts w:ascii="Times New Roman" w:hAnsi="Times New Roman" w:cs="Times New Roman"/>
        </w:rPr>
        <w:lastRenderedPageBreak/>
        <w:t xml:space="preserve">literature to construct a TISM model of the critical success factors for circular construction. This study adopted a similar approach to develop a TISM model of the risks in GB projects. </w:t>
      </w:r>
    </w:p>
    <w:p w14:paraId="659597CE" w14:textId="77777777" w:rsidR="00A146D9" w:rsidRPr="001912F1" w:rsidRDefault="00A146D9" w:rsidP="00DB2193">
      <w:pPr>
        <w:spacing w:line="276" w:lineRule="auto"/>
        <w:rPr>
          <w:rFonts w:ascii="Times New Roman" w:hAnsi="Times New Roman" w:cs="Times New Roman"/>
        </w:rPr>
      </w:pPr>
    </w:p>
    <w:p w14:paraId="215019D1" w14:textId="42F712B9" w:rsidR="00543C2C" w:rsidRPr="001912F1" w:rsidRDefault="00543C2C" w:rsidP="00FD5957">
      <w:pPr>
        <w:spacing w:line="480" w:lineRule="auto"/>
        <w:rPr>
          <w:rFonts w:ascii="Times New Roman" w:hAnsi="Times New Roman" w:cs="Times New Roman"/>
          <w:b/>
          <w:bCs/>
        </w:rPr>
      </w:pPr>
      <w:r w:rsidRPr="001912F1">
        <w:rPr>
          <w:rFonts w:ascii="Times New Roman" w:hAnsi="Times New Roman" w:cs="Times New Roman"/>
          <w:b/>
          <w:bCs/>
        </w:rPr>
        <w:t>Results</w:t>
      </w:r>
    </w:p>
    <w:p w14:paraId="795DF064" w14:textId="34FA62EA" w:rsidR="00DD7387" w:rsidRPr="001912F1" w:rsidRDefault="00E400D8" w:rsidP="00FD5957">
      <w:pPr>
        <w:spacing w:line="480" w:lineRule="auto"/>
        <w:rPr>
          <w:rFonts w:ascii="Times New Roman" w:hAnsi="Times New Roman" w:cs="Times New Roman"/>
          <w:b/>
          <w:bCs/>
          <w:i/>
          <w:iCs/>
        </w:rPr>
      </w:pPr>
      <w:r w:rsidRPr="001912F1">
        <w:rPr>
          <w:rFonts w:ascii="Times New Roman" w:hAnsi="Times New Roman" w:cs="Times New Roman"/>
          <w:b/>
          <w:bCs/>
          <w:i/>
          <w:iCs/>
        </w:rPr>
        <w:t>Characteristics of the included studies</w:t>
      </w:r>
    </w:p>
    <w:p w14:paraId="77CBAC99" w14:textId="787D0067" w:rsidR="00496140" w:rsidRDefault="008A7773" w:rsidP="00496140">
      <w:pPr>
        <w:spacing w:line="480" w:lineRule="auto"/>
        <w:jc w:val="both"/>
        <w:rPr>
          <w:rFonts w:ascii="Times New Roman" w:hAnsi="Times New Roman" w:cs="Times New Roman"/>
        </w:rPr>
      </w:pPr>
      <w:r w:rsidRPr="001912F1">
        <w:rPr>
          <w:rFonts w:ascii="Times New Roman" w:hAnsi="Times New Roman" w:cs="Times New Roman"/>
        </w:rPr>
        <w:t>The study included sixty (60) relevant articles</w:t>
      </w:r>
      <w:r w:rsidR="00DE0DA3" w:rsidRPr="001912F1">
        <w:rPr>
          <w:rFonts w:ascii="Times New Roman" w:hAnsi="Times New Roman" w:cs="Times New Roman"/>
        </w:rPr>
        <w:t xml:space="preserve"> published in thirty-five (35) reputable journals between 2006 and </w:t>
      </w:r>
      <w:r w:rsidR="00BA1814" w:rsidRPr="001912F1">
        <w:rPr>
          <w:rFonts w:ascii="Times New Roman" w:hAnsi="Times New Roman" w:cs="Times New Roman"/>
        </w:rPr>
        <w:t>November</w:t>
      </w:r>
      <w:r w:rsidR="00CA4774" w:rsidRPr="001912F1">
        <w:rPr>
          <w:rFonts w:ascii="Times New Roman" w:hAnsi="Times New Roman" w:cs="Times New Roman"/>
        </w:rPr>
        <w:t xml:space="preserve"> </w:t>
      </w:r>
      <w:r w:rsidR="00DE0DA3" w:rsidRPr="001912F1">
        <w:rPr>
          <w:rFonts w:ascii="Times New Roman" w:hAnsi="Times New Roman" w:cs="Times New Roman"/>
        </w:rPr>
        <w:t>2022. Fig.</w:t>
      </w:r>
      <w:r w:rsidR="00A8485C" w:rsidRPr="001912F1">
        <w:rPr>
          <w:rFonts w:ascii="Times New Roman" w:hAnsi="Times New Roman" w:cs="Times New Roman"/>
        </w:rPr>
        <w:t xml:space="preserve"> </w:t>
      </w:r>
      <w:r w:rsidR="00BA1814" w:rsidRPr="001912F1">
        <w:rPr>
          <w:rFonts w:ascii="Times New Roman" w:hAnsi="Times New Roman" w:cs="Times New Roman"/>
        </w:rPr>
        <w:t>2</w:t>
      </w:r>
      <w:r w:rsidR="00DE0DA3" w:rsidRPr="001912F1">
        <w:rPr>
          <w:rFonts w:ascii="Times New Roman" w:hAnsi="Times New Roman" w:cs="Times New Roman"/>
        </w:rPr>
        <w:t xml:space="preserve"> shows the annual distribution of the included studies.</w:t>
      </w:r>
      <w:r w:rsidR="00946AFF" w:rsidRPr="001912F1">
        <w:rPr>
          <w:rFonts w:ascii="Times New Roman" w:hAnsi="Times New Roman" w:cs="Times New Roman"/>
        </w:rPr>
        <w:t xml:space="preserve"> </w:t>
      </w:r>
      <w:r w:rsidR="00632E00" w:rsidRPr="001912F1">
        <w:rPr>
          <w:rFonts w:ascii="Times New Roman" w:hAnsi="Times New Roman" w:cs="Times New Roman"/>
        </w:rPr>
        <w:t xml:space="preserve">The period between 2006 and 2009 witnessed an annual output of </w:t>
      </w:r>
      <w:r w:rsidR="0059083D" w:rsidRPr="001912F1">
        <w:rPr>
          <w:rFonts w:ascii="Times New Roman" w:hAnsi="Times New Roman" w:cs="Times New Roman"/>
        </w:rPr>
        <w:t xml:space="preserve">only </w:t>
      </w:r>
      <w:r w:rsidR="00632E00" w:rsidRPr="001912F1">
        <w:rPr>
          <w:rFonts w:ascii="Times New Roman" w:hAnsi="Times New Roman" w:cs="Times New Roman"/>
        </w:rPr>
        <w:t xml:space="preserve">one (1) article. It was the early stages when researchers </w:t>
      </w:r>
      <w:r w:rsidR="0059083D" w:rsidRPr="001912F1">
        <w:rPr>
          <w:rFonts w:ascii="Times New Roman" w:hAnsi="Times New Roman" w:cs="Times New Roman"/>
        </w:rPr>
        <w:t xml:space="preserve">started to </w:t>
      </w:r>
      <w:r w:rsidR="00632E00" w:rsidRPr="001912F1">
        <w:rPr>
          <w:rFonts w:ascii="Times New Roman" w:hAnsi="Times New Roman" w:cs="Times New Roman"/>
        </w:rPr>
        <w:t xml:space="preserve">focus on exploring the barriers and drivers of the GBs </w:t>
      </w:r>
      <w:r w:rsidR="00632E00" w:rsidRPr="001912F1">
        <w:rPr>
          <w:rFonts w:ascii="Times New Roman" w:hAnsi="Times New Roman" w:cs="Times New Roman"/>
        </w:rPr>
        <w:fldChar w:fldCharType="begin" w:fldLock="1"/>
      </w:r>
      <w:r w:rsidR="00421282" w:rsidRPr="001912F1">
        <w:rPr>
          <w:rFonts w:ascii="Times New Roman" w:hAnsi="Times New Roman" w:cs="Times New Roman"/>
        </w:rPr>
        <w:instrText>ADDIN CSL_CITATION { "citationItems" : [ { "id" : "ITEM-1", "itemData" : { "DOI" : "10.1016/j.enbuild.2019.02.010", "ISSN" : "03787788", "abstract" : "Following the 1960s environmental movement and the energy crisis in the 70s, evidence spurred research on renewable energy and energy efficiency practices. As a result, the green building (GB) movement emerged in the 90s to promote buildings which are designed to reduce the consumption of energy, electricity, water, materials, natural resources as well as improve environmental performance and human health over the whole lifecycle. With a prime goal of improving energy efficiency, GB has gained recognition in national and international energy policies. Following manifold exemplary projects and testified benefits, GBs research has recorded a tremendous increase over the years. Thus, it is essential to monitor the research progress to identify areas that require further research. This paper recruited the bibliometric data of 1147 GBs research articles and conducted a scientometric review. The review showed that GBs research publications increased steadily from 1992 to 2018. This highlights the increasing commitment towards the initiative. The paper found that at least 44% of all countries in the world are involved in GBs research. Ten (10) broad GB research areas in existing studies were identified and discussed and areas for further research were proposed. Thus, the paper offers a useful reference point to early-stage researchers, funding authorities, energy policymakers and industry professionals on the research progress in GBs.", "author" : [ { "dropping-particle" : "", "family" : "Wuni", "given" : "Ibrahim Yahaya", "non-dropping-particle" : "", "parse-names" : false, "suffix" : "" }, { "dropping-particle" : "", "family" : "Shen", "given" : "Geoffrey Qiping", "non-dropping-particle" : "", "parse-names" : false, "suffix" : "" }, { "dropping-particle" : "", "family" : "Osei-Kyei", "given" : "Robert", "non-dropping-particle" : "", "parse-names" : false, "suffix" : "" } ], "container-title" : "Energy and Buildings", "id" : "ITEM-1", "issue" : "May", "issued" : { "date-parts" : [ [ "2019" ] ] }, "page" : "69-85", "publisher" : "Elsevier B.V.", "title" : "Scientometric review of global research trends on green buildings in construction journals from 1992 to 2018", "type" : "article-journal", "volume" : "190" }, "uris" : [ "http://www.mendeley.com/documents/?uuid=ced784fa-57bb-4e8d-a00b-8d65f4d0c979" ] } ], "mendeley" : { "formattedCitation" : "[2]", "plainTextFormattedCitation" : "[2]", "previouslyFormattedCitation" : "[2]" }, "properties" : { "noteIndex" : 0 }, "schema" : "https://github.com/citation-style-language/schema/raw/master/csl-citation.json" }</w:instrText>
      </w:r>
      <w:r w:rsidR="00632E00" w:rsidRPr="001912F1">
        <w:rPr>
          <w:rFonts w:ascii="Times New Roman" w:hAnsi="Times New Roman" w:cs="Times New Roman"/>
        </w:rPr>
        <w:fldChar w:fldCharType="separate"/>
      </w:r>
      <w:r w:rsidR="00CA4774" w:rsidRPr="001912F1">
        <w:rPr>
          <w:rFonts w:ascii="Times New Roman" w:hAnsi="Times New Roman" w:cs="Times New Roman"/>
          <w:noProof/>
        </w:rPr>
        <w:t>[2]</w:t>
      </w:r>
      <w:r w:rsidR="00632E00" w:rsidRPr="001912F1">
        <w:rPr>
          <w:rFonts w:ascii="Times New Roman" w:hAnsi="Times New Roman" w:cs="Times New Roman"/>
        </w:rPr>
        <w:fldChar w:fldCharType="end"/>
      </w:r>
      <w:r w:rsidR="00632E00" w:rsidRPr="001912F1">
        <w:rPr>
          <w:rFonts w:ascii="Times New Roman" w:hAnsi="Times New Roman" w:cs="Times New Roman"/>
        </w:rPr>
        <w:t xml:space="preserve">. </w:t>
      </w:r>
      <w:r w:rsidR="00496140" w:rsidRPr="001912F1">
        <w:rPr>
          <w:rFonts w:ascii="Times New Roman" w:hAnsi="Times New Roman" w:cs="Times New Roman"/>
        </w:rPr>
        <w:t xml:space="preserve">Interests in the CRFs for GB projects gained traction and sustained from 2012 and reached the highest annual output of 10 articles in 2021. The trend line shows a rising interest in the CRFs for GB projects, providing additional justification for consolidating and itemizing the vital CRFs for GB projects. </w:t>
      </w:r>
    </w:p>
    <w:p w14:paraId="18CEE9E3" w14:textId="2B02A9A6" w:rsidR="00632E00" w:rsidRPr="001912F1" w:rsidRDefault="00632E00" w:rsidP="003806C6">
      <w:pPr>
        <w:jc w:val="both"/>
        <w:rPr>
          <w:rFonts w:ascii="Times New Roman" w:hAnsi="Times New Roman" w:cs="Times New Roman"/>
        </w:rPr>
      </w:pPr>
      <w:r w:rsidRPr="001912F1">
        <w:rPr>
          <w:rFonts w:ascii="Times New Roman" w:hAnsi="Times New Roman" w:cs="Times New Roman"/>
          <w:noProof/>
        </w:rPr>
        <w:drawing>
          <wp:inline distT="0" distB="0" distL="0" distR="0" wp14:anchorId="2033037F" wp14:editId="7277A2DF">
            <wp:extent cx="5731510" cy="3181350"/>
            <wp:effectExtent l="0" t="0" r="0" b="0"/>
            <wp:docPr id="1" name="Chart 1">
              <a:extLst xmlns:a="http://schemas.openxmlformats.org/drawingml/2006/main">
                <a:ext uri="{FF2B5EF4-FFF2-40B4-BE49-F238E27FC236}">
                  <a16:creationId xmlns:a16="http://schemas.microsoft.com/office/drawing/2014/main" id="{D39A7328-B627-41DF-97F6-6DE119868B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E575503" w14:textId="539E2F29" w:rsidR="00632E00" w:rsidRPr="001912F1" w:rsidRDefault="00632E00" w:rsidP="00632E00">
      <w:pPr>
        <w:spacing w:line="480" w:lineRule="auto"/>
        <w:jc w:val="both"/>
        <w:rPr>
          <w:rFonts w:ascii="Times New Roman" w:hAnsi="Times New Roman" w:cs="Times New Roman"/>
        </w:rPr>
      </w:pPr>
      <w:r w:rsidRPr="001912F1">
        <w:rPr>
          <w:rFonts w:ascii="Times New Roman" w:hAnsi="Times New Roman" w:cs="Times New Roman"/>
          <w:b/>
          <w:bCs/>
        </w:rPr>
        <w:t xml:space="preserve">Fig. </w:t>
      </w:r>
      <w:r w:rsidR="00BA1814" w:rsidRPr="001912F1">
        <w:rPr>
          <w:rFonts w:ascii="Times New Roman" w:hAnsi="Times New Roman" w:cs="Times New Roman"/>
          <w:b/>
          <w:bCs/>
        </w:rPr>
        <w:t>2</w:t>
      </w:r>
      <w:r w:rsidRPr="001912F1">
        <w:rPr>
          <w:rFonts w:ascii="Times New Roman" w:hAnsi="Times New Roman" w:cs="Times New Roman"/>
        </w:rPr>
        <w:t>. Temporal distribution of the included studies</w:t>
      </w:r>
    </w:p>
    <w:p w14:paraId="1126CF93" w14:textId="77777777" w:rsidR="00CB768B" w:rsidRPr="001912F1" w:rsidRDefault="00CB768B" w:rsidP="00CB768B">
      <w:pPr>
        <w:spacing w:line="480" w:lineRule="auto"/>
        <w:jc w:val="both"/>
        <w:rPr>
          <w:rFonts w:ascii="Times New Roman" w:hAnsi="Times New Roman" w:cs="Times New Roman"/>
        </w:rPr>
      </w:pPr>
      <w:r w:rsidRPr="001912F1">
        <w:rPr>
          <w:rFonts w:ascii="Times New Roman" w:hAnsi="Times New Roman" w:cs="Times New Roman"/>
        </w:rPr>
        <w:t xml:space="preserve">The included studies used various data collection instruments to investigate the CRFs for GB projects, including questionnaire survey (39), case study (19), interviews (9), focused group workshops (3), project-based data (1), text mining (1), and plenary session (1). The included </w:t>
      </w:r>
      <w:r w:rsidRPr="001912F1">
        <w:rPr>
          <w:rFonts w:ascii="Times New Roman" w:hAnsi="Times New Roman" w:cs="Times New Roman"/>
        </w:rPr>
        <w:lastRenderedPageBreak/>
        <w:t>studies also used nineteen (19) analytical techniques to assess and quantify the CRFs for GB projects.</w:t>
      </w:r>
    </w:p>
    <w:p w14:paraId="3C57D143" w14:textId="480731C7" w:rsidR="00DB309D" w:rsidRDefault="00463120" w:rsidP="00DB309D">
      <w:pPr>
        <w:spacing w:line="480" w:lineRule="auto"/>
        <w:jc w:val="both"/>
        <w:rPr>
          <w:rFonts w:ascii="Times New Roman" w:hAnsi="Times New Roman" w:cs="Times New Roman"/>
        </w:rPr>
      </w:pPr>
      <w:r w:rsidRPr="001912F1">
        <w:rPr>
          <w:rFonts w:ascii="Times New Roman" w:hAnsi="Times New Roman" w:cs="Times New Roman"/>
        </w:rPr>
        <w:t>Fig. 3 summarizes the frequency distribution of the analytical techniques.</w:t>
      </w:r>
      <w:r w:rsidR="00A146D9" w:rsidRPr="001912F1">
        <w:rPr>
          <w:rFonts w:ascii="Times New Roman" w:hAnsi="Times New Roman" w:cs="Times New Roman"/>
        </w:rPr>
        <w:t xml:space="preserve"> </w:t>
      </w:r>
      <w:r w:rsidR="00DB309D" w:rsidRPr="001912F1">
        <w:rPr>
          <w:rFonts w:ascii="Times New Roman" w:hAnsi="Times New Roman" w:cs="Times New Roman"/>
        </w:rPr>
        <w:t xml:space="preserve">It shows that deterministic, probabilistic, and network modelling techniques have been used to analyze the CRFs for GB projects. The top five most frequently used techniques, comprising thematic content analysis (n=17), mean score analysis (n=13), risk significance index (n=7), factor analysis (n=5), and relative importance index (n=4) are deterministic risk assessment tools </w:t>
      </w:r>
      <w:r w:rsidR="00DB309D"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"abstract" : "CII created Research Team (RT) 280 to answer the following essential research question: What would be the benefits and implications of applying a probabilistic approach to analyzing cost estimating and scheduling risks for the design and construction of capital projects? The team\u2019s objectives included a review of the industry\u2019s current probabilistic controls practices and their associated risk allocation techniques. To make this review, the team surveyed 104 contractor and owner organizations worldwide, from which 12 were selected for in- depth case studies. For these case studies, team members conducted hundreds of hours of face-to-face interviews and collected risk-related documentation from risk managers and project teams. After analyzing the case studies and interviews, the team conducted an industry-wide validation survey of 73 organizations. The team explored when, why, and how probabilistic approaches were used, and documented the kinds of successes organizations were achieving through probabilistic risk management. The team\u2019s final products include the following: \u2022 identification of the benefits and limitations of probabilistic analysis \u2022 a process roadmap for implementing probabilistic controls at three levels of risk analysis: identification, deterministic, and probabilistic \u2022 Implementation Resource 280-2, Applying Probabilistic Risk Management in Design and Construction Projects, a guide to implementing probabilistic controls, with risk register templates and an example that demonstrates all three levels of risk analysis. \u2022 Implementation Resource 280-3, What\u2019s the Risk?, a laminated guide to selecting the appropriate level of risk analysis and interpreting probabilistic results. v", "author" : [ { "dropping-particle" : "", "family" : "Construction Industry Institute", "given" : "", "non-dropping-particle" : "", "parse-names" : false, "suffix" : "" } ], "id" : "ITEM-1", "issued" : { "date-parts" : [ [ "2013" ] ] }, "number-of-pages" : "55", "publisher-place" : "Austin, TX", "title" : "Applying Probabilistic Risk Management in Design and Construction Projects", "type" : "report" }, "uris" : [ "http://www.mendeley.com/documents/?uuid=cfa35f6e-9e4e-45cc-8305-da21ea5de878" ] } ], "mendeley" : { "formattedCitation" : "[82]", "plainTextFormattedCitation" : "[82]", "previouslyFormattedCitation" : "[82]" }, "properties" : { "noteIndex" : 0 }, "schema" : "https://github.com/citation-style-language/schema/raw/master/csl-citation.json" }</w:instrText>
      </w:r>
      <w:r w:rsidR="00DB309D" w:rsidRPr="001912F1">
        <w:rPr>
          <w:rFonts w:ascii="Times New Roman" w:hAnsi="Times New Roman" w:cs="Times New Roman"/>
        </w:rPr>
        <w:fldChar w:fldCharType="separate"/>
      </w:r>
      <w:r w:rsidR="00A172E2" w:rsidRPr="00A172E2">
        <w:rPr>
          <w:rFonts w:ascii="Times New Roman" w:hAnsi="Times New Roman" w:cs="Times New Roman"/>
          <w:noProof/>
        </w:rPr>
        <w:t>[82]</w:t>
      </w:r>
      <w:r w:rsidR="00DB309D" w:rsidRPr="001912F1">
        <w:rPr>
          <w:rFonts w:ascii="Times New Roman" w:hAnsi="Times New Roman" w:cs="Times New Roman"/>
        </w:rPr>
        <w:fldChar w:fldCharType="end"/>
      </w:r>
      <w:r w:rsidR="00DB309D" w:rsidRPr="001912F1">
        <w:rPr>
          <w:rFonts w:ascii="Times New Roman" w:hAnsi="Times New Roman" w:cs="Times New Roman"/>
        </w:rPr>
        <w:t xml:space="preserve">. While useful and acceptable, deterministic techniques have inherent limitations in risk prioritization and resource allocation, including inability to capture and retain the distributions and profiles of various risks, negligence of the significance of tail risks, inability to incorporate varied risk tolerance levels of decision-makers, and inability to proportionally allocate risk management resources based on the relative importance of various risks </w:t>
      </w:r>
      <w:r w:rsidR="00DB309D"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"10.1016/j.scs.2020.102576", "ISSN" : "22106707", "abstract" : "Sustainability-related risks and risk management frameworks have been introduced in the literature to help project managers identify and manage critical risks influencing project sustainability. Theoretically grounded in the framework of Monte Carlo Simulation, this paper introduces and operationalizes a new process for prioritizing sustainability-related project risks using risk matrix data. Sustainability-related construction project risks have never been assessed relative to different confidence levels across the risk matrix-based exposure zones. The application of the proposed process on construction projects completed in the United Arab Emirates reveals that the conventional risk prioritization scheme undermines the importance of tail risks (unexpected events), whereas such risks are captured in the proposed process. In contrast to the most critical risks identified using the conventional scheme such as shortage of client's funding, insufficient or incorrect sustainable design operation, and design changes, the proposed process prioritizes risks such as poor productivity of labor and equipment in sustainable construction, unreasonable tight schedule for sustainable construction, and poor scope definition of sustainable construction. The proposed process is generalizable to prioritizing risks influencing sustainability in international construction projects and beneficial for enhancing project sustainability as there is a huge uncertainty associated with sustainability-related risks.", "author" : [ { "dropping-particle" : "", "family" : "Qazi", "given" : "Abroon", "non-dropping-particle" : "", "parse-names" : false, "suffix" : "" }, { "dropping-particle" : "", "family" : "Shamayleh", "given" : "Abdulrahim", "non-dropping-particle" : "", "parse-names" : false, "suffix" : "" }, { "dropping-particle" : "", "family" : "El-Sayegh", "given" : "Sameh", "non-dropping-particle" : "", "parse-names" : false, "suffix" : "" }, { "dropping-particle" : "", "family" : "Formaneck", "given" : "Steven", "non-dropping-particle" : "", "parse-names" : false, "suffix" : "" } ], "container-title" : "Sustainable Cities and Society", "id" : "ITEM-1", "issue" : "October 2020", "issued" : { "date-parts" : [ [ "2021" ] ] }, "page" : "102576", "publisher" : "Elsevier Ltd", "title" : "Prioritizing risks in sustainable construction projects using a risk matrix-based Monte Carlo Simulation approach", "type" : "article-journal", "volume" : "65" }, "uris" : [ "http://www.mendeley.com/documents/?uuid=d343b87e-3e9d-492e-94c0-a48649785ed7" ] } ], "mendeley" : { "formattedCitation" : "[14]", "plainTextFormattedCitation" : "[14]", "previouslyFormattedCitation" : "[14]" }, "properties" : { "noteIndex" : 0 }, "schema" : "https://github.com/citation-style-language/schema/raw/master/csl-citation.json" }</w:instrText>
      </w:r>
      <w:r w:rsidR="00DB309D" w:rsidRPr="001912F1">
        <w:rPr>
          <w:rFonts w:ascii="Times New Roman" w:hAnsi="Times New Roman" w:cs="Times New Roman"/>
        </w:rPr>
        <w:fldChar w:fldCharType="separate"/>
      </w:r>
      <w:r w:rsidR="00A172E2" w:rsidRPr="00A172E2">
        <w:rPr>
          <w:rFonts w:ascii="Times New Roman" w:hAnsi="Times New Roman" w:cs="Times New Roman"/>
          <w:noProof/>
        </w:rPr>
        <w:t>[14]</w:t>
      </w:r>
      <w:r w:rsidR="00DB309D" w:rsidRPr="001912F1">
        <w:rPr>
          <w:rFonts w:ascii="Times New Roman" w:hAnsi="Times New Roman" w:cs="Times New Roman"/>
        </w:rPr>
        <w:fldChar w:fldCharType="end"/>
      </w:r>
      <w:r w:rsidR="00DB309D" w:rsidRPr="001912F1">
        <w:rPr>
          <w:rFonts w:ascii="Times New Roman" w:hAnsi="Times New Roman" w:cs="Times New Roman"/>
        </w:rPr>
        <w:t xml:space="preserve">. </w:t>
      </w:r>
    </w:p>
    <w:p w14:paraId="4AE2D5F1" w14:textId="46C5F8FE" w:rsidR="00E76420" w:rsidRPr="001912F1" w:rsidRDefault="00E76420" w:rsidP="00E76420">
      <w:pPr>
        <w:jc w:val="both"/>
        <w:rPr>
          <w:rFonts w:ascii="Times New Roman" w:hAnsi="Times New Roman" w:cs="Times New Roman"/>
        </w:rPr>
      </w:pPr>
      <w:r w:rsidRPr="001912F1">
        <w:rPr>
          <w:noProof/>
        </w:rPr>
        <w:drawing>
          <wp:inline distT="0" distB="0" distL="0" distR="0" wp14:anchorId="33EE1392" wp14:editId="67164A15">
            <wp:extent cx="5731510" cy="4099560"/>
            <wp:effectExtent l="0" t="0" r="0" b="0"/>
            <wp:docPr id="3" name="Chart 3">
              <a:extLst xmlns:a="http://schemas.openxmlformats.org/drawingml/2006/main">
                <a:ext uri="{FF2B5EF4-FFF2-40B4-BE49-F238E27FC236}">
                  <a16:creationId xmlns:a16="http://schemas.microsoft.com/office/drawing/2014/main" id="{10D61A09-4EF5-4B4B-95C5-DCFEFA8E7E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7DC16D8" w14:textId="187D17F2" w:rsidR="00463120" w:rsidRPr="001912F1" w:rsidRDefault="00E76420" w:rsidP="00632E00">
      <w:pPr>
        <w:spacing w:line="480" w:lineRule="auto"/>
        <w:jc w:val="both"/>
        <w:rPr>
          <w:rFonts w:ascii="Times New Roman" w:hAnsi="Times New Roman" w:cs="Times New Roman"/>
        </w:rPr>
      </w:pPr>
      <w:r w:rsidRPr="001912F1">
        <w:rPr>
          <w:rFonts w:ascii="Times New Roman" w:hAnsi="Times New Roman" w:cs="Times New Roman"/>
          <w:b/>
          <w:bCs/>
        </w:rPr>
        <w:t>Fig. 3</w:t>
      </w:r>
      <w:r w:rsidRPr="001912F1">
        <w:rPr>
          <w:rFonts w:ascii="Times New Roman" w:hAnsi="Times New Roman" w:cs="Times New Roman"/>
        </w:rPr>
        <w:t xml:space="preserve">. </w:t>
      </w:r>
      <w:r w:rsidR="00EF4687" w:rsidRPr="001912F1">
        <w:rPr>
          <w:rFonts w:ascii="Times New Roman" w:hAnsi="Times New Roman" w:cs="Times New Roman"/>
        </w:rPr>
        <w:t>Frequency d</w:t>
      </w:r>
      <w:r w:rsidRPr="001912F1">
        <w:rPr>
          <w:rFonts w:ascii="Times New Roman" w:hAnsi="Times New Roman" w:cs="Times New Roman"/>
        </w:rPr>
        <w:t>istribution of analytical techniques in the included studies</w:t>
      </w:r>
    </w:p>
    <w:p w14:paraId="59E07129" w14:textId="155D69C6" w:rsidR="00310B75" w:rsidRPr="001912F1" w:rsidRDefault="00CB768B" w:rsidP="00CB768B">
      <w:pPr>
        <w:spacing w:line="480" w:lineRule="auto"/>
        <w:jc w:val="both"/>
        <w:rPr>
          <w:rFonts w:ascii="Times New Roman" w:hAnsi="Times New Roman" w:cs="Times New Roman"/>
        </w:rPr>
      </w:pPr>
      <w:r w:rsidRPr="001912F1">
        <w:rPr>
          <w:rFonts w:ascii="Times New Roman" w:hAnsi="Times New Roman" w:cs="Times New Roman"/>
        </w:rPr>
        <w:lastRenderedPageBreak/>
        <w:t xml:space="preserve">While various network modeling techniques, including structural equation modelling (n=2), interpretive structural modeling (n=2), analytic hierarchy process (n=2), social network analysis (n=2), meta-network modeling (n=1), fuzzy analytic network process (n=1), and artificial neural network (n=1) can capture the interdependencies among various risk factors, they also suffer the limitations of the deterministic techniques in risk prioritization and resource allocation </w:t>
      </w:r>
      <w:r w:rsidRPr="001912F1">
        <w:rPr>
          <w:rFonts w:ascii="Times New Roman" w:hAnsi="Times New Roman" w:cs="Times New Roman"/>
        </w:rPr>
        <w:fldChar w:fldCharType="begin" w:fldLock="1"/>
      </w:r>
      <w:r>
        <w:rPr>
          <w:rFonts w:ascii="Times New Roman" w:hAnsi="Times New Roman" w:cs="Times New Roman"/>
        </w:rPr>
        <w:instrText>ADDIN CSL_CITATION { "citationItems" : [ { "id" : "ITEM-1", "itemData" : { "DOI" : "10.1016/j.scs.2020.102576", "ISSN" : "22106707", "abstract" : "Sustainability-related risks and risk management frameworks have been introduced in the literature to help project managers identify and manage critical risks influencing project sustainability. Theoretically grounded in the framework of Monte Carlo Simulation, this paper introduces and operationalizes a new process for prioritizing sustainability-related project risks using risk matrix data. Sustainability-related construction project risks have never been assessed relative to different confidence levels across the risk matrix-based exposure zones. The application of the proposed process on construction projects completed in the United Arab Emirates reveals that the conventional risk prioritization scheme undermines the importance of tail risks (unexpected events), whereas such risks are captured in the proposed process. In contrast to the most critical risks identified using the conventional scheme such as shortage of client's funding, insufficient or incorrect sustainable design operation, and design changes, the proposed process prioritizes risks such as poor productivity of labor and equipment in sustainable construction, unreasonable tight schedule for sustainable construction, and poor scope definition of sustainable construction. The proposed process is generalizable to prioritizing risks influencing sustainability in international construction projects and beneficial for enhancing project sustainability as there is a huge uncertainty associated with sustainability-related risks.", "author" : [ { "dropping-particle" : "", "family" : "Qazi", "given" : "Abroon", "non-dropping-particle" : "", "parse-names" : false, "suffix" : "" }, { "dropping-particle" : "", "family" : "Shamayleh", "given" : "Abdulrahim", "non-dropping-particle" : "", "parse-names" : false, "suffix" : "" }, { "dropping-particle" : "", "family" : "El-Sayegh", "given" : "Sameh", "non-dropping-particle" : "", "parse-names" : false, "suffix" : "" }, { "dropping-particle" : "", "family" : "Formaneck", "given" : "Steven", "non-dropping-particle" : "", "parse-names" : false, "suffix" : "" } ], "container-title" : "Sustainable Cities and Society", "id" : "ITEM-1", "issue" : "October 2020", "issued" : { "date-parts" : [ [ "2021" ] ] }, "page" : "102576", "publisher" : "Elsevier Ltd", "title" : "Prioritizing risks in sustainable construction projects using a risk matrix-based Monte Carlo Simulation approach", "type" : "article-journal", "volume" : "65" }, "uris" : [ "http://www.mendeley.com/documents/?uuid=d343b87e-3e9d-492e-94c0-a48649785ed7" ] } ], "mendeley" : { "formattedCitation" : "[14]", "plainTextFormattedCitation" : "[14]", "previouslyFormattedCitation" : "[14]" }, "properties" : { "noteIndex" : 0 }, "schema" : "https://github.com/citation-style-language/schema/raw/master/csl-citation.json" }</w:instrText>
      </w:r>
      <w:r w:rsidRPr="001912F1">
        <w:rPr>
          <w:rFonts w:ascii="Times New Roman" w:hAnsi="Times New Roman" w:cs="Times New Roman"/>
        </w:rPr>
        <w:fldChar w:fldCharType="separate"/>
      </w:r>
      <w:r w:rsidRPr="00A172E2">
        <w:rPr>
          <w:rFonts w:ascii="Times New Roman" w:hAnsi="Times New Roman" w:cs="Times New Roman"/>
          <w:noProof/>
        </w:rPr>
        <w:t>[14]</w:t>
      </w:r>
      <w:r w:rsidRPr="001912F1">
        <w:rPr>
          <w:rFonts w:ascii="Times New Roman" w:hAnsi="Times New Roman" w:cs="Times New Roman"/>
        </w:rPr>
        <w:fldChar w:fldCharType="end"/>
      </w:r>
      <w:r w:rsidRPr="001912F1">
        <w:rPr>
          <w:rFonts w:ascii="Times New Roman" w:hAnsi="Times New Roman" w:cs="Times New Roman"/>
        </w:rPr>
        <w:t>.</w:t>
      </w:r>
      <w:r>
        <w:rPr>
          <w:rFonts w:ascii="Times New Roman" w:hAnsi="Times New Roman" w:cs="Times New Roman"/>
        </w:rPr>
        <w:t xml:space="preserve"> </w:t>
      </w:r>
      <w:r w:rsidR="005D08AE" w:rsidRPr="001912F1">
        <w:rPr>
          <w:rFonts w:ascii="Times New Roman" w:hAnsi="Times New Roman" w:cs="Times New Roman"/>
        </w:rPr>
        <w:t>P</w:t>
      </w:r>
      <w:r w:rsidR="00C0501F" w:rsidRPr="001912F1">
        <w:rPr>
          <w:rFonts w:ascii="Times New Roman" w:hAnsi="Times New Roman" w:cs="Times New Roman"/>
        </w:rPr>
        <w:t>robabilistic techniques</w:t>
      </w:r>
      <w:r w:rsidR="005D08AE" w:rsidRPr="001912F1">
        <w:rPr>
          <w:rFonts w:ascii="Times New Roman" w:hAnsi="Times New Roman" w:cs="Times New Roman"/>
        </w:rPr>
        <w:t xml:space="preserve"> such as </w:t>
      </w:r>
      <w:r w:rsidR="00C0501F" w:rsidRPr="001912F1">
        <w:rPr>
          <w:rFonts w:ascii="Times New Roman" w:hAnsi="Times New Roman" w:cs="Times New Roman"/>
        </w:rPr>
        <w:t>Monte Carlo simulation (</w:t>
      </w:r>
      <w:r w:rsidR="00BA1814" w:rsidRPr="001912F1">
        <w:rPr>
          <w:rFonts w:ascii="Times New Roman" w:hAnsi="Times New Roman" w:cs="Times New Roman"/>
        </w:rPr>
        <w:t>n=</w:t>
      </w:r>
      <w:r w:rsidR="00C0501F" w:rsidRPr="001912F1">
        <w:rPr>
          <w:rFonts w:ascii="Times New Roman" w:hAnsi="Times New Roman" w:cs="Times New Roman"/>
        </w:rPr>
        <w:t xml:space="preserve">3) can address the </w:t>
      </w:r>
      <w:r w:rsidR="00310B75" w:rsidRPr="001912F1">
        <w:rPr>
          <w:rFonts w:ascii="Times New Roman" w:hAnsi="Times New Roman" w:cs="Times New Roman"/>
        </w:rPr>
        <w:t xml:space="preserve">inherent </w:t>
      </w:r>
      <w:r w:rsidR="00C0501F" w:rsidRPr="001912F1">
        <w:rPr>
          <w:rFonts w:ascii="Times New Roman" w:hAnsi="Times New Roman" w:cs="Times New Roman"/>
        </w:rPr>
        <w:t>shortcomings of the deterministic techniques, but cannot capture the interdependences among various risks</w:t>
      </w:r>
      <w:r w:rsidR="001E3B93" w:rsidRPr="001912F1">
        <w:rPr>
          <w:rFonts w:ascii="Times New Roman" w:hAnsi="Times New Roman" w:cs="Times New Roman"/>
        </w:rPr>
        <w:t xml:space="preserve"> </w:t>
      </w:r>
      <w:r w:rsidR="001E3B93"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"abstract" : "CII created Research Team (RT) 280 to answer the following essential research question: What would be the benefits and implications of applying a probabilistic approach to analyzing cost estimating and scheduling risks for the design and construction of capital projects? The team\u2019s objectives included a review of the industry\u2019s current probabilistic controls practices and their associated risk allocation techniques. To make this review, the team surveyed 104 contractor and owner organizations worldwide, from which 12 were selected for in- depth case studies. For these case studies, team members conducted hundreds of hours of face-to-face interviews and collected risk-related documentation from risk managers and project teams. After analyzing the case studies and interviews, the team conducted an industry-wide validation survey of 73 organizations. The team explored when, why, and how probabilistic approaches were used, and documented the kinds of successes organizations were achieving through probabilistic risk management. The team\u2019s final products include the following: \u2022 identification of the benefits and limitations of probabilistic analysis \u2022 a process roadmap for implementing probabilistic controls at three levels of risk analysis: identification, deterministic, and probabilistic \u2022 Implementation Resource 280-2, Applying Probabilistic Risk Management in Design and Construction Projects, a guide to implementing probabilistic controls, with risk register templates and an example that demonstrates all three levels of risk analysis. \u2022 Implementation Resource 280-3, What\u2019s the Risk?, a laminated guide to selecting the appropriate level of risk analysis and interpreting probabilistic results. v", "author" : [ { "dropping-particle" : "", "family" : "Construction Industry Institute", "given" : "", "non-dropping-particle" : "", "parse-names" : false, "suffix" : "" } ], "id" : "ITEM-1", "issued" : { "date-parts" : [ [ "2013" ] ] }, "number-of-pages" : "55", "publisher-place" : "Austin, TX", "title" : "Applying Probabilistic Risk Management in Design and Construction Projects", "type" : "report" }, "uris" : [ "http://www.mendeley.com/documents/?uuid=cfa35f6e-9e4e-45cc-8305-da21ea5de878" ] } ], "mendeley" : { "formattedCitation" : "[82]", "plainTextFormattedCitation" : "[82]", "previouslyFormattedCitation" : "[82]" }, "properties" : { "noteIndex" : 0 }, "schema" : "https://github.com/citation-style-language/schema/raw/master/csl-citation.json" }</w:instrText>
      </w:r>
      <w:r w:rsidR="001E3B93" w:rsidRPr="001912F1">
        <w:rPr>
          <w:rFonts w:ascii="Times New Roman" w:hAnsi="Times New Roman" w:cs="Times New Roman"/>
        </w:rPr>
        <w:fldChar w:fldCharType="separate"/>
      </w:r>
      <w:r w:rsidR="00A172E2" w:rsidRPr="00A172E2">
        <w:rPr>
          <w:rFonts w:ascii="Times New Roman" w:hAnsi="Times New Roman" w:cs="Times New Roman"/>
          <w:noProof/>
        </w:rPr>
        <w:t>[82]</w:t>
      </w:r>
      <w:r w:rsidR="001E3B93" w:rsidRPr="001912F1">
        <w:rPr>
          <w:rFonts w:ascii="Times New Roman" w:hAnsi="Times New Roman" w:cs="Times New Roman"/>
        </w:rPr>
        <w:fldChar w:fldCharType="end"/>
      </w:r>
      <w:r w:rsidR="00C0501F" w:rsidRPr="001912F1">
        <w:rPr>
          <w:rFonts w:ascii="Times New Roman" w:hAnsi="Times New Roman" w:cs="Times New Roman"/>
        </w:rPr>
        <w:t xml:space="preserve">. </w:t>
      </w:r>
      <w:r w:rsidR="001E3B93" w:rsidRPr="001912F1">
        <w:rPr>
          <w:rFonts w:ascii="Times New Roman" w:hAnsi="Times New Roman" w:cs="Times New Roman"/>
        </w:rPr>
        <w:t xml:space="preserve">Though the probabilistic techniques are considered </w:t>
      </w:r>
      <w:r w:rsidR="00310B75" w:rsidRPr="001912F1">
        <w:rPr>
          <w:rFonts w:ascii="Times New Roman" w:hAnsi="Times New Roman" w:cs="Times New Roman"/>
        </w:rPr>
        <w:t xml:space="preserve">as </w:t>
      </w:r>
      <w:r w:rsidR="001E3B93" w:rsidRPr="001912F1">
        <w:rPr>
          <w:rFonts w:ascii="Times New Roman" w:hAnsi="Times New Roman" w:cs="Times New Roman"/>
        </w:rPr>
        <w:t>the most advanced risk assessment and prioritization techniques, they have been rarely used in the included studies.</w:t>
      </w:r>
      <w:r w:rsidR="00C0501F" w:rsidRPr="001912F1">
        <w:rPr>
          <w:rFonts w:ascii="Times New Roman" w:hAnsi="Times New Roman" w:cs="Times New Roman"/>
        </w:rPr>
        <w:t xml:space="preserve"> </w:t>
      </w:r>
      <w:r w:rsidR="00FB778F" w:rsidRPr="001912F1">
        <w:rPr>
          <w:rFonts w:ascii="Times New Roman" w:hAnsi="Times New Roman" w:cs="Times New Roman"/>
        </w:rPr>
        <w:t xml:space="preserve">Thus, the existing assessment and prioritization schemes for the CRFs for GB projects may have </w:t>
      </w:r>
      <w:r w:rsidR="00020016" w:rsidRPr="001912F1">
        <w:rPr>
          <w:rFonts w:ascii="Times New Roman" w:hAnsi="Times New Roman" w:cs="Times New Roman"/>
        </w:rPr>
        <w:t xml:space="preserve">generated suboptimal outcomes to inform risk management. </w:t>
      </w:r>
    </w:p>
    <w:p w14:paraId="3A381436" w14:textId="5585F088" w:rsidR="00B51CED" w:rsidRPr="001912F1" w:rsidRDefault="008964D6" w:rsidP="00FD5957">
      <w:pPr>
        <w:spacing w:line="480" w:lineRule="auto"/>
        <w:rPr>
          <w:rFonts w:ascii="Times New Roman" w:hAnsi="Times New Roman" w:cs="Times New Roman"/>
          <w:b/>
          <w:bCs/>
          <w:i/>
          <w:iCs/>
        </w:rPr>
      </w:pPr>
      <w:r w:rsidRPr="001912F1">
        <w:rPr>
          <w:rFonts w:ascii="Times New Roman" w:hAnsi="Times New Roman" w:cs="Times New Roman"/>
          <w:b/>
          <w:bCs/>
          <w:i/>
          <w:iCs/>
        </w:rPr>
        <w:t>Ranking of the critical risk factors for green building projects</w:t>
      </w:r>
    </w:p>
    <w:p w14:paraId="02574F6D" w14:textId="13CD4980" w:rsidR="00E400D8" w:rsidRPr="001912F1" w:rsidRDefault="00072369" w:rsidP="00072369">
      <w:pPr>
        <w:spacing w:line="480" w:lineRule="auto"/>
        <w:jc w:val="both"/>
        <w:rPr>
          <w:rFonts w:ascii="Times New Roman" w:hAnsi="Times New Roman" w:cs="Times New Roman"/>
        </w:rPr>
      </w:pPr>
      <w:r w:rsidRPr="001912F1">
        <w:rPr>
          <w:rFonts w:ascii="Times New Roman" w:hAnsi="Times New Roman" w:cs="Times New Roman"/>
        </w:rPr>
        <w:t>The metadata synthesis and analysis revealed ninety-six (96) CRFs for GB projects in the literature.</w:t>
      </w:r>
      <w:r w:rsidR="00400BEA" w:rsidRPr="001912F1">
        <w:rPr>
          <w:rFonts w:ascii="Times New Roman" w:hAnsi="Times New Roman" w:cs="Times New Roman"/>
        </w:rPr>
        <w:t xml:space="preserve"> </w:t>
      </w:r>
      <w:r w:rsidRPr="001912F1">
        <w:rPr>
          <w:rFonts w:ascii="Times New Roman" w:hAnsi="Times New Roman" w:cs="Times New Roman"/>
        </w:rPr>
        <w:t xml:space="preserve">Table </w:t>
      </w:r>
      <w:r w:rsidR="0025686E" w:rsidRPr="001912F1">
        <w:rPr>
          <w:rFonts w:ascii="Times New Roman" w:hAnsi="Times New Roman" w:cs="Times New Roman"/>
        </w:rPr>
        <w:t>2</w:t>
      </w:r>
      <w:r w:rsidRPr="001912F1">
        <w:rPr>
          <w:rFonts w:ascii="Times New Roman" w:hAnsi="Times New Roman" w:cs="Times New Roman"/>
        </w:rPr>
        <w:t xml:space="preserve"> summarizes the citation frequencies and ranking of the identified CRFs for GB projects.</w:t>
      </w:r>
      <w:r w:rsidR="00400BEA" w:rsidRPr="001912F1">
        <w:rPr>
          <w:rFonts w:ascii="Times New Roman" w:hAnsi="Times New Roman" w:cs="Times New Roman"/>
        </w:rPr>
        <w:t xml:space="preserve"> It presents the identified risks</w:t>
      </w:r>
      <w:r w:rsidR="00F24545" w:rsidRPr="001912F1">
        <w:rPr>
          <w:rFonts w:ascii="Times New Roman" w:hAnsi="Times New Roman" w:cs="Times New Roman"/>
        </w:rPr>
        <w:t xml:space="preserve">, </w:t>
      </w:r>
      <w:r w:rsidR="00400BEA" w:rsidRPr="001912F1">
        <w:rPr>
          <w:rFonts w:ascii="Times New Roman" w:hAnsi="Times New Roman" w:cs="Times New Roman"/>
        </w:rPr>
        <w:t>number of studies (i.e., Freq) in the reviewed literature citing each risk</w:t>
      </w:r>
      <w:r w:rsidR="00F24545" w:rsidRPr="001912F1">
        <w:rPr>
          <w:rFonts w:ascii="Times New Roman" w:hAnsi="Times New Roman" w:cs="Times New Roman"/>
        </w:rPr>
        <w:t xml:space="preserve">, and ranks </w:t>
      </w:r>
      <w:r w:rsidR="00400BEA" w:rsidRPr="001912F1">
        <w:rPr>
          <w:rFonts w:ascii="Times New Roman" w:hAnsi="Times New Roman" w:cs="Times New Roman"/>
        </w:rPr>
        <w:t xml:space="preserve">each risk </w:t>
      </w:r>
      <w:r w:rsidR="00F24545" w:rsidRPr="001912F1">
        <w:rPr>
          <w:rFonts w:ascii="Times New Roman" w:hAnsi="Times New Roman" w:cs="Times New Roman"/>
        </w:rPr>
        <w:t>based on the citation frequency</w:t>
      </w:r>
      <w:r w:rsidR="00400BEA" w:rsidRPr="001912F1">
        <w:rPr>
          <w:rFonts w:ascii="Times New Roman" w:hAnsi="Times New Roman" w:cs="Times New Roman"/>
        </w:rPr>
        <w:t xml:space="preserve">. </w:t>
      </w:r>
      <w:r w:rsidR="005E2C0A" w:rsidRPr="001912F1">
        <w:rPr>
          <w:rFonts w:ascii="Times New Roman" w:hAnsi="Times New Roman" w:cs="Times New Roman"/>
        </w:rPr>
        <w:t xml:space="preserve">The top </w:t>
      </w:r>
      <w:r w:rsidR="00BA1814" w:rsidRPr="001912F1">
        <w:rPr>
          <w:rFonts w:ascii="Times New Roman" w:hAnsi="Times New Roman" w:cs="Times New Roman"/>
        </w:rPr>
        <w:t>five</w:t>
      </w:r>
      <w:r w:rsidR="005E2C0A" w:rsidRPr="001912F1">
        <w:rPr>
          <w:rFonts w:ascii="Times New Roman" w:hAnsi="Times New Roman" w:cs="Times New Roman"/>
        </w:rPr>
        <w:t xml:space="preserve"> most-cited CRFs for GB projects include (</w:t>
      </w:r>
      <w:proofErr w:type="spellStart"/>
      <w:r w:rsidR="005E2C0A" w:rsidRPr="001912F1">
        <w:rPr>
          <w:rFonts w:ascii="Times New Roman" w:hAnsi="Times New Roman" w:cs="Times New Roman"/>
        </w:rPr>
        <w:t>i</w:t>
      </w:r>
      <w:proofErr w:type="spellEnd"/>
      <w:r w:rsidR="005E2C0A" w:rsidRPr="001912F1">
        <w:rPr>
          <w:rFonts w:ascii="Times New Roman" w:hAnsi="Times New Roman" w:cs="Times New Roman"/>
        </w:rPr>
        <w:t xml:space="preserve">) shortage of funding and resources (FR1), </w:t>
      </w:r>
      <w:r w:rsidR="005D08AE" w:rsidRPr="001912F1">
        <w:rPr>
          <w:rFonts w:ascii="Times New Roman" w:hAnsi="Times New Roman" w:cs="Times New Roman"/>
        </w:rPr>
        <w:t xml:space="preserve">(ii) </w:t>
      </w:r>
      <w:r w:rsidR="005E2C0A" w:rsidRPr="001912F1">
        <w:rPr>
          <w:rFonts w:ascii="Times New Roman" w:hAnsi="Times New Roman" w:cs="Times New Roman"/>
        </w:rPr>
        <w:t>unavailability and shortage of approved green materials and technologies (MER1),</w:t>
      </w:r>
      <w:r w:rsidR="000B4A97" w:rsidRPr="001912F1">
        <w:rPr>
          <w:rFonts w:ascii="Times New Roman" w:hAnsi="Times New Roman" w:cs="Times New Roman"/>
        </w:rPr>
        <w:t xml:space="preserve"> </w:t>
      </w:r>
      <w:r w:rsidR="005D08AE" w:rsidRPr="001912F1">
        <w:rPr>
          <w:rFonts w:ascii="Times New Roman" w:hAnsi="Times New Roman" w:cs="Times New Roman"/>
        </w:rPr>
        <w:t xml:space="preserve">(iii) </w:t>
      </w:r>
      <w:r w:rsidR="000B4A97" w:rsidRPr="001912F1">
        <w:rPr>
          <w:rFonts w:ascii="Times New Roman" w:hAnsi="Times New Roman" w:cs="Times New Roman"/>
        </w:rPr>
        <w:t xml:space="preserve">poor communication, cooperation, and information sharing between the project team members (SR1), </w:t>
      </w:r>
      <w:r w:rsidR="005D08AE" w:rsidRPr="001912F1">
        <w:rPr>
          <w:rFonts w:ascii="Times New Roman" w:hAnsi="Times New Roman" w:cs="Times New Roman"/>
        </w:rPr>
        <w:t xml:space="preserve">(iv) </w:t>
      </w:r>
      <w:r w:rsidR="00F435A4" w:rsidRPr="001912F1">
        <w:rPr>
          <w:rFonts w:ascii="Times New Roman" w:hAnsi="Times New Roman" w:cs="Times New Roman"/>
        </w:rPr>
        <w:t>inadequate professional knowledge and expertise in efficient green building methods, technologies, and eco-products (TR1),</w:t>
      </w:r>
      <w:r w:rsidR="00BA1814" w:rsidRPr="001912F1">
        <w:rPr>
          <w:rFonts w:ascii="Times New Roman" w:hAnsi="Times New Roman" w:cs="Times New Roman"/>
        </w:rPr>
        <w:t xml:space="preserve"> and</w:t>
      </w:r>
      <w:r w:rsidR="00F435A4" w:rsidRPr="001912F1">
        <w:rPr>
          <w:rFonts w:ascii="Times New Roman" w:hAnsi="Times New Roman" w:cs="Times New Roman"/>
        </w:rPr>
        <w:t xml:space="preserve"> </w:t>
      </w:r>
      <w:r w:rsidR="005D08AE" w:rsidRPr="001912F1">
        <w:rPr>
          <w:rFonts w:ascii="Times New Roman" w:hAnsi="Times New Roman" w:cs="Times New Roman"/>
        </w:rPr>
        <w:t xml:space="preserve">(v) </w:t>
      </w:r>
      <w:r w:rsidR="00F435A4" w:rsidRPr="001912F1">
        <w:rPr>
          <w:rFonts w:ascii="Times New Roman" w:hAnsi="Times New Roman" w:cs="Times New Roman"/>
        </w:rPr>
        <w:t>inflation and changes in prices of green construction materials (FR2)</w:t>
      </w:r>
      <w:r w:rsidR="00BA1814" w:rsidRPr="001912F1">
        <w:rPr>
          <w:rFonts w:ascii="Times New Roman" w:hAnsi="Times New Roman" w:cs="Times New Roman"/>
        </w:rPr>
        <w:t>.</w:t>
      </w:r>
      <w:r w:rsidR="00856005" w:rsidRPr="001912F1">
        <w:rPr>
          <w:rFonts w:ascii="Times New Roman" w:hAnsi="Times New Roman" w:cs="Times New Roman"/>
        </w:rPr>
        <w:t xml:space="preserve"> </w:t>
      </w:r>
    </w:p>
    <w:p w14:paraId="6BCE809F" w14:textId="5A17231E" w:rsidR="00072369" w:rsidRPr="001912F1" w:rsidRDefault="00072369" w:rsidP="00072369">
      <w:pPr>
        <w:spacing w:line="276" w:lineRule="auto"/>
        <w:jc w:val="both"/>
        <w:rPr>
          <w:rFonts w:ascii="Times New Roman" w:hAnsi="Times New Roman" w:cs="Times New Roman"/>
        </w:rPr>
      </w:pPr>
      <w:r w:rsidRPr="001912F1">
        <w:rPr>
          <w:rFonts w:ascii="Times New Roman" w:hAnsi="Times New Roman" w:cs="Times New Roman"/>
          <w:b/>
          <w:bCs/>
        </w:rPr>
        <w:t xml:space="preserve">Table </w:t>
      </w:r>
      <w:r w:rsidR="0025686E" w:rsidRPr="001912F1">
        <w:rPr>
          <w:rFonts w:ascii="Times New Roman" w:hAnsi="Times New Roman" w:cs="Times New Roman"/>
          <w:b/>
          <w:bCs/>
        </w:rPr>
        <w:t>2</w:t>
      </w:r>
      <w:r w:rsidRPr="001912F1">
        <w:rPr>
          <w:rFonts w:ascii="Times New Roman" w:hAnsi="Times New Roman" w:cs="Times New Roman"/>
        </w:rPr>
        <w:t>. Citation frequency ranking of the critical risk factors for green building projects</w:t>
      </w:r>
    </w:p>
    <w:tbl>
      <w:tblPr>
        <w:tblW w:w="9026" w:type="dxa"/>
        <w:tblBorders>
          <w:top w:val="single" w:sz="4" w:space="0" w:color="auto"/>
          <w:bottom w:val="single" w:sz="4" w:space="0" w:color="auto"/>
        </w:tblBorders>
        <w:tblLook w:val="04A0" w:firstRow="1" w:lastRow="0" w:firstColumn="1" w:lastColumn="0" w:noHBand="0" w:noVBand="1"/>
      </w:tblPr>
      <w:tblGrid>
        <w:gridCol w:w="857"/>
        <w:gridCol w:w="6656"/>
        <w:gridCol w:w="709"/>
        <w:gridCol w:w="804"/>
      </w:tblGrid>
      <w:tr w:rsidR="001912F1" w:rsidRPr="001912F1" w14:paraId="221E313D" w14:textId="77777777" w:rsidTr="00072369">
        <w:trPr>
          <w:trHeight w:val="283"/>
        </w:trPr>
        <w:tc>
          <w:tcPr>
            <w:tcW w:w="856" w:type="dxa"/>
            <w:tcBorders>
              <w:top w:val="single" w:sz="4" w:space="0" w:color="auto"/>
              <w:bottom w:val="single" w:sz="4" w:space="0" w:color="auto"/>
            </w:tcBorders>
            <w:shd w:val="clear" w:color="auto" w:fill="auto"/>
            <w:noWrap/>
            <w:hideMark/>
          </w:tcPr>
          <w:p w14:paraId="72D23D48"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ID</w:t>
            </w:r>
          </w:p>
        </w:tc>
        <w:tc>
          <w:tcPr>
            <w:tcW w:w="6657" w:type="dxa"/>
            <w:tcBorders>
              <w:top w:val="single" w:sz="4" w:space="0" w:color="auto"/>
              <w:bottom w:val="single" w:sz="4" w:space="0" w:color="auto"/>
            </w:tcBorders>
            <w:shd w:val="clear" w:color="auto" w:fill="auto"/>
            <w:noWrap/>
            <w:hideMark/>
          </w:tcPr>
          <w:p w14:paraId="0685F769"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Critical risk factor</w:t>
            </w:r>
          </w:p>
        </w:tc>
        <w:tc>
          <w:tcPr>
            <w:tcW w:w="709" w:type="dxa"/>
            <w:tcBorders>
              <w:top w:val="single" w:sz="4" w:space="0" w:color="auto"/>
              <w:bottom w:val="single" w:sz="4" w:space="0" w:color="auto"/>
            </w:tcBorders>
            <w:shd w:val="clear" w:color="auto" w:fill="auto"/>
            <w:noWrap/>
            <w:hideMark/>
          </w:tcPr>
          <w:p w14:paraId="5C711B2F" w14:textId="02C931D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Freq</w:t>
            </w:r>
          </w:p>
        </w:tc>
        <w:tc>
          <w:tcPr>
            <w:tcW w:w="804" w:type="dxa"/>
            <w:tcBorders>
              <w:top w:val="single" w:sz="4" w:space="0" w:color="auto"/>
              <w:bottom w:val="single" w:sz="4" w:space="0" w:color="auto"/>
            </w:tcBorders>
            <w:shd w:val="clear" w:color="auto" w:fill="auto"/>
            <w:noWrap/>
            <w:hideMark/>
          </w:tcPr>
          <w:p w14:paraId="7A2CC212"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Rank</w:t>
            </w:r>
          </w:p>
        </w:tc>
      </w:tr>
      <w:tr w:rsidR="001912F1" w:rsidRPr="001912F1" w14:paraId="1E704271" w14:textId="77777777" w:rsidTr="00072369">
        <w:trPr>
          <w:trHeight w:val="283"/>
        </w:trPr>
        <w:tc>
          <w:tcPr>
            <w:tcW w:w="856" w:type="dxa"/>
            <w:tcBorders>
              <w:top w:val="single" w:sz="4" w:space="0" w:color="auto"/>
            </w:tcBorders>
            <w:shd w:val="clear" w:color="000000" w:fill="4472C4"/>
            <w:noWrap/>
            <w:hideMark/>
          </w:tcPr>
          <w:p w14:paraId="7B53BF02"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 </w:t>
            </w:r>
          </w:p>
        </w:tc>
        <w:tc>
          <w:tcPr>
            <w:tcW w:w="6657" w:type="dxa"/>
            <w:tcBorders>
              <w:top w:val="single" w:sz="4" w:space="0" w:color="auto"/>
            </w:tcBorders>
            <w:shd w:val="clear" w:color="000000" w:fill="4472C4"/>
            <w:noWrap/>
            <w:hideMark/>
          </w:tcPr>
          <w:p w14:paraId="56D3A55D"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Financial risks (FRs)</w:t>
            </w:r>
          </w:p>
        </w:tc>
        <w:tc>
          <w:tcPr>
            <w:tcW w:w="709" w:type="dxa"/>
            <w:tcBorders>
              <w:top w:val="single" w:sz="4" w:space="0" w:color="auto"/>
            </w:tcBorders>
            <w:shd w:val="clear" w:color="000000" w:fill="4472C4"/>
            <w:noWrap/>
            <w:hideMark/>
          </w:tcPr>
          <w:p w14:paraId="107BC185"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 </w:t>
            </w:r>
          </w:p>
        </w:tc>
        <w:tc>
          <w:tcPr>
            <w:tcW w:w="804" w:type="dxa"/>
            <w:tcBorders>
              <w:top w:val="single" w:sz="4" w:space="0" w:color="auto"/>
            </w:tcBorders>
            <w:shd w:val="clear" w:color="000000" w:fill="4472C4"/>
            <w:noWrap/>
            <w:hideMark/>
          </w:tcPr>
          <w:p w14:paraId="76BBD1E5"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 </w:t>
            </w:r>
          </w:p>
        </w:tc>
      </w:tr>
      <w:tr w:rsidR="001912F1" w:rsidRPr="001912F1" w14:paraId="52F0D8D3" w14:textId="77777777" w:rsidTr="00072369">
        <w:trPr>
          <w:trHeight w:val="283"/>
        </w:trPr>
        <w:tc>
          <w:tcPr>
            <w:tcW w:w="856" w:type="dxa"/>
            <w:shd w:val="clear" w:color="auto" w:fill="auto"/>
            <w:noWrap/>
            <w:hideMark/>
          </w:tcPr>
          <w:p w14:paraId="53B1B374"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FR1</w:t>
            </w:r>
          </w:p>
        </w:tc>
        <w:tc>
          <w:tcPr>
            <w:tcW w:w="6657" w:type="dxa"/>
            <w:shd w:val="clear" w:color="auto" w:fill="auto"/>
            <w:noWrap/>
            <w:hideMark/>
          </w:tcPr>
          <w:p w14:paraId="633E5124"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 xml:space="preserve">Shortage of funding and resources </w:t>
            </w:r>
          </w:p>
        </w:tc>
        <w:tc>
          <w:tcPr>
            <w:tcW w:w="709" w:type="dxa"/>
            <w:shd w:val="clear" w:color="auto" w:fill="auto"/>
            <w:noWrap/>
            <w:hideMark/>
          </w:tcPr>
          <w:p w14:paraId="68BBB069"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28</w:t>
            </w:r>
          </w:p>
        </w:tc>
        <w:tc>
          <w:tcPr>
            <w:tcW w:w="804" w:type="dxa"/>
            <w:shd w:val="clear" w:color="auto" w:fill="auto"/>
            <w:noWrap/>
            <w:hideMark/>
          </w:tcPr>
          <w:p w14:paraId="036BA04A"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1</w:t>
            </w:r>
          </w:p>
        </w:tc>
      </w:tr>
      <w:tr w:rsidR="001912F1" w:rsidRPr="001912F1" w14:paraId="79D5BDF5" w14:textId="77777777" w:rsidTr="00072369">
        <w:trPr>
          <w:trHeight w:val="283"/>
        </w:trPr>
        <w:tc>
          <w:tcPr>
            <w:tcW w:w="856" w:type="dxa"/>
            <w:shd w:val="clear" w:color="auto" w:fill="auto"/>
            <w:noWrap/>
            <w:hideMark/>
          </w:tcPr>
          <w:p w14:paraId="7CBAFB5A"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FR2</w:t>
            </w:r>
          </w:p>
        </w:tc>
        <w:tc>
          <w:tcPr>
            <w:tcW w:w="6657" w:type="dxa"/>
            <w:shd w:val="clear" w:color="auto" w:fill="auto"/>
            <w:noWrap/>
            <w:hideMark/>
          </w:tcPr>
          <w:p w14:paraId="2C49B0B2"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Inflation and changes in prices of green construction materials</w:t>
            </w:r>
          </w:p>
        </w:tc>
        <w:tc>
          <w:tcPr>
            <w:tcW w:w="709" w:type="dxa"/>
            <w:shd w:val="clear" w:color="auto" w:fill="auto"/>
            <w:noWrap/>
            <w:hideMark/>
          </w:tcPr>
          <w:p w14:paraId="220C6007"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22</w:t>
            </w:r>
          </w:p>
        </w:tc>
        <w:tc>
          <w:tcPr>
            <w:tcW w:w="804" w:type="dxa"/>
            <w:shd w:val="clear" w:color="auto" w:fill="auto"/>
            <w:noWrap/>
            <w:hideMark/>
          </w:tcPr>
          <w:p w14:paraId="4FCCAB55"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4</w:t>
            </w:r>
          </w:p>
        </w:tc>
      </w:tr>
      <w:tr w:rsidR="001912F1" w:rsidRPr="001912F1" w14:paraId="70A91021" w14:textId="77777777" w:rsidTr="00072369">
        <w:trPr>
          <w:trHeight w:val="283"/>
        </w:trPr>
        <w:tc>
          <w:tcPr>
            <w:tcW w:w="856" w:type="dxa"/>
            <w:shd w:val="clear" w:color="auto" w:fill="auto"/>
            <w:noWrap/>
            <w:hideMark/>
          </w:tcPr>
          <w:p w14:paraId="17E5574B"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FR3</w:t>
            </w:r>
          </w:p>
        </w:tc>
        <w:tc>
          <w:tcPr>
            <w:tcW w:w="6657" w:type="dxa"/>
            <w:shd w:val="clear" w:color="auto" w:fill="auto"/>
            <w:noWrap/>
            <w:hideMark/>
          </w:tcPr>
          <w:p w14:paraId="54529251"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Higher capital costs</w:t>
            </w:r>
          </w:p>
        </w:tc>
        <w:tc>
          <w:tcPr>
            <w:tcW w:w="709" w:type="dxa"/>
            <w:shd w:val="clear" w:color="auto" w:fill="auto"/>
            <w:noWrap/>
            <w:hideMark/>
          </w:tcPr>
          <w:p w14:paraId="7EC3FE7F"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19</w:t>
            </w:r>
          </w:p>
        </w:tc>
        <w:tc>
          <w:tcPr>
            <w:tcW w:w="804" w:type="dxa"/>
            <w:shd w:val="clear" w:color="auto" w:fill="auto"/>
            <w:noWrap/>
            <w:hideMark/>
          </w:tcPr>
          <w:p w14:paraId="40073C82"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9</w:t>
            </w:r>
          </w:p>
        </w:tc>
      </w:tr>
      <w:tr w:rsidR="001912F1" w:rsidRPr="001912F1" w14:paraId="3E7EFCE3" w14:textId="77777777" w:rsidTr="00072369">
        <w:trPr>
          <w:trHeight w:val="283"/>
        </w:trPr>
        <w:tc>
          <w:tcPr>
            <w:tcW w:w="856" w:type="dxa"/>
            <w:shd w:val="clear" w:color="auto" w:fill="auto"/>
            <w:noWrap/>
            <w:hideMark/>
          </w:tcPr>
          <w:p w14:paraId="20DCB814"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lastRenderedPageBreak/>
              <w:t>FR4</w:t>
            </w:r>
          </w:p>
        </w:tc>
        <w:tc>
          <w:tcPr>
            <w:tcW w:w="6657" w:type="dxa"/>
            <w:shd w:val="clear" w:color="auto" w:fill="auto"/>
            <w:noWrap/>
            <w:hideMark/>
          </w:tcPr>
          <w:p w14:paraId="4E8E94EE"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Long and uncertain payback period</w:t>
            </w:r>
          </w:p>
        </w:tc>
        <w:tc>
          <w:tcPr>
            <w:tcW w:w="709" w:type="dxa"/>
            <w:shd w:val="clear" w:color="auto" w:fill="auto"/>
            <w:noWrap/>
            <w:hideMark/>
          </w:tcPr>
          <w:p w14:paraId="4EF45B1B"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14</w:t>
            </w:r>
          </w:p>
        </w:tc>
        <w:tc>
          <w:tcPr>
            <w:tcW w:w="804" w:type="dxa"/>
            <w:shd w:val="clear" w:color="auto" w:fill="auto"/>
            <w:noWrap/>
            <w:hideMark/>
          </w:tcPr>
          <w:p w14:paraId="0F580330"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16</w:t>
            </w:r>
          </w:p>
        </w:tc>
      </w:tr>
      <w:tr w:rsidR="001912F1" w:rsidRPr="001912F1" w14:paraId="4A286A6C" w14:textId="77777777" w:rsidTr="00072369">
        <w:trPr>
          <w:trHeight w:val="283"/>
        </w:trPr>
        <w:tc>
          <w:tcPr>
            <w:tcW w:w="856" w:type="dxa"/>
            <w:shd w:val="clear" w:color="auto" w:fill="auto"/>
            <w:noWrap/>
            <w:hideMark/>
          </w:tcPr>
          <w:p w14:paraId="28B87000"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FR5</w:t>
            </w:r>
          </w:p>
        </w:tc>
        <w:tc>
          <w:tcPr>
            <w:tcW w:w="6657" w:type="dxa"/>
            <w:shd w:val="clear" w:color="auto" w:fill="auto"/>
            <w:noWrap/>
            <w:hideMark/>
          </w:tcPr>
          <w:p w14:paraId="46AD7A2E"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Uncertain market demand and value of green buildings</w:t>
            </w:r>
          </w:p>
        </w:tc>
        <w:tc>
          <w:tcPr>
            <w:tcW w:w="709" w:type="dxa"/>
            <w:shd w:val="clear" w:color="auto" w:fill="auto"/>
            <w:noWrap/>
            <w:hideMark/>
          </w:tcPr>
          <w:p w14:paraId="083509CF"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13</w:t>
            </w:r>
          </w:p>
        </w:tc>
        <w:tc>
          <w:tcPr>
            <w:tcW w:w="804" w:type="dxa"/>
            <w:shd w:val="clear" w:color="auto" w:fill="auto"/>
            <w:noWrap/>
            <w:hideMark/>
          </w:tcPr>
          <w:p w14:paraId="75C60E88"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23</w:t>
            </w:r>
          </w:p>
        </w:tc>
      </w:tr>
      <w:tr w:rsidR="001912F1" w:rsidRPr="001912F1" w14:paraId="65041843" w14:textId="77777777" w:rsidTr="00072369">
        <w:trPr>
          <w:trHeight w:val="283"/>
        </w:trPr>
        <w:tc>
          <w:tcPr>
            <w:tcW w:w="856" w:type="dxa"/>
            <w:shd w:val="clear" w:color="auto" w:fill="auto"/>
            <w:noWrap/>
            <w:hideMark/>
          </w:tcPr>
          <w:p w14:paraId="0B87842F"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FR6</w:t>
            </w:r>
          </w:p>
        </w:tc>
        <w:tc>
          <w:tcPr>
            <w:tcW w:w="6657" w:type="dxa"/>
            <w:shd w:val="clear" w:color="auto" w:fill="auto"/>
            <w:noWrap/>
            <w:hideMark/>
          </w:tcPr>
          <w:p w14:paraId="68E6B578"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Additional design and construction costs of green buildings</w:t>
            </w:r>
          </w:p>
        </w:tc>
        <w:tc>
          <w:tcPr>
            <w:tcW w:w="709" w:type="dxa"/>
            <w:shd w:val="clear" w:color="auto" w:fill="auto"/>
            <w:noWrap/>
            <w:hideMark/>
          </w:tcPr>
          <w:p w14:paraId="75CCB7D9"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13</w:t>
            </w:r>
          </w:p>
        </w:tc>
        <w:tc>
          <w:tcPr>
            <w:tcW w:w="804" w:type="dxa"/>
            <w:shd w:val="clear" w:color="auto" w:fill="auto"/>
            <w:noWrap/>
            <w:hideMark/>
          </w:tcPr>
          <w:p w14:paraId="49B5F851"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23</w:t>
            </w:r>
          </w:p>
        </w:tc>
      </w:tr>
      <w:tr w:rsidR="001912F1" w:rsidRPr="001912F1" w14:paraId="69F40937" w14:textId="77777777" w:rsidTr="00072369">
        <w:trPr>
          <w:trHeight w:val="283"/>
        </w:trPr>
        <w:tc>
          <w:tcPr>
            <w:tcW w:w="856" w:type="dxa"/>
            <w:shd w:val="clear" w:color="auto" w:fill="auto"/>
            <w:noWrap/>
            <w:hideMark/>
          </w:tcPr>
          <w:p w14:paraId="69239E33"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FR7</w:t>
            </w:r>
          </w:p>
        </w:tc>
        <w:tc>
          <w:tcPr>
            <w:tcW w:w="6657" w:type="dxa"/>
            <w:shd w:val="clear" w:color="auto" w:fill="auto"/>
            <w:noWrap/>
            <w:hideMark/>
          </w:tcPr>
          <w:p w14:paraId="1678FEE5"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Currency and interest rates fluctuation</w:t>
            </w:r>
          </w:p>
        </w:tc>
        <w:tc>
          <w:tcPr>
            <w:tcW w:w="709" w:type="dxa"/>
            <w:shd w:val="clear" w:color="auto" w:fill="auto"/>
            <w:noWrap/>
            <w:hideMark/>
          </w:tcPr>
          <w:p w14:paraId="3AD74E0A"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11</w:t>
            </w:r>
          </w:p>
        </w:tc>
        <w:tc>
          <w:tcPr>
            <w:tcW w:w="804" w:type="dxa"/>
            <w:shd w:val="clear" w:color="auto" w:fill="auto"/>
            <w:noWrap/>
            <w:hideMark/>
          </w:tcPr>
          <w:p w14:paraId="70D9ADF8"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33</w:t>
            </w:r>
          </w:p>
        </w:tc>
      </w:tr>
      <w:tr w:rsidR="001912F1" w:rsidRPr="001912F1" w14:paraId="152726B7" w14:textId="77777777" w:rsidTr="00072369">
        <w:trPr>
          <w:trHeight w:val="283"/>
        </w:trPr>
        <w:tc>
          <w:tcPr>
            <w:tcW w:w="856" w:type="dxa"/>
            <w:shd w:val="clear" w:color="auto" w:fill="auto"/>
            <w:noWrap/>
            <w:hideMark/>
          </w:tcPr>
          <w:p w14:paraId="52126237"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FR8</w:t>
            </w:r>
          </w:p>
        </w:tc>
        <w:tc>
          <w:tcPr>
            <w:tcW w:w="6657" w:type="dxa"/>
            <w:shd w:val="clear" w:color="auto" w:fill="auto"/>
            <w:noWrap/>
            <w:hideMark/>
          </w:tcPr>
          <w:p w14:paraId="264EACA7"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Inaccurate estimate of the return on investment</w:t>
            </w:r>
          </w:p>
        </w:tc>
        <w:tc>
          <w:tcPr>
            <w:tcW w:w="709" w:type="dxa"/>
            <w:shd w:val="clear" w:color="auto" w:fill="auto"/>
            <w:noWrap/>
            <w:hideMark/>
          </w:tcPr>
          <w:p w14:paraId="33423FE3"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8</w:t>
            </w:r>
          </w:p>
        </w:tc>
        <w:tc>
          <w:tcPr>
            <w:tcW w:w="804" w:type="dxa"/>
            <w:shd w:val="clear" w:color="auto" w:fill="auto"/>
            <w:noWrap/>
            <w:hideMark/>
          </w:tcPr>
          <w:p w14:paraId="0F99AA4E"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45</w:t>
            </w:r>
          </w:p>
        </w:tc>
      </w:tr>
      <w:tr w:rsidR="001912F1" w:rsidRPr="001912F1" w14:paraId="1A89D972" w14:textId="77777777" w:rsidTr="00072369">
        <w:trPr>
          <w:trHeight w:val="283"/>
        </w:trPr>
        <w:tc>
          <w:tcPr>
            <w:tcW w:w="856" w:type="dxa"/>
            <w:shd w:val="clear" w:color="auto" w:fill="auto"/>
            <w:noWrap/>
            <w:hideMark/>
          </w:tcPr>
          <w:p w14:paraId="1A04ECAF"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FR9</w:t>
            </w:r>
          </w:p>
        </w:tc>
        <w:tc>
          <w:tcPr>
            <w:tcW w:w="6657" w:type="dxa"/>
            <w:shd w:val="clear" w:color="auto" w:fill="auto"/>
            <w:noWrap/>
            <w:hideMark/>
          </w:tcPr>
          <w:p w14:paraId="49F8C3E0"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Delayed payments to the specialist contractor</w:t>
            </w:r>
          </w:p>
        </w:tc>
        <w:tc>
          <w:tcPr>
            <w:tcW w:w="709" w:type="dxa"/>
            <w:shd w:val="clear" w:color="auto" w:fill="auto"/>
            <w:noWrap/>
            <w:hideMark/>
          </w:tcPr>
          <w:p w14:paraId="677F3B18"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7</w:t>
            </w:r>
          </w:p>
        </w:tc>
        <w:tc>
          <w:tcPr>
            <w:tcW w:w="804" w:type="dxa"/>
            <w:shd w:val="clear" w:color="auto" w:fill="auto"/>
            <w:noWrap/>
            <w:hideMark/>
          </w:tcPr>
          <w:p w14:paraId="170AF5F1"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57</w:t>
            </w:r>
          </w:p>
        </w:tc>
      </w:tr>
      <w:tr w:rsidR="001912F1" w:rsidRPr="001912F1" w14:paraId="2C7E6939" w14:textId="77777777" w:rsidTr="00072369">
        <w:trPr>
          <w:trHeight w:val="283"/>
        </w:trPr>
        <w:tc>
          <w:tcPr>
            <w:tcW w:w="856" w:type="dxa"/>
            <w:shd w:val="clear" w:color="auto" w:fill="auto"/>
            <w:noWrap/>
            <w:hideMark/>
          </w:tcPr>
          <w:p w14:paraId="3567BB6A"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FR10</w:t>
            </w:r>
          </w:p>
        </w:tc>
        <w:tc>
          <w:tcPr>
            <w:tcW w:w="6657" w:type="dxa"/>
            <w:shd w:val="clear" w:color="auto" w:fill="auto"/>
            <w:noWrap/>
            <w:hideMark/>
          </w:tcPr>
          <w:p w14:paraId="678D928B"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High cost of green material and equipment</w:t>
            </w:r>
          </w:p>
        </w:tc>
        <w:tc>
          <w:tcPr>
            <w:tcW w:w="709" w:type="dxa"/>
            <w:shd w:val="clear" w:color="auto" w:fill="auto"/>
            <w:noWrap/>
            <w:hideMark/>
          </w:tcPr>
          <w:p w14:paraId="3D3BD1D0"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7</w:t>
            </w:r>
          </w:p>
        </w:tc>
        <w:tc>
          <w:tcPr>
            <w:tcW w:w="804" w:type="dxa"/>
            <w:shd w:val="clear" w:color="auto" w:fill="auto"/>
            <w:noWrap/>
            <w:hideMark/>
          </w:tcPr>
          <w:p w14:paraId="3AECE0F2"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57</w:t>
            </w:r>
          </w:p>
        </w:tc>
      </w:tr>
      <w:tr w:rsidR="001912F1" w:rsidRPr="001912F1" w14:paraId="6F8A8050" w14:textId="77777777" w:rsidTr="00072369">
        <w:trPr>
          <w:trHeight w:val="283"/>
        </w:trPr>
        <w:tc>
          <w:tcPr>
            <w:tcW w:w="856" w:type="dxa"/>
            <w:shd w:val="clear" w:color="auto" w:fill="auto"/>
            <w:noWrap/>
            <w:hideMark/>
          </w:tcPr>
          <w:p w14:paraId="08978A39"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FR11</w:t>
            </w:r>
          </w:p>
        </w:tc>
        <w:tc>
          <w:tcPr>
            <w:tcW w:w="6657" w:type="dxa"/>
            <w:shd w:val="clear" w:color="auto" w:fill="auto"/>
            <w:noWrap/>
            <w:hideMark/>
          </w:tcPr>
          <w:p w14:paraId="389E705E"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Split incentives for developers</w:t>
            </w:r>
          </w:p>
        </w:tc>
        <w:tc>
          <w:tcPr>
            <w:tcW w:w="709" w:type="dxa"/>
            <w:shd w:val="clear" w:color="auto" w:fill="auto"/>
            <w:noWrap/>
            <w:hideMark/>
          </w:tcPr>
          <w:p w14:paraId="3149A0D0"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6</w:t>
            </w:r>
          </w:p>
        </w:tc>
        <w:tc>
          <w:tcPr>
            <w:tcW w:w="804" w:type="dxa"/>
            <w:shd w:val="clear" w:color="auto" w:fill="auto"/>
            <w:noWrap/>
            <w:hideMark/>
          </w:tcPr>
          <w:p w14:paraId="70AB1D28"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63</w:t>
            </w:r>
          </w:p>
        </w:tc>
      </w:tr>
      <w:tr w:rsidR="001912F1" w:rsidRPr="001912F1" w14:paraId="5DD7DE42" w14:textId="77777777" w:rsidTr="00072369">
        <w:trPr>
          <w:trHeight w:val="283"/>
        </w:trPr>
        <w:tc>
          <w:tcPr>
            <w:tcW w:w="856" w:type="dxa"/>
            <w:shd w:val="clear" w:color="auto" w:fill="auto"/>
            <w:noWrap/>
            <w:hideMark/>
          </w:tcPr>
          <w:p w14:paraId="2F6975C6"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FR12</w:t>
            </w:r>
          </w:p>
        </w:tc>
        <w:tc>
          <w:tcPr>
            <w:tcW w:w="6657" w:type="dxa"/>
            <w:shd w:val="clear" w:color="auto" w:fill="auto"/>
            <w:noWrap/>
            <w:hideMark/>
          </w:tcPr>
          <w:p w14:paraId="7BD7F861"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Extra cost of certification and re-testing of products and materials</w:t>
            </w:r>
          </w:p>
        </w:tc>
        <w:tc>
          <w:tcPr>
            <w:tcW w:w="709" w:type="dxa"/>
            <w:shd w:val="clear" w:color="auto" w:fill="auto"/>
            <w:noWrap/>
            <w:hideMark/>
          </w:tcPr>
          <w:p w14:paraId="27609E12"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6</w:t>
            </w:r>
          </w:p>
        </w:tc>
        <w:tc>
          <w:tcPr>
            <w:tcW w:w="804" w:type="dxa"/>
            <w:shd w:val="clear" w:color="auto" w:fill="auto"/>
            <w:noWrap/>
            <w:hideMark/>
          </w:tcPr>
          <w:p w14:paraId="409CE3B1"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63</w:t>
            </w:r>
          </w:p>
        </w:tc>
      </w:tr>
      <w:tr w:rsidR="001912F1" w:rsidRPr="001912F1" w14:paraId="7C977C6F" w14:textId="77777777" w:rsidTr="00072369">
        <w:trPr>
          <w:trHeight w:val="283"/>
        </w:trPr>
        <w:tc>
          <w:tcPr>
            <w:tcW w:w="856" w:type="dxa"/>
            <w:shd w:val="clear" w:color="auto" w:fill="auto"/>
            <w:noWrap/>
            <w:hideMark/>
          </w:tcPr>
          <w:p w14:paraId="3D766577"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FR13</w:t>
            </w:r>
          </w:p>
        </w:tc>
        <w:tc>
          <w:tcPr>
            <w:tcW w:w="6657" w:type="dxa"/>
            <w:shd w:val="clear" w:color="auto" w:fill="auto"/>
            <w:noWrap/>
            <w:hideMark/>
          </w:tcPr>
          <w:p w14:paraId="021F57C2"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Energy saving uncertainty</w:t>
            </w:r>
          </w:p>
        </w:tc>
        <w:tc>
          <w:tcPr>
            <w:tcW w:w="709" w:type="dxa"/>
            <w:shd w:val="clear" w:color="auto" w:fill="auto"/>
            <w:noWrap/>
            <w:hideMark/>
          </w:tcPr>
          <w:p w14:paraId="07765292"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6</w:t>
            </w:r>
          </w:p>
        </w:tc>
        <w:tc>
          <w:tcPr>
            <w:tcW w:w="804" w:type="dxa"/>
            <w:shd w:val="clear" w:color="auto" w:fill="auto"/>
            <w:noWrap/>
            <w:hideMark/>
          </w:tcPr>
          <w:p w14:paraId="614A5B25"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63</w:t>
            </w:r>
          </w:p>
        </w:tc>
      </w:tr>
      <w:tr w:rsidR="001912F1" w:rsidRPr="001912F1" w14:paraId="4B352F8A" w14:textId="77777777" w:rsidTr="00072369">
        <w:trPr>
          <w:trHeight w:val="283"/>
        </w:trPr>
        <w:tc>
          <w:tcPr>
            <w:tcW w:w="856" w:type="dxa"/>
            <w:shd w:val="clear" w:color="auto" w:fill="auto"/>
            <w:noWrap/>
            <w:hideMark/>
          </w:tcPr>
          <w:p w14:paraId="5A8DB5B8"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FR14</w:t>
            </w:r>
          </w:p>
        </w:tc>
        <w:tc>
          <w:tcPr>
            <w:tcW w:w="6657" w:type="dxa"/>
            <w:shd w:val="clear" w:color="auto" w:fill="auto"/>
            <w:noWrap/>
            <w:hideMark/>
          </w:tcPr>
          <w:p w14:paraId="09813661"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Prevalence of significant hidden, unknown, and soft costs of green buildings</w:t>
            </w:r>
          </w:p>
        </w:tc>
        <w:tc>
          <w:tcPr>
            <w:tcW w:w="709" w:type="dxa"/>
            <w:shd w:val="clear" w:color="auto" w:fill="auto"/>
            <w:noWrap/>
            <w:hideMark/>
          </w:tcPr>
          <w:p w14:paraId="3D0FD53F"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5</w:t>
            </w:r>
          </w:p>
        </w:tc>
        <w:tc>
          <w:tcPr>
            <w:tcW w:w="804" w:type="dxa"/>
            <w:shd w:val="clear" w:color="auto" w:fill="auto"/>
            <w:noWrap/>
            <w:hideMark/>
          </w:tcPr>
          <w:p w14:paraId="23749998"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72</w:t>
            </w:r>
          </w:p>
        </w:tc>
      </w:tr>
      <w:tr w:rsidR="001912F1" w:rsidRPr="001912F1" w14:paraId="03C34809" w14:textId="77777777" w:rsidTr="00072369">
        <w:trPr>
          <w:trHeight w:val="283"/>
        </w:trPr>
        <w:tc>
          <w:tcPr>
            <w:tcW w:w="856" w:type="dxa"/>
            <w:shd w:val="clear" w:color="auto" w:fill="auto"/>
            <w:noWrap/>
            <w:hideMark/>
          </w:tcPr>
          <w:p w14:paraId="526D9A5F"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FR15</w:t>
            </w:r>
          </w:p>
        </w:tc>
        <w:tc>
          <w:tcPr>
            <w:tcW w:w="6657" w:type="dxa"/>
            <w:shd w:val="clear" w:color="auto" w:fill="auto"/>
            <w:noWrap/>
            <w:hideMark/>
          </w:tcPr>
          <w:p w14:paraId="51C8152A"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Higher cost premium of green building projects</w:t>
            </w:r>
          </w:p>
        </w:tc>
        <w:tc>
          <w:tcPr>
            <w:tcW w:w="709" w:type="dxa"/>
            <w:shd w:val="clear" w:color="auto" w:fill="auto"/>
            <w:noWrap/>
            <w:hideMark/>
          </w:tcPr>
          <w:p w14:paraId="03E0C042"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3</w:t>
            </w:r>
          </w:p>
        </w:tc>
        <w:tc>
          <w:tcPr>
            <w:tcW w:w="804" w:type="dxa"/>
            <w:shd w:val="clear" w:color="auto" w:fill="auto"/>
            <w:noWrap/>
            <w:hideMark/>
          </w:tcPr>
          <w:p w14:paraId="603C48D7"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88</w:t>
            </w:r>
          </w:p>
        </w:tc>
      </w:tr>
      <w:tr w:rsidR="001912F1" w:rsidRPr="001912F1" w14:paraId="2581DE59" w14:textId="77777777" w:rsidTr="00072369">
        <w:trPr>
          <w:trHeight w:val="283"/>
        </w:trPr>
        <w:tc>
          <w:tcPr>
            <w:tcW w:w="856" w:type="dxa"/>
            <w:shd w:val="clear" w:color="000000" w:fill="4472C4"/>
            <w:noWrap/>
            <w:hideMark/>
          </w:tcPr>
          <w:p w14:paraId="75AF3245"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 </w:t>
            </w:r>
          </w:p>
        </w:tc>
        <w:tc>
          <w:tcPr>
            <w:tcW w:w="6657" w:type="dxa"/>
            <w:shd w:val="clear" w:color="000000" w:fill="4472C4"/>
            <w:noWrap/>
            <w:hideMark/>
          </w:tcPr>
          <w:p w14:paraId="5D287953"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Material and Equipment Risks (MERs)</w:t>
            </w:r>
          </w:p>
        </w:tc>
        <w:tc>
          <w:tcPr>
            <w:tcW w:w="709" w:type="dxa"/>
            <w:shd w:val="clear" w:color="000000" w:fill="4472C4"/>
            <w:noWrap/>
            <w:hideMark/>
          </w:tcPr>
          <w:p w14:paraId="74C35385"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 </w:t>
            </w:r>
          </w:p>
        </w:tc>
        <w:tc>
          <w:tcPr>
            <w:tcW w:w="804" w:type="dxa"/>
            <w:shd w:val="clear" w:color="000000" w:fill="4472C4"/>
            <w:noWrap/>
            <w:hideMark/>
          </w:tcPr>
          <w:p w14:paraId="04680484"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 </w:t>
            </w:r>
          </w:p>
        </w:tc>
      </w:tr>
      <w:tr w:rsidR="001912F1" w:rsidRPr="001912F1" w14:paraId="359E4778" w14:textId="77777777" w:rsidTr="00072369">
        <w:trPr>
          <w:trHeight w:val="283"/>
        </w:trPr>
        <w:tc>
          <w:tcPr>
            <w:tcW w:w="856" w:type="dxa"/>
            <w:shd w:val="clear" w:color="auto" w:fill="auto"/>
            <w:noWrap/>
            <w:hideMark/>
          </w:tcPr>
          <w:p w14:paraId="023BBE20"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MER1</w:t>
            </w:r>
          </w:p>
        </w:tc>
        <w:tc>
          <w:tcPr>
            <w:tcW w:w="6657" w:type="dxa"/>
            <w:shd w:val="clear" w:color="auto" w:fill="auto"/>
            <w:noWrap/>
            <w:hideMark/>
          </w:tcPr>
          <w:p w14:paraId="48F9712B" w14:textId="77777777" w:rsidR="00072369" w:rsidRPr="001912F1" w:rsidRDefault="00072369" w:rsidP="00072369">
            <w:pPr>
              <w:rPr>
                <w:rFonts w:ascii="Times New Roman" w:eastAsia="Times New Roman" w:hAnsi="Times New Roman" w:cs="Times New Roman"/>
                <w:lang w:eastAsia="en-HK"/>
              </w:rPr>
            </w:pPr>
            <w:bookmarkStart w:id="5" w:name="_Hlk107655604"/>
            <w:r w:rsidRPr="001912F1">
              <w:rPr>
                <w:rFonts w:ascii="Times New Roman" w:eastAsia="Times New Roman" w:hAnsi="Times New Roman" w:cs="Times New Roman"/>
                <w:lang w:eastAsia="en-HK"/>
              </w:rPr>
              <w:t>Unavailability and shortage of approved green materials and technologies</w:t>
            </w:r>
            <w:bookmarkEnd w:id="5"/>
          </w:p>
        </w:tc>
        <w:tc>
          <w:tcPr>
            <w:tcW w:w="709" w:type="dxa"/>
            <w:shd w:val="clear" w:color="auto" w:fill="auto"/>
            <w:noWrap/>
            <w:hideMark/>
          </w:tcPr>
          <w:p w14:paraId="24776A86"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25</w:t>
            </w:r>
          </w:p>
        </w:tc>
        <w:tc>
          <w:tcPr>
            <w:tcW w:w="804" w:type="dxa"/>
            <w:shd w:val="clear" w:color="auto" w:fill="auto"/>
            <w:noWrap/>
            <w:hideMark/>
          </w:tcPr>
          <w:p w14:paraId="143E5061"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2</w:t>
            </w:r>
          </w:p>
        </w:tc>
      </w:tr>
      <w:tr w:rsidR="001912F1" w:rsidRPr="001912F1" w14:paraId="10B0D2CB" w14:textId="77777777" w:rsidTr="00072369">
        <w:trPr>
          <w:trHeight w:val="283"/>
        </w:trPr>
        <w:tc>
          <w:tcPr>
            <w:tcW w:w="856" w:type="dxa"/>
            <w:shd w:val="clear" w:color="auto" w:fill="auto"/>
            <w:noWrap/>
            <w:hideMark/>
          </w:tcPr>
          <w:p w14:paraId="1428A335"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MER2</w:t>
            </w:r>
          </w:p>
        </w:tc>
        <w:tc>
          <w:tcPr>
            <w:tcW w:w="6657" w:type="dxa"/>
            <w:shd w:val="clear" w:color="auto" w:fill="auto"/>
            <w:noWrap/>
            <w:hideMark/>
          </w:tcPr>
          <w:p w14:paraId="7609EF35"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Unproven quality of new green products, materials, equipment, and technologies</w:t>
            </w:r>
          </w:p>
        </w:tc>
        <w:tc>
          <w:tcPr>
            <w:tcW w:w="709" w:type="dxa"/>
            <w:shd w:val="clear" w:color="auto" w:fill="auto"/>
            <w:noWrap/>
            <w:hideMark/>
          </w:tcPr>
          <w:p w14:paraId="762AC4FA"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17</w:t>
            </w:r>
          </w:p>
        </w:tc>
        <w:tc>
          <w:tcPr>
            <w:tcW w:w="804" w:type="dxa"/>
            <w:shd w:val="clear" w:color="auto" w:fill="auto"/>
            <w:noWrap/>
            <w:hideMark/>
          </w:tcPr>
          <w:p w14:paraId="61D3AD6B"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12</w:t>
            </w:r>
          </w:p>
        </w:tc>
      </w:tr>
      <w:tr w:rsidR="001912F1" w:rsidRPr="001912F1" w14:paraId="018FE3C2" w14:textId="77777777" w:rsidTr="00072369">
        <w:trPr>
          <w:trHeight w:val="283"/>
        </w:trPr>
        <w:tc>
          <w:tcPr>
            <w:tcW w:w="856" w:type="dxa"/>
            <w:shd w:val="clear" w:color="auto" w:fill="auto"/>
            <w:noWrap/>
            <w:hideMark/>
          </w:tcPr>
          <w:p w14:paraId="6A935EF4"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MER3</w:t>
            </w:r>
          </w:p>
        </w:tc>
        <w:tc>
          <w:tcPr>
            <w:tcW w:w="6657" w:type="dxa"/>
            <w:shd w:val="clear" w:color="auto" w:fill="auto"/>
            <w:noWrap/>
            <w:hideMark/>
          </w:tcPr>
          <w:p w14:paraId="32AEB319"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Inadequate information of green building products, materials, systems, and performance</w:t>
            </w:r>
          </w:p>
        </w:tc>
        <w:tc>
          <w:tcPr>
            <w:tcW w:w="709" w:type="dxa"/>
            <w:shd w:val="clear" w:color="auto" w:fill="auto"/>
            <w:noWrap/>
            <w:hideMark/>
          </w:tcPr>
          <w:p w14:paraId="7319949B"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14</w:t>
            </w:r>
          </w:p>
        </w:tc>
        <w:tc>
          <w:tcPr>
            <w:tcW w:w="804" w:type="dxa"/>
            <w:shd w:val="clear" w:color="auto" w:fill="auto"/>
            <w:noWrap/>
            <w:hideMark/>
          </w:tcPr>
          <w:p w14:paraId="3766E5EF"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16</w:t>
            </w:r>
          </w:p>
        </w:tc>
      </w:tr>
      <w:tr w:rsidR="001912F1" w:rsidRPr="001912F1" w14:paraId="16C3ED01" w14:textId="77777777" w:rsidTr="00072369">
        <w:trPr>
          <w:trHeight w:val="283"/>
        </w:trPr>
        <w:tc>
          <w:tcPr>
            <w:tcW w:w="856" w:type="dxa"/>
            <w:shd w:val="clear" w:color="auto" w:fill="auto"/>
            <w:noWrap/>
            <w:hideMark/>
          </w:tcPr>
          <w:p w14:paraId="08214C77"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MER4</w:t>
            </w:r>
          </w:p>
        </w:tc>
        <w:tc>
          <w:tcPr>
            <w:tcW w:w="6657" w:type="dxa"/>
            <w:shd w:val="clear" w:color="auto" w:fill="auto"/>
            <w:noWrap/>
            <w:hideMark/>
          </w:tcPr>
          <w:p w14:paraId="007F338C"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Unclear information and uncertainty in the performance of green materials, products, and equipment</w:t>
            </w:r>
          </w:p>
        </w:tc>
        <w:tc>
          <w:tcPr>
            <w:tcW w:w="709" w:type="dxa"/>
            <w:shd w:val="clear" w:color="auto" w:fill="auto"/>
            <w:noWrap/>
            <w:hideMark/>
          </w:tcPr>
          <w:p w14:paraId="2AE93753"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11</w:t>
            </w:r>
          </w:p>
        </w:tc>
        <w:tc>
          <w:tcPr>
            <w:tcW w:w="804" w:type="dxa"/>
            <w:shd w:val="clear" w:color="auto" w:fill="auto"/>
            <w:noWrap/>
            <w:hideMark/>
          </w:tcPr>
          <w:p w14:paraId="4FFC227D"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33</w:t>
            </w:r>
          </w:p>
        </w:tc>
      </w:tr>
      <w:tr w:rsidR="001912F1" w:rsidRPr="001912F1" w14:paraId="243E05F4" w14:textId="77777777" w:rsidTr="00072369">
        <w:trPr>
          <w:trHeight w:val="283"/>
        </w:trPr>
        <w:tc>
          <w:tcPr>
            <w:tcW w:w="856" w:type="dxa"/>
            <w:shd w:val="clear" w:color="auto" w:fill="auto"/>
            <w:noWrap/>
            <w:hideMark/>
          </w:tcPr>
          <w:p w14:paraId="7567FFCC"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MER5</w:t>
            </w:r>
          </w:p>
        </w:tc>
        <w:tc>
          <w:tcPr>
            <w:tcW w:w="6657" w:type="dxa"/>
            <w:shd w:val="clear" w:color="auto" w:fill="auto"/>
            <w:noWrap/>
            <w:hideMark/>
          </w:tcPr>
          <w:p w14:paraId="31CD3D68"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Inadequate pool of suppliers of green materials and products</w:t>
            </w:r>
          </w:p>
        </w:tc>
        <w:tc>
          <w:tcPr>
            <w:tcW w:w="709" w:type="dxa"/>
            <w:shd w:val="clear" w:color="auto" w:fill="auto"/>
            <w:noWrap/>
            <w:hideMark/>
          </w:tcPr>
          <w:p w14:paraId="29B981D8"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10</w:t>
            </w:r>
          </w:p>
        </w:tc>
        <w:tc>
          <w:tcPr>
            <w:tcW w:w="804" w:type="dxa"/>
            <w:shd w:val="clear" w:color="auto" w:fill="auto"/>
            <w:noWrap/>
            <w:hideMark/>
          </w:tcPr>
          <w:p w14:paraId="4CB704C0"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37</w:t>
            </w:r>
          </w:p>
        </w:tc>
      </w:tr>
      <w:tr w:rsidR="001912F1" w:rsidRPr="001912F1" w14:paraId="1E6BD4DE" w14:textId="77777777" w:rsidTr="00072369">
        <w:trPr>
          <w:trHeight w:val="283"/>
        </w:trPr>
        <w:tc>
          <w:tcPr>
            <w:tcW w:w="856" w:type="dxa"/>
            <w:shd w:val="clear" w:color="auto" w:fill="auto"/>
            <w:noWrap/>
            <w:hideMark/>
          </w:tcPr>
          <w:p w14:paraId="7A773110"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MER6</w:t>
            </w:r>
          </w:p>
        </w:tc>
        <w:tc>
          <w:tcPr>
            <w:tcW w:w="6657" w:type="dxa"/>
            <w:shd w:val="clear" w:color="auto" w:fill="auto"/>
            <w:noWrap/>
            <w:hideMark/>
          </w:tcPr>
          <w:p w14:paraId="49A22155"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Delay and late delivery of green building materials</w:t>
            </w:r>
          </w:p>
        </w:tc>
        <w:tc>
          <w:tcPr>
            <w:tcW w:w="709" w:type="dxa"/>
            <w:shd w:val="clear" w:color="auto" w:fill="auto"/>
            <w:noWrap/>
            <w:hideMark/>
          </w:tcPr>
          <w:p w14:paraId="6BE590B8"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8</w:t>
            </w:r>
          </w:p>
        </w:tc>
        <w:tc>
          <w:tcPr>
            <w:tcW w:w="804" w:type="dxa"/>
            <w:shd w:val="clear" w:color="auto" w:fill="auto"/>
            <w:noWrap/>
            <w:hideMark/>
          </w:tcPr>
          <w:p w14:paraId="60EDD0B0"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45</w:t>
            </w:r>
          </w:p>
        </w:tc>
      </w:tr>
      <w:tr w:rsidR="001912F1" w:rsidRPr="001912F1" w14:paraId="36B49464" w14:textId="77777777" w:rsidTr="00072369">
        <w:trPr>
          <w:trHeight w:val="283"/>
        </w:trPr>
        <w:tc>
          <w:tcPr>
            <w:tcW w:w="856" w:type="dxa"/>
            <w:shd w:val="clear" w:color="auto" w:fill="auto"/>
            <w:noWrap/>
            <w:hideMark/>
          </w:tcPr>
          <w:p w14:paraId="29D215D4"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MER7</w:t>
            </w:r>
          </w:p>
        </w:tc>
        <w:tc>
          <w:tcPr>
            <w:tcW w:w="6657" w:type="dxa"/>
            <w:shd w:val="clear" w:color="auto" w:fill="auto"/>
            <w:noWrap/>
            <w:hideMark/>
          </w:tcPr>
          <w:p w14:paraId="7B9C1CEF"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Poor quality of green building materials and products</w:t>
            </w:r>
          </w:p>
        </w:tc>
        <w:tc>
          <w:tcPr>
            <w:tcW w:w="709" w:type="dxa"/>
            <w:shd w:val="clear" w:color="auto" w:fill="auto"/>
            <w:noWrap/>
            <w:hideMark/>
          </w:tcPr>
          <w:p w14:paraId="2F0F027F"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8</w:t>
            </w:r>
          </w:p>
        </w:tc>
        <w:tc>
          <w:tcPr>
            <w:tcW w:w="804" w:type="dxa"/>
            <w:shd w:val="clear" w:color="auto" w:fill="auto"/>
            <w:noWrap/>
            <w:hideMark/>
          </w:tcPr>
          <w:p w14:paraId="6DDF9DC6"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45</w:t>
            </w:r>
          </w:p>
        </w:tc>
      </w:tr>
      <w:tr w:rsidR="001912F1" w:rsidRPr="001912F1" w14:paraId="6D7A161A" w14:textId="77777777" w:rsidTr="00072369">
        <w:trPr>
          <w:trHeight w:val="283"/>
        </w:trPr>
        <w:tc>
          <w:tcPr>
            <w:tcW w:w="856" w:type="dxa"/>
            <w:shd w:val="clear" w:color="auto" w:fill="auto"/>
            <w:noWrap/>
            <w:hideMark/>
          </w:tcPr>
          <w:p w14:paraId="48AD83B0"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MER8</w:t>
            </w:r>
          </w:p>
        </w:tc>
        <w:tc>
          <w:tcPr>
            <w:tcW w:w="6657" w:type="dxa"/>
            <w:shd w:val="clear" w:color="auto" w:fill="auto"/>
            <w:noWrap/>
            <w:hideMark/>
          </w:tcPr>
          <w:p w14:paraId="43A1DC17"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Unavailability and shortage of relevant equipment</w:t>
            </w:r>
          </w:p>
        </w:tc>
        <w:tc>
          <w:tcPr>
            <w:tcW w:w="709" w:type="dxa"/>
            <w:shd w:val="clear" w:color="auto" w:fill="auto"/>
            <w:noWrap/>
            <w:hideMark/>
          </w:tcPr>
          <w:p w14:paraId="33854070"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8</w:t>
            </w:r>
          </w:p>
        </w:tc>
        <w:tc>
          <w:tcPr>
            <w:tcW w:w="804" w:type="dxa"/>
            <w:shd w:val="clear" w:color="auto" w:fill="auto"/>
            <w:noWrap/>
            <w:hideMark/>
          </w:tcPr>
          <w:p w14:paraId="1A05D99D"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45</w:t>
            </w:r>
          </w:p>
        </w:tc>
      </w:tr>
      <w:tr w:rsidR="001912F1" w:rsidRPr="001912F1" w14:paraId="00D36F38" w14:textId="77777777" w:rsidTr="00072369">
        <w:trPr>
          <w:trHeight w:val="283"/>
        </w:trPr>
        <w:tc>
          <w:tcPr>
            <w:tcW w:w="856" w:type="dxa"/>
            <w:shd w:val="clear" w:color="auto" w:fill="auto"/>
            <w:noWrap/>
            <w:hideMark/>
          </w:tcPr>
          <w:p w14:paraId="7FAEDAE1"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MER9</w:t>
            </w:r>
          </w:p>
        </w:tc>
        <w:tc>
          <w:tcPr>
            <w:tcW w:w="6657" w:type="dxa"/>
            <w:shd w:val="clear" w:color="auto" w:fill="auto"/>
            <w:noWrap/>
            <w:hideMark/>
          </w:tcPr>
          <w:p w14:paraId="720FD841"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 xml:space="preserve">Inadequate support of manufacturers and suppliers </w:t>
            </w:r>
          </w:p>
        </w:tc>
        <w:tc>
          <w:tcPr>
            <w:tcW w:w="709" w:type="dxa"/>
            <w:shd w:val="clear" w:color="auto" w:fill="auto"/>
            <w:noWrap/>
            <w:hideMark/>
          </w:tcPr>
          <w:p w14:paraId="64E832D1"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3</w:t>
            </w:r>
          </w:p>
        </w:tc>
        <w:tc>
          <w:tcPr>
            <w:tcW w:w="804" w:type="dxa"/>
            <w:shd w:val="clear" w:color="auto" w:fill="auto"/>
            <w:noWrap/>
            <w:hideMark/>
          </w:tcPr>
          <w:p w14:paraId="3AF269D9"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88</w:t>
            </w:r>
          </w:p>
        </w:tc>
      </w:tr>
      <w:tr w:rsidR="001912F1" w:rsidRPr="001912F1" w14:paraId="53CF1B0D" w14:textId="77777777" w:rsidTr="00072369">
        <w:trPr>
          <w:trHeight w:val="283"/>
        </w:trPr>
        <w:tc>
          <w:tcPr>
            <w:tcW w:w="856" w:type="dxa"/>
            <w:shd w:val="clear" w:color="000000" w:fill="4472C4"/>
            <w:noWrap/>
            <w:hideMark/>
          </w:tcPr>
          <w:p w14:paraId="4A5E7276"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 </w:t>
            </w:r>
          </w:p>
        </w:tc>
        <w:tc>
          <w:tcPr>
            <w:tcW w:w="6657" w:type="dxa"/>
            <w:shd w:val="clear" w:color="000000" w:fill="4472C4"/>
            <w:noWrap/>
            <w:hideMark/>
          </w:tcPr>
          <w:p w14:paraId="2459FEC6"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Design risks (DRs)</w:t>
            </w:r>
          </w:p>
        </w:tc>
        <w:tc>
          <w:tcPr>
            <w:tcW w:w="709" w:type="dxa"/>
            <w:shd w:val="clear" w:color="000000" w:fill="4472C4"/>
            <w:noWrap/>
            <w:hideMark/>
          </w:tcPr>
          <w:p w14:paraId="2B8FB212"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 </w:t>
            </w:r>
          </w:p>
        </w:tc>
        <w:tc>
          <w:tcPr>
            <w:tcW w:w="804" w:type="dxa"/>
            <w:shd w:val="clear" w:color="000000" w:fill="4472C4"/>
            <w:noWrap/>
            <w:hideMark/>
          </w:tcPr>
          <w:p w14:paraId="42AF2299"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 </w:t>
            </w:r>
          </w:p>
        </w:tc>
      </w:tr>
      <w:tr w:rsidR="001912F1" w:rsidRPr="001912F1" w14:paraId="2A1FDED0" w14:textId="77777777" w:rsidTr="00072369">
        <w:trPr>
          <w:trHeight w:val="283"/>
        </w:trPr>
        <w:tc>
          <w:tcPr>
            <w:tcW w:w="856" w:type="dxa"/>
            <w:shd w:val="clear" w:color="auto" w:fill="auto"/>
            <w:noWrap/>
            <w:hideMark/>
          </w:tcPr>
          <w:p w14:paraId="4B4DA8E6"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DR1</w:t>
            </w:r>
          </w:p>
        </w:tc>
        <w:tc>
          <w:tcPr>
            <w:tcW w:w="6657" w:type="dxa"/>
            <w:shd w:val="clear" w:color="auto" w:fill="auto"/>
            <w:noWrap/>
            <w:hideMark/>
          </w:tcPr>
          <w:p w14:paraId="7D555DF6"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Poor detailed design with deficiencies in drawings and unclear specifications</w:t>
            </w:r>
          </w:p>
        </w:tc>
        <w:tc>
          <w:tcPr>
            <w:tcW w:w="709" w:type="dxa"/>
            <w:shd w:val="clear" w:color="auto" w:fill="auto"/>
            <w:noWrap/>
            <w:hideMark/>
          </w:tcPr>
          <w:p w14:paraId="4F02A179"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20</w:t>
            </w:r>
          </w:p>
        </w:tc>
        <w:tc>
          <w:tcPr>
            <w:tcW w:w="804" w:type="dxa"/>
            <w:shd w:val="clear" w:color="auto" w:fill="auto"/>
            <w:noWrap/>
            <w:hideMark/>
          </w:tcPr>
          <w:p w14:paraId="32F98995"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6</w:t>
            </w:r>
          </w:p>
        </w:tc>
      </w:tr>
      <w:tr w:rsidR="001912F1" w:rsidRPr="001912F1" w14:paraId="5C79B6C4" w14:textId="77777777" w:rsidTr="00072369">
        <w:trPr>
          <w:trHeight w:val="283"/>
        </w:trPr>
        <w:tc>
          <w:tcPr>
            <w:tcW w:w="856" w:type="dxa"/>
            <w:shd w:val="clear" w:color="auto" w:fill="auto"/>
            <w:noWrap/>
            <w:hideMark/>
          </w:tcPr>
          <w:p w14:paraId="23B3A88E"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DR2</w:t>
            </w:r>
          </w:p>
        </w:tc>
        <w:tc>
          <w:tcPr>
            <w:tcW w:w="6657" w:type="dxa"/>
            <w:shd w:val="clear" w:color="auto" w:fill="auto"/>
            <w:noWrap/>
            <w:hideMark/>
          </w:tcPr>
          <w:p w14:paraId="3E562501"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Inaccurate specification of green construction materials and technologies</w:t>
            </w:r>
          </w:p>
        </w:tc>
        <w:tc>
          <w:tcPr>
            <w:tcW w:w="709" w:type="dxa"/>
            <w:shd w:val="clear" w:color="auto" w:fill="auto"/>
            <w:noWrap/>
            <w:hideMark/>
          </w:tcPr>
          <w:p w14:paraId="09D673E7"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20</w:t>
            </w:r>
          </w:p>
        </w:tc>
        <w:tc>
          <w:tcPr>
            <w:tcW w:w="804" w:type="dxa"/>
            <w:shd w:val="clear" w:color="auto" w:fill="auto"/>
            <w:noWrap/>
            <w:hideMark/>
          </w:tcPr>
          <w:p w14:paraId="032924E9"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6</w:t>
            </w:r>
          </w:p>
        </w:tc>
      </w:tr>
      <w:tr w:rsidR="001912F1" w:rsidRPr="001912F1" w14:paraId="4631E206" w14:textId="77777777" w:rsidTr="00072369">
        <w:trPr>
          <w:trHeight w:val="283"/>
        </w:trPr>
        <w:tc>
          <w:tcPr>
            <w:tcW w:w="856" w:type="dxa"/>
            <w:shd w:val="clear" w:color="auto" w:fill="auto"/>
            <w:noWrap/>
            <w:hideMark/>
          </w:tcPr>
          <w:p w14:paraId="446558EB"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DR3</w:t>
            </w:r>
          </w:p>
        </w:tc>
        <w:tc>
          <w:tcPr>
            <w:tcW w:w="6657" w:type="dxa"/>
            <w:shd w:val="clear" w:color="auto" w:fill="auto"/>
            <w:noWrap/>
            <w:hideMark/>
          </w:tcPr>
          <w:p w14:paraId="7F11066F"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Frequent design changes and variations</w:t>
            </w:r>
          </w:p>
        </w:tc>
        <w:tc>
          <w:tcPr>
            <w:tcW w:w="709" w:type="dxa"/>
            <w:shd w:val="clear" w:color="auto" w:fill="auto"/>
            <w:noWrap/>
            <w:hideMark/>
          </w:tcPr>
          <w:p w14:paraId="4B30D313"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16</w:t>
            </w:r>
          </w:p>
        </w:tc>
        <w:tc>
          <w:tcPr>
            <w:tcW w:w="804" w:type="dxa"/>
            <w:shd w:val="clear" w:color="auto" w:fill="auto"/>
            <w:noWrap/>
            <w:hideMark/>
          </w:tcPr>
          <w:p w14:paraId="2B1E5865"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13</w:t>
            </w:r>
          </w:p>
        </w:tc>
      </w:tr>
      <w:tr w:rsidR="001912F1" w:rsidRPr="001912F1" w14:paraId="6E66C561" w14:textId="77777777" w:rsidTr="00072369">
        <w:trPr>
          <w:trHeight w:val="283"/>
        </w:trPr>
        <w:tc>
          <w:tcPr>
            <w:tcW w:w="856" w:type="dxa"/>
            <w:shd w:val="clear" w:color="auto" w:fill="auto"/>
            <w:noWrap/>
            <w:hideMark/>
          </w:tcPr>
          <w:p w14:paraId="02B8D707"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DR4</w:t>
            </w:r>
          </w:p>
        </w:tc>
        <w:tc>
          <w:tcPr>
            <w:tcW w:w="6657" w:type="dxa"/>
            <w:shd w:val="clear" w:color="auto" w:fill="auto"/>
            <w:noWrap/>
            <w:hideMark/>
          </w:tcPr>
          <w:p w14:paraId="081DC8AA"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Inadequate integration of sustainability into the design and supply chain of green buildings</w:t>
            </w:r>
          </w:p>
        </w:tc>
        <w:tc>
          <w:tcPr>
            <w:tcW w:w="709" w:type="dxa"/>
            <w:shd w:val="clear" w:color="auto" w:fill="auto"/>
            <w:noWrap/>
            <w:hideMark/>
          </w:tcPr>
          <w:p w14:paraId="79A7E02C"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13</w:t>
            </w:r>
          </w:p>
        </w:tc>
        <w:tc>
          <w:tcPr>
            <w:tcW w:w="804" w:type="dxa"/>
            <w:shd w:val="clear" w:color="auto" w:fill="auto"/>
            <w:noWrap/>
            <w:hideMark/>
          </w:tcPr>
          <w:p w14:paraId="384FF495"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23</w:t>
            </w:r>
          </w:p>
        </w:tc>
      </w:tr>
      <w:tr w:rsidR="001912F1" w:rsidRPr="001912F1" w14:paraId="3511999D" w14:textId="77777777" w:rsidTr="00072369">
        <w:trPr>
          <w:trHeight w:val="283"/>
        </w:trPr>
        <w:tc>
          <w:tcPr>
            <w:tcW w:w="856" w:type="dxa"/>
            <w:shd w:val="clear" w:color="auto" w:fill="auto"/>
            <w:noWrap/>
            <w:hideMark/>
          </w:tcPr>
          <w:p w14:paraId="77AEFE7D"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DR5</w:t>
            </w:r>
          </w:p>
        </w:tc>
        <w:tc>
          <w:tcPr>
            <w:tcW w:w="6657" w:type="dxa"/>
            <w:shd w:val="clear" w:color="auto" w:fill="auto"/>
            <w:noWrap/>
            <w:hideMark/>
          </w:tcPr>
          <w:p w14:paraId="0F66031D"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Poor definition of design requirements, procurement criteria, and targets of the client</w:t>
            </w:r>
          </w:p>
        </w:tc>
        <w:tc>
          <w:tcPr>
            <w:tcW w:w="709" w:type="dxa"/>
            <w:shd w:val="clear" w:color="auto" w:fill="auto"/>
            <w:noWrap/>
            <w:hideMark/>
          </w:tcPr>
          <w:p w14:paraId="57923332"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7</w:t>
            </w:r>
          </w:p>
        </w:tc>
        <w:tc>
          <w:tcPr>
            <w:tcW w:w="804" w:type="dxa"/>
            <w:shd w:val="clear" w:color="auto" w:fill="auto"/>
            <w:noWrap/>
            <w:hideMark/>
          </w:tcPr>
          <w:p w14:paraId="1EC2DFD4"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57</w:t>
            </w:r>
          </w:p>
        </w:tc>
      </w:tr>
      <w:tr w:rsidR="001912F1" w:rsidRPr="001912F1" w14:paraId="61BB4AEE" w14:textId="77777777" w:rsidTr="00072369">
        <w:trPr>
          <w:trHeight w:val="283"/>
        </w:trPr>
        <w:tc>
          <w:tcPr>
            <w:tcW w:w="856" w:type="dxa"/>
            <w:shd w:val="clear" w:color="auto" w:fill="auto"/>
            <w:noWrap/>
            <w:hideMark/>
          </w:tcPr>
          <w:p w14:paraId="7F3EEE74"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DR6</w:t>
            </w:r>
          </w:p>
        </w:tc>
        <w:tc>
          <w:tcPr>
            <w:tcW w:w="6657" w:type="dxa"/>
            <w:shd w:val="clear" w:color="auto" w:fill="auto"/>
            <w:noWrap/>
            <w:hideMark/>
          </w:tcPr>
          <w:p w14:paraId="2C4ED0DA"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Inaccurate and insufficient design information</w:t>
            </w:r>
          </w:p>
        </w:tc>
        <w:tc>
          <w:tcPr>
            <w:tcW w:w="709" w:type="dxa"/>
            <w:shd w:val="clear" w:color="auto" w:fill="auto"/>
            <w:noWrap/>
            <w:hideMark/>
          </w:tcPr>
          <w:p w14:paraId="66AF06A5"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6</w:t>
            </w:r>
          </w:p>
        </w:tc>
        <w:tc>
          <w:tcPr>
            <w:tcW w:w="804" w:type="dxa"/>
            <w:shd w:val="clear" w:color="auto" w:fill="auto"/>
            <w:noWrap/>
            <w:hideMark/>
          </w:tcPr>
          <w:p w14:paraId="639EE4C5"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63</w:t>
            </w:r>
          </w:p>
        </w:tc>
      </w:tr>
      <w:tr w:rsidR="001912F1" w:rsidRPr="001912F1" w14:paraId="778EBCA6" w14:textId="77777777" w:rsidTr="00072369">
        <w:trPr>
          <w:trHeight w:val="283"/>
        </w:trPr>
        <w:tc>
          <w:tcPr>
            <w:tcW w:w="856" w:type="dxa"/>
            <w:shd w:val="clear" w:color="000000" w:fill="4472C4"/>
            <w:noWrap/>
            <w:hideMark/>
          </w:tcPr>
          <w:p w14:paraId="693685D8"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 </w:t>
            </w:r>
          </w:p>
        </w:tc>
        <w:tc>
          <w:tcPr>
            <w:tcW w:w="6657" w:type="dxa"/>
            <w:shd w:val="clear" w:color="000000" w:fill="4472C4"/>
            <w:noWrap/>
            <w:hideMark/>
          </w:tcPr>
          <w:p w14:paraId="6BB99332"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Technical risks (TRs)</w:t>
            </w:r>
          </w:p>
        </w:tc>
        <w:tc>
          <w:tcPr>
            <w:tcW w:w="709" w:type="dxa"/>
            <w:shd w:val="clear" w:color="000000" w:fill="4472C4"/>
            <w:noWrap/>
            <w:hideMark/>
          </w:tcPr>
          <w:p w14:paraId="4950DC4D"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 </w:t>
            </w:r>
          </w:p>
        </w:tc>
        <w:tc>
          <w:tcPr>
            <w:tcW w:w="804" w:type="dxa"/>
            <w:shd w:val="clear" w:color="000000" w:fill="4472C4"/>
            <w:noWrap/>
            <w:hideMark/>
          </w:tcPr>
          <w:p w14:paraId="3E20489E"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 </w:t>
            </w:r>
          </w:p>
        </w:tc>
      </w:tr>
      <w:tr w:rsidR="001912F1" w:rsidRPr="001912F1" w14:paraId="106814F0" w14:textId="77777777" w:rsidTr="00072369">
        <w:trPr>
          <w:trHeight w:val="283"/>
        </w:trPr>
        <w:tc>
          <w:tcPr>
            <w:tcW w:w="856" w:type="dxa"/>
            <w:shd w:val="clear" w:color="auto" w:fill="auto"/>
            <w:noWrap/>
            <w:hideMark/>
          </w:tcPr>
          <w:p w14:paraId="39E811AF"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TR1</w:t>
            </w:r>
          </w:p>
        </w:tc>
        <w:tc>
          <w:tcPr>
            <w:tcW w:w="6657" w:type="dxa"/>
            <w:shd w:val="clear" w:color="auto" w:fill="auto"/>
            <w:noWrap/>
            <w:hideMark/>
          </w:tcPr>
          <w:p w14:paraId="16FB3746"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Inadequate professional knowledge and expertise in efficient green building methods, technologies, and eco-products</w:t>
            </w:r>
          </w:p>
        </w:tc>
        <w:tc>
          <w:tcPr>
            <w:tcW w:w="709" w:type="dxa"/>
            <w:shd w:val="clear" w:color="auto" w:fill="auto"/>
            <w:noWrap/>
            <w:hideMark/>
          </w:tcPr>
          <w:p w14:paraId="3E8443F5"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22</w:t>
            </w:r>
          </w:p>
        </w:tc>
        <w:tc>
          <w:tcPr>
            <w:tcW w:w="804" w:type="dxa"/>
            <w:shd w:val="clear" w:color="auto" w:fill="auto"/>
            <w:noWrap/>
            <w:hideMark/>
          </w:tcPr>
          <w:p w14:paraId="732FEB70"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4</w:t>
            </w:r>
          </w:p>
        </w:tc>
      </w:tr>
      <w:tr w:rsidR="001912F1" w:rsidRPr="001912F1" w14:paraId="0C3DE27F" w14:textId="77777777" w:rsidTr="00072369">
        <w:trPr>
          <w:trHeight w:val="283"/>
        </w:trPr>
        <w:tc>
          <w:tcPr>
            <w:tcW w:w="856" w:type="dxa"/>
            <w:shd w:val="clear" w:color="auto" w:fill="auto"/>
            <w:noWrap/>
            <w:hideMark/>
          </w:tcPr>
          <w:p w14:paraId="03F7E860"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TR2</w:t>
            </w:r>
          </w:p>
        </w:tc>
        <w:tc>
          <w:tcPr>
            <w:tcW w:w="6657" w:type="dxa"/>
            <w:shd w:val="clear" w:color="auto" w:fill="auto"/>
            <w:noWrap/>
            <w:hideMark/>
          </w:tcPr>
          <w:p w14:paraId="589A4C4B" w14:textId="77777777" w:rsidR="00072369" w:rsidRPr="001912F1" w:rsidRDefault="00072369" w:rsidP="00072369">
            <w:pPr>
              <w:rPr>
                <w:rFonts w:ascii="Times New Roman" w:eastAsia="Times New Roman" w:hAnsi="Times New Roman" w:cs="Times New Roman"/>
                <w:lang w:eastAsia="en-HK"/>
              </w:rPr>
            </w:pPr>
            <w:bookmarkStart w:id="6" w:name="_Hlk107655907"/>
            <w:r w:rsidRPr="001912F1">
              <w:rPr>
                <w:rFonts w:ascii="Times New Roman" w:eastAsia="Times New Roman" w:hAnsi="Times New Roman" w:cs="Times New Roman"/>
                <w:lang w:eastAsia="en-HK"/>
              </w:rPr>
              <w:t>Lack of competent and experienced green building project team</w:t>
            </w:r>
            <w:bookmarkEnd w:id="6"/>
          </w:p>
        </w:tc>
        <w:tc>
          <w:tcPr>
            <w:tcW w:w="709" w:type="dxa"/>
            <w:shd w:val="clear" w:color="auto" w:fill="auto"/>
            <w:noWrap/>
            <w:hideMark/>
          </w:tcPr>
          <w:p w14:paraId="326DB389"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19</w:t>
            </w:r>
          </w:p>
        </w:tc>
        <w:tc>
          <w:tcPr>
            <w:tcW w:w="804" w:type="dxa"/>
            <w:shd w:val="clear" w:color="auto" w:fill="auto"/>
            <w:noWrap/>
            <w:hideMark/>
          </w:tcPr>
          <w:p w14:paraId="358D63E4"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9</w:t>
            </w:r>
          </w:p>
        </w:tc>
      </w:tr>
      <w:tr w:rsidR="001912F1" w:rsidRPr="001912F1" w14:paraId="2A91B5C0" w14:textId="77777777" w:rsidTr="00072369">
        <w:trPr>
          <w:trHeight w:val="283"/>
        </w:trPr>
        <w:tc>
          <w:tcPr>
            <w:tcW w:w="856" w:type="dxa"/>
            <w:shd w:val="clear" w:color="auto" w:fill="auto"/>
            <w:noWrap/>
            <w:hideMark/>
          </w:tcPr>
          <w:p w14:paraId="3D26CC3F"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TR3</w:t>
            </w:r>
          </w:p>
        </w:tc>
        <w:tc>
          <w:tcPr>
            <w:tcW w:w="6657" w:type="dxa"/>
            <w:shd w:val="clear" w:color="auto" w:fill="auto"/>
            <w:noWrap/>
            <w:hideMark/>
          </w:tcPr>
          <w:p w14:paraId="147669E0"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 xml:space="preserve">Unavailability of skilled and experienced manpower </w:t>
            </w:r>
          </w:p>
        </w:tc>
        <w:tc>
          <w:tcPr>
            <w:tcW w:w="709" w:type="dxa"/>
            <w:shd w:val="clear" w:color="auto" w:fill="auto"/>
            <w:noWrap/>
            <w:hideMark/>
          </w:tcPr>
          <w:p w14:paraId="1DC879D0"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14</w:t>
            </w:r>
          </w:p>
        </w:tc>
        <w:tc>
          <w:tcPr>
            <w:tcW w:w="804" w:type="dxa"/>
            <w:shd w:val="clear" w:color="auto" w:fill="auto"/>
            <w:noWrap/>
            <w:hideMark/>
          </w:tcPr>
          <w:p w14:paraId="2EF5E652"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16</w:t>
            </w:r>
          </w:p>
        </w:tc>
      </w:tr>
      <w:tr w:rsidR="001912F1" w:rsidRPr="001912F1" w14:paraId="6F1602E8" w14:textId="77777777" w:rsidTr="00072369">
        <w:trPr>
          <w:trHeight w:val="283"/>
        </w:trPr>
        <w:tc>
          <w:tcPr>
            <w:tcW w:w="856" w:type="dxa"/>
            <w:shd w:val="clear" w:color="auto" w:fill="auto"/>
            <w:noWrap/>
            <w:hideMark/>
          </w:tcPr>
          <w:p w14:paraId="32F6580C"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TR4</w:t>
            </w:r>
          </w:p>
        </w:tc>
        <w:tc>
          <w:tcPr>
            <w:tcW w:w="6657" w:type="dxa"/>
            <w:shd w:val="clear" w:color="auto" w:fill="auto"/>
            <w:noWrap/>
            <w:hideMark/>
          </w:tcPr>
          <w:p w14:paraId="2F9CA146"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 xml:space="preserve">Unfamiliarity with green building techniques and technologies </w:t>
            </w:r>
          </w:p>
        </w:tc>
        <w:tc>
          <w:tcPr>
            <w:tcW w:w="709" w:type="dxa"/>
            <w:shd w:val="clear" w:color="auto" w:fill="auto"/>
            <w:noWrap/>
            <w:hideMark/>
          </w:tcPr>
          <w:p w14:paraId="26E3B6E6"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14</w:t>
            </w:r>
          </w:p>
        </w:tc>
        <w:tc>
          <w:tcPr>
            <w:tcW w:w="804" w:type="dxa"/>
            <w:shd w:val="clear" w:color="auto" w:fill="auto"/>
            <w:noWrap/>
            <w:hideMark/>
          </w:tcPr>
          <w:p w14:paraId="08EC5F70"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16</w:t>
            </w:r>
          </w:p>
        </w:tc>
      </w:tr>
      <w:tr w:rsidR="001912F1" w:rsidRPr="001912F1" w14:paraId="18A11836" w14:textId="77777777" w:rsidTr="00072369">
        <w:trPr>
          <w:trHeight w:val="283"/>
        </w:trPr>
        <w:tc>
          <w:tcPr>
            <w:tcW w:w="856" w:type="dxa"/>
            <w:shd w:val="clear" w:color="auto" w:fill="auto"/>
            <w:noWrap/>
            <w:hideMark/>
          </w:tcPr>
          <w:p w14:paraId="3A7A7977"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TR5</w:t>
            </w:r>
          </w:p>
        </w:tc>
        <w:tc>
          <w:tcPr>
            <w:tcW w:w="6657" w:type="dxa"/>
            <w:shd w:val="clear" w:color="auto" w:fill="auto"/>
            <w:noWrap/>
            <w:hideMark/>
          </w:tcPr>
          <w:p w14:paraId="07929563"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Lack of quantitative tools and models to evaluate cost, benefits, and certification of green building</w:t>
            </w:r>
          </w:p>
        </w:tc>
        <w:tc>
          <w:tcPr>
            <w:tcW w:w="709" w:type="dxa"/>
            <w:shd w:val="clear" w:color="auto" w:fill="auto"/>
            <w:noWrap/>
            <w:hideMark/>
          </w:tcPr>
          <w:p w14:paraId="1D79B190"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13</w:t>
            </w:r>
          </w:p>
        </w:tc>
        <w:tc>
          <w:tcPr>
            <w:tcW w:w="804" w:type="dxa"/>
            <w:shd w:val="clear" w:color="auto" w:fill="auto"/>
            <w:noWrap/>
            <w:hideMark/>
          </w:tcPr>
          <w:p w14:paraId="609D966F"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23</w:t>
            </w:r>
          </w:p>
        </w:tc>
      </w:tr>
      <w:tr w:rsidR="001912F1" w:rsidRPr="001912F1" w14:paraId="59620726" w14:textId="77777777" w:rsidTr="00072369">
        <w:trPr>
          <w:trHeight w:val="283"/>
        </w:trPr>
        <w:tc>
          <w:tcPr>
            <w:tcW w:w="856" w:type="dxa"/>
            <w:shd w:val="clear" w:color="auto" w:fill="auto"/>
            <w:noWrap/>
            <w:hideMark/>
          </w:tcPr>
          <w:p w14:paraId="772A9B11"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TR6</w:t>
            </w:r>
          </w:p>
        </w:tc>
        <w:tc>
          <w:tcPr>
            <w:tcW w:w="6657" w:type="dxa"/>
            <w:shd w:val="clear" w:color="auto" w:fill="auto"/>
            <w:noWrap/>
            <w:hideMark/>
          </w:tcPr>
          <w:p w14:paraId="388BD802"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 xml:space="preserve">Longer planning, design and procurement time required to incorporate green objectives </w:t>
            </w:r>
          </w:p>
        </w:tc>
        <w:tc>
          <w:tcPr>
            <w:tcW w:w="709" w:type="dxa"/>
            <w:shd w:val="clear" w:color="auto" w:fill="auto"/>
            <w:noWrap/>
            <w:hideMark/>
          </w:tcPr>
          <w:p w14:paraId="67EA8FE1"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12</w:t>
            </w:r>
          </w:p>
        </w:tc>
        <w:tc>
          <w:tcPr>
            <w:tcW w:w="804" w:type="dxa"/>
            <w:shd w:val="clear" w:color="auto" w:fill="auto"/>
            <w:noWrap/>
            <w:hideMark/>
          </w:tcPr>
          <w:p w14:paraId="2C9E8BB2"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29</w:t>
            </w:r>
          </w:p>
        </w:tc>
      </w:tr>
      <w:tr w:rsidR="001912F1" w:rsidRPr="001912F1" w14:paraId="50A3491D" w14:textId="77777777" w:rsidTr="00072369">
        <w:trPr>
          <w:trHeight w:val="283"/>
        </w:trPr>
        <w:tc>
          <w:tcPr>
            <w:tcW w:w="856" w:type="dxa"/>
            <w:shd w:val="clear" w:color="auto" w:fill="auto"/>
            <w:noWrap/>
            <w:hideMark/>
          </w:tcPr>
          <w:p w14:paraId="20B934B1"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TR7</w:t>
            </w:r>
          </w:p>
        </w:tc>
        <w:tc>
          <w:tcPr>
            <w:tcW w:w="6657" w:type="dxa"/>
            <w:shd w:val="clear" w:color="auto" w:fill="auto"/>
            <w:noWrap/>
            <w:hideMark/>
          </w:tcPr>
          <w:p w14:paraId="7C2735C0"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Long lead times for green products and materials</w:t>
            </w:r>
          </w:p>
        </w:tc>
        <w:tc>
          <w:tcPr>
            <w:tcW w:w="709" w:type="dxa"/>
            <w:shd w:val="clear" w:color="auto" w:fill="auto"/>
            <w:noWrap/>
            <w:hideMark/>
          </w:tcPr>
          <w:p w14:paraId="07460396"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11</w:t>
            </w:r>
          </w:p>
        </w:tc>
        <w:tc>
          <w:tcPr>
            <w:tcW w:w="804" w:type="dxa"/>
            <w:shd w:val="clear" w:color="auto" w:fill="auto"/>
            <w:noWrap/>
            <w:hideMark/>
          </w:tcPr>
          <w:p w14:paraId="24043649"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33</w:t>
            </w:r>
          </w:p>
        </w:tc>
      </w:tr>
      <w:tr w:rsidR="001912F1" w:rsidRPr="001912F1" w14:paraId="613C2630" w14:textId="77777777" w:rsidTr="00072369">
        <w:trPr>
          <w:trHeight w:val="283"/>
        </w:trPr>
        <w:tc>
          <w:tcPr>
            <w:tcW w:w="856" w:type="dxa"/>
            <w:shd w:val="clear" w:color="auto" w:fill="auto"/>
            <w:noWrap/>
            <w:hideMark/>
          </w:tcPr>
          <w:p w14:paraId="2338B906"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lastRenderedPageBreak/>
              <w:t>TR8</w:t>
            </w:r>
          </w:p>
        </w:tc>
        <w:tc>
          <w:tcPr>
            <w:tcW w:w="6657" w:type="dxa"/>
            <w:shd w:val="clear" w:color="auto" w:fill="auto"/>
            <w:noWrap/>
            <w:hideMark/>
          </w:tcPr>
          <w:p w14:paraId="521EECB3"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Improper feasibility, planning and scheduling for green buildings</w:t>
            </w:r>
          </w:p>
        </w:tc>
        <w:tc>
          <w:tcPr>
            <w:tcW w:w="709" w:type="dxa"/>
            <w:shd w:val="clear" w:color="auto" w:fill="auto"/>
            <w:noWrap/>
            <w:hideMark/>
          </w:tcPr>
          <w:p w14:paraId="076B80D9"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10</w:t>
            </w:r>
          </w:p>
        </w:tc>
        <w:tc>
          <w:tcPr>
            <w:tcW w:w="804" w:type="dxa"/>
            <w:shd w:val="clear" w:color="auto" w:fill="auto"/>
            <w:noWrap/>
            <w:hideMark/>
          </w:tcPr>
          <w:p w14:paraId="423AB4F0"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37</w:t>
            </w:r>
          </w:p>
        </w:tc>
      </w:tr>
      <w:tr w:rsidR="001912F1" w:rsidRPr="001912F1" w14:paraId="6BB47102" w14:textId="77777777" w:rsidTr="00072369">
        <w:trPr>
          <w:trHeight w:val="283"/>
        </w:trPr>
        <w:tc>
          <w:tcPr>
            <w:tcW w:w="856" w:type="dxa"/>
            <w:shd w:val="clear" w:color="auto" w:fill="auto"/>
            <w:noWrap/>
            <w:hideMark/>
          </w:tcPr>
          <w:p w14:paraId="5B91F8D2"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TR9</w:t>
            </w:r>
          </w:p>
        </w:tc>
        <w:tc>
          <w:tcPr>
            <w:tcW w:w="6657" w:type="dxa"/>
            <w:shd w:val="clear" w:color="auto" w:fill="auto"/>
            <w:noWrap/>
            <w:hideMark/>
          </w:tcPr>
          <w:p w14:paraId="0A037406" w14:textId="06784AD8"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 xml:space="preserve">Low </w:t>
            </w:r>
            <w:r w:rsidR="00A832E1" w:rsidRPr="001912F1">
              <w:rPr>
                <w:rFonts w:ascii="Times New Roman" w:eastAsia="Times New Roman" w:hAnsi="Times New Roman" w:cs="Times New Roman"/>
                <w:lang w:eastAsia="en-HK"/>
              </w:rPr>
              <w:t>labor</w:t>
            </w:r>
            <w:r w:rsidRPr="001912F1">
              <w:rPr>
                <w:rFonts w:ascii="Times New Roman" w:eastAsia="Times New Roman" w:hAnsi="Times New Roman" w:cs="Times New Roman"/>
                <w:lang w:eastAsia="en-HK"/>
              </w:rPr>
              <w:t xml:space="preserve"> and equipment productivity </w:t>
            </w:r>
          </w:p>
        </w:tc>
        <w:tc>
          <w:tcPr>
            <w:tcW w:w="709" w:type="dxa"/>
            <w:shd w:val="clear" w:color="auto" w:fill="auto"/>
            <w:noWrap/>
            <w:hideMark/>
          </w:tcPr>
          <w:p w14:paraId="4186B497"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8</w:t>
            </w:r>
          </w:p>
        </w:tc>
        <w:tc>
          <w:tcPr>
            <w:tcW w:w="804" w:type="dxa"/>
            <w:shd w:val="clear" w:color="auto" w:fill="auto"/>
            <w:noWrap/>
            <w:hideMark/>
          </w:tcPr>
          <w:p w14:paraId="67CAD759"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45</w:t>
            </w:r>
          </w:p>
        </w:tc>
      </w:tr>
      <w:tr w:rsidR="001912F1" w:rsidRPr="001912F1" w14:paraId="136DE870" w14:textId="77777777" w:rsidTr="00072369">
        <w:trPr>
          <w:trHeight w:val="283"/>
        </w:trPr>
        <w:tc>
          <w:tcPr>
            <w:tcW w:w="856" w:type="dxa"/>
            <w:shd w:val="clear" w:color="auto" w:fill="auto"/>
            <w:noWrap/>
            <w:hideMark/>
          </w:tcPr>
          <w:p w14:paraId="0460475A"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TR10</w:t>
            </w:r>
          </w:p>
        </w:tc>
        <w:tc>
          <w:tcPr>
            <w:tcW w:w="6657" w:type="dxa"/>
            <w:shd w:val="clear" w:color="auto" w:fill="auto"/>
            <w:noWrap/>
            <w:hideMark/>
          </w:tcPr>
          <w:p w14:paraId="7C9DF147"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Incompetent design team with limited experience</w:t>
            </w:r>
          </w:p>
        </w:tc>
        <w:tc>
          <w:tcPr>
            <w:tcW w:w="709" w:type="dxa"/>
            <w:shd w:val="clear" w:color="auto" w:fill="auto"/>
            <w:noWrap/>
            <w:hideMark/>
          </w:tcPr>
          <w:p w14:paraId="523E29BA"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8</w:t>
            </w:r>
          </w:p>
        </w:tc>
        <w:tc>
          <w:tcPr>
            <w:tcW w:w="804" w:type="dxa"/>
            <w:shd w:val="clear" w:color="auto" w:fill="auto"/>
            <w:noWrap/>
            <w:hideMark/>
          </w:tcPr>
          <w:p w14:paraId="35D3A501"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45</w:t>
            </w:r>
          </w:p>
        </w:tc>
      </w:tr>
      <w:tr w:rsidR="001912F1" w:rsidRPr="001912F1" w14:paraId="25E1DE18" w14:textId="77777777" w:rsidTr="00072369">
        <w:trPr>
          <w:trHeight w:val="283"/>
        </w:trPr>
        <w:tc>
          <w:tcPr>
            <w:tcW w:w="856" w:type="dxa"/>
            <w:shd w:val="clear" w:color="auto" w:fill="auto"/>
            <w:noWrap/>
            <w:hideMark/>
          </w:tcPr>
          <w:p w14:paraId="7A7AD8B1"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TR11</w:t>
            </w:r>
          </w:p>
        </w:tc>
        <w:tc>
          <w:tcPr>
            <w:tcW w:w="6657" w:type="dxa"/>
            <w:shd w:val="clear" w:color="auto" w:fill="auto"/>
            <w:noWrap/>
            <w:hideMark/>
          </w:tcPr>
          <w:p w14:paraId="55D7ED7E"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Inadequate knowledge of green building options</w:t>
            </w:r>
          </w:p>
        </w:tc>
        <w:tc>
          <w:tcPr>
            <w:tcW w:w="709" w:type="dxa"/>
            <w:shd w:val="clear" w:color="auto" w:fill="auto"/>
            <w:noWrap/>
            <w:hideMark/>
          </w:tcPr>
          <w:p w14:paraId="57BEE9E4"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5</w:t>
            </w:r>
          </w:p>
        </w:tc>
        <w:tc>
          <w:tcPr>
            <w:tcW w:w="804" w:type="dxa"/>
            <w:shd w:val="clear" w:color="auto" w:fill="auto"/>
            <w:noWrap/>
            <w:hideMark/>
          </w:tcPr>
          <w:p w14:paraId="521FB7FA"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72</w:t>
            </w:r>
          </w:p>
        </w:tc>
      </w:tr>
      <w:tr w:rsidR="001912F1" w:rsidRPr="001912F1" w14:paraId="291DA744" w14:textId="77777777" w:rsidTr="00072369">
        <w:trPr>
          <w:trHeight w:val="283"/>
        </w:trPr>
        <w:tc>
          <w:tcPr>
            <w:tcW w:w="856" w:type="dxa"/>
            <w:shd w:val="clear" w:color="auto" w:fill="auto"/>
            <w:noWrap/>
            <w:hideMark/>
          </w:tcPr>
          <w:p w14:paraId="65120440"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TR12</w:t>
            </w:r>
          </w:p>
        </w:tc>
        <w:tc>
          <w:tcPr>
            <w:tcW w:w="6657" w:type="dxa"/>
            <w:shd w:val="clear" w:color="auto" w:fill="auto"/>
            <w:noWrap/>
            <w:hideMark/>
          </w:tcPr>
          <w:p w14:paraId="7F39FAAA"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 xml:space="preserve">Uncertainty over green building performance </w:t>
            </w:r>
          </w:p>
        </w:tc>
        <w:tc>
          <w:tcPr>
            <w:tcW w:w="709" w:type="dxa"/>
            <w:shd w:val="clear" w:color="auto" w:fill="auto"/>
            <w:noWrap/>
            <w:hideMark/>
          </w:tcPr>
          <w:p w14:paraId="6E524FC7"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4</w:t>
            </w:r>
          </w:p>
        </w:tc>
        <w:tc>
          <w:tcPr>
            <w:tcW w:w="804" w:type="dxa"/>
            <w:shd w:val="clear" w:color="auto" w:fill="auto"/>
            <w:noWrap/>
            <w:hideMark/>
          </w:tcPr>
          <w:p w14:paraId="66CB8797"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80</w:t>
            </w:r>
          </w:p>
        </w:tc>
      </w:tr>
      <w:tr w:rsidR="001912F1" w:rsidRPr="001912F1" w14:paraId="4E16F2C5" w14:textId="77777777" w:rsidTr="00072369">
        <w:trPr>
          <w:trHeight w:val="283"/>
        </w:trPr>
        <w:tc>
          <w:tcPr>
            <w:tcW w:w="856" w:type="dxa"/>
            <w:shd w:val="clear" w:color="auto" w:fill="auto"/>
            <w:noWrap/>
            <w:hideMark/>
          </w:tcPr>
          <w:p w14:paraId="71A69565"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TR13</w:t>
            </w:r>
          </w:p>
        </w:tc>
        <w:tc>
          <w:tcPr>
            <w:tcW w:w="6657" w:type="dxa"/>
            <w:shd w:val="clear" w:color="auto" w:fill="auto"/>
            <w:noWrap/>
            <w:hideMark/>
          </w:tcPr>
          <w:p w14:paraId="1EBE3EA7"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Technical complexity of design and construction of green buildings</w:t>
            </w:r>
          </w:p>
        </w:tc>
        <w:tc>
          <w:tcPr>
            <w:tcW w:w="709" w:type="dxa"/>
            <w:shd w:val="clear" w:color="auto" w:fill="auto"/>
            <w:noWrap/>
            <w:hideMark/>
          </w:tcPr>
          <w:p w14:paraId="037642FF"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4</w:t>
            </w:r>
          </w:p>
        </w:tc>
        <w:tc>
          <w:tcPr>
            <w:tcW w:w="804" w:type="dxa"/>
            <w:shd w:val="clear" w:color="auto" w:fill="auto"/>
            <w:noWrap/>
            <w:hideMark/>
          </w:tcPr>
          <w:p w14:paraId="6AF4D832"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80</w:t>
            </w:r>
          </w:p>
        </w:tc>
      </w:tr>
      <w:tr w:rsidR="001912F1" w:rsidRPr="001912F1" w14:paraId="4AE35DE3" w14:textId="77777777" w:rsidTr="00072369">
        <w:trPr>
          <w:trHeight w:val="283"/>
        </w:trPr>
        <w:tc>
          <w:tcPr>
            <w:tcW w:w="856" w:type="dxa"/>
            <w:shd w:val="clear" w:color="auto" w:fill="auto"/>
            <w:noWrap/>
            <w:hideMark/>
          </w:tcPr>
          <w:p w14:paraId="616C4C1A"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TR14</w:t>
            </w:r>
          </w:p>
        </w:tc>
        <w:tc>
          <w:tcPr>
            <w:tcW w:w="6657" w:type="dxa"/>
            <w:shd w:val="clear" w:color="auto" w:fill="auto"/>
            <w:noWrap/>
            <w:hideMark/>
          </w:tcPr>
          <w:p w14:paraId="12B067CD"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Inadequate experience and expertise in integrated design, procurement, and construction methods</w:t>
            </w:r>
          </w:p>
        </w:tc>
        <w:tc>
          <w:tcPr>
            <w:tcW w:w="709" w:type="dxa"/>
            <w:shd w:val="clear" w:color="auto" w:fill="auto"/>
            <w:noWrap/>
            <w:hideMark/>
          </w:tcPr>
          <w:p w14:paraId="148ADB99"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4</w:t>
            </w:r>
          </w:p>
        </w:tc>
        <w:tc>
          <w:tcPr>
            <w:tcW w:w="804" w:type="dxa"/>
            <w:shd w:val="clear" w:color="auto" w:fill="auto"/>
            <w:noWrap/>
            <w:hideMark/>
          </w:tcPr>
          <w:p w14:paraId="2E1731EF"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80</w:t>
            </w:r>
          </w:p>
        </w:tc>
      </w:tr>
      <w:tr w:rsidR="001912F1" w:rsidRPr="001912F1" w14:paraId="73F4AD92" w14:textId="77777777" w:rsidTr="00072369">
        <w:trPr>
          <w:trHeight w:val="283"/>
        </w:trPr>
        <w:tc>
          <w:tcPr>
            <w:tcW w:w="856" w:type="dxa"/>
            <w:shd w:val="clear" w:color="auto" w:fill="auto"/>
            <w:noWrap/>
            <w:hideMark/>
          </w:tcPr>
          <w:p w14:paraId="0F95B2EC"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TR15</w:t>
            </w:r>
          </w:p>
        </w:tc>
        <w:tc>
          <w:tcPr>
            <w:tcW w:w="6657" w:type="dxa"/>
            <w:shd w:val="clear" w:color="auto" w:fill="auto"/>
            <w:noWrap/>
            <w:hideMark/>
          </w:tcPr>
          <w:p w14:paraId="7CFDB8F5"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Unpredicted technical problems in green construction</w:t>
            </w:r>
          </w:p>
        </w:tc>
        <w:tc>
          <w:tcPr>
            <w:tcW w:w="709" w:type="dxa"/>
            <w:shd w:val="clear" w:color="auto" w:fill="auto"/>
            <w:noWrap/>
            <w:hideMark/>
          </w:tcPr>
          <w:p w14:paraId="2CAD9C2C"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3</w:t>
            </w:r>
          </w:p>
        </w:tc>
        <w:tc>
          <w:tcPr>
            <w:tcW w:w="804" w:type="dxa"/>
            <w:shd w:val="clear" w:color="auto" w:fill="auto"/>
            <w:noWrap/>
            <w:hideMark/>
          </w:tcPr>
          <w:p w14:paraId="1B4CFF8E"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88</w:t>
            </w:r>
          </w:p>
        </w:tc>
      </w:tr>
      <w:tr w:rsidR="001912F1" w:rsidRPr="001912F1" w14:paraId="67C273A7" w14:textId="77777777" w:rsidTr="00072369">
        <w:trPr>
          <w:trHeight w:val="283"/>
        </w:trPr>
        <w:tc>
          <w:tcPr>
            <w:tcW w:w="856" w:type="dxa"/>
            <w:shd w:val="clear" w:color="000000" w:fill="4472C4"/>
            <w:noWrap/>
            <w:hideMark/>
          </w:tcPr>
          <w:p w14:paraId="0CB3A2B8"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 </w:t>
            </w:r>
          </w:p>
        </w:tc>
        <w:tc>
          <w:tcPr>
            <w:tcW w:w="6657" w:type="dxa"/>
            <w:shd w:val="clear" w:color="000000" w:fill="4472C4"/>
            <w:noWrap/>
            <w:hideMark/>
          </w:tcPr>
          <w:p w14:paraId="627616E0"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Stakeholder risks (SRs)</w:t>
            </w:r>
          </w:p>
        </w:tc>
        <w:tc>
          <w:tcPr>
            <w:tcW w:w="709" w:type="dxa"/>
            <w:shd w:val="clear" w:color="000000" w:fill="4472C4"/>
            <w:noWrap/>
            <w:hideMark/>
          </w:tcPr>
          <w:p w14:paraId="67588BC1"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 </w:t>
            </w:r>
          </w:p>
        </w:tc>
        <w:tc>
          <w:tcPr>
            <w:tcW w:w="804" w:type="dxa"/>
            <w:shd w:val="clear" w:color="000000" w:fill="4472C4"/>
            <w:noWrap/>
            <w:hideMark/>
          </w:tcPr>
          <w:p w14:paraId="4AF65908"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 </w:t>
            </w:r>
          </w:p>
        </w:tc>
      </w:tr>
      <w:tr w:rsidR="001912F1" w:rsidRPr="001912F1" w14:paraId="32660D57" w14:textId="77777777" w:rsidTr="00072369">
        <w:trPr>
          <w:trHeight w:val="283"/>
        </w:trPr>
        <w:tc>
          <w:tcPr>
            <w:tcW w:w="856" w:type="dxa"/>
            <w:shd w:val="clear" w:color="auto" w:fill="auto"/>
            <w:noWrap/>
            <w:hideMark/>
          </w:tcPr>
          <w:p w14:paraId="29DBAF27"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SR1</w:t>
            </w:r>
          </w:p>
        </w:tc>
        <w:tc>
          <w:tcPr>
            <w:tcW w:w="6657" w:type="dxa"/>
            <w:shd w:val="clear" w:color="auto" w:fill="auto"/>
            <w:noWrap/>
            <w:hideMark/>
          </w:tcPr>
          <w:p w14:paraId="6BDB2AB4" w14:textId="0BAB2386"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 xml:space="preserve">Poor communication, cooperation, and </w:t>
            </w:r>
            <w:r w:rsidR="000B4A97" w:rsidRPr="001912F1">
              <w:rPr>
                <w:rFonts w:ascii="Times New Roman" w:eastAsia="Times New Roman" w:hAnsi="Times New Roman" w:cs="Times New Roman"/>
                <w:lang w:eastAsia="en-HK"/>
              </w:rPr>
              <w:t xml:space="preserve">information sharing </w:t>
            </w:r>
            <w:r w:rsidRPr="001912F1">
              <w:rPr>
                <w:rFonts w:ascii="Times New Roman" w:eastAsia="Times New Roman" w:hAnsi="Times New Roman" w:cs="Times New Roman"/>
                <w:lang w:eastAsia="en-HK"/>
              </w:rPr>
              <w:t>between the project team members</w:t>
            </w:r>
          </w:p>
        </w:tc>
        <w:tc>
          <w:tcPr>
            <w:tcW w:w="709" w:type="dxa"/>
            <w:shd w:val="clear" w:color="auto" w:fill="auto"/>
            <w:noWrap/>
            <w:hideMark/>
          </w:tcPr>
          <w:p w14:paraId="52023CCA"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24</w:t>
            </w:r>
          </w:p>
        </w:tc>
        <w:tc>
          <w:tcPr>
            <w:tcW w:w="804" w:type="dxa"/>
            <w:shd w:val="clear" w:color="auto" w:fill="auto"/>
            <w:noWrap/>
            <w:hideMark/>
          </w:tcPr>
          <w:p w14:paraId="3AE305E6"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3</w:t>
            </w:r>
          </w:p>
        </w:tc>
      </w:tr>
      <w:tr w:rsidR="001912F1" w:rsidRPr="001912F1" w14:paraId="149287CD" w14:textId="77777777" w:rsidTr="00072369">
        <w:trPr>
          <w:trHeight w:val="283"/>
        </w:trPr>
        <w:tc>
          <w:tcPr>
            <w:tcW w:w="856" w:type="dxa"/>
            <w:shd w:val="clear" w:color="auto" w:fill="auto"/>
            <w:noWrap/>
            <w:hideMark/>
          </w:tcPr>
          <w:p w14:paraId="101A92B5"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SR2</w:t>
            </w:r>
          </w:p>
        </w:tc>
        <w:tc>
          <w:tcPr>
            <w:tcW w:w="6657" w:type="dxa"/>
            <w:shd w:val="clear" w:color="auto" w:fill="auto"/>
            <w:noWrap/>
            <w:hideMark/>
          </w:tcPr>
          <w:p w14:paraId="667AE3E5"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Frequent change orders and intervention of client</w:t>
            </w:r>
          </w:p>
        </w:tc>
        <w:tc>
          <w:tcPr>
            <w:tcW w:w="709" w:type="dxa"/>
            <w:shd w:val="clear" w:color="auto" w:fill="auto"/>
            <w:noWrap/>
            <w:hideMark/>
          </w:tcPr>
          <w:p w14:paraId="1385C699"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12</w:t>
            </w:r>
          </w:p>
        </w:tc>
        <w:tc>
          <w:tcPr>
            <w:tcW w:w="804" w:type="dxa"/>
            <w:shd w:val="clear" w:color="auto" w:fill="auto"/>
            <w:noWrap/>
            <w:hideMark/>
          </w:tcPr>
          <w:p w14:paraId="0E209F78"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29</w:t>
            </w:r>
          </w:p>
        </w:tc>
      </w:tr>
      <w:tr w:rsidR="001912F1" w:rsidRPr="001912F1" w14:paraId="12CE5248" w14:textId="77777777" w:rsidTr="00072369">
        <w:trPr>
          <w:trHeight w:val="283"/>
        </w:trPr>
        <w:tc>
          <w:tcPr>
            <w:tcW w:w="856" w:type="dxa"/>
            <w:shd w:val="clear" w:color="auto" w:fill="auto"/>
            <w:noWrap/>
            <w:hideMark/>
          </w:tcPr>
          <w:p w14:paraId="547088B5"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SR3</w:t>
            </w:r>
          </w:p>
        </w:tc>
        <w:tc>
          <w:tcPr>
            <w:tcW w:w="6657" w:type="dxa"/>
            <w:shd w:val="clear" w:color="auto" w:fill="auto"/>
            <w:noWrap/>
            <w:hideMark/>
          </w:tcPr>
          <w:p w14:paraId="7C395B4C"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Lack of a common understanding of sustainability and shared vision of green buildings</w:t>
            </w:r>
          </w:p>
        </w:tc>
        <w:tc>
          <w:tcPr>
            <w:tcW w:w="709" w:type="dxa"/>
            <w:shd w:val="clear" w:color="auto" w:fill="auto"/>
            <w:noWrap/>
            <w:hideMark/>
          </w:tcPr>
          <w:p w14:paraId="3F7060C1"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11</w:t>
            </w:r>
          </w:p>
        </w:tc>
        <w:tc>
          <w:tcPr>
            <w:tcW w:w="804" w:type="dxa"/>
            <w:shd w:val="clear" w:color="auto" w:fill="auto"/>
            <w:noWrap/>
            <w:hideMark/>
          </w:tcPr>
          <w:p w14:paraId="553CA68D"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33</w:t>
            </w:r>
          </w:p>
        </w:tc>
      </w:tr>
      <w:tr w:rsidR="001912F1" w:rsidRPr="001912F1" w14:paraId="45FF7E76" w14:textId="77777777" w:rsidTr="00072369">
        <w:trPr>
          <w:trHeight w:val="283"/>
        </w:trPr>
        <w:tc>
          <w:tcPr>
            <w:tcW w:w="856" w:type="dxa"/>
            <w:shd w:val="clear" w:color="auto" w:fill="auto"/>
            <w:noWrap/>
            <w:hideMark/>
          </w:tcPr>
          <w:p w14:paraId="10374C95"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SR4</w:t>
            </w:r>
          </w:p>
        </w:tc>
        <w:tc>
          <w:tcPr>
            <w:tcW w:w="6657" w:type="dxa"/>
            <w:shd w:val="clear" w:color="auto" w:fill="auto"/>
            <w:noWrap/>
            <w:hideMark/>
          </w:tcPr>
          <w:p w14:paraId="34819AFD"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Injuries and accidents during construction</w:t>
            </w:r>
          </w:p>
        </w:tc>
        <w:tc>
          <w:tcPr>
            <w:tcW w:w="709" w:type="dxa"/>
            <w:shd w:val="clear" w:color="auto" w:fill="auto"/>
            <w:noWrap/>
            <w:hideMark/>
          </w:tcPr>
          <w:p w14:paraId="6B23B1DA"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8</w:t>
            </w:r>
          </w:p>
        </w:tc>
        <w:tc>
          <w:tcPr>
            <w:tcW w:w="804" w:type="dxa"/>
            <w:shd w:val="clear" w:color="auto" w:fill="auto"/>
            <w:noWrap/>
            <w:hideMark/>
          </w:tcPr>
          <w:p w14:paraId="536ADF25"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45</w:t>
            </w:r>
          </w:p>
        </w:tc>
      </w:tr>
      <w:tr w:rsidR="001912F1" w:rsidRPr="001912F1" w14:paraId="08D825DD" w14:textId="77777777" w:rsidTr="00072369">
        <w:trPr>
          <w:trHeight w:val="283"/>
        </w:trPr>
        <w:tc>
          <w:tcPr>
            <w:tcW w:w="856" w:type="dxa"/>
            <w:shd w:val="clear" w:color="auto" w:fill="auto"/>
            <w:noWrap/>
            <w:hideMark/>
          </w:tcPr>
          <w:p w14:paraId="75A33D8B"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SR5</w:t>
            </w:r>
          </w:p>
        </w:tc>
        <w:tc>
          <w:tcPr>
            <w:tcW w:w="6657" w:type="dxa"/>
            <w:shd w:val="clear" w:color="auto" w:fill="auto"/>
            <w:noWrap/>
            <w:hideMark/>
          </w:tcPr>
          <w:p w14:paraId="127D050B"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 xml:space="preserve">Delays in resolving contractual issues, problems, disputes, and conflicts in green buildings </w:t>
            </w:r>
          </w:p>
        </w:tc>
        <w:tc>
          <w:tcPr>
            <w:tcW w:w="709" w:type="dxa"/>
            <w:shd w:val="clear" w:color="auto" w:fill="auto"/>
            <w:noWrap/>
            <w:hideMark/>
          </w:tcPr>
          <w:p w14:paraId="61374119"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8</w:t>
            </w:r>
          </w:p>
        </w:tc>
        <w:tc>
          <w:tcPr>
            <w:tcW w:w="804" w:type="dxa"/>
            <w:shd w:val="clear" w:color="auto" w:fill="auto"/>
            <w:noWrap/>
            <w:hideMark/>
          </w:tcPr>
          <w:p w14:paraId="1FC94E93"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45</w:t>
            </w:r>
          </w:p>
        </w:tc>
      </w:tr>
      <w:tr w:rsidR="001912F1" w:rsidRPr="001912F1" w14:paraId="038FFF1D" w14:textId="77777777" w:rsidTr="00072369">
        <w:trPr>
          <w:trHeight w:val="283"/>
        </w:trPr>
        <w:tc>
          <w:tcPr>
            <w:tcW w:w="856" w:type="dxa"/>
            <w:shd w:val="clear" w:color="auto" w:fill="auto"/>
            <w:noWrap/>
            <w:hideMark/>
          </w:tcPr>
          <w:p w14:paraId="67313532"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SR6</w:t>
            </w:r>
          </w:p>
        </w:tc>
        <w:tc>
          <w:tcPr>
            <w:tcW w:w="6657" w:type="dxa"/>
            <w:shd w:val="clear" w:color="auto" w:fill="auto"/>
            <w:noWrap/>
            <w:hideMark/>
          </w:tcPr>
          <w:p w14:paraId="65D2BBEB"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Lack of expressed interest from client and project team members</w:t>
            </w:r>
          </w:p>
        </w:tc>
        <w:tc>
          <w:tcPr>
            <w:tcW w:w="709" w:type="dxa"/>
            <w:shd w:val="clear" w:color="auto" w:fill="auto"/>
            <w:noWrap/>
            <w:hideMark/>
          </w:tcPr>
          <w:p w14:paraId="608010C5"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7</w:t>
            </w:r>
          </w:p>
        </w:tc>
        <w:tc>
          <w:tcPr>
            <w:tcW w:w="804" w:type="dxa"/>
            <w:shd w:val="clear" w:color="auto" w:fill="auto"/>
            <w:noWrap/>
            <w:hideMark/>
          </w:tcPr>
          <w:p w14:paraId="2C102CB6"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57</w:t>
            </w:r>
          </w:p>
        </w:tc>
      </w:tr>
      <w:tr w:rsidR="001912F1" w:rsidRPr="001912F1" w14:paraId="520923D7" w14:textId="77777777" w:rsidTr="00072369">
        <w:trPr>
          <w:trHeight w:val="283"/>
        </w:trPr>
        <w:tc>
          <w:tcPr>
            <w:tcW w:w="856" w:type="dxa"/>
            <w:shd w:val="clear" w:color="auto" w:fill="auto"/>
            <w:noWrap/>
            <w:hideMark/>
          </w:tcPr>
          <w:p w14:paraId="463AA977"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SR7</w:t>
            </w:r>
          </w:p>
        </w:tc>
        <w:tc>
          <w:tcPr>
            <w:tcW w:w="6657" w:type="dxa"/>
            <w:shd w:val="clear" w:color="auto" w:fill="auto"/>
            <w:noWrap/>
            <w:hideMark/>
          </w:tcPr>
          <w:p w14:paraId="53842155"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Poor interrelationships between the client, project team and supply chain partners</w:t>
            </w:r>
          </w:p>
        </w:tc>
        <w:tc>
          <w:tcPr>
            <w:tcW w:w="709" w:type="dxa"/>
            <w:shd w:val="clear" w:color="auto" w:fill="auto"/>
            <w:noWrap/>
            <w:hideMark/>
          </w:tcPr>
          <w:p w14:paraId="0EFF9153"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7</w:t>
            </w:r>
          </w:p>
        </w:tc>
        <w:tc>
          <w:tcPr>
            <w:tcW w:w="804" w:type="dxa"/>
            <w:shd w:val="clear" w:color="auto" w:fill="auto"/>
            <w:noWrap/>
            <w:hideMark/>
          </w:tcPr>
          <w:p w14:paraId="7D76CFA7"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57</w:t>
            </w:r>
          </w:p>
        </w:tc>
      </w:tr>
      <w:tr w:rsidR="001912F1" w:rsidRPr="001912F1" w14:paraId="6C2B2D46" w14:textId="77777777" w:rsidTr="00072369">
        <w:trPr>
          <w:trHeight w:val="283"/>
        </w:trPr>
        <w:tc>
          <w:tcPr>
            <w:tcW w:w="856" w:type="dxa"/>
            <w:shd w:val="clear" w:color="auto" w:fill="auto"/>
            <w:noWrap/>
            <w:hideMark/>
          </w:tcPr>
          <w:p w14:paraId="43B0D7C8"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SR8</w:t>
            </w:r>
          </w:p>
        </w:tc>
        <w:tc>
          <w:tcPr>
            <w:tcW w:w="6657" w:type="dxa"/>
            <w:shd w:val="clear" w:color="auto" w:fill="auto"/>
            <w:noWrap/>
            <w:hideMark/>
          </w:tcPr>
          <w:p w14:paraId="7252E3FA"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Poor commitment of the consultant</w:t>
            </w:r>
          </w:p>
        </w:tc>
        <w:tc>
          <w:tcPr>
            <w:tcW w:w="709" w:type="dxa"/>
            <w:shd w:val="clear" w:color="auto" w:fill="auto"/>
            <w:noWrap/>
            <w:hideMark/>
          </w:tcPr>
          <w:p w14:paraId="7100E33B"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7</w:t>
            </w:r>
          </w:p>
        </w:tc>
        <w:tc>
          <w:tcPr>
            <w:tcW w:w="804" w:type="dxa"/>
            <w:shd w:val="clear" w:color="auto" w:fill="auto"/>
            <w:noWrap/>
            <w:hideMark/>
          </w:tcPr>
          <w:p w14:paraId="4A1A408D"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57</w:t>
            </w:r>
          </w:p>
        </w:tc>
      </w:tr>
      <w:tr w:rsidR="001912F1" w:rsidRPr="001912F1" w14:paraId="72B9EC6F" w14:textId="77777777" w:rsidTr="00072369">
        <w:trPr>
          <w:trHeight w:val="283"/>
        </w:trPr>
        <w:tc>
          <w:tcPr>
            <w:tcW w:w="856" w:type="dxa"/>
            <w:shd w:val="clear" w:color="auto" w:fill="auto"/>
            <w:noWrap/>
            <w:hideMark/>
          </w:tcPr>
          <w:p w14:paraId="4F74BE48"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SR9</w:t>
            </w:r>
          </w:p>
        </w:tc>
        <w:tc>
          <w:tcPr>
            <w:tcW w:w="6657" w:type="dxa"/>
            <w:shd w:val="clear" w:color="auto" w:fill="auto"/>
            <w:noWrap/>
            <w:hideMark/>
          </w:tcPr>
          <w:p w14:paraId="4CB4A0B4"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Resistance and inadequate commitment of the owner to green materials and technologies</w:t>
            </w:r>
          </w:p>
        </w:tc>
        <w:tc>
          <w:tcPr>
            <w:tcW w:w="709" w:type="dxa"/>
            <w:shd w:val="clear" w:color="auto" w:fill="auto"/>
            <w:noWrap/>
            <w:hideMark/>
          </w:tcPr>
          <w:p w14:paraId="4885FD58"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6</w:t>
            </w:r>
          </w:p>
        </w:tc>
        <w:tc>
          <w:tcPr>
            <w:tcW w:w="804" w:type="dxa"/>
            <w:shd w:val="clear" w:color="auto" w:fill="auto"/>
            <w:noWrap/>
            <w:hideMark/>
          </w:tcPr>
          <w:p w14:paraId="5754FEA5"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63</w:t>
            </w:r>
          </w:p>
        </w:tc>
      </w:tr>
      <w:tr w:rsidR="001912F1" w:rsidRPr="001912F1" w14:paraId="4C0CD711" w14:textId="77777777" w:rsidTr="00072369">
        <w:trPr>
          <w:trHeight w:val="283"/>
        </w:trPr>
        <w:tc>
          <w:tcPr>
            <w:tcW w:w="856" w:type="dxa"/>
            <w:shd w:val="clear" w:color="auto" w:fill="auto"/>
            <w:noWrap/>
            <w:hideMark/>
          </w:tcPr>
          <w:p w14:paraId="61B05F20"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SR10</w:t>
            </w:r>
          </w:p>
        </w:tc>
        <w:tc>
          <w:tcPr>
            <w:tcW w:w="6657" w:type="dxa"/>
            <w:shd w:val="clear" w:color="auto" w:fill="auto"/>
            <w:noWrap/>
            <w:hideMark/>
          </w:tcPr>
          <w:p w14:paraId="463E31C1" w14:textId="4890190E"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Unavailability at the outset and late involvement of relevant actors in the green building projects</w:t>
            </w:r>
          </w:p>
        </w:tc>
        <w:tc>
          <w:tcPr>
            <w:tcW w:w="709" w:type="dxa"/>
            <w:shd w:val="clear" w:color="auto" w:fill="auto"/>
            <w:noWrap/>
            <w:hideMark/>
          </w:tcPr>
          <w:p w14:paraId="5B079EDD"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4</w:t>
            </w:r>
          </w:p>
        </w:tc>
        <w:tc>
          <w:tcPr>
            <w:tcW w:w="804" w:type="dxa"/>
            <w:shd w:val="clear" w:color="auto" w:fill="auto"/>
            <w:noWrap/>
            <w:hideMark/>
          </w:tcPr>
          <w:p w14:paraId="4E6677C0"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80</w:t>
            </w:r>
          </w:p>
        </w:tc>
      </w:tr>
      <w:tr w:rsidR="001912F1" w:rsidRPr="001912F1" w14:paraId="54A4EE32" w14:textId="77777777" w:rsidTr="00072369">
        <w:trPr>
          <w:trHeight w:val="283"/>
        </w:trPr>
        <w:tc>
          <w:tcPr>
            <w:tcW w:w="856" w:type="dxa"/>
            <w:shd w:val="clear" w:color="auto" w:fill="auto"/>
            <w:noWrap/>
            <w:hideMark/>
          </w:tcPr>
          <w:p w14:paraId="23A38A9C"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SR11</w:t>
            </w:r>
          </w:p>
        </w:tc>
        <w:tc>
          <w:tcPr>
            <w:tcW w:w="6657" w:type="dxa"/>
            <w:shd w:val="clear" w:color="auto" w:fill="auto"/>
            <w:noWrap/>
            <w:hideMark/>
          </w:tcPr>
          <w:p w14:paraId="54093792"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Complex stakeholder composition and requirements</w:t>
            </w:r>
          </w:p>
        </w:tc>
        <w:tc>
          <w:tcPr>
            <w:tcW w:w="709" w:type="dxa"/>
            <w:shd w:val="clear" w:color="auto" w:fill="auto"/>
            <w:noWrap/>
            <w:hideMark/>
          </w:tcPr>
          <w:p w14:paraId="00A5BF06"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3</w:t>
            </w:r>
          </w:p>
        </w:tc>
        <w:tc>
          <w:tcPr>
            <w:tcW w:w="804" w:type="dxa"/>
            <w:shd w:val="clear" w:color="auto" w:fill="auto"/>
            <w:noWrap/>
            <w:hideMark/>
          </w:tcPr>
          <w:p w14:paraId="719DFAA1"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88</w:t>
            </w:r>
          </w:p>
        </w:tc>
      </w:tr>
      <w:tr w:rsidR="001912F1" w:rsidRPr="001912F1" w14:paraId="4D0356AD" w14:textId="77777777" w:rsidTr="00072369">
        <w:trPr>
          <w:trHeight w:val="283"/>
        </w:trPr>
        <w:tc>
          <w:tcPr>
            <w:tcW w:w="856" w:type="dxa"/>
            <w:shd w:val="clear" w:color="auto" w:fill="auto"/>
            <w:noWrap/>
            <w:hideMark/>
          </w:tcPr>
          <w:p w14:paraId="5652D558"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SR12</w:t>
            </w:r>
          </w:p>
        </w:tc>
        <w:tc>
          <w:tcPr>
            <w:tcW w:w="6657" w:type="dxa"/>
            <w:shd w:val="clear" w:color="auto" w:fill="auto"/>
            <w:noWrap/>
            <w:hideMark/>
          </w:tcPr>
          <w:p w14:paraId="42CF815D"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Conflicting objectives and concerns of multiple stakeholders in green building projects</w:t>
            </w:r>
          </w:p>
        </w:tc>
        <w:tc>
          <w:tcPr>
            <w:tcW w:w="709" w:type="dxa"/>
            <w:shd w:val="clear" w:color="auto" w:fill="auto"/>
            <w:noWrap/>
            <w:hideMark/>
          </w:tcPr>
          <w:p w14:paraId="2DA291F2"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3</w:t>
            </w:r>
          </w:p>
        </w:tc>
        <w:tc>
          <w:tcPr>
            <w:tcW w:w="804" w:type="dxa"/>
            <w:shd w:val="clear" w:color="auto" w:fill="auto"/>
            <w:noWrap/>
            <w:hideMark/>
          </w:tcPr>
          <w:p w14:paraId="50C5BD7D"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88</w:t>
            </w:r>
          </w:p>
        </w:tc>
      </w:tr>
      <w:tr w:rsidR="001912F1" w:rsidRPr="001912F1" w14:paraId="4CCCC9C1" w14:textId="77777777" w:rsidTr="00072369">
        <w:trPr>
          <w:trHeight w:val="283"/>
        </w:trPr>
        <w:tc>
          <w:tcPr>
            <w:tcW w:w="856" w:type="dxa"/>
            <w:shd w:val="clear" w:color="000000" w:fill="4472C4"/>
            <w:noWrap/>
            <w:hideMark/>
          </w:tcPr>
          <w:p w14:paraId="142104C4"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 </w:t>
            </w:r>
          </w:p>
        </w:tc>
        <w:tc>
          <w:tcPr>
            <w:tcW w:w="6657" w:type="dxa"/>
            <w:shd w:val="clear" w:color="000000" w:fill="4472C4"/>
            <w:noWrap/>
            <w:hideMark/>
          </w:tcPr>
          <w:p w14:paraId="51C0857B"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Management risks (MRs)</w:t>
            </w:r>
          </w:p>
        </w:tc>
        <w:tc>
          <w:tcPr>
            <w:tcW w:w="709" w:type="dxa"/>
            <w:shd w:val="clear" w:color="000000" w:fill="4472C4"/>
            <w:noWrap/>
            <w:hideMark/>
          </w:tcPr>
          <w:p w14:paraId="61CD94F3"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 </w:t>
            </w:r>
          </w:p>
        </w:tc>
        <w:tc>
          <w:tcPr>
            <w:tcW w:w="804" w:type="dxa"/>
            <w:shd w:val="clear" w:color="000000" w:fill="4472C4"/>
            <w:noWrap/>
            <w:hideMark/>
          </w:tcPr>
          <w:p w14:paraId="26D8233E"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 </w:t>
            </w:r>
          </w:p>
        </w:tc>
      </w:tr>
      <w:tr w:rsidR="001912F1" w:rsidRPr="001912F1" w14:paraId="2871EB17" w14:textId="77777777" w:rsidTr="00072369">
        <w:trPr>
          <w:trHeight w:val="283"/>
        </w:trPr>
        <w:tc>
          <w:tcPr>
            <w:tcW w:w="856" w:type="dxa"/>
            <w:shd w:val="clear" w:color="auto" w:fill="auto"/>
            <w:noWrap/>
            <w:hideMark/>
          </w:tcPr>
          <w:p w14:paraId="6764CED9"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MR1</w:t>
            </w:r>
          </w:p>
        </w:tc>
        <w:tc>
          <w:tcPr>
            <w:tcW w:w="6657" w:type="dxa"/>
            <w:shd w:val="clear" w:color="auto" w:fill="auto"/>
            <w:noWrap/>
            <w:hideMark/>
          </w:tcPr>
          <w:p w14:paraId="21603D97"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 xml:space="preserve">Inadequate supervision of a project manager with limited technical expertise and skills in green buildings </w:t>
            </w:r>
          </w:p>
        </w:tc>
        <w:tc>
          <w:tcPr>
            <w:tcW w:w="709" w:type="dxa"/>
            <w:shd w:val="clear" w:color="auto" w:fill="auto"/>
            <w:noWrap/>
            <w:hideMark/>
          </w:tcPr>
          <w:p w14:paraId="04278CC5"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14</w:t>
            </w:r>
          </w:p>
        </w:tc>
        <w:tc>
          <w:tcPr>
            <w:tcW w:w="804" w:type="dxa"/>
            <w:shd w:val="clear" w:color="auto" w:fill="auto"/>
            <w:noWrap/>
            <w:hideMark/>
          </w:tcPr>
          <w:p w14:paraId="7C501CE8"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16</w:t>
            </w:r>
          </w:p>
        </w:tc>
      </w:tr>
      <w:tr w:rsidR="001912F1" w:rsidRPr="001912F1" w14:paraId="1598ADE9" w14:textId="77777777" w:rsidTr="00072369">
        <w:trPr>
          <w:trHeight w:val="283"/>
        </w:trPr>
        <w:tc>
          <w:tcPr>
            <w:tcW w:w="856" w:type="dxa"/>
            <w:shd w:val="clear" w:color="auto" w:fill="auto"/>
            <w:noWrap/>
            <w:hideMark/>
          </w:tcPr>
          <w:p w14:paraId="3554A01B"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MR2</w:t>
            </w:r>
          </w:p>
        </w:tc>
        <w:tc>
          <w:tcPr>
            <w:tcW w:w="6657" w:type="dxa"/>
            <w:shd w:val="clear" w:color="auto" w:fill="auto"/>
            <w:noWrap/>
            <w:hideMark/>
          </w:tcPr>
          <w:p w14:paraId="0A8F01FB"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Improper quality control, defective work, and reworks</w:t>
            </w:r>
          </w:p>
        </w:tc>
        <w:tc>
          <w:tcPr>
            <w:tcW w:w="709" w:type="dxa"/>
            <w:shd w:val="clear" w:color="auto" w:fill="auto"/>
            <w:noWrap/>
            <w:hideMark/>
          </w:tcPr>
          <w:p w14:paraId="2B4BA951"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14</w:t>
            </w:r>
          </w:p>
        </w:tc>
        <w:tc>
          <w:tcPr>
            <w:tcW w:w="804" w:type="dxa"/>
            <w:shd w:val="clear" w:color="auto" w:fill="auto"/>
            <w:noWrap/>
            <w:hideMark/>
          </w:tcPr>
          <w:p w14:paraId="10AB4592"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16</w:t>
            </w:r>
          </w:p>
        </w:tc>
      </w:tr>
      <w:tr w:rsidR="001912F1" w:rsidRPr="001912F1" w14:paraId="25AF65BB" w14:textId="77777777" w:rsidTr="00072369">
        <w:trPr>
          <w:trHeight w:val="283"/>
        </w:trPr>
        <w:tc>
          <w:tcPr>
            <w:tcW w:w="856" w:type="dxa"/>
            <w:shd w:val="clear" w:color="auto" w:fill="auto"/>
            <w:noWrap/>
            <w:hideMark/>
          </w:tcPr>
          <w:p w14:paraId="1D547C25"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MR3</w:t>
            </w:r>
          </w:p>
        </w:tc>
        <w:tc>
          <w:tcPr>
            <w:tcW w:w="6657" w:type="dxa"/>
            <w:shd w:val="clear" w:color="auto" w:fill="auto"/>
            <w:noWrap/>
            <w:hideMark/>
          </w:tcPr>
          <w:p w14:paraId="4D2B4945"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Inaccurate cost estimation of green buildings</w:t>
            </w:r>
          </w:p>
        </w:tc>
        <w:tc>
          <w:tcPr>
            <w:tcW w:w="709" w:type="dxa"/>
            <w:shd w:val="clear" w:color="auto" w:fill="auto"/>
            <w:noWrap/>
            <w:hideMark/>
          </w:tcPr>
          <w:p w14:paraId="10A6ADE4"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13</w:t>
            </w:r>
          </w:p>
        </w:tc>
        <w:tc>
          <w:tcPr>
            <w:tcW w:w="804" w:type="dxa"/>
            <w:shd w:val="clear" w:color="auto" w:fill="auto"/>
            <w:noWrap/>
            <w:hideMark/>
          </w:tcPr>
          <w:p w14:paraId="6569C4CA"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23</w:t>
            </w:r>
          </w:p>
        </w:tc>
      </w:tr>
      <w:tr w:rsidR="001912F1" w:rsidRPr="001912F1" w14:paraId="66354A9C" w14:textId="77777777" w:rsidTr="00072369">
        <w:trPr>
          <w:trHeight w:val="283"/>
        </w:trPr>
        <w:tc>
          <w:tcPr>
            <w:tcW w:w="856" w:type="dxa"/>
            <w:shd w:val="clear" w:color="auto" w:fill="auto"/>
            <w:noWrap/>
            <w:hideMark/>
          </w:tcPr>
          <w:p w14:paraId="54DE836F"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MR4</w:t>
            </w:r>
          </w:p>
        </w:tc>
        <w:tc>
          <w:tcPr>
            <w:tcW w:w="6657" w:type="dxa"/>
            <w:shd w:val="clear" w:color="auto" w:fill="auto"/>
            <w:noWrap/>
            <w:hideMark/>
          </w:tcPr>
          <w:p w14:paraId="7765249E"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Inaccurate quotation, project budgeting, and poor management of the contractor</w:t>
            </w:r>
          </w:p>
        </w:tc>
        <w:tc>
          <w:tcPr>
            <w:tcW w:w="709" w:type="dxa"/>
            <w:shd w:val="clear" w:color="auto" w:fill="auto"/>
            <w:noWrap/>
            <w:hideMark/>
          </w:tcPr>
          <w:p w14:paraId="7E3AC5CB"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13</w:t>
            </w:r>
          </w:p>
        </w:tc>
        <w:tc>
          <w:tcPr>
            <w:tcW w:w="804" w:type="dxa"/>
            <w:shd w:val="clear" w:color="auto" w:fill="auto"/>
            <w:noWrap/>
            <w:hideMark/>
          </w:tcPr>
          <w:p w14:paraId="2FC2FB73"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23</w:t>
            </w:r>
          </w:p>
        </w:tc>
      </w:tr>
      <w:tr w:rsidR="001912F1" w:rsidRPr="001912F1" w14:paraId="7C696BDD" w14:textId="77777777" w:rsidTr="00072369">
        <w:trPr>
          <w:trHeight w:val="283"/>
        </w:trPr>
        <w:tc>
          <w:tcPr>
            <w:tcW w:w="856" w:type="dxa"/>
            <w:shd w:val="clear" w:color="auto" w:fill="auto"/>
            <w:noWrap/>
            <w:hideMark/>
          </w:tcPr>
          <w:p w14:paraId="257C28BA"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MR5</w:t>
            </w:r>
          </w:p>
        </w:tc>
        <w:tc>
          <w:tcPr>
            <w:tcW w:w="6657" w:type="dxa"/>
            <w:shd w:val="clear" w:color="auto" w:fill="auto"/>
            <w:noWrap/>
            <w:hideMark/>
          </w:tcPr>
          <w:p w14:paraId="27332A2F"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Unreasonably tight project schedule for green construction practices</w:t>
            </w:r>
          </w:p>
        </w:tc>
        <w:tc>
          <w:tcPr>
            <w:tcW w:w="709" w:type="dxa"/>
            <w:shd w:val="clear" w:color="auto" w:fill="auto"/>
            <w:noWrap/>
            <w:hideMark/>
          </w:tcPr>
          <w:p w14:paraId="70E612E8"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10</w:t>
            </w:r>
          </w:p>
        </w:tc>
        <w:tc>
          <w:tcPr>
            <w:tcW w:w="804" w:type="dxa"/>
            <w:shd w:val="clear" w:color="auto" w:fill="auto"/>
            <w:noWrap/>
            <w:hideMark/>
          </w:tcPr>
          <w:p w14:paraId="45703336"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37</w:t>
            </w:r>
          </w:p>
        </w:tc>
      </w:tr>
      <w:tr w:rsidR="001912F1" w:rsidRPr="001912F1" w14:paraId="05BF8757" w14:textId="77777777" w:rsidTr="00072369">
        <w:trPr>
          <w:trHeight w:val="283"/>
        </w:trPr>
        <w:tc>
          <w:tcPr>
            <w:tcW w:w="856" w:type="dxa"/>
            <w:shd w:val="clear" w:color="auto" w:fill="auto"/>
            <w:noWrap/>
            <w:hideMark/>
          </w:tcPr>
          <w:p w14:paraId="735C07E6"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MR6</w:t>
            </w:r>
          </w:p>
        </w:tc>
        <w:tc>
          <w:tcPr>
            <w:tcW w:w="6657" w:type="dxa"/>
            <w:shd w:val="clear" w:color="auto" w:fill="auto"/>
            <w:noWrap/>
            <w:hideMark/>
          </w:tcPr>
          <w:p w14:paraId="2CA80442"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Unclear assignment of roles to the project team members</w:t>
            </w:r>
          </w:p>
        </w:tc>
        <w:tc>
          <w:tcPr>
            <w:tcW w:w="709" w:type="dxa"/>
            <w:shd w:val="clear" w:color="auto" w:fill="auto"/>
            <w:noWrap/>
            <w:hideMark/>
          </w:tcPr>
          <w:p w14:paraId="44B81BA3"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10</w:t>
            </w:r>
          </w:p>
        </w:tc>
        <w:tc>
          <w:tcPr>
            <w:tcW w:w="804" w:type="dxa"/>
            <w:shd w:val="clear" w:color="auto" w:fill="auto"/>
            <w:noWrap/>
            <w:hideMark/>
          </w:tcPr>
          <w:p w14:paraId="660916E0"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37</w:t>
            </w:r>
          </w:p>
        </w:tc>
      </w:tr>
      <w:tr w:rsidR="001912F1" w:rsidRPr="001912F1" w14:paraId="6BCBD162" w14:textId="77777777" w:rsidTr="00072369">
        <w:trPr>
          <w:trHeight w:val="283"/>
        </w:trPr>
        <w:tc>
          <w:tcPr>
            <w:tcW w:w="856" w:type="dxa"/>
            <w:shd w:val="clear" w:color="auto" w:fill="auto"/>
            <w:noWrap/>
            <w:hideMark/>
          </w:tcPr>
          <w:p w14:paraId="1FB7C0AA"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MR7</w:t>
            </w:r>
          </w:p>
        </w:tc>
        <w:tc>
          <w:tcPr>
            <w:tcW w:w="6657" w:type="dxa"/>
            <w:shd w:val="clear" w:color="auto" w:fill="auto"/>
            <w:noWrap/>
            <w:hideMark/>
          </w:tcPr>
          <w:p w14:paraId="67670C1A"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Organizational and procedural difficulties</w:t>
            </w:r>
          </w:p>
        </w:tc>
        <w:tc>
          <w:tcPr>
            <w:tcW w:w="709" w:type="dxa"/>
            <w:shd w:val="clear" w:color="auto" w:fill="auto"/>
            <w:noWrap/>
            <w:hideMark/>
          </w:tcPr>
          <w:p w14:paraId="7748332F"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9</w:t>
            </w:r>
          </w:p>
        </w:tc>
        <w:tc>
          <w:tcPr>
            <w:tcW w:w="804" w:type="dxa"/>
            <w:shd w:val="clear" w:color="auto" w:fill="auto"/>
            <w:noWrap/>
            <w:hideMark/>
          </w:tcPr>
          <w:p w14:paraId="27E087F0"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41</w:t>
            </w:r>
          </w:p>
        </w:tc>
      </w:tr>
      <w:tr w:rsidR="001912F1" w:rsidRPr="001912F1" w14:paraId="09B4AEC6" w14:textId="77777777" w:rsidTr="00072369">
        <w:trPr>
          <w:trHeight w:val="283"/>
        </w:trPr>
        <w:tc>
          <w:tcPr>
            <w:tcW w:w="856" w:type="dxa"/>
            <w:shd w:val="clear" w:color="auto" w:fill="auto"/>
            <w:noWrap/>
            <w:hideMark/>
          </w:tcPr>
          <w:p w14:paraId="052C9C95"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MR8</w:t>
            </w:r>
          </w:p>
        </w:tc>
        <w:tc>
          <w:tcPr>
            <w:tcW w:w="6657" w:type="dxa"/>
            <w:shd w:val="clear" w:color="auto" w:fill="auto"/>
            <w:noWrap/>
            <w:hideMark/>
          </w:tcPr>
          <w:p w14:paraId="1B7FBCE6"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Lack of support from senior management</w:t>
            </w:r>
          </w:p>
        </w:tc>
        <w:tc>
          <w:tcPr>
            <w:tcW w:w="709" w:type="dxa"/>
            <w:shd w:val="clear" w:color="auto" w:fill="auto"/>
            <w:noWrap/>
            <w:hideMark/>
          </w:tcPr>
          <w:p w14:paraId="0E7E82F3"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9</w:t>
            </w:r>
          </w:p>
        </w:tc>
        <w:tc>
          <w:tcPr>
            <w:tcW w:w="804" w:type="dxa"/>
            <w:shd w:val="clear" w:color="auto" w:fill="auto"/>
            <w:noWrap/>
            <w:hideMark/>
          </w:tcPr>
          <w:p w14:paraId="26724B04"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41</w:t>
            </w:r>
          </w:p>
        </w:tc>
      </w:tr>
      <w:tr w:rsidR="001912F1" w:rsidRPr="001912F1" w14:paraId="5854A39E" w14:textId="77777777" w:rsidTr="00072369">
        <w:trPr>
          <w:trHeight w:val="283"/>
        </w:trPr>
        <w:tc>
          <w:tcPr>
            <w:tcW w:w="856" w:type="dxa"/>
            <w:shd w:val="clear" w:color="auto" w:fill="auto"/>
            <w:noWrap/>
            <w:hideMark/>
          </w:tcPr>
          <w:p w14:paraId="73A19EFE"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MR9</w:t>
            </w:r>
          </w:p>
        </w:tc>
        <w:tc>
          <w:tcPr>
            <w:tcW w:w="6657" w:type="dxa"/>
            <w:shd w:val="clear" w:color="auto" w:fill="auto"/>
            <w:noWrap/>
            <w:hideMark/>
          </w:tcPr>
          <w:p w14:paraId="1A5D77E7"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Strict health and safety regulations</w:t>
            </w:r>
          </w:p>
        </w:tc>
        <w:tc>
          <w:tcPr>
            <w:tcW w:w="709" w:type="dxa"/>
            <w:shd w:val="clear" w:color="auto" w:fill="auto"/>
            <w:noWrap/>
            <w:hideMark/>
          </w:tcPr>
          <w:p w14:paraId="0ECD95B0"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9</w:t>
            </w:r>
          </w:p>
        </w:tc>
        <w:tc>
          <w:tcPr>
            <w:tcW w:w="804" w:type="dxa"/>
            <w:shd w:val="clear" w:color="auto" w:fill="auto"/>
            <w:noWrap/>
            <w:hideMark/>
          </w:tcPr>
          <w:p w14:paraId="7FF44053"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41</w:t>
            </w:r>
          </w:p>
        </w:tc>
      </w:tr>
      <w:tr w:rsidR="001912F1" w:rsidRPr="001912F1" w14:paraId="40D87686" w14:textId="77777777" w:rsidTr="00072369">
        <w:trPr>
          <w:trHeight w:val="283"/>
        </w:trPr>
        <w:tc>
          <w:tcPr>
            <w:tcW w:w="856" w:type="dxa"/>
            <w:shd w:val="clear" w:color="auto" w:fill="auto"/>
            <w:noWrap/>
            <w:hideMark/>
          </w:tcPr>
          <w:p w14:paraId="4215BACA"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MR10</w:t>
            </w:r>
          </w:p>
        </w:tc>
        <w:tc>
          <w:tcPr>
            <w:tcW w:w="6657" w:type="dxa"/>
            <w:shd w:val="clear" w:color="auto" w:fill="auto"/>
            <w:noWrap/>
            <w:hideMark/>
          </w:tcPr>
          <w:p w14:paraId="56ABC1C8"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Lack of proper project management framework and staff for green buildings</w:t>
            </w:r>
          </w:p>
        </w:tc>
        <w:tc>
          <w:tcPr>
            <w:tcW w:w="709" w:type="dxa"/>
            <w:shd w:val="clear" w:color="auto" w:fill="auto"/>
            <w:noWrap/>
            <w:hideMark/>
          </w:tcPr>
          <w:p w14:paraId="1635ECCD"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8</w:t>
            </w:r>
          </w:p>
        </w:tc>
        <w:tc>
          <w:tcPr>
            <w:tcW w:w="804" w:type="dxa"/>
            <w:shd w:val="clear" w:color="auto" w:fill="auto"/>
            <w:noWrap/>
            <w:hideMark/>
          </w:tcPr>
          <w:p w14:paraId="2DCA3177"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45</w:t>
            </w:r>
          </w:p>
        </w:tc>
      </w:tr>
      <w:tr w:rsidR="001912F1" w:rsidRPr="001912F1" w14:paraId="5990B297" w14:textId="77777777" w:rsidTr="00072369">
        <w:trPr>
          <w:trHeight w:val="283"/>
        </w:trPr>
        <w:tc>
          <w:tcPr>
            <w:tcW w:w="856" w:type="dxa"/>
            <w:shd w:val="clear" w:color="auto" w:fill="auto"/>
            <w:noWrap/>
            <w:hideMark/>
          </w:tcPr>
          <w:p w14:paraId="4B47D9C8"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MR11</w:t>
            </w:r>
          </w:p>
        </w:tc>
        <w:tc>
          <w:tcPr>
            <w:tcW w:w="6657" w:type="dxa"/>
            <w:shd w:val="clear" w:color="auto" w:fill="auto"/>
            <w:noWrap/>
            <w:hideMark/>
          </w:tcPr>
          <w:p w14:paraId="1E7AA51A"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Inappropriate procurement systems discouraging supply chain integration</w:t>
            </w:r>
          </w:p>
        </w:tc>
        <w:tc>
          <w:tcPr>
            <w:tcW w:w="709" w:type="dxa"/>
            <w:shd w:val="clear" w:color="auto" w:fill="auto"/>
            <w:noWrap/>
            <w:hideMark/>
          </w:tcPr>
          <w:p w14:paraId="621C88F2"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6</w:t>
            </w:r>
          </w:p>
        </w:tc>
        <w:tc>
          <w:tcPr>
            <w:tcW w:w="804" w:type="dxa"/>
            <w:shd w:val="clear" w:color="auto" w:fill="auto"/>
            <w:noWrap/>
            <w:hideMark/>
          </w:tcPr>
          <w:p w14:paraId="7BBE9616"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63</w:t>
            </w:r>
          </w:p>
        </w:tc>
      </w:tr>
      <w:tr w:rsidR="001912F1" w:rsidRPr="001912F1" w14:paraId="270B89C4" w14:textId="77777777" w:rsidTr="00072369">
        <w:trPr>
          <w:trHeight w:val="283"/>
        </w:trPr>
        <w:tc>
          <w:tcPr>
            <w:tcW w:w="856" w:type="dxa"/>
            <w:shd w:val="clear" w:color="auto" w:fill="auto"/>
            <w:noWrap/>
            <w:hideMark/>
          </w:tcPr>
          <w:p w14:paraId="1F203A93"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MR12</w:t>
            </w:r>
          </w:p>
        </w:tc>
        <w:tc>
          <w:tcPr>
            <w:tcW w:w="6657" w:type="dxa"/>
            <w:shd w:val="clear" w:color="auto" w:fill="auto"/>
            <w:noWrap/>
            <w:hideMark/>
          </w:tcPr>
          <w:p w14:paraId="3273EC93" w14:textId="279AC680"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Frequent meeting</w:t>
            </w:r>
            <w:r w:rsidR="005D08AE" w:rsidRPr="001912F1">
              <w:rPr>
                <w:rFonts w:ascii="Times New Roman" w:eastAsia="Times New Roman" w:hAnsi="Times New Roman" w:cs="Times New Roman"/>
                <w:lang w:eastAsia="en-HK"/>
              </w:rPr>
              <w:t>s</w:t>
            </w:r>
            <w:r w:rsidRPr="001912F1">
              <w:rPr>
                <w:rFonts w:ascii="Times New Roman" w:eastAsia="Times New Roman" w:hAnsi="Times New Roman" w:cs="Times New Roman"/>
                <w:lang w:eastAsia="en-HK"/>
              </w:rPr>
              <w:t xml:space="preserve"> with green specialists</w:t>
            </w:r>
          </w:p>
        </w:tc>
        <w:tc>
          <w:tcPr>
            <w:tcW w:w="709" w:type="dxa"/>
            <w:shd w:val="clear" w:color="auto" w:fill="auto"/>
            <w:noWrap/>
            <w:hideMark/>
          </w:tcPr>
          <w:p w14:paraId="24478EB5"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6</w:t>
            </w:r>
          </w:p>
        </w:tc>
        <w:tc>
          <w:tcPr>
            <w:tcW w:w="804" w:type="dxa"/>
            <w:shd w:val="clear" w:color="auto" w:fill="auto"/>
            <w:noWrap/>
            <w:hideMark/>
          </w:tcPr>
          <w:p w14:paraId="683A7E48"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63</w:t>
            </w:r>
          </w:p>
        </w:tc>
      </w:tr>
      <w:tr w:rsidR="001912F1" w:rsidRPr="001912F1" w14:paraId="1A2E6699" w14:textId="77777777" w:rsidTr="00072369">
        <w:trPr>
          <w:trHeight w:val="283"/>
        </w:trPr>
        <w:tc>
          <w:tcPr>
            <w:tcW w:w="856" w:type="dxa"/>
            <w:shd w:val="clear" w:color="auto" w:fill="auto"/>
            <w:noWrap/>
            <w:hideMark/>
          </w:tcPr>
          <w:p w14:paraId="00B0F67B"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MR13</w:t>
            </w:r>
          </w:p>
        </w:tc>
        <w:tc>
          <w:tcPr>
            <w:tcW w:w="6657" w:type="dxa"/>
            <w:shd w:val="clear" w:color="auto" w:fill="auto"/>
            <w:noWrap/>
            <w:hideMark/>
          </w:tcPr>
          <w:p w14:paraId="1FEC6ABB"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Poorly defined scope of green building works</w:t>
            </w:r>
          </w:p>
        </w:tc>
        <w:tc>
          <w:tcPr>
            <w:tcW w:w="709" w:type="dxa"/>
            <w:shd w:val="clear" w:color="auto" w:fill="auto"/>
            <w:noWrap/>
            <w:hideMark/>
          </w:tcPr>
          <w:p w14:paraId="4BC75B8E"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5</w:t>
            </w:r>
          </w:p>
        </w:tc>
        <w:tc>
          <w:tcPr>
            <w:tcW w:w="804" w:type="dxa"/>
            <w:shd w:val="clear" w:color="auto" w:fill="auto"/>
            <w:noWrap/>
            <w:hideMark/>
          </w:tcPr>
          <w:p w14:paraId="3A1030D6"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72</w:t>
            </w:r>
          </w:p>
        </w:tc>
      </w:tr>
      <w:tr w:rsidR="001912F1" w:rsidRPr="001912F1" w14:paraId="4E3FD161" w14:textId="77777777" w:rsidTr="00072369">
        <w:trPr>
          <w:trHeight w:val="283"/>
        </w:trPr>
        <w:tc>
          <w:tcPr>
            <w:tcW w:w="856" w:type="dxa"/>
            <w:shd w:val="clear" w:color="auto" w:fill="auto"/>
            <w:noWrap/>
            <w:hideMark/>
          </w:tcPr>
          <w:p w14:paraId="0122C1CB"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lastRenderedPageBreak/>
              <w:t>MR14</w:t>
            </w:r>
          </w:p>
        </w:tc>
        <w:tc>
          <w:tcPr>
            <w:tcW w:w="6657" w:type="dxa"/>
            <w:shd w:val="clear" w:color="auto" w:fill="auto"/>
            <w:noWrap/>
            <w:hideMark/>
          </w:tcPr>
          <w:p w14:paraId="2D7143CB"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Failure to adopt integrated design methods in green buildings</w:t>
            </w:r>
          </w:p>
        </w:tc>
        <w:tc>
          <w:tcPr>
            <w:tcW w:w="709" w:type="dxa"/>
            <w:shd w:val="clear" w:color="auto" w:fill="auto"/>
            <w:noWrap/>
            <w:hideMark/>
          </w:tcPr>
          <w:p w14:paraId="6D427B51"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5</w:t>
            </w:r>
          </w:p>
        </w:tc>
        <w:tc>
          <w:tcPr>
            <w:tcW w:w="804" w:type="dxa"/>
            <w:shd w:val="clear" w:color="auto" w:fill="auto"/>
            <w:noWrap/>
            <w:hideMark/>
          </w:tcPr>
          <w:p w14:paraId="2A81BD16"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72</w:t>
            </w:r>
          </w:p>
        </w:tc>
      </w:tr>
      <w:tr w:rsidR="001912F1" w:rsidRPr="001912F1" w14:paraId="7366E428" w14:textId="77777777" w:rsidTr="00072369">
        <w:trPr>
          <w:trHeight w:val="283"/>
        </w:trPr>
        <w:tc>
          <w:tcPr>
            <w:tcW w:w="856" w:type="dxa"/>
            <w:shd w:val="clear" w:color="auto" w:fill="auto"/>
            <w:noWrap/>
            <w:hideMark/>
          </w:tcPr>
          <w:p w14:paraId="01504EA8"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MR15</w:t>
            </w:r>
          </w:p>
        </w:tc>
        <w:tc>
          <w:tcPr>
            <w:tcW w:w="6657" w:type="dxa"/>
            <w:shd w:val="clear" w:color="auto" w:fill="auto"/>
            <w:noWrap/>
            <w:hideMark/>
          </w:tcPr>
          <w:p w14:paraId="00E64366"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Poor management of green information in the design, procurement, and construction</w:t>
            </w:r>
          </w:p>
        </w:tc>
        <w:tc>
          <w:tcPr>
            <w:tcW w:w="709" w:type="dxa"/>
            <w:shd w:val="clear" w:color="auto" w:fill="auto"/>
            <w:noWrap/>
            <w:hideMark/>
          </w:tcPr>
          <w:p w14:paraId="1CB454A8"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5</w:t>
            </w:r>
          </w:p>
        </w:tc>
        <w:tc>
          <w:tcPr>
            <w:tcW w:w="804" w:type="dxa"/>
            <w:shd w:val="clear" w:color="auto" w:fill="auto"/>
            <w:noWrap/>
            <w:hideMark/>
          </w:tcPr>
          <w:p w14:paraId="4D2083A3"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72</w:t>
            </w:r>
          </w:p>
        </w:tc>
      </w:tr>
      <w:tr w:rsidR="001912F1" w:rsidRPr="001912F1" w14:paraId="50AAE8AC" w14:textId="77777777" w:rsidTr="00072369">
        <w:trPr>
          <w:trHeight w:val="283"/>
        </w:trPr>
        <w:tc>
          <w:tcPr>
            <w:tcW w:w="856" w:type="dxa"/>
            <w:shd w:val="clear" w:color="auto" w:fill="auto"/>
            <w:noWrap/>
            <w:hideMark/>
          </w:tcPr>
          <w:p w14:paraId="4D4BD641"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MR16</w:t>
            </w:r>
          </w:p>
        </w:tc>
        <w:tc>
          <w:tcPr>
            <w:tcW w:w="6657" w:type="dxa"/>
            <w:shd w:val="clear" w:color="auto" w:fill="auto"/>
            <w:noWrap/>
            <w:hideMark/>
          </w:tcPr>
          <w:p w14:paraId="7167620A"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Inappropriate green construction products, materials, and technologies</w:t>
            </w:r>
          </w:p>
        </w:tc>
        <w:tc>
          <w:tcPr>
            <w:tcW w:w="709" w:type="dxa"/>
            <w:shd w:val="clear" w:color="auto" w:fill="auto"/>
            <w:noWrap/>
            <w:hideMark/>
          </w:tcPr>
          <w:p w14:paraId="2628FF16"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5</w:t>
            </w:r>
          </w:p>
        </w:tc>
        <w:tc>
          <w:tcPr>
            <w:tcW w:w="804" w:type="dxa"/>
            <w:shd w:val="clear" w:color="auto" w:fill="auto"/>
            <w:noWrap/>
            <w:hideMark/>
          </w:tcPr>
          <w:p w14:paraId="0DCEC6BD"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72</w:t>
            </w:r>
          </w:p>
        </w:tc>
      </w:tr>
      <w:tr w:rsidR="001912F1" w:rsidRPr="001912F1" w14:paraId="2495B0B9" w14:textId="77777777" w:rsidTr="00072369">
        <w:trPr>
          <w:trHeight w:val="283"/>
        </w:trPr>
        <w:tc>
          <w:tcPr>
            <w:tcW w:w="856" w:type="dxa"/>
            <w:shd w:val="clear" w:color="auto" w:fill="auto"/>
            <w:noWrap/>
            <w:hideMark/>
          </w:tcPr>
          <w:p w14:paraId="47ACE82C"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MR17</w:t>
            </w:r>
          </w:p>
        </w:tc>
        <w:tc>
          <w:tcPr>
            <w:tcW w:w="6657" w:type="dxa"/>
            <w:shd w:val="clear" w:color="auto" w:fill="auto"/>
            <w:noWrap/>
            <w:hideMark/>
          </w:tcPr>
          <w:p w14:paraId="4F53CA15"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Delayed issuance of drawings and documents</w:t>
            </w:r>
          </w:p>
        </w:tc>
        <w:tc>
          <w:tcPr>
            <w:tcW w:w="709" w:type="dxa"/>
            <w:shd w:val="clear" w:color="auto" w:fill="auto"/>
            <w:noWrap/>
            <w:hideMark/>
          </w:tcPr>
          <w:p w14:paraId="5C7C6942"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4</w:t>
            </w:r>
          </w:p>
        </w:tc>
        <w:tc>
          <w:tcPr>
            <w:tcW w:w="804" w:type="dxa"/>
            <w:shd w:val="clear" w:color="auto" w:fill="auto"/>
            <w:noWrap/>
            <w:hideMark/>
          </w:tcPr>
          <w:p w14:paraId="2BDEFCD1"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80</w:t>
            </w:r>
          </w:p>
        </w:tc>
      </w:tr>
      <w:tr w:rsidR="001912F1" w:rsidRPr="001912F1" w14:paraId="44967454" w14:textId="77777777" w:rsidTr="00072369">
        <w:trPr>
          <w:trHeight w:val="283"/>
        </w:trPr>
        <w:tc>
          <w:tcPr>
            <w:tcW w:w="856" w:type="dxa"/>
            <w:shd w:val="clear" w:color="auto" w:fill="auto"/>
            <w:noWrap/>
            <w:hideMark/>
          </w:tcPr>
          <w:p w14:paraId="1DA97809"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MR18</w:t>
            </w:r>
          </w:p>
        </w:tc>
        <w:tc>
          <w:tcPr>
            <w:tcW w:w="6657" w:type="dxa"/>
            <w:shd w:val="clear" w:color="auto" w:fill="auto"/>
            <w:noWrap/>
            <w:hideMark/>
          </w:tcPr>
          <w:p w14:paraId="096EA80C"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Delay in approving major changes in the scope of works</w:t>
            </w:r>
          </w:p>
        </w:tc>
        <w:tc>
          <w:tcPr>
            <w:tcW w:w="709" w:type="dxa"/>
            <w:shd w:val="clear" w:color="auto" w:fill="auto"/>
            <w:noWrap/>
            <w:hideMark/>
          </w:tcPr>
          <w:p w14:paraId="75317F5E"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4</w:t>
            </w:r>
          </w:p>
        </w:tc>
        <w:tc>
          <w:tcPr>
            <w:tcW w:w="804" w:type="dxa"/>
            <w:shd w:val="clear" w:color="auto" w:fill="auto"/>
            <w:noWrap/>
            <w:hideMark/>
          </w:tcPr>
          <w:p w14:paraId="06F01D08"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80</w:t>
            </w:r>
          </w:p>
        </w:tc>
      </w:tr>
      <w:tr w:rsidR="001912F1" w:rsidRPr="001912F1" w14:paraId="17664AA2" w14:textId="77777777" w:rsidTr="00072369">
        <w:trPr>
          <w:trHeight w:val="283"/>
        </w:trPr>
        <w:tc>
          <w:tcPr>
            <w:tcW w:w="856" w:type="dxa"/>
            <w:shd w:val="clear" w:color="auto" w:fill="auto"/>
            <w:noWrap/>
            <w:hideMark/>
          </w:tcPr>
          <w:p w14:paraId="5AF98BBD"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MR19</w:t>
            </w:r>
          </w:p>
        </w:tc>
        <w:tc>
          <w:tcPr>
            <w:tcW w:w="6657" w:type="dxa"/>
            <w:shd w:val="clear" w:color="auto" w:fill="auto"/>
            <w:noWrap/>
            <w:hideMark/>
          </w:tcPr>
          <w:p w14:paraId="3272A79B"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Additional testing and inspection in green construction</w:t>
            </w:r>
          </w:p>
        </w:tc>
        <w:tc>
          <w:tcPr>
            <w:tcW w:w="709" w:type="dxa"/>
            <w:shd w:val="clear" w:color="auto" w:fill="auto"/>
            <w:noWrap/>
            <w:hideMark/>
          </w:tcPr>
          <w:p w14:paraId="7394A5E5"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3</w:t>
            </w:r>
          </w:p>
        </w:tc>
        <w:tc>
          <w:tcPr>
            <w:tcW w:w="804" w:type="dxa"/>
            <w:shd w:val="clear" w:color="auto" w:fill="auto"/>
            <w:noWrap/>
            <w:hideMark/>
          </w:tcPr>
          <w:p w14:paraId="28AD3210"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88</w:t>
            </w:r>
          </w:p>
        </w:tc>
      </w:tr>
      <w:tr w:rsidR="001912F1" w:rsidRPr="001912F1" w14:paraId="5DE43558" w14:textId="77777777" w:rsidTr="00072369">
        <w:trPr>
          <w:trHeight w:val="283"/>
        </w:trPr>
        <w:tc>
          <w:tcPr>
            <w:tcW w:w="856" w:type="dxa"/>
            <w:shd w:val="clear" w:color="auto" w:fill="auto"/>
            <w:noWrap/>
            <w:hideMark/>
          </w:tcPr>
          <w:p w14:paraId="4A49F2E1"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MR20</w:t>
            </w:r>
          </w:p>
        </w:tc>
        <w:tc>
          <w:tcPr>
            <w:tcW w:w="6657" w:type="dxa"/>
            <w:shd w:val="clear" w:color="auto" w:fill="auto"/>
            <w:noWrap/>
            <w:hideMark/>
          </w:tcPr>
          <w:p w14:paraId="11F78D43"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Disruptions in the supply chain of green buildings</w:t>
            </w:r>
          </w:p>
        </w:tc>
        <w:tc>
          <w:tcPr>
            <w:tcW w:w="709" w:type="dxa"/>
            <w:shd w:val="clear" w:color="auto" w:fill="auto"/>
            <w:noWrap/>
            <w:hideMark/>
          </w:tcPr>
          <w:p w14:paraId="60F30FEA"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2</w:t>
            </w:r>
          </w:p>
        </w:tc>
        <w:tc>
          <w:tcPr>
            <w:tcW w:w="804" w:type="dxa"/>
            <w:shd w:val="clear" w:color="auto" w:fill="auto"/>
            <w:noWrap/>
            <w:hideMark/>
          </w:tcPr>
          <w:p w14:paraId="67B67645"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94</w:t>
            </w:r>
          </w:p>
        </w:tc>
      </w:tr>
      <w:tr w:rsidR="001912F1" w:rsidRPr="001912F1" w14:paraId="630C34CA" w14:textId="77777777" w:rsidTr="00072369">
        <w:trPr>
          <w:trHeight w:val="283"/>
        </w:trPr>
        <w:tc>
          <w:tcPr>
            <w:tcW w:w="856" w:type="dxa"/>
            <w:shd w:val="clear" w:color="000000" w:fill="4472C4"/>
            <w:noWrap/>
            <w:hideMark/>
          </w:tcPr>
          <w:p w14:paraId="16DF499D"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 </w:t>
            </w:r>
          </w:p>
        </w:tc>
        <w:tc>
          <w:tcPr>
            <w:tcW w:w="6657" w:type="dxa"/>
            <w:shd w:val="clear" w:color="000000" w:fill="4472C4"/>
            <w:noWrap/>
            <w:hideMark/>
          </w:tcPr>
          <w:p w14:paraId="0F17BAF2"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Environmental risks (ERs)</w:t>
            </w:r>
          </w:p>
        </w:tc>
        <w:tc>
          <w:tcPr>
            <w:tcW w:w="709" w:type="dxa"/>
            <w:shd w:val="clear" w:color="000000" w:fill="4472C4"/>
            <w:noWrap/>
            <w:hideMark/>
          </w:tcPr>
          <w:p w14:paraId="1C6B7E27"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 </w:t>
            </w:r>
          </w:p>
        </w:tc>
        <w:tc>
          <w:tcPr>
            <w:tcW w:w="804" w:type="dxa"/>
            <w:shd w:val="clear" w:color="000000" w:fill="4472C4"/>
            <w:noWrap/>
            <w:hideMark/>
          </w:tcPr>
          <w:p w14:paraId="62D36666"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 </w:t>
            </w:r>
          </w:p>
        </w:tc>
      </w:tr>
      <w:tr w:rsidR="001912F1" w:rsidRPr="001912F1" w14:paraId="18F8FC39" w14:textId="77777777" w:rsidTr="00072369">
        <w:trPr>
          <w:trHeight w:val="283"/>
        </w:trPr>
        <w:tc>
          <w:tcPr>
            <w:tcW w:w="856" w:type="dxa"/>
            <w:shd w:val="clear" w:color="auto" w:fill="auto"/>
            <w:noWrap/>
            <w:hideMark/>
          </w:tcPr>
          <w:p w14:paraId="66520C23"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ER1</w:t>
            </w:r>
          </w:p>
        </w:tc>
        <w:tc>
          <w:tcPr>
            <w:tcW w:w="6657" w:type="dxa"/>
            <w:shd w:val="clear" w:color="auto" w:fill="auto"/>
            <w:noWrap/>
            <w:hideMark/>
          </w:tcPr>
          <w:p w14:paraId="74A883FC"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Inadequate site information</w:t>
            </w:r>
          </w:p>
        </w:tc>
        <w:tc>
          <w:tcPr>
            <w:tcW w:w="709" w:type="dxa"/>
            <w:shd w:val="clear" w:color="auto" w:fill="auto"/>
            <w:noWrap/>
            <w:hideMark/>
          </w:tcPr>
          <w:p w14:paraId="7FDC629D"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8</w:t>
            </w:r>
          </w:p>
        </w:tc>
        <w:tc>
          <w:tcPr>
            <w:tcW w:w="804" w:type="dxa"/>
            <w:shd w:val="clear" w:color="auto" w:fill="auto"/>
            <w:noWrap/>
            <w:hideMark/>
          </w:tcPr>
          <w:p w14:paraId="44C01BD8"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45</w:t>
            </w:r>
          </w:p>
        </w:tc>
      </w:tr>
      <w:tr w:rsidR="001912F1" w:rsidRPr="001912F1" w14:paraId="08D90EFE" w14:textId="77777777" w:rsidTr="00072369">
        <w:trPr>
          <w:trHeight w:val="283"/>
        </w:trPr>
        <w:tc>
          <w:tcPr>
            <w:tcW w:w="856" w:type="dxa"/>
            <w:shd w:val="clear" w:color="auto" w:fill="auto"/>
            <w:noWrap/>
            <w:hideMark/>
          </w:tcPr>
          <w:p w14:paraId="22F0C683"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ER2</w:t>
            </w:r>
          </w:p>
        </w:tc>
        <w:tc>
          <w:tcPr>
            <w:tcW w:w="6657" w:type="dxa"/>
            <w:shd w:val="clear" w:color="auto" w:fill="auto"/>
            <w:noWrap/>
            <w:hideMark/>
          </w:tcPr>
          <w:p w14:paraId="09FC6516"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Variation in adverse weather conditions</w:t>
            </w:r>
          </w:p>
        </w:tc>
        <w:tc>
          <w:tcPr>
            <w:tcW w:w="709" w:type="dxa"/>
            <w:shd w:val="clear" w:color="auto" w:fill="auto"/>
            <w:noWrap/>
            <w:hideMark/>
          </w:tcPr>
          <w:p w14:paraId="32BEBA23"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8</w:t>
            </w:r>
          </w:p>
        </w:tc>
        <w:tc>
          <w:tcPr>
            <w:tcW w:w="804" w:type="dxa"/>
            <w:shd w:val="clear" w:color="auto" w:fill="auto"/>
            <w:noWrap/>
            <w:hideMark/>
          </w:tcPr>
          <w:p w14:paraId="59F78C95"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45</w:t>
            </w:r>
          </w:p>
        </w:tc>
      </w:tr>
      <w:tr w:rsidR="001912F1" w:rsidRPr="001912F1" w14:paraId="22EFD255" w14:textId="77777777" w:rsidTr="00072369">
        <w:trPr>
          <w:trHeight w:val="283"/>
        </w:trPr>
        <w:tc>
          <w:tcPr>
            <w:tcW w:w="856" w:type="dxa"/>
            <w:shd w:val="clear" w:color="auto" w:fill="auto"/>
            <w:noWrap/>
            <w:hideMark/>
          </w:tcPr>
          <w:p w14:paraId="0A20D81B"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ER3</w:t>
            </w:r>
          </w:p>
        </w:tc>
        <w:tc>
          <w:tcPr>
            <w:tcW w:w="6657" w:type="dxa"/>
            <w:shd w:val="clear" w:color="auto" w:fill="auto"/>
            <w:noWrap/>
            <w:hideMark/>
          </w:tcPr>
          <w:p w14:paraId="290F2F45"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Insufficient construction site investigation and unforeseen adverse site conditions</w:t>
            </w:r>
          </w:p>
        </w:tc>
        <w:tc>
          <w:tcPr>
            <w:tcW w:w="709" w:type="dxa"/>
            <w:shd w:val="clear" w:color="auto" w:fill="auto"/>
            <w:noWrap/>
            <w:hideMark/>
          </w:tcPr>
          <w:p w14:paraId="46952B07"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6</w:t>
            </w:r>
          </w:p>
        </w:tc>
        <w:tc>
          <w:tcPr>
            <w:tcW w:w="804" w:type="dxa"/>
            <w:shd w:val="clear" w:color="auto" w:fill="auto"/>
            <w:noWrap/>
            <w:hideMark/>
          </w:tcPr>
          <w:p w14:paraId="63A097E3"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63</w:t>
            </w:r>
          </w:p>
        </w:tc>
      </w:tr>
      <w:tr w:rsidR="001912F1" w:rsidRPr="001912F1" w14:paraId="77CF150A" w14:textId="77777777" w:rsidTr="00072369">
        <w:trPr>
          <w:trHeight w:val="283"/>
        </w:trPr>
        <w:tc>
          <w:tcPr>
            <w:tcW w:w="856" w:type="dxa"/>
            <w:shd w:val="clear" w:color="auto" w:fill="auto"/>
            <w:noWrap/>
            <w:hideMark/>
          </w:tcPr>
          <w:p w14:paraId="6564CBD0"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ER4</w:t>
            </w:r>
          </w:p>
        </w:tc>
        <w:tc>
          <w:tcPr>
            <w:tcW w:w="6657" w:type="dxa"/>
            <w:shd w:val="clear" w:color="auto" w:fill="auto"/>
            <w:noWrap/>
            <w:hideMark/>
          </w:tcPr>
          <w:p w14:paraId="66EBC898"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Excessive pollution from green construction</w:t>
            </w:r>
          </w:p>
        </w:tc>
        <w:tc>
          <w:tcPr>
            <w:tcW w:w="709" w:type="dxa"/>
            <w:shd w:val="clear" w:color="auto" w:fill="auto"/>
            <w:noWrap/>
            <w:hideMark/>
          </w:tcPr>
          <w:p w14:paraId="7E7B6DD8"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5</w:t>
            </w:r>
          </w:p>
        </w:tc>
        <w:tc>
          <w:tcPr>
            <w:tcW w:w="804" w:type="dxa"/>
            <w:shd w:val="clear" w:color="auto" w:fill="auto"/>
            <w:noWrap/>
            <w:hideMark/>
          </w:tcPr>
          <w:p w14:paraId="6031F69F"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72</w:t>
            </w:r>
          </w:p>
        </w:tc>
      </w:tr>
      <w:tr w:rsidR="001912F1" w:rsidRPr="001912F1" w14:paraId="738FB8C9" w14:textId="77777777" w:rsidTr="00072369">
        <w:trPr>
          <w:trHeight w:val="283"/>
        </w:trPr>
        <w:tc>
          <w:tcPr>
            <w:tcW w:w="856" w:type="dxa"/>
            <w:shd w:val="clear" w:color="auto" w:fill="auto"/>
            <w:noWrap/>
            <w:hideMark/>
          </w:tcPr>
          <w:p w14:paraId="5E671452"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ER5</w:t>
            </w:r>
          </w:p>
        </w:tc>
        <w:tc>
          <w:tcPr>
            <w:tcW w:w="6657" w:type="dxa"/>
            <w:shd w:val="clear" w:color="auto" w:fill="auto"/>
            <w:noWrap/>
            <w:hideMark/>
          </w:tcPr>
          <w:p w14:paraId="33837903"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 xml:space="preserve">War threats and political instability </w:t>
            </w:r>
          </w:p>
        </w:tc>
        <w:tc>
          <w:tcPr>
            <w:tcW w:w="709" w:type="dxa"/>
            <w:shd w:val="clear" w:color="auto" w:fill="auto"/>
            <w:noWrap/>
            <w:hideMark/>
          </w:tcPr>
          <w:p w14:paraId="55C63F28"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2</w:t>
            </w:r>
          </w:p>
        </w:tc>
        <w:tc>
          <w:tcPr>
            <w:tcW w:w="804" w:type="dxa"/>
            <w:shd w:val="clear" w:color="auto" w:fill="auto"/>
            <w:noWrap/>
            <w:hideMark/>
          </w:tcPr>
          <w:p w14:paraId="3171BDEB"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94</w:t>
            </w:r>
          </w:p>
        </w:tc>
      </w:tr>
      <w:tr w:rsidR="001912F1" w:rsidRPr="001912F1" w14:paraId="3EDDA3BD" w14:textId="77777777" w:rsidTr="00072369">
        <w:trPr>
          <w:trHeight w:val="283"/>
        </w:trPr>
        <w:tc>
          <w:tcPr>
            <w:tcW w:w="856" w:type="dxa"/>
            <w:shd w:val="clear" w:color="000000" w:fill="4472C4"/>
            <w:noWrap/>
            <w:hideMark/>
          </w:tcPr>
          <w:p w14:paraId="6BB0DDBE"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 </w:t>
            </w:r>
          </w:p>
        </w:tc>
        <w:tc>
          <w:tcPr>
            <w:tcW w:w="6657" w:type="dxa"/>
            <w:shd w:val="clear" w:color="000000" w:fill="4472C4"/>
            <w:noWrap/>
            <w:hideMark/>
          </w:tcPr>
          <w:p w14:paraId="7B37C36C"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Legal risks (LRs)</w:t>
            </w:r>
          </w:p>
        </w:tc>
        <w:tc>
          <w:tcPr>
            <w:tcW w:w="709" w:type="dxa"/>
            <w:shd w:val="clear" w:color="000000" w:fill="4472C4"/>
            <w:noWrap/>
            <w:hideMark/>
          </w:tcPr>
          <w:p w14:paraId="2550FAC0"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 </w:t>
            </w:r>
          </w:p>
        </w:tc>
        <w:tc>
          <w:tcPr>
            <w:tcW w:w="804" w:type="dxa"/>
            <w:shd w:val="clear" w:color="000000" w:fill="4472C4"/>
            <w:noWrap/>
            <w:hideMark/>
          </w:tcPr>
          <w:p w14:paraId="2EB05C9C"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 </w:t>
            </w:r>
          </w:p>
        </w:tc>
      </w:tr>
      <w:tr w:rsidR="001912F1" w:rsidRPr="001912F1" w14:paraId="5019A4BE" w14:textId="77777777" w:rsidTr="00072369">
        <w:trPr>
          <w:trHeight w:val="283"/>
        </w:trPr>
        <w:tc>
          <w:tcPr>
            <w:tcW w:w="856" w:type="dxa"/>
            <w:shd w:val="clear" w:color="auto" w:fill="auto"/>
            <w:noWrap/>
            <w:hideMark/>
          </w:tcPr>
          <w:p w14:paraId="57DF660C"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LR1</w:t>
            </w:r>
          </w:p>
        </w:tc>
        <w:tc>
          <w:tcPr>
            <w:tcW w:w="6657" w:type="dxa"/>
            <w:shd w:val="clear" w:color="auto" w:fill="auto"/>
            <w:noWrap/>
            <w:hideMark/>
          </w:tcPr>
          <w:p w14:paraId="305AB2C7"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Breach of contracts and disputes</w:t>
            </w:r>
          </w:p>
        </w:tc>
        <w:tc>
          <w:tcPr>
            <w:tcW w:w="709" w:type="dxa"/>
            <w:shd w:val="clear" w:color="auto" w:fill="auto"/>
            <w:noWrap/>
            <w:hideMark/>
          </w:tcPr>
          <w:p w14:paraId="22893CA9"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12</w:t>
            </w:r>
          </w:p>
        </w:tc>
        <w:tc>
          <w:tcPr>
            <w:tcW w:w="804" w:type="dxa"/>
            <w:shd w:val="clear" w:color="auto" w:fill="auto"/>
            <w:noWrap/>
            <w:hideMark/>
          </w:tcPr>
          <w:p w14:paraId="05E8D400"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29</w:t>
            </w:r>
          </w:p>
        </w:tc>
      </w:tr>
      <w:tr w:rsidR="001912F1" w:rsidRPr="001912F1" w14:paraId="66698AA2" w14:textId="77777777" w:rsidTr="00072369">
        <w:trPr>
          <w:trHeight w:val="283"/>
        </w:trPr>
        <w:tc>
          <w:tcPr>
            <w:tcW w:w="856" w:type="dxa"/>
            <w:shd w:val="clear" w:color="auto" w:fill="auto"/>
            <w:noWrap/>
            <w:hideMark/>
          </w:tcPr>
          <w:p w14:paraId="02D1F554"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LR2</w:t>
            </w:r>
          </w:p>
        </w:tc>
        <w:tc>
          <w:tcPr>
            <w:tcW w:w="6657" w:type="dxa"/>
            <w:shd w:val="clear" w:color="auto" w:fill="auto"/>
            <w:noWrap/>
            <w:hideMark/>
          </w:tcPr>
          <w:p w14:paraId="4BBD44FF"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 xml:space="preserve">Unclear contract clauses and conditions for green building </w:t>
            </w:r>
          </w:p>
        </w:tc>
        <w:tc>
          <w:tcPr>
            <w:tcW w:w="709" w:type="dxa"/>
            <w:shd w:val="clear" w:color="auto" w:fill="auto"/>
            <w:noWrap/>
            <w:hideMark/>
          </w:tcPr>
          <w:p w14:paraId="370CCE4B"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9</w:t>
            </w:r>
          </w:p>
        </w:tc>
        <w:tc>
          <w:tcPr>
            <w:tcW w:w="804" w:type="dxa"/>
            <w:shd w:val="clear" w:color="auto" w:fill="auto"/>
            <w:noWrap/>
            <w:hideMark/>
          </w:tcPr>
          <w:p w14:paraId="0152F40F"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41</w:t>
            </w:r>
          </w:p>
        </w:tc>
      </w:tr>
      <w:tr w:rsidR="001912F1" w:rsidRPr="001912F1" w14:paraId="6DAEA090" w14:textId="77777777" w:rsidTr="00072369">
        <w:trPr>
          <w:trHeight w:val="283"/>
        </w:trPr>
        <w:tc>
          <w:tcPr>
            <w:tcW w:w="856" w:type="dxa"/>
            <w:shd w:val="clear" w:color="auto" w:fill="auto"/>
            <w:noWrap/>
            <w:hideMark/>
          </w:tcPr>
          <w:p w14:paraId="79F868FA"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LR3</w:t>
            </w:r>
          </w:p>
        </w:tc>
        <w:tc>
          <w:tcPr>
            <w:tcW w:w="6657" w:type="dxa"/>
            <w:shd w:val="clear" w:color="auto" w:fill="auto"/>
            <w:noWrap/>
            <w:hideMark/>
          </w:tcPr>
          <w:p w14:paraId="49E03B5A"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Inadequate long-term warranties and insurances for green materials and equipment</w:t>
            </w:r>
          </w:p>
        </w:tc>
        <w:tc>
          <w:tcPr>
            <w:tcW w:w="709" w:type="dxa"/>
            <w:shd w:val="clear" w:color="auto" w:fill="auto"/>
            <w:noWrap/>
            <w:hideMark/>
          </w:tcPr>
          <w:p w14:paraId="3A51C157"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8</w:t>
            </w:r>
          </w:p>
        </w:tc>
        <w:tc>
          <w:tcPr>
            <w:tcW w:w="804" w:type="dxa"/>
            <w:shd w:val="clear" w:color="auto" w:fill="auto"/>
            <w:noWrap/>
            <w:hideMark/>
          </w:tcPr>
          <w:p w14:paraId="6D72F1AE"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45</w:t>
            </w:r>
          </w:p>
        </w:tc>
      </w:tr>
      <w:tr w:rsidR="001912F1" w:rsidRPr="001912F1" w14:paraId="3299FC86" w14:textId="77777777" w:rsidTr="00072369">
        <w:trPr>
          <w:trHeight w:val="283"/>
        </w:trPr>
        <w:tc>
          <w:tcPr>
            <w:tcW w:w="856" w:type="dxa"/>
            <w:shd w:val="clear" w:color="auto" w:fill="auto"/>
            <w:noWrap/>
            <w:hideMark/>
          </w:tcPr>
          <w:p w14:paraId="5F5293FF"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LR4</w:t>
            </w:r>
          </w:p>
        </w:tc>
        <w:tc>
          <w:tcPr>
            <w:tcW w:w="6657" w:type="dxa"/>
            <w:shd w:val="clear" w:color="auto" w:fill="auto"/>
            <w:noWrap/>
            <w:hideMark/>
          </w:tcPr>
          <w:p w14:paraId="7E0475D3"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Litigation, legal actions, and prosecutions during construction</w:t>
            </w:r>
          </w:p>
        </w:tc>
        <w:tc>
          <w:tcPr>
            <w:tcW w:w="709" w:type="dxa"/>
            <w:shd w:val="clear" w:color="auto" w:fill="auto"/>
            <w:noWrap/>
            <w:hideMark/>
          </w:tcPr>
          <w:p w14:paraId="0C2917D7"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5</w:t>
            </w:r>
          </w:p>
        </w:tc>
        <w:tc>
          <w:tcPr>
            <w:tcW w:w="804" w:type="dxa"/>
            <w:shd w:val="clear" w:color="auto" w:fill="auto"/>
            <w:noWrap/>
            <w:hideMark/>
          </w:tcPr>
          <w:p w14:paraId="1F845412"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72</w:t>
            </w:r>
          </w:p>
        </w:tc>
      </w:tr>
      <w:tr w:rsidR="001912F1" w:rsidRPr="001912F1" w14:paraId="2B17189A" w14:textId="77777777" w:rsidTr="00072369">
        <w:trPr>
          <w:trHeight w:val="283"/>
        </w:trPr>
        <w:tc>
          <w:tcPr>
            <w:tcW w:w="856" w:type="dxa"/>
            <w:shd w:val="clear" w:color="auto" w:fill="auto"/>
            <w:noWrap/>
            <w:hideMark/>
          </w:tcPr>
          <w:p w14:paraId="58796D2E"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LR5</w:t>
            </w:r>
          </w:p>
        </w:tc>
        <w:tc>
          <w:tcPr>
            <w:tcW w:w="6657" w:type="dxa"/>
            <w:shd w:val="clear" w:color="auto" w:fill="auto"/>
            <w:noWrap/>
            <w:hideMark/>
          </w:tcPr>
          <w:p w14:paraId="455E6902"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Corruption and bribes</w:t>
            </w:r>
          </w:p>
        </w:tc>
        <w:tc>
          <w:tcPr>
            <w:tcW w:w="709" w:type="dxa"/>
            <w:shd w:val="clear" w:color="auto" w:fill="auto"/>
            <w:noWrap/>
            <w:hideMark/>
          </w:tcPr>
          <w:p w14:paraId="51EF4FC3"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4</w:t>
            </w:r>
          </w:p>
        </w:tc>
        <w:tc>
          <w:tcPr>
            <w:tcW w:w="804" w:type="dxa"/>
            <w:shd w:val="clear" w:color="auto" w:fill="auto"/>
            <w:noWrap/>
            <w:hideMark/>
          </w:tcPr>
          <w:p w14:paraId="64D3C41A"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80</w:t>
            </w:r>
          </w:p>
        </w:tc>
      </w:tr>
      <w:tr w:rsidR="001912F1" w:rsidRPr="001912F1" w14:paraId="57D0F311" w14:textId="77777777" w:rsidTr="00072369">
        <w:trPr>
          <w:trHeight w:val="283"/>
        </w:trPr>
        <w:tc>
          <w:tcPr>
            <w:tcW w:w="856" w:type="dxa"/>
            <w:shd w:val="clear" w:color="000000" w:fill="4472C4"/>
            <w:noWrap/>
            <w:hideMark/>
          </w:tcPr>
          <w:p w14:paraId="301788CA"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 </w:t>
            </w:r>
          </w:p>
        </w:tc>
        <w:tc>
          <w:tcPr>
            <w:tcW w:w="6657" w:type="dxa"/>
            <w:shd w:val="clear" w:color="000000" w:fill="4472C4"/>
            <w:noWrap/>
            <w:hideMark/>
          </w:tcPr>
          <w:p w14:paraId="11E773BE"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Regulatory risks (RRs)</w:t>
            </w:r>
          </w:p>
        </w:tc>
        <w:tc>
          <w:tcPr>
            <w:tcW w:w="709" w:type="dxa"/>
            <w:shd w:val="clear" w:color="000000" w:fill="4472C4"/>
            <w:noWrap/>
            <w:hideMark/>
          </w:tcPr>
          <w:p w14:paraId="77500900"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 </w:t>
            </w:r>
          </w:p>
        </w:tc>
        <w:tc>
          <w:tcPr>
            <w:tcW w:w="804" w:type="dxa"/>
            <w:shd w:val="clear" w:color="000000" w:fill="4472C4"/>
            <w:noWrap/>
            <w:hideMark/>
          </w:tcPr>
          <w:p w14:paraId="5476420E"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 </w:t>
            </w:r>
          </w:p>
        </w:tc>
      </w:tr>
      <w:tr w:rsidR="001912F1" w:rsidRPr="001912F1" w14:paraId="7E9CC6BD" w14:textId="77777777" w:rsidTr="00072369">
        <w:trPr>
          <w:trHeight w:val="283"/>
        </w:trPr>
        <w:tc>
          <w:tcPr>
            <w:tcW w:w="856" w:type="dxa"/>
            <w:shd w:val="clear" w:color="auto" w:fill="auto"/>
            <w:noWrap/>
            <w:hideMark/>
          </w:tcPr>
          <w:p w14:paraId="0609C72B"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RR1</w:t>
            </w:r>
          </w:p>
        </w:tc>
        <w:tc>
          <w:tcPr>
            <w:tcW w:w="6657" w:type="dxa"/>
            <w:shd w:val="clear" w:color="auto" w:fill="auto"/>
            <w:noWrap/>
            <w:hideMark/>
          </w:tcPr>
          <w:p w14:paraId="402A76FE"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Complex and complicated approval procedures, codes, and regulations for green buildings</w:t>
            </w:r>
          </w:p>
        </w:tc>
        <w:tc>
          <w:tcPr>
            <w:tcW w:w="709" w:type="dxa"/>
            <w:shd w:val="clear" w:color="auto" w:fill="auto"/>
            <w:noWrap/>
            <w:hideMark/>
          </w:tcPr>
          <w:p w14:paraId="3823B4DB"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20</w:t>
            </w:r>
          </w:p>
        </w:tc>
        <w:tc>
          <w:tcPr>
            <w:tcW w:w="804" w:type="dxa"/>
            <w:shd w:val="clear" w:color="auto" w:fill="auto"/>
            <w:noWrap/>
            <w:hideMark/>
          </w:tcPr>
          <w:p w14:paraId="4CDE1371"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6</w:t>
            </w:r>
          </w:p>
        </w:tc>
      </w:tr>
      <w:tr w:rsidR="001912F1" w:rsidRPr="001912F1" w14:paraId="5BB6017D" w14:textId="77777777" w:rsidTr="00072369">
        <w:trPr>
          <w:trHeight w:val="283"/>
        </w:trPr>
        <w:tc>
          <w:tcPr>
            <w:tcW w:w="856" w:type="dxa"/>
            <w:shd w:val="clear" w:color="auto" w:fill="auto"/>
            <w:noWrap/>
            <w:hideMark/>
          </w:tcPr>
          <w:p w14:paraId="5F81480E"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RR2</w:t>
            </w:r>
          </w:p>
        </w:tc>
        <w:tc>
          <w:tcPr>
            <w:tcW w:w="6657" w:type="dxa"/>
            <w:shd w:val="clear" w:color="auto" w:fill="auto"/>
            <w:noWrap/>
            <w:hideMark/>
          </w:tcPr>
          <w:p w14:paraId="7DB6239D"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Changes in government regulations, taxes, incentives, and policies</w:t>
            </w:r>
          </w:p>
        </w:tc>
        <w:tc>
          <w:tcPr>
            <w:tcW w:w="709" w:type="dxa"/>
            <w:shd w:val="clear" w:color="auto" w:fill="auto"/>
            <w:noWrap/>
            <w:hideMark/>
          </w:tcPr>
          <w:p w14:paraId="4F8138C4"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19</w:t>
            </w:r>
          </w:p>
        </w:tc>
        <w:tc>
          <w:tcPr>
            <w:tcW w:w="804" w:type="dxa"/>
            <w:shd w:val="clear" w:color="auto" w:fill="auto"/>
            <w:noWrap/>
            <w:hideMark/>
          </w:tcPr>
          <w:p w14:paraId="2B6BA56D"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9</w:t>
            </w:r>
          </w:p>
        </w:tc>
      </w:tr>
      <w:tr w:rsidR="001912F1" w:rsidRPr="001912F1" w14:paraId="33F04C55" w14:textId="77777777" w:rsidTr="00072369">
        <w:trPr>
          <w:trHeight w:val="283"/>
        </w:trPr>
        <w:tc>
          <w:tcPr>
            <w:tcW w:w="856" w:type="dxa"/>
            <w:shd w:val="clear" w:color="auto" w:fill="auto"/>
            <w:noWrap/>
            <w:hideMark/>
          </w:tcPr>
          <w:p w14:paraId="70640FC5"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RR3</w:t>
            </w:r>
          </w:p>
        </w:tc>
        <w:tc>
          <w:tcPr>
            <w:tcW w:w="6657" w:type="dxa"/>
            <w:shd w:val="clear" w:color="auto" w:fill="auto"/>
            <w:noWrap/>
            <w:hideMark/>
          </w:tcPr>
          <w:p w14:paraId="49BDDFF8"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Difficulty in obtaining green certification and documentation upon completion</w:t>
            </w:r>
          </w:p>
        </w:tc>
        <w:tc>
          <w:tcPr>
            <w:tcW w:w="709" w:type="dxa"/>
            <w:shd w:val="clear" w:color="auto" w:fill="auto"/>
            <w:noWrap/>
            <w:hideMark/>
          </w:tcPr>
          <w:p w14:paraId="1445FA0C"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16</w:t>
            </w:r>
          </w:p>
        </w:tc>
        <w:tc>
          <w:tcPr>
            <w:tcW w:w="804" w:type="dxa"/>
            <w:shd w:val="clear" w:color="auto" w:fill="auto"/>
            <w:noWrap/>
            <w:hideMark/>
          </w:tcPr>
          <w:p w14:paraId="5B9666BD"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13</w:t>
            </w:r>
          </w:p>
        </w:tc>
      </w:tr>
      <w:tr w:rsidR="001912F1" w:rsidRPr="001912F1" w14:paraId="6FCA513C" w14:textId="77777777" w:rsidTr="00072369">
        <w:trPr>
          <w:trHeight w:val="283"/>
        </w:trPr>
        <w:tc>
          <w:tcPr>
            <w:tcW w:w="856" w:type="dxa"/>
            <w:shd w:val="clear" w:color="auto" w:fill="auto"/>
            <w:noWrap/>
            <w:hideMark/>
          </w:tcPr>
          <w:p w14:paraId="24AD3365"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RR4</w:t>
            </w:r>
          </w:p>
        </w:tc>
        <w:tc>
          <w:tcPr>
            <w:tcW w:w="6657" w:type="dxa"/>
            <w:shd w:val="clear" w:color="auto" w:fill="auto"/>
            <w:noWrap/>
            <w:hideMark/>
          </w:tcPr>
          <w:p w14:paraId="23996D5B"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Lack of government support and incentives</w:t>
            </w:r>
          </w:p>
        </w:tc>
        <w:tc>
          <w:tcPr>
            <w:tcW w:w="709" w:type="dxa"/>
            <w:shd w:val="clear" w:color="auto" w:fill="auto"/>
            <w:noWrap/>
            <w:hideMark/>
          </w:tcPr>
          <w:p w14:paraId="5004F05C"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15</w:t>
            </w:r>
          </w:p>
        </w:tc>
        <w:tc>
          <w:tcPr>
            <w:tcW w:w="804" w:type="dxa"/>
            <w:shd w:val="clear" w:color="auto" w:fill="auto"/>
            <w:noWrap/>
            <w:hideMark/>
          </w:tcPr>
          <w:p w14:paraId="6885CB04"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15</w:t>
            </w:r>
          </w:p>
        </w:tc>
      </w:tr>
      <w:tr w:rsidR="001912F1" w:rsidRPr="001912F1" w14:paraId="62BBD900" w14:textId="77777777" w:rsidTr="00072369">
        <w:trPr>
          <w:trHeight w:val="283"/>
        </w:trPr>
        <w:tc>
          <w:tcPr>
            <w:tcW w:w="856" w:type="dxa"/>
            <w:shd w:val="clear" w:color="auto" w:fill="auto"/>
            <w:noWrap/>
            <w:hideMark/>
          </w:tcPr>
          <w:p w14:paraId="3F9B6382"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RR5</w:t>
            </w:r>
          </w:p>
        </w:tc>
        <w:tc>
          <w:tcPr>
            <w:tcW w:w="6657" w:type="dxa"/>
            <w:shd w:val="clear" w:color="auto" w:fill="auto"/>
            <w:noWrap/>
            <w:hideMark/>
          </w:tcPr>
          <w:p w14:paraId="47453DAE"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Uncertainty and delays in obtaining approval and permitting for green buildings</w:t>
            </w:r>
          </w:p>
        </w:tc>
        <w:tc>
          <w:tcPr>
            <w:tcW w:w="709" w:type="dxa"/>
            <w:shd w:val="clear" w:color="auto" w:fill="auto"/>
            <w:noWrap/>
            <w:hideMark/>
          </w:tcPr>
          <w:p w14:paraId="465C12AE"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14</w:t>
            </w:r>
          </w:p>
        </w:tc>
        <w:tc>
          <w:tcPr>
            <w:tcW w:w="804" w:type="dxa"/>
            <w:shd w:val="clear" w:color="auto" w:fill="auto"/>
            <w:noWrap/>
            <w:hideMark/>
          </w:tcPr>
          <w:p w14:paraId="55456837"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16</w:t>
            </w:r>
          </w:p>
        </w:tc>
      </w:tr>
      <w:tr w:rsidR="001912F1" w:rsidRPr="001912F1" w14:paraId="740D79CD" w14:textId="77777777" w:rsidTr="00072369">
        <w:trPr>
          <w:trHeight w:val="283"/>
        </w:trPr>
        <w:tc>
          <w:tcPr>
            <w:tcW w:w="856" w:type="dxa"/>
            <w:shd w:val="clear" w:color="auto" w:fill="auto"/>
            <w:noWrap/>
            <w:hideMark/>
          </w:tcPr>
          <w:p w14:paraId="5B80B8BA"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RR6</w:t>
            </w:r>
          </w:p>
        </w:tc>
        <w:tc>
          <w:tcPr>
            <w:tcW w:w="6657" w:type="dxa"/>
            <w:shd w:val="clear" w:color="auto" w:fill="auto"/>
            <w:noWrap/>
            <w:hideMark/>
          </w:tcPr>
          <w:p w14:paraId="743BAEB4"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 xml:space="preserve">Inadequate green building code and regulations </w:t>
            </w:r>
          </w:p>
        </w:tc>
        <w:tc>
          <w:tcPr>
            <w:tcW w:w="709" w:type="dxa"/>
            <w:shd w:val="clear" w:color="auto" w:fill="auto"/>
            <w:noWrap/>
            <w:hideMark/>
          </w:tcPr>
          <w:p w14:paraId="30AA2840"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12</w:t>
            </w:r>
          </w:p>
        </w:tc>
        <w:tc>
          <w:tcPr>
            <w:tcW w:w="804" w:type="dxa"/>
            <w:shd w:val="clear" w:color="auto" w:fill="auto"/>
            <w:noWrap/>
            <w:hideMark/>
          </w:tcPr>
          <w:p w14:paraId="0AD6F8A5"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29</w:t>
            </w:r>
          </w:p>
        </w:tc>
      </w:tr>
      <w:tr w:rsidR="001912F1" w:rsidRPr="001912F1" w14:paraId="42F6DAC5" w14:textId="77777777" w:rsidTr="00072369">
        <w:trPr>
          <w:trHeight w:val="283"/>
        </w:trPr>
        <w:tc>
          <w:tcPr>
            <w:tcW w:w="856" w:type="dxa"/>
            <w:shd w:val="clear" w:color="auto" w:fill="auto"/>
            <w:noWrap/>
            <w:hideMark/>
          </w:tcPr>
          <w:p w14:paraId="44069F97"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RR7</w:t>
            </w:r>
          </w:p>
        </w:tc>
        <w:tc>
          <w:tcPr>
            <w:tcW w:w="6657" w:type="dxa"/>
            <w:shd w:val="clear" w:color="auto" w:fill="auto"/>
            <w:noWrap/>
            <w:hideMark/>
          </w:tcPr>
          <w:p w14:paraId="4D252FE8"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Restrictive building codes and zoning regulations</w:t>
            </w:r>
          </w:p>
        </w:tc>
        <w:tc>
          <w:tcPr>
            <w:tcW w:w="709" w:type="dxa"/>
            <w:shd w:val="clear" w:color="auto" w:fill="auto"/>
            <w:noWrap/>
            <w:hideMark/>
          </w:tcPr>
          <w:p w14:paraId="26ABBF22"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6</w:t>
            </w:r>
          </w:p>
        </w:tc>
        <w:tc>
          <w:tcPr>
            <w:tcW w:w="804" w:type="dxa"/>
            <w:shd w:val="clear" w:color="auto" w:fill="auto"/>
            <w:noWrap/>
            <w:hideMark/>
          </w:tcPr>
          <w:p w14:paraId="25D04BC0"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63</w:t>
            </w:r>
          </w:p>
        </w:tc>
      </w:tr>
      <w:tr w:rsidR="001912F1" w:rsidRPr="001912F1" w14:paraId="5CA19691" w14:textId="77777777" w:rsidTr="00072369">
        <w:trPr>
          <w:trHeight w:val="283"/>
        </w:trPr>
        <w:tc>
          <w:tcPr>
            <w:tcW w:w="856" w:type="dxa"/>
            <w:shd w:val="clear" w:color="auto" w:fill="auto"/>
            <w:noWrap/>
            <w:hideMark/>
          </w:tcPr>
          <w:p w14:paraId="13337F20"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RR8</w:t>
            </w:r>
          </w:p>
        </w:tc>
        <w:tc>
          <w:tcPr>
            <w:tcW w:w="6657" w:type="dxa"/>
            <w:shd w:val="clear" w:color="auto" w:fill="auto"/>
            <w:noWrap/>
            <w:hideMark/>
          </w:tcPr>
          <w:p w14:paraId="39A0B402" w14:textId="5B1E065A"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Violation of existing building regulations</w:t>
            </w:r>
          </w:p>
        </w:tc>
        <w:tc>
          <w:tcPr>
            <w:tcW w:w="709" w:type="dxa"/>
            <w:shd w:val="clear" w:color="auto" w:fill="auto"/>
            <w:noWrap/>
            <w:hideMark/>
          </w:tcPr>
          <w:p w14:paraId="65269235"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4</w:t>
            </w:r>
          </w:p>
        </w:tc>
        <w:tc>
          <w:tcPr>
            <w:tcW w:w="804" w:type="dxa"/>
            <w:shd w:val="clear" w:color="auto" w:fill="auto"/>
            <w:noWrap/>
            <w:hideMark/>
          </w:tcPr>
          <w:p w14:paraId="13C3E129"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80</w:t>
            </w:r>
          </w:p>
        </w:tc>
      </w:tr>
      <w:tr w:rsidR="00072369" w:rsidRPr="001912F1" w14:paraId="749B3074" w14:textId="77777777" w:rsidTr="00072369">
        <w:trPr>
          <w:trHeight w:val="283"/>
        </w:trPr>
        <w:tc>
          <w:tcPr>
            <w:tcW w:w="856" w:type="dxa"/>
            <w:shd w:val="clear" w:color="auto" w:fill="auto"/>
            <w:noWrap/>
            <w:hideMark/>
          </w:tcPr>
          <w:p w14:paraId="3E1A2D1D"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RR9</w:t>
            </w:r>
          </w:p>
        </w:tc>
        <w:tc>
          <w:tcPr>
            <w:tcW w:w="6657" w:type="dxa"/>
            <w:shd w:val="clear" w:color="auto" w:fill="auto"/>
            <w:noWrap/>
            <w:hideMark/>
          </w:tcPr>
          <w:p w14:paraId="0D4195B8"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Unclear technical guidelines and standards for green buildings</w:t>
            </w:r>
          </w:p>
        </w:tc>
        <w:tc>
          <w:tcPr>
            <w:tcW w:w="709" w:type="dxa"/>
            <w:shd w:val="clear" w:color="auto" w:fill="auto"/>
            <w:noWrap/>
            <w:hideMark/>
          </w:tcPr>
          <w:p w14:paraId="281961B4"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2</w:t>
            </w:r>
          </w:p>
        </w:tc>
        <w:tc>
          <w:tcPr>
            <w:tcW w:w="804" w:type="dxa"/>
            <w:shd w:val="clear" w:color="auto" w:fill="auto"/>
            <w:noWrap/>
            <w:hideMark/>
          </w:tcPr>
          <w:p w14:paraId="70C5F028" w14:textId="77777777" w:rsidR="00072369" w:rsidRPr="001912F1" w:rsidRDefault="00072369" w:rsidP="00072369">
            <w:pPr>
              <w:rPr>
                <w:rFonts w:ascii="Times New Roman" w:eastAsia="Times New Roman" w:hAnsi="Times New Roman" w:cs="Times New Roman"/>
                <w:lang w:eastAsia="en-HK"/>
              </w:rPr>
            </w:pPr>
            <w:r w:rsidRPr="001912F1">
              <w:rPr>
                <w:rFonts w:ascii="Times New Roman" w:eastAsia="Times New Roman" w:hAnsi="Times New Roman" w:cs="Times New Roman"/>
                <w:lang w:eastAsia="en-HK"/>
              </w:rPr>
              <w:t>94</w:t>
            </w:r>
          </w:p>
        </w:tc>
      </w:tr>
    </w:tbl>
    <w:p w14:paraId="79A16187" w14:textId="77777777" w:rsidR="00072369" w:rsidRPr="001912F1" w:rsidRDefault="00072369" w:rsidP="00072369">
      <w:pPr>
        <w:spacing w:line="480" w:lineRule="auto"/>
        <w:jc w:val="both"/>
        <w:rPr>
          <w:rFonts w:ascii="Times New Roman" w:hAnsi="Times New Roman" w:cs="Times New Roman"/>
        </w:rPr>
      </w:pPr>
    </w:p>
    <w:p w14:paraId="4F3EEEDF" w14:textId="3AC43177" w:rsidR="00CA4774" w:rsidRPr="001912F1" w:rsidRDefault="00844FED" w:rsidP="00F24545">
      <w:pPr>
        <w:spacing w:line="480" w:lineRule="auto"/>
        <w:jc w:val="both"/>
        <w:rPr>
          <w:rFonts w:ascii="Times New Roman" w:hAnsi="Times New Roman" w:cs="Times New Roman"/>
        </w:rPr>
      </w:pPr>
      <w:r w:rsidRPr="001912F1">
        <w:rPr>
          <w:rFonts w:ascii="Times New Roman" w:hAnsi="Times New Roman" w:cs="Times New Roman"/>
        </w:rPr>
        <w:t xml:space="preserve">These highly cited CRFs could reflect the adverse implications of financial requirements and constraints, stakeholder complexities, regulatory hurdles, extended design requirements, and technical complexities on the performance of GB projects. Table </w:t>
      </w:r>
      <w:r w:rsidR="00FE3E79" w:rsidRPr="001912F1">
        <w:rPr>
          <w:rFonts w:ascii="Times New Roman" w:hAnsi="Times New Roman" w:cs="Times New Roman"/>
        </w:rPr>
        <w:t>2</w:t>
      </w:r>
      <w:r w:rsidRPr="001912F1">
        <w:rPr>
          <w:rFonts w:ascii="Times New Roman" w:hAnsi="Times New Roman" w:cs="Times New Roman"/>
        </w:rPr>
        <w:t xml:space="preserve"> offers the most comprehensive and consolidated frameworks of various risks and provides stakeholders with an all-inclusive understanding of the nature of risks in GB projects.</w:t>
      </w:r>
      <w:r w:rsidR="00F24545" w:rsidRPr="001912F1">
        <w:rPr>
          <w:rFonts w:ascii="Times New Roman" w:hAnsi="Times New Roman" w:cs="Times New Roman"/>
        </w:rPr>
        <w:t xml:space="preserve"> Detailed description and implications of the various risks in Table 2 are provided in the next section.</w:t>
      </w:r>
    </w:p>
    <w:p w14:paraId="6532EBA2" w14:textId="79F51961" w:rsidR="00E400D8" w:rsidRPr="001912F1" w:rsidRDefault="00D522F8" w:rsidP="00FD5957">
      <w:pPr>
        <w:spacing w:line="480" w:lineRule="auto"/>
        <w:rPr>
          <w:rFonts w:ascii="Times New Roman" w:hAnsi="Times New Roman" w:cs="Times New Roman"/>
          <w:b/>
          <w:bCs/>
          <w:i/>
          <w:iCs/>
        </w:rPr>
      </w:pPr>
      <w:r w:rsidRPr="001912F1">
        <w:rPr>
          <w:rFonts w:ascii="Times New Roman" w:hAnsi="Times New Roman" w:cs="Times New Roman"/>
          <w:b/>
          <w:bCs/>
          <w:i/>
          <w:iCs/>
        </w:rPr>
        <w:lastRenderedPageBreak/>
        <w:t>T</w:t>
      </w:r>
      <w:r w:rsidR="00B74C37" w:rsidRPr="001912F1">
        <w:rPr>
          <w:rFonts w:ascii="Times New Roman" w:hAnsi="Times New Roman" w:cs="Times New Roman"/>
          <w:b/>
          <w:bCs/>
          <w:i/>
          <w:iCs/>
        </w:rPr>
        <w:t xml:space="preserve">axonomies of the critical risk factors for green building </w:t>
      </w:r>
      <w:r w:rsidRPr="001912F1">
        <w:rPr>
          <w:rFonts w:ascii="Times New Roman" w:hAnsi="Times New Roman" w:cs="Times New Roman"/>
          <w:b/>
          <w:bCs/>
          <w:i/>
          <w:iCs/>
        </w:rPr>
        <w:t>projects</w:t>
      </w:r>
    </w:p>
    <w:p w14:paraId="4ADB8890" w14:textId="24270C33" w:rsidR="00D61A4F" w:rsidRPr="001912F1" w:rsidRDefault="00FE3E79" w:rsidP="00B16009">
      <w:pPr>
        <w:spacing w:line="480" w:lineRule="auto"/>
        <w:jc w:val="both"/>
        <w:rPr>
          <w:rFonts w:ascii="Times New Roman" w:hAnsi="Times New Roman" w:cs="Times New Roman"/>
        </w:rPr>
      </w:pPr>
      <w:r w:rsidRPr="001912F1">
        <w:rPr>
          <w:rFonts w:ascii="Times New Roman" w:hAnsi="Times New Roman" w:cs="Times New Roman"/>
        </w:rPr>
        <w:t xml:space="preserve">Based on </w:t>
      </w:r>
      <w:r w:rsidR="00A656EF" w:rsidRPr="001912F1">
        <w:rPr>
          <w:rFonts w:ascii="Times New Roman" w:hAnsi="Times New Roman" w:cs="Times New Roman"/>
        </w:rPr>
        <w:t>some</w:t>
      </w:r>
      <w:r w:rsidRPr="001912F1">
        <w:rPr>
          <w:rFonts w:ascii="Times New Roman" w:hAnsi="Times New Roman" w:cs="Times New Roman"/>
        </w:rPr>
        <w:t xml:space="preserve"> existing classifications </w:t>
      </w:r>
      <w:r w:rsidR="00A656EF"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"10.1016/j.scs.2020.102576", "ISSN" : "22106707", "abstract" : "Sustainability-related risks and risk management frameworks have been introduced in the literature to help project managers identify and manage critical risks influencing project sustainability. Theoretically grounded in the framework of Monte Carlo Simulation, this paper introduces and operationalizes a new process for prioritizing sustainability-related project risks using risk matrix data. Sustainability-related construction project risks have never been assessed relative to different confidence levels across the risk matrix-based exposure zones. The application of the proposed process on construction projects completed in the United Arab Emirates reveals that the conventional risk prioritization scheme undermines the importance of tail risks (unexpected events), whereas such risks are captured in the proposed process. In contrast to the most critical risks identified using the conventional scheme such as shortage of client's funding, insufficient or incorrect sustainable design operation, and design changes, the proposed process prioritizes risks such as poor productivity of labor and equipment in sustainable construction, unreasonable tight schedule for sustainable construction, and poor scope definition of sustainable construction. The proposed process is generalizable to prioritizing risks influencing sustainability in international construction projects and beneficial for enhancing project sustainability as there is a huge uncertainty associated with sustainability-related risks.", "author" : [ { "dropping-particle" : "", "family" : "Qazi", "given" : "Abroon", "non-dropping-particle" : "", "parse-names" : false, "suffix" : "" }, { "dropping-particle" : "", "family" : "Shamayleh", "given" : "Abdulrahim", "non-dropping-particle" : "", "parse-names" : false, "suffix" : "" }, { "dropping-particle" : "", "family" : "El-Sayegh", "given" : "Sameh", "non-dropping-particle" : "", "parse-names" : false, "suffix" : "" }, { "dropping-particle" : "", "family" : "Formaneck", "given" : "Steven", "non-dropping-particle" : "", "parse-names" : false, "suffix" : "" } ], "container-title" : "Sustainable Cities and Society", "id" : "ITEM-1", "issue" : "October 2020", "issued" : { "date-parts" : [ [ "2021" ] ] }, "page" : "102576", "publisher" : "Elsevier Ltd", "title" : "Prioritizing risks in sustainable construction projects using a risk matrix-based Monte Carlo Simulation approach", "type" : "article-journal", "volume" : "65" }, "uris" : [ "http://www.mendeley.com/documents/?uuid=d343b87e-3e9d-492e-94c0-a48649785ed7" ] }, { "id" : "ITEM-2", "itemData" : { "DOI" : "10.1016/j.jclepro.2015.11.042", "ISSN" : "09596526", "abstract" : "In recent years, green building has attracted wide attention from both academia and industry. As green building projects are inevitably plagued with risks, this study attempted to assess the risks in green building projects in Singapore. Categorizing a list of 28 risk factors into 11 groups, the study performed a questionnaire survey and received 31 responses from project managers in Singapore. A risk assessment model was developed using the fuzzy synthetic evaluation approach. Using the proposed model, the likelihood of occurrence, magnitude of impact and risk criticality of each risk factor, group and the overall risk were calculated. \"Inaccurate cost estimation\" was the top risk factor, and \"cost overrun risk\" was the most critical risk group. The overall risk criticality was high, implying risk management was still necessary for green construction in Singapore. The proposed risk assessment model is reliable and practical for professionals in the green building industry, and can be applied in risk assessment in other countries. As few studies focused on risks in green projects, this study expands the knowledge and literature.", "author" : [ { "dropping-particle" : "", "family" : "Zhao", "given" : "Xianbo", "non-dropping-particle" : "", "parse-names" : false, "suffix" : "" }, { "dropping-particle" : "", "family" : "Hwang", "given" : "Bon Gang", "non-dropping-particle" : "", "parse-names" : false, "suffix" : "" }, { "dropping-particle" : "", "family" : "Gao", "given" : "Yan", "non-dropping-particle" : "", "parse-names" : false, "suffix" : "" } ], "container-title" : "Journal of Cleaner Production", "id" : "ITEM-2", "issue" : "January 2005", "issued" : { "date-parts" : [ [ "2016" ] ] }, "page" : "203-213", "publisher" : "Elsevier Ltd", "title" : "A fuzzy synthetic evaluation approach for risk assessment: A case of Singapore's green projects", "type" : "article-journal", "volume" : "115" }, "uris" : [ "http://www.mendeley.com/documents/?uuid=015d2286-c186-41ff-abe3-429a51c68795" ] } ], "mendeley" : { "formattedCitation" : "[14,17]", "plainTextFormattedCitation" : "[14,17]", "previouslyFormattedCitation" : "[14,17]" }, "properties" : { "noteIndex" : 0 }, "schema" : "https://github.com/citation-style-language/schema/raw/master/csl-citation.json" }</w:instrText>
      </w:r>
      <w:r w:rsidR="00A656EF" w:rsidRPr="001912F1">
        <w:rPr>
          <w:rFonts w:ascii="Times New Roman" w:hAnsi="Times New Roman" w:cs="Times New Roman"/>
        </w:rPr>
        <w:fldChar w:fldCharType="separate"/>
      </w:r>
      <w:r w:rsidR="00A172E2" w:rsidRPr="00A172E2">
        <w:rPr>
          <w:rFonts w:ascii="Times New Roman" w:hAnsi="Times New Roman" w:cs="Times New Roman"/>
          <w:noProof/>
        </w:rPr>
        <w:t>[14,17]</w:t>
      </w:r>
      <w:r w:rsidR="00A656EF" w:rsidRPr="001912F1">
        <w:rPr>
          <w:rFonts w:ascii="Times New Roman" w:hAnsi="Times New Roman" w:cs="Times New Roman"/>
        </w:rPr>
        <w:fldChar w:fldCharType="end"/>
      </w:r>
      <w:r w:rsidRPr="001912F1">
        <w:rPr>
          <w:rFonts w:ascii="Times New Roman" w:hAnsi="Times New Roman" w:cs="Times New Roman"/>
        </w:rPr>
        <w:t xml:space="preserve">, the study derived </w:t>
      </w:r>
      <w:r w:rsidR="00D61A4F" w:rsidRPr="001912F1">
        <w:rPr>
          <w:rFonts w:ascii="Times New Roman" w:hAnsi="Times New Roman" w:cs="Times New Roman"/>
        </w:rPr>
        <w:t>nine taxonomies (i.e., categories) of the identified risks in GB projects</w:t>
      </w:r>
      <w:r w:rsidR="003B326A" w:rsidRPr="001912F1">
        <w:rPr>
          <w:rFonts w:ascii="Times New Roman" w:hAnsi="Times New Roman" w:cs="Times New Roman"/>
        </w:rPr>
        <w:t>, including financial, material and equipment, design, technical, stakeholder, management, environmental, legal, and regulatory risks</w:t>
      </w:r>
      <w:r w:rsidR="00D61A4F" w:rsidRPr="001912F1">
        <w:rPr>
          <w:rFonts w:ascii="Times New Roman" w:hAnsi="Times New Roman" w:cs="Times New Roman"/>
        </w:rPr>
        <w:t xml:space="preserve">. </w:t>
      </w:r>
      <w:r w:rsidR="00F75AD1" w:rsidRPr="001912F1">
        <w:rPr>
          <w:rFonts w:ascii="Times New Roman" w:hAnsi="Times New Roman" w:cs="Times New Roman"/>
        </w:rPr>
        <w:t xml:space="preserve">Table </w:t>
      </w:r>
      <w:r w:rsidRPr="001912F1">
        <w:rPr>
          <w:rFonts w:ascii="Times New Roman" w:hAnsi="Times New Roman" w:cs="Times New Roman"/>
        </w:rPr>
        <w:t>2</w:t>
      </w:r>
      <w:r w:rsidR="00F75AD1" w:rsidRPr="001912F1">
        <w:rPr>
          <w:rFonts w:ascii="Times New Roman" w:hAnsi="Times New Roman" w:cs="Times New Roman"/>
        </w:rPr>
        <w:t xml:space="preserve"> shows that t</w:t>
      </w:r>
      <w:r w:rsidR="00D61A4F" w:rsidRPr="001912F1">
        <w:rPr>
          <w:rFonts w:ascii="Times New Roman" w:hAnsi="Times New Roman" w:cs="Times New Roman"/>
        </w:rPr>
        <w:t xml:space="preserve">he number (n) of CRFs and total citation counts (Σ) of the taxonomies include financial risks (n=15, Σ=168), </w:t>
      </w:r>
      <w:r w:rsidR="00F75AD1" w:rsidRPr="001912F1">
        <w:rPr>
          <w:rFonts w:ascii="Times New Roman" w:hAnsi="Times New Roman" w:cs="Times New Roman"/>
        </w:rPr>
        <w:t>material and equipment risks (n=</w:t>
      </w:r>
      <w:r w:rsidR="00662B9C" w:rsidRPr="001912F1">
        <w:rPr>
          <w:rFonts w:ascii="Times New Roman" w:hAnsi="Times New Roman" w:cs="Times New Roman"/>
        </w:rPr>
        <w:t xml:space="preserve"> 9</w:t>
      </w:r>
      <w:r w:rsidR="00F75AD1" w:rsidRPr="001912F1">
        <w:rPr>
          <w:rFonts w:ascii="Times New Roman" w:hAnsi="Times New Roman" w:cs="Times New Roman"/>
        </w:rPr>
        <w:t>, Σ=</w:t>
      </w:r>
      <w:r w:rsidR="00662B9C" w:rsidRPr="001912F1">
        <w:rPr>
          <w:rFonts w:ascii="Times New Roman" w:hAnsi="Times New Roman" w:cs="Times New Roman"/>
        </w:rPr>
        <w:t>104</w:t>
      </w:r>
      <w:r w:rsidR="00F75AD1" w:rsidRPr="001912F1">
        <w:rPr>
          <w:rFonts w:ascii="Times New Roman" w:hAnsi="Times New Roman" w:cs="Times New Roman"/>
        </w:rPr>
        <w:t>),</w:t>
      </w:r>
      <w:r w:rsidR="00662B9C" w:rsidRPr="001912F1">
        <w:rPr>
          <w:rFonts w:ascii="Times New Roman" w:hAnsi="Times New Roman" w:cs="Times New Roman"/>
        </w:rPr>
        <w:t xml:space="preserve"> design risks (n= 6, Σ= 82), technical risks (n= 15, Σ= 151), stakeholder risks (n= 12, Σ= 100), management risks (n= 20, Σ= 154), environmental risks (n= 5, Σ= 29), legal risks (n= 5, Σ= 38), and regulatory risks (n= 9, Σ= 108).</w:t>
      </w:r>
      <w:r w:rsidR="00556423" w:rsidRPr="001912F1">
        <w:rPr>
          <w:rFonts w:ascii="Times New Roman" w:hAnsi="Times New Roman" w:cs="Times New Roman"/>
        </w:rPr>
        <w:t xml:space="preserve"> The number (n) of CRFs and total citation counts (Σ) formed the basis for computing the mean scores and Pareto analysis of the taxonomies of the CRFs for </w:t>
      </w:r>
      <w:r w:rsidR="00342579" w:rsidRPr="001912F1">
        <w:rPr>
          <w:rFonts w:ascii="Times New Roman" w:hAnsi="Times New Roman" w:cs="Times New Roman"/>
        </w:rPr>
        <w:t>GB projects.</w:t>
      </w:r>
      <w:r w:rsidR="00556423" w:rsidRPr="001912F1">
        <w:rPr>
          <w:rFonts w:ascii="Times New Roman" w:hAnsi="Times New Roman" w:cs="Times New Roman"/>
        </w:rPr>
        <w:t xml:space="preserve"> </w:t>
      </w:r>
    </w:p>
    <w:p w14:paraId="48CCCF20" w14:textId="25ABCF56" w:rsidR="00B51CED" w:rsidRPr="001912F1" w:rsidRDefault="00CD4CFE" w:rsidP="00FD5957">
      <w:pPr>
        <w:spacing w:line="480" w:lineRule="auto"/>
        <w:rPr>
          <w:rFonts w:ascii="Times New Roman" w:hAnsi="Times New Roman" w:cs="Times New Roman"/>
          <w:i/>
          <w:iCs/>
        </w:rPr>
      </w:pPr>
      <w:r w:rsidRPr="001912F1">
        <w:rPr>
          <w:rFonts w:ascii="Times New Roman" w:hAnsi="Times New Roman" w:cs="Times New Roman"/>
          <w:i/>
          <w:iCs/>
        </w:rPr>
        <w:t>Mean scores of the taxonomies of c</w:t>
      </w:r>
      <w:r w:rsidR="00093CE0" w:rsidRPr="001912F1">
        <w:rPr>
          <w:rFonts w:ascii="Times New Roman" w:hAnsi="Times New Roman" w:cs="Times New Roman"/>
          <w:i/>
          <w:iCs/>
        </w:rPr>
        <w:t xml:space="preserve">ritical risk factors for </w:t>
      </w:r>
      <w:r w:rsidRPr="001912F1">
        <w:rPr>
          <w:rFonts w:ascii="Times New Roman" w:hAnsi="Times New Roman" w:cs="Times New Roman"/>
          <w:i/>
          <w:iCs/>
        </w:rPr>
        <w:t xml:space="preserve">building </w:t>
      </w:r>
      <w:r w:rsidR="00093CE0" w:rsidRPr="001912F1">
        <w:rPr>
          <w:rFonts w:ascii="Times New Roman" w:hAnsi="Times New Roman" w:cs="Times New Roman"/>
          <w:i/>
          <w:iCs/>
        </w:rPr>
        <w:t>projects</w:t>
      </w:r>
    </w:p>
    <w:p w14:paraId="55B76977" w14:textId="1C40EBB1" w:rsidR="00093CE0" w:rsidRPr="001912F1" w:rsidRDefault="00A348DE" w:rsidP="008049B7">
      <w:pPr>
        <w:spacing w:line="480" w:lineRule="auto"/>
        <w:jc w:val="both"/>
        <w:rPr>
          <w:rFonts w:ascii="Times New Roman" w:hAnsi="Times New Roman" w:cs="Times New Roman"/>
        </w:rPr>
      </w:pPr>
      <w:r w:rsidRPr="001912F1">
        <w:rPr>
          <w:rFonts w:ascii="Times New Roman" w:hAnsi="Times New Roman" w:cs="Times New Roman"/>
        </w:rPr>
        <w:t>Fig. 4 shows the number of CRFs, total citation counts, and mean scores of the taxonomies of the CRFs for GB projects.</w:t>
      </w:r>
      <w:r w:rsidR="002054F3" w:rsidRPr="001912F1">
        <w:rPr>
          <w:rFonts w:ascii="Times New Roman" w:hAnsi="Times New Roman" w:cs="Times New Roman"/>
        </w:rPr>
        <w:t xml:space="preserve"> The mean scores indicate that the five most</w:t>
      </w:r>
      <w:r w:rsidR="00B16009" w:rsidRPr="001912F1">
        <w:rPr>
          <w:rFonts w:ascii="Times New Roman" w:hAnsi="Times New Roman" w:cs="Times New Roman"/>
        </w:rPr>
        <w:t xml:space="preserve">-cited </w:t>
      </w:r>
      <w:r w:rsidR="002054F3" w:rsidRPr="001912F1">
        <w:rPr>
          <w:rFonts w:ascii="Times New Roman" w:hAnsi="Times New Roman" w:cs="Times New Roman"/>
        </w:rPr>
        <w:t xml:space="preserve">taxonomies of the CRFs for GB projects </w:t>
      </w:r>
      <w:bookmarkStart w:id="7" w:name="_Hlk107658837"/>
      <w:r w:rsidR="002054F3" w:rsidRPr="001912F1">
        <w:rPr>
          <w:rFonts w:ascii="Times New Roman" w:hAnsi="Times New Roman" w:cs="Times New Roman"/>
        </w:rPr>
        <w:t xml:space="preserve">include design (µ = 13.67), regulatory (µ = 12.00), material and equipment (µ = 11.56), financial (µ = 11.20), and technical </w:t>
      </w:r>
      <w:bookmarkEnd w:id="7"/>
      <w:r w:rsidR="002054F3" w:rsidRPr="001912F1">
        <w:rPr>
          <w:rFonts w:ascii="Times New Roman" w:hAnsi="Times New Roman" w:cs="Times New Roman"/>
        </w:rPr>
        <w:t>(µ = 10.07) risks.</w:t>
      </w:r>
      <w:r w:rsidR="00A06958" w:rsidRPr="001912F1">
        <w:rPr>
          <w:rFonts w:ascii="Times New Roman" w:hAnsi="Times New Roman" w:cs="Times New Roman"/>
        </w:rPr>
        <w:t xml:space="preserve"> </w:t>
      </w:r>
    </w:p>
    <w:p w14:paraId="16F0EBBE" w14:textId="7875846D" w:rsidR="003D15D2" w:rsidRPr="001912F1" w:rsidRDefault="003D15D2" w:rsidP="003D15D2">
      <w:pPr>
        <w:rPr>
          <w:rFonts w:ascii="Times New Roman" w:hAnsi="Times New Roman" w:cs="Times New Roman"/>
        </w:rPr>
      </w:pPr>
      <w:r w:rsidRPr="001912F1">
        <w:rPr>
          <w:noProof/>
        </w:rPr>
        <w:drawing>
          <wp:inline distT="0" distB="0" distL="0" distR="0" wp14:anchorId="4F664767" wp14:editId="7A57C797">
            <wp:extent cx="5731510" cy="3352800"/>
            <wp:effectExtent l="0" t="0" r="0" b="0"/>
            <wp:docPr id="5" name="Chart 5">
              <a:extLst xmlns:a="http://schemas.openxmlformats.org/drawingml/2006/main">
                <a:ext uri="{FF2B5EF4-FFF2-40B4-BE49-F238E27FC236}">
                  <a16:creationId xmlns:a16="http://schemas.microsoft.com/office/drawing/2014/main" id="{0AEA3472-7D46-4126-8985-9A5D5D38BC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D3F259C" w14:textId="019EB64D" w:rsidR="00221F99" w:rsidRPr="001912F1" w:rsidRDefault="008D536F" w:rsidP="008049B7">
      <w:pPr>
        <w:spacing w:line="480" w:lineRule="auto"/>
        <w:rPr>
          <w:rFonts w:ascii="Times New Roman" w:hAnsi="Times New Roman" w:cs="Times New Roman"/>
        </w:rPr>
      </w:pPr>
      <w:r w:rsidRPr="001912F1">
        <w:rPr>
          <w:rFonts w:ascii="Times New Roman" w:hAnsi="Times New Roman" w:cs="Times New Roman"/>
          <w:b/>
          <w:bCs/>
        </w:rPr>
        <w:t>Fig. 4</w:t>
      </w:r>
      <w:r w:rsidRPr="001912F1">
        <w:rPr>
          <w:rFonts w:ascii="Times New Roman" w:hAnsi="Times New Roman" w:cs="Times New Roman"/>
        </w:rPr>
        <w:t xml:space="preserve">. </w:t>
      </w:r>
      <w:r w:rsidR="003D15D2" w:rsidRPr="001912F1">
        <w:rPr>
          <w:rFonts w:ascii="Times New Roman" w:hAnsi="Times New Roman" w:cs="Times New Roman"/>
        </w:rPr>
        <w:t>Number of critical risk factors, total citations, and mean scores of the taxonomies</w:t>
      </w:r>
    </w:p>
    <w:p w14:paraId="0972E7CF" w14:textId="2B297158" w:rsidR="00DB309D" w:rsidRDefault="00CA4774" w:rsidP="00D02060">
      <w:pPr>
        <w:spacing w:line="480" w:lineRule="auto"/>
        <w:rPr>
          <w:rFonts w:ascii="Times New Roman" w:hAnsi="Times New Roman" w:cs="Times New Roman"/>
        </w:rPr>
      </w:pPr>
      <w:r w:rsidRPr="001912F1">
        <w:rPr>
          <w:rFonts w:ascii="Times New Roman" w:hAnsi="Times New Roman" w:cs="Times New Roman"/>
        </w:rPr>
        <w:lastRenderedPageBreak/>
        <w:t>The results underscore the need to identify, assess, prioritize, theorize, and develop robust strategies to manage various design, regulatory, material and equipment, financial, and technical risks associated with GB projects.</w:t>
      </w:r>
    </w:p>
    <w:p w14:paraId="6FEE0D97" w14:textId="77777777" w:rsidR="00D02060" w:rsidRPr="001912F1" w:rsidRDefault="00D02060" w:rsidP="00D02060">
      <w:pPr>
        <w:spacing w:line="480" w:lineRule="auto"/>
        <w:rPr>
          <w:rFonts w:ascii="Times New Roman" w:hAnsi="Times New Roman" w:cs="Times New Roman"/>
        </w:rPr>
      </w:pPr>
    </w:p>
    <w:p w14:paraId="6BE4297B" w14:textId="05C96EE5" w:rsidR="00E22D8A" w:rsidRPr="001912F1" w:rsidRDefault="00E22D8A" w:rsidP="00FD5957">
      <w:pPr>
        <w:spacing w:line="480" w:lineRule="auto"/>
        <w:rPr>
          <w:rFonts w:ascii="Times New Roman" w:hAnsi="Times New Roman" w:cs="Times New Roman"/>
          <w:i/>
          <w:iCs/>
        </w:rPr>
      </w:pPr>
      <w:r w:rsidRPr="001912F1">
        <w:rPr>
          <w:rFonts w:ascii="Times New Roman" w:hAnsi="Times New Roman" w:cs="Times New Roman"/>
          <w:i/>
          <w:iCs/>
        </w:rPr>
        <w:t>Pareto analysis of the critical risk factors for green building projects</w:t>
      </w:r>
    </w:p>
    <w:p w14:paraId="59FC5C9B" w14:textId="362152DB" w:rsidR="00E22D8A" w:rsidRPr="001912F1" w:rsidRDefault="00E22D8A" w:rsidP="0058570D">
      <w:pPr>
        <w:spacing w:line="480" w:lineRule="auto"/>
        <w:jc w:val="both"/>
        <w:rPr>
          <w:rFonts w:ascii="Times New Roman" w:hAnsi="Times New Roman" w:cs="Times New Roman"/>
        </w:rPr>
      </w:pPr>
      <w:r w:rsidRPr="001912F1">
        <w:rPr>
          <w:rFonts w:ascii="Times New Roman" w:hAnsi="Times New Roman" w:cs="Times New Roman"/>
          <w:b/>
          <w:bCs/>
          <w:i/>
          <w:iCs/>
        </w:rPr>
        <w:t>Financial risks</w:t>
      </w:r>
      <w:r w:rsidRPr="001912F1">
        <w:rPr>
          <w:rFonts w:ascii="Times New Roman" w:hAnsi="Times New Roman" w:cs="Times New Roman"/>
        </w:rPr>
        <w:t>: Fig. 5</w:t>
      </w:r>
      <w:r w:rsidR="008049B7" w:rsidRPr="001912F1">
        <w:rPr>
          <w:rFonts w:ascii="Times New Roman" w:hAnsi="Times New Roman" w:cs="Times New Roman"/>
        </w:rPr>
        <w:t xml:space="preserve"> (a)</w:t>
      </w:r>
      <w:r w:rsidRPr="001912F1">
        <w:rPr>
          <w:rFonts w:ascii="Times New Roman" w:hAnsi="Times New Roman" w:cs="Times New Roman"/>
        </w:rPr>
        <w:t xml:space="preserve"> </w:t>
      </w:r>
      <w:r w:rsidR="00B354C3" w:rsidRPr="001912F1">
        <w:rPr>
          <w:rFonts w:ascii="Times New Roman" w:hAnsi="Times New Roman" w:cs="Times New Roman"/>
        </w:rPr>
        <w:t>shows fifteen (15) financial risks of GB projects.</w:t>
      </w:r>
      <w:r w:rsidR="0058570D" w:rsidRPr="001912F1">
        <w:rPr>
          <w:rFonts w:ascii="Times New Roman" w:hAnsi="Times New Roman" w:cs="Times New Roman"/>
        </w:rPr>
        <w:t xml:space="preserve"> The vital critical financial risk factors include shortage of funding and resources (FR1), inflation and changes in prices of green construction materials (FR2), higher capital costs (FR3), long and uncertain payback period (FR4), uncertain market demand and value of green buildings (FR5), additional design and construction costs of green buildings (FR6), currency and interest rates fluctuation (FR7), inaccurate estimate of the return on investment (FR8), and delayed payments to the specialist contractor (FR9).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8"/>
        <w:gridCol w:w="4508"/>
      </w:tblGrid>
      <w:tr w:rsidR="001912F1" w:rsidRPr="001912F1" w14:paraId="5FE44375" w14:textId="77777777" w:rsidTr="00096FE5">
        <w:trPr>
          <w:trHeight w:val="720"/>
        </w:trPr>
        <w:tc>
          <w:tcPr>
            <w:tcW w:w="4508" w:type="dxa"/>
          </w:tcPr>
          <w:p w14:paraId="06DB49B2" w14:textId="77777777" w:rsidR="00B45535" w:rsidRPr="001912F1" w:rsidRDefault="00B45535" w:rsidP="00A656EF">
            <w:pPr>
              <w:rPr>
                <w:rFonts w:ascii="Times New Roman" w:hAnsi="Times New Roman" w:cs="Times New Roman"/>
                <w:bCs/>
              </w:rPr>
            </w:pPr>
            <w:r w:rsidRPr="001912F1">
              <w:rPr>
                <w:rFonts w:ascii="Times New Roman" w:hAnsi="Times New Roman" w:cs="Times New Roman"/>
                <w:bCs/>
                <w:noProof/>
              </w:rPr>
              <w:drawing>
                <wp:inline distT="0" distB="0" distL="0" distR="0" wp14:anchorId="0954B9F0" wp14:editId="126DD387">
                  <wp:extent cx="2764366" cy="1828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06CCE.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5115" cy="1875605"/>
                          </a:xfrm>
                          <a:prstGeom prst="rect">
                            <a:avLst/>
                          </a:prstGeom>
                        </pic:spPr>
                      </pic:pic>
                    </a:graphicData>
                  </a:graphic>
                </wp:inline>
              </w:drawing>
            </w:r>
          </w:p>
          <w:p w14:paraId="25A6DE8C" w14:textId="77777777" w:rsidR="00B45535" w:rsidRPr="001912F1" w:rsidRDefault="00B45535" w:rsidP="00B45535">
            <w:pPr>
              <w:pStyle w:val="ListParagraph"/>
              <w:numPr>
                <w:ilvl w:val="0"/>
                <w:numId w:val="5"/>
              </w:numPr>
              <w:ind w:left="336" w:hanging="336"/>
              <w:jc w:val="both"/>
              <w:rPr>
                <w:rFonts w:ascii="Times New Roman" w:hAnsi="Times New Roman" w:cs="Times New Roman"/>
              </w:rPr>
            </w:pPr>
            <w:r w:rsidRPr="001912F1">
              <w:rPr>
                <w:rFonts w:ascii="Times New Roman" w:hAnsi="Times New Roman" w:cs="Times New Roman"/>
                <w:bCs/>
              </w:rPr>
              <w:t>Financial risks of green building projects</w:t>
            </w:r>
          </w:p>
        </w:tc>
        <w:tc>
          <w:tcPr>
            <w:tcW w:w="4508" w:type="dxa"/>
          </w:tcPr>
          <w:p w14:paraId="0DB47322" w14:textId="77777777" w:rsidR="00B45535" w:rsidRPr="001912F1" w:rsidRDefault="00B45535" w:rsidP="00A656EF">
            <w:pPr>
              <w:rPr>
                <w:rFonts w:ascii="Times New Roman" w:hAnsi="Times New Roman" w:cs="Times New Roman"/>
                <w:bCs/>
              </w:rPr>
            </w:pPr>
            <w:r w:rsidRPr="001912F1">
              <w:rPr>
                <w:rFonts w:ascii="Times New Roman" w:hAnsi="Times New Roman" w:cs="Times New Roman"/>
                <w:bCs/>
                <w:noProof/>
              </w:rPr>
              <w:drawing>
                <wp:inline distT="0" distB="0" distL="0" distR="0" wp14:anchorId="1A58A362" wp14:editId="649CCF04">
                  <wp:extent cx="2759075" cy="181356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04DF1.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7956" cy="1878555"/>
                          </a:xfrm>
                          <a:prstGeom prst="rect">
                            <a:avLst/>
                          </a:prstGeom>
                        </pic:spPr>
                      </pic:pic>
                    </a:graphicData>
                  </a:graphic>
                </wp:inline>
              </w:drawing>
            </w:r>
          </w:p>
          <w:p w14:paraId="5EB1A3C2" w14:textId="77777777" w:rsidR="00B45535" w:rsidRPr="001912F1" w:rsidRDefault="00B45535" w:rsidP="00B45535">
            <w:pPr>
              <w:pStyle w:val="ListParagraph"/>
              <w:numPr>
                <w:ilvl w:val="0"/>
                <w:numId w:val="5"/>
              </w:numPr>
              <w:ind w:left="330" w:hanging="330"/>
              <w:jc w:val="both"/>
              <w:rPr>
                <w:rFonts w:ascii="Times New Roman" w:hAnsi="Times New Roman" w:cs="Times New Roman"/>
              </w:rPr>
            </w:pPr>
            <w:r w:rsidRPr="001912F1">
              <w:rPr>
                <w:rFonts w:ascii="Times New Roman" w:hAnsi="Times New Roman" w:cs="Times New Roman"/>
                <w:bCs/>
              </w:rPr>
              <w:t>Material - equipment risks of GB projects</w:t>
            </w:r>
          </w:p>
        </w:tc>
      </w:tr>
      <w:tr w:rsidR="001912F1" w:rsidRPr="001912F1" w14:paraId="12EC41DC" w14:textId="77777777" w:rsidTr="00096FE5">
        <w:tc>
          <w:tcPr>
            <w:tcW w:w="4508" w:type="dxa"/>
          </w:tcPr>
          <w:p w14:paraId="52FCD49E" w14:textId="77777777" w:rsidR="00B45535" w:rsidRPr="001912F1" w:rsidRDefault="00B45535" w:rsidP="00A656EF">
            <w:pPr>
              <w:rPr>
                <w:rFonts w:ascii="Times New Roman" w:hAnsi="Times New Roman" w:cs="Times New Roman"/>
                <w:bCs/>
              </w:rPr>
            </w:pPr>
            <w:r w:rsidRPr="001912F1">
              <w:rPr>
                <w:rFonts w:ascii="Times New Roman" w:hAnsi="Times New Roman" w:cs="Times New Roman"/>
                <w:bCs/>
                <w:noProof/>
              </w:rPr>
              <w:drawing>
                <wp:inline distT="0" distB="0" distL="0" distR="0" wp14:anchorId="43E2A913" wp14:editId="343FAF69">
                  <wp:extent cx="2756535" cy="1672590"/>
                  <wp:effectExtent l="0" t="0" r="5715"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0A0B6.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3491" cy="1731420"/>
                          </a:xfrm>
                          <a:prstGeom prst="rect">
                            <a:avLst/>
                          </a:prstGeom>
                        </pic:spPr>
                      </pic:pic>
                    </a:graphicData>
                  </a:graphic>
                </wp:inline>
              </w:drawing>
            </w:r>
          </w:p>
          <w:p w14:paraId="48758791" w14:textId="77777777" w:rsidR="00B45535" w:rsidRPr="001912F1" w:rsidRDefault="00B45535" w:rsidP="00B45535">
            <w:pPr>
              <w:pStyle w:val="ListParagraph"/>
              <w:numPr>
                <w:ilvl w:val="0"/>
                <w:numId w:val="5"/>
              </w:numPr>
              <w:ind w:left="338"/>
              <w:jc w:val="both"/>
              <w:rPr>
                <w:rFonts w:ascii="Times New Roman" w:hAnsi="Times New Roman" w:cs="Times New Roman"/>
              </w:rPr>
            </w:pPr>
            <w:r w:rsidRPr="001912F1">
              <w:rPr>
                <w:rFonts w:ascii="Times New Roman" w:hAnsi="Times New Roman" w:cs="Times New Roman"/>
              </w:rPr>
              <w:t>Design risks of green building projects</w:t>
            </w:r>
          </w:p>
        </w:tc>
        <w:tc>
          <w:tcPr>
            <w:tcW w:w="4508" w:type="dxa"/>
          </w:tcPr>
          <w:p w14:paraId="5FDE9B2B" w14:textId="77777777" w:rsidR="00B45535" w:rsidRPr="001912F1" w:rsidRDefault="00B45535" w:rsidP="00A656EF">
            <w:pPr>
              <w:rPr>
                <w:rFonts w:ascii="Times New Roman" w:hAnsi="Times New Roman" w:cs="Times New Roman"/>
                <w:bCs/>
              </w:rPr>
            </w:pPr>
            <w:r w:rsidRPr="001912F1">
              <w:rPr>
                <w:rFonts w:ascii="Times New Roman" w:hAnsi="Times New Roman" w:cs="Times New Roman"/>
                <w:bCs/>
                <w:noProof/>
              </w:rPr>
              <w:drawing>
                <wp:inline distT="0" distB="0" distL="0" distR="0" wp14:anchorId="7C2A868A" wp14:editId="067866D4">
                  <wp:extent cx="2732225" cy="1672754"/>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07943.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8668" cy="1737922"/>
                          </a:xfrm>
                          <a:prstGeom prst="rect">
                            <a:avLst/>
                          </a:prstGeom>
                        </pic:spPr>
                      </pic:pic>
                    </a:graphicData>
                  </a:graphic>
                </wp:inline>
              </w:drawing>
            </w:r>
          </w:p>
          <w:p w14:paraId="79F3A41F" w14:textId="77777777" w:rsidR="00B45535" w:rsidRPr="001912F1" w:rsidRDefault="00B45535" w:rsidP="00B45535">
            <w:pPr>
              <w:pStyle w:val="ListParagraph"/>
              <w:numPr>
                <w:ilvl w:val="0"/>
                <w:numId w:val="5"/>
              </w:numPr>
              <w:ind w:left="330" w:hanging="330"/>
              <w:jc w:val="both"/>
              <w:rPr>
                <w:rFonts w:ascii="Times New Roman" w:hAnsi="Times New Roman" w:cs="Times New Roman"/>
              </w:rPr>
            </w:pPr>
            <w:r w:rsidRPr="001912F1">
              <w:rPr>
                <w:rFonts w:ascii="Times New Roman" w:hAnsi="Times New Roman" w:cs="Times New Roman"/>
                <w:bCs/>
              </w:rPr>
              <w:t>Technical risks of green building projects</w:t>
            </w:r>
          </w:p>
        </w:tc>
      </w:tr>
    </w:tbl>
    <w:p w14:paraId="2943204A" w14:textId="2D79B945" w:rsidR="00B45535" w:rsidRPr="001912F1" w:rsidRDefault="00B45535" w:rsidP="008049B7">
      <w:pPr>
        <w:spacing w:line="276" w:lineRule="auto"/>
        <w:rPr>
          <w:rFonts w:ascii="Times New Roman" w:hAnsi="Times New Roman" w:cs="Times New Roman"/>
          <w:bCs/>
        </w:rPr>
      </w:pPr>
      <w:r w:rsidRPr="001912F1">
        <w:rPr>
          <w:rFonts w:ascii="Times New Roman" w:hAnsi="Times New Roman" w:cs="Times New Roman"/>
          <w:b/>
        </w:rPr>
        <w:t>Fig</w:t>
      </w:r>
      <w:r w:rsidR="008049B7" w:rsidRPr="001912F1">
        <w:rPr>
          <w:rFonts w:ascii="Times New Roman" w:hAnsi="Times New Roman" w:cs="Times New Roman"/>
          <w:b/>
        </w:rPr>
        <w:t>. 5</w:t>
      </w:r>
      <w:r w:rsidRPr="001912F1">
        <w:rPr>
          <w:rFonts w:ascii="Times New Roman" w:hAnsi="Times New Roman" w:cs="Times New Roman"/>
          <w:bCs/>
        </w:rPr>
        <w:t>. Pareto charts of financial, material and equipment, design, and technical risks of GB projects</w:t>
      </w:r>
    </w:p>
    <w:p w14:paraId="1BEA5DC3" w14:textId="77777777" w:rsidR="00CA4774" w:rsidRPr="001912F1" w:rsidRDefault="00CA4774" w:rsidP="0058570D">
      <w:pPr>
        <w:spacing w:line="480" w:lineRule="auto"/>
        <w:jc w:val="both"/>
        <w:rPr>
          <w:rFonts w:ascii="Times New Roman" w:hAnsi="Times New Roman" w:cs="Times New Roman"/>
        </w:rPr>
      </w:pPr>
    </w:p>
    <w:p w14:paraId="32279A43" w14:textId="38862AE7" w:rsidR="008049B7" w:rsidRPr="001912F1" w:rsidRDefault="008049B7" w:rsidP="0058570D">
      <w:pPr>
        <w:spacing w:line="480" w:lineRule="auto"/>
        <w:jc w:val="both"/>
        <w:rPr>
          <w:rFonts w:ascii="Times New Roman" w:hAnsi="Times New Roman" w:cs="Times New Roman"/>
        </w:rPr>
      </w:pPr>
      <w:r w:rsidRPr="001912F1">
        <w:rPr>
          <w:rFonts w:ascii="Times New Roman" w:hAnsi="Times New Roman" w:cs="Times New Roman"/>
        </w:rPr>
        <w:lastRenderedPageBreak/>
        <w:t xml:space="preserve">The financial capacity of the client or developer of GB projects is essential to avoid disruptions </w:t>
      </w:r>
      <w:r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"10.1016/j.ijproman.2007.03.001", "ISSN" : "02637863", "abstract" : "The aim of this paper is to understand the key risks in construction projects in China and to develop strategies to manage them. Risks were prioritized according to their significance of influences on typical project objectives in terms of cost, time, quality, safety and environmental sustainability, and then scrutinized from a joint perspective of project stakeholders and life cycle. Postal questionnaire surveys were used to collect data, based on which a total of 25 key risks were ascertained. These risks were compared with the findings of a parallel survey in the Australian construction industry context to highlight the unique risks associated with construction projects in China. Strategies to manage the risks were sought from the perspectives of project stakeholders and life cycle and in light of the Chinese construction culture. It is concluded that clients, designers and government bodies should take the responsibility to manage their relevant risks and work cooperatively from the feasibility phase onwards to address potential risks in time; contractors and subcontractors with robust construction and management knowledge should be employed to minimize construction risks and carry out safe, efficient and quality construction activities. \u00a9 2007 Elsevier Ltd and IPMA.", "author" : [ { "dropping-particle" : "", "family" : "Zou", "given" : "Patrick X.W.", "non-dropping-particle" : "", "parse-names" : false, "suffix" : "" }, { "dropping-particle" : "", "family" : "Zhang", "given" : "Guomin", "non-dropping-particle" : "", "parse-names" : false, "suffix" : "" }, { "dropping-particle" : "", "family" : "Wang", "given" : "Jiayuan", "non-dropping-particle" : "", "parse-names" : false, "suffix" : "" } ], "container-title" : "International Journal of Project Management", "id" : "ITEM-1", "issue" : "6", "issued" : { "date-parts" : [ [ "2007" ] ] }, "page" : "601-614", "title" : "Understanding the key risks in construction projects in China", "type" : "article-journal", "volume" : "25" }, "uris" : [ "http://www.mendeley.com/documents/?uuid=83601f31-dd3a-449c-8adc-7139951b5500" ] } ], "mendeley" : { "formattedCitation" : "[57]", "plainTextFormattedCitation" : "[57]", "previouslyFormattedCitation" : "[57]" }, "properties" : { "noteIndex" : 0 }, "schema" : "https://github.com/citation-style-language/schema/raw/master/csl-citation.json" }</w:instrText>
      </w:r>
      <w:r w:rsidRPr="001912F1">
        <w:rPr>
          <w:rFonts w:ascii="Times New Roman" w:hAnsi="Times New Roman" w:cs="Times New Roman"/>
        </w:rPr>
        <w:fldChar w:fldCharType="separate"/>
      </w:r>
      <w:r w:rsidR="00A172E2" w:rsidRPr="00A172E2">
        <w:rPr>
          <w:rFonts w:ascii="Times New Roman" w:hAnsi="Times New Roman" w:cs="Times New Roman"/>
          <w:noProof/>
        </w:rPr>
        <w:t>[57]</w:t>
      </w:r>
      <w:r w:rsidRPr="001912F1">
        <w:rPr>
          <w:rFonts w:ascii="Times New Roman" w:hAnsi="Times New Roman" w:cs="Times New Roman"/>
        </w:rPr>
        <w:fldChar w:fldCharType="end"/>
      </w:r>
      <w:r w:rsidRPr="001912F1">
        <w:rPr>
          <w:rFonts w:ascii="Times New Roman" w:hAnsi="Times New Roman" w:cs="Times New Roman"/>
        </w:rPr>
        <w:t xml:space="preserve">. A shortage of funding and resources can halt the construction of GB projects at any point, resulting in extended schedules, disputes, and increased cost of capital </w:t>
      </w:r>
      <w:r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"10.1016/j.techsoc.2005.10.017", "ISSN" : "0160791X", "abstract" : "In the spring of 2002, recognizing that New York City was proving to be a difficult arena in which to do 'high performance building' and that this might have serious negative implications for the city's global position, the non-profit Center for Economic and Environmental Partnership, Inc. (CEEP), undertook the High Performance Building Initiative. Its premise was that if high performance building - an approach to construction aimed at, among other things, reduced environmental impact, improved public health, better security, and more flexible space - was to become mainstream in New York City, the high performance path would need to be perceived as reasonably predictable, posing only manageable risks and uncertainties. The purpose of the Initiative was to identify the barriers to high performance building in the city and to propose ways in which they could be reduced or eliminated. To accomplish this, CEEP convened interested and/or knowled geable individuals from the full range of relevant specializations and stakeholder perspectives. A final report [1], summarized herein, aggregated the participants' findings. The Initiative was both an important model of collaborative policy research and a valuable catalyst for change in both the public and private sectors. \u00a9 2005 Published by Elsevier Ltd.", "author" : [ { "dropping-particle" : "", "family" : "Zerkin", "given" : "Allen J.", "non-dropping-particle" : "", "parse-names" : false, "suffix" : "" } ], "container-title" : "Technology in Society", "id" : "ITEM-1", "issue" : "1-2", "issued" : { "date-parts" : [ [ "2006" ] ] }, "page" : "137-155", "title" : "Mainstreaming high performance building in New York City: A comprehensive roadmap for removing the barriers", "type" : "article-journal", "volume" : "28" }, "uris" : [ "http://www.mendeley.com/documents/?uuid=daae5acb-cfbf-471c-bf05-9f7553097991" ] } ], "mendeley" : { "formattedCitation" : "[25]", "plainTextFormattedCitation" : "[25]", "previouslyFormattedCitation" : "[25]" }, "properties" : { "noteIndex" : 0 }, "schema" : "https://github.com/citation-style-language/schema/raw/master/csl-citation.json" }</w:instrText>
      </w:r>
      <w:r w:rsidRPr="001912F1">
        <w:rPr>
          <w:rFonts w:ascii="Times New Roman" w:hAnsi="Times New Roman" w:cs="Times New Roman"/>
        </w:rPr>
        <w:fldChar w:fldCharType="separate"/>
      </w:r>
      <w:r w:rsidR="00A172E2" w:rsidRPr="00A172E2">
        <w:rPr>
          <w:rFonts w:ascii="Times New Roman" w:hAnsi="Times New Roman" w:cs="Times New Roman"/>
          <w:noProof/>
        </w:rPr>
        <w:t>[25]</w:t>
      </w:r>
      <w:r w:rsidRPr="001912F1">
        <w:rPr>
          <w:rFonts w:ascii="Times New Roman" w:hAnsi="Times New Roman" w:cs="Times New Roman"/>
        </w:rPr>
        <w:fldChar w:fldCharType="end"/>
      </w:r>
      <w:r w:rsidRPr="001912F1">
        <w:rPr>
          <w:rFonts w:ascii="Times New Roman" w:hAnsi="Times New Roman" w:cs="Times New Roman"/>
        </w:rPr>
        <w:t xml:space="preserve">. GB projects can encounter funding shortages because of the initial higher capital investment required to accomplish the green objectives in the project </w:t>
      </w:r>
      <w:r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"10.1108/ECAM-07-2014-0095", "ISSN" : "09699988", "abstract" : "Purpose - The purposes of this paper are to: investigate schedule performance of new and retrofitting green building projects; identify the critical factors that influence the schedule performance of new and retrofitting green building projects; and provide solutions to improve schedule performance of new and retrofitting green building projects. Design/methodology/approach - A questionnaire survey were conducted and responses were received from 34 firms experienced in green building projects in Singapore. After the data from the survey had been analyzed, face-to-face interviews were conducted with two senior project managers to solicit comments on the survey results. Findings - This study identified the degree of project delay in 98 new green building projects and 51 retrofitting green building projects in Singapore. The result indicated that 22 percent of the Singaporean green building projects were plagued with delay and retrofitting projects had a significantly higher likelihood of delay and significantly longer extension than new projects. In addition, \"consultant cooperation to solve problems\" was the most influential to schedule performance of both new and retrofitting green building projects, and the two project groups agreed on the overall ranking of the factors affecting schedule performance. Research limitations/implications - There may be geographical limitation on the conclusions drawn from the findings. Also, the sample size was still small, despite a relatively high response rate. In addition, the majority of the respondents were contractors as other project players were reluctant to respond to the survey. Practical implications - This study provides a clear understanding of the schedule performance of green building projects as well as the critical factors that should be highlighted when constructing green building projects. Also, strategies to overcome the negative impact of these factors allow practitioners to better deal with the potential causes of delay and to attain the schedule performance. Originality/value - Although construction delays have been widely investigated in previous studies relating to construction management, few have attempted to analyze the schedule performance of new and retrofitting green buildings. Thus, this study adds significantly to the existing research on both green building and construction delay.", "author" : [ { "dropping-particle" : "", "family" : "Hwang", "given" : "Bon Gang", "non-dropping-particle" : "", "parse-names" : false, "suffix" : "" }, { "dropping-particle" : "", "family" : "Zhao", "given" : "Xianbo", "non-dropping-particle" : "", "parse-names" : false, "suffix" : "" }, { "dropping-particle" : "", "family" : "Tan", "given" : "Lene Lay Ghim", "non-dropping-particle" : "", "parse-names" : false, "suffix" : "" } ], "container-title" : "Engineering, Construction and Architectural Management", "id" : "ITEM-1", "issue" : "3", "issued" : { "date-parts" : [ [ "2015" ] ] }, "page" : "327-346", "title" : "Green building projects: Schedule performance, influential factors and solutions", "type" : "article-journal", "volume" : "22" }, "uris" : [ "http://www.mendeley.com/documents/?uuid=e020c0f7-6bfc-4207-8382-7157d819de99" ] } ], "mendeley" : { "formattedCitation" : "[46]", "plainTextFormattedCitation" : "[46]", "previouslyFormattedCitation" : "[46]" }, "properties" : { "noteIndex" : 0 }, "schema" : "https://github.com/citation-style-language/schema/raw/master/csl-citation.json" }</w:instrText>
      </w:r>
      <w:r w:rsidRPr="001912F1">
        <w:rPr>
          <w:rFonts w:ascii="Times New Roman" w:hAnsi="Times New Roman" w:cs="Times New Roman"/>
        </w:rPr>
        <w:fldChar w:fldCharType="separate"/>
      </w:r>
      <w:r w:rsidR="00A172E2" w:rsidRPr="00A172E2">
        <w:rPr>
          <w:rFonts w:ascii="Times New Roman" w:hAnsi="Times New Roman" w:cs="Times New Roman"/>
          <w:noProof/>
        </w:rPr>
        <w:t>[46]</w:t>
      </w:r>
      <w:r w:rsidRPr="001912F1">
        <w:rPr>
          <w:rFonts w:ascii="Times New Roman" w:hAnsi="Times New Roman" w:cs="Times New Roman"/>
        </w:rPr>
        <w:fldChar w:fldCharType="end"/>
      </w:r>
      <w:r w:rsidRPr="001912F1">
        <w:rPr>
          <w:rFonts w:ascii="Times New Roman" w:hAnsi="Times New Roman" w:cs="Times New Roman"/>
        </w:rPr>
        <w:t>.</w:t>
      </w:r>
    </w:p>
    <w:p w14:paraId="3B280487" w14:textId="6F3DD7B2" w:rsidR="00B3446F" w:rsidRPr="001912F1" w:rsidRDefault="00363554" w:rsidP="002039F2">
      <w:pPr>
        <w:spacing w:line="480" w:lineRule="auto"/>
        <w:jc w:val="both"/>
        <w:rPr>
          <w:rFonts w:ascii="Times New Roman" w:hAnsi="Times New Roman" w:cs="Times New Roman"/>
        </w:rPr>
      </w:pPr>
      <w:r w:rsidRPr="001912F1">
        <w:rPr>
          <w:rFonts w:ascii="Times New Roman" w:hAnsi="Times New Roman" w:cs="Times New Roman"/>
        </w:rPr>
        <w:t>The highe</w:t>
      </w:r>
      <w:r w:rsidR="00B5365A" w:rsidRPr="001912F1">
        <w:rPr>
          <w:rFonts w:ascii="Times New Roman" w:hAnsi="Times New Roman" w:cs="Times New Roman"/>
        </w:rPr>
        <w:t>r</w:t>
      </w:r>
      <w:r w:rsidRPr="001912F1">
        <w:rPr>
          <w:rFonts w:ascii="Times New Roman" w:hAnsi="Times New Roman" w:cs="Times New Roman"/>
        </w:rPr>
        <w:t xml:space="preserve"> capital costs </w:t>
      </w:r>
      <w:r w:rsidR="0066690A" w:rsidRPr="001912F1">
        <w:rPr>
          <w:rFonts w:ascii="Times New Roman" w:hAnsi="Times New Roman" w:cs="Times New Roman"/>
        </w:rPr>
        <w:t xml:space="preserve">of GB projects </w:t>
      </w:r>
      <w:r w:rsidRPr="001912F1">
        <w:rPr>
          <w:rFonts w:ascii="Times New Roman" w:hAnsi="Times New Roman" w:cs="Times New Roman"/>
        </w:rPr>
        <w:t xml:space="preserve">result from </w:t>
      </w:r>
      <w:r w:rsidR="00625DA2" w:rsidRPr="001912F1">
        <w:rPr>
          <w:rFonts w:ascii="Times New Roman" w:hAnsi="Times New Roman" w:cs="Times New Roman"/>
        </w:rPr>
        <w:t xml:space="preserve">complex design solutions, modeling costs required to integrate green practices into the project, and higher costs of </w:t>
      </w:r>
      <w:r w:rsidRPr="001912F1">
        <w:rPr>
          <w:rFonts w:ascii="Times New Roman" w:hAnsi="Times New Roman" w:cs="Times New Roman"/>
        </w:rPr>
        <w:t>green materials, technologies, equipment, processes, and decisions</w:t>
      </w:r>
      <w:r w:rsidR="00625DA2" w:rsidRPr="001912F1">
        <w:rPr>
          <w:rFonts w:ascii="Times New Roman" w:hAnsi="Times New Roman" w:cs="Times New Roman"/>
        </w:rPr>
        <w:t xml:space="preserve"> </w:t>
      </w:r>
      <w:r w:rsidR="00625DA2"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"10.1016/j.ijproman.2012.05.004", "ISSN" : "02637863", "abstract" : "A competent project manager is vital to project success. While many studies have examined competency of project managers, few have done so in the context of green construction. Therefore, this study aims to identify challenges faced by project managers who execute green construction projects and to determine the critical knowledge areas and skills that are necessary to respond to such challenges. Through literature review, surveys and interviews with project managers, this study will help establish a knowledge base for project managers to be competitive and to effectively execute sustainable projects. \u00a9 2012 Association for Project Management and the International Project Management Association and Elsevier Ltd.", "author" : [ { "dropping-particle" : "", "family" : "Hwang", "given" : "Bon Gang", "non-dropping-particle" : "", "parse-names" : false, "suffix" : "" }, { "dropping-particle" : "", "family" : "Ng", "given" : "Wei Jian", "non-dropping-particle" : "", "parse-names" : false, "suffix" : "" } ], "container-title" : "International Journal of Project Management", "id" : "ITEM-1", "issue" : "2", "issued" : { "date-parts" : [ [ "2013" ] ] }, "page" : "272-284", "publisher" : "Association for Project Management and the International Project Management Association and Elsevier Ltd", "title" : "Project management knowledge and skills for green construction: Overcoming challenges", "type" : "article-journal", "volume" : "31" }, "uris" : [ "http://www.mendeley.com/documents/?uuid=e9264a44-f2e1-4df4-a845-ef1a6396a1de" ] } ], "mendeley" : { "formattedCitation" : "[42]", "plainTextFormattedCitation" : "[42]", "previouslyFormattedCitation" : "[42]" }, "properties" : { "noteIndex" : 0 }, "schema" : "https://github.com/citation-style-language/schema/raw/master/csl-citation.json" }</w:instrText>
      </w:r>
      <w:r w:rsidR="00625DA2" w:rsidRPr="001912F1">
        <w:rPr>
          <w:rFonts w:ascii="Times New Roman" w:hAnsi="Times New Roman" w:cs="Times New Roman"/>
        </w:rPr>
        <w:fldChar w:fldCharType="separate"/>
      </w:r>
      <w:r w:rsidR="00A172E2" w:rsidRPr="00A172E2">
        <w:rPr>
          <w:rFonts w:ascii="Times New Roman" w:hAnsi="Times New Roman" w:cs="Times New Roman"/>
          <w:noProof/>
        </w:rPr>
        <w:t>[42]</w:t>
      </w:r>
      <w:r w:rsidR="00625DA2" w:rsidRPr="001912F1">
        <w:rPr>
          <w:rFonts w:ascii="Times New Roman" w:hAnsi="Times New Roman" w:cs="Times New Roman"/>
        </w:rPr>
        <w:fldChar w:fldCharType="end"/>
      </w:r>
      <w:r w:rsidRPr="001912F1">
        <w:rPr>
          <w:rFonts w:ascii="Times New Roman" w:hAnsi="Times New Roman" w:cs="Times New Roman"/>
        </w:rPr>
        <w:t>.</w:t>
      </w:r>
      <w:r w:rsidR="00EE09DD" w:rsidRPr="001912F1">
        <w:rPr>
          <w:rFonts w:ascii="Times New Roman" w:hAnsi="Times New Roman" w:cs="Times New Roman"/>
        </w:rPr>
        <w:t xml:space="preserve"> The funding shortages may also arise from financial incapacitation or </w:t>
      </w:r>
      <w:r w:rsidR="002C35B4" w:rsidRPr="001912F1">
        <w:rPr>
          <w:rFonts w:ascii="Times New Roman" w:hAnsi="Times New Roman" w:cs="Times New Roman"/>
        </w:rPr>
        <w:t xml:space="preserve">a sudden </w:t>
      </w:r>
      <w:r w:rsidR="00EE09DD" w:rsidRPr="001912F1">
        <w:rPr>
          <w:rFonts w:ascii="Times New Roman" w:hAnsi="Times New Roman" w:cs="Times New Roman"/>
        </w:rPr>
        <w:t>bankruptcy of the owners</w:t>
      </w:r>
      <w:r w:rsidR="002C35B4" w:rsidRPr="001912F1">
        <w:rPr>
          <w:rFonts w:ascii="Times New Roman" w:hAnsi="Times New Roman" w:cs="Times New Roman"/>
        </w:rPr>
        <w:t xml:space="preserve"> </w:t>
      </w:r>
      <w:r w:rsidR="002C35B4"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"10.1016/j.ijproman.2007.07.004", "ISBN" : "0263-7863", "ISSN" : "02637863", "abstract" : "This study identifies and assesses the significant risks in the UAE construction industry and addresses their proper allocation. Data were collected through a questionnaire distributed to construction experts. The study reveals that economic risks such as inflation and sudden changes in prices, shortage in material and labor supply are significant. Other significant risks include owner risks such as unrealistic construction schedule, improper intervention and changes in design. Political, social and cultural risks are found to be insignificant. Local and international experts are in agreement as to the ranking of construction risks in the UAE. More risks are allocated to contractors or shared between contractors and owners with only two risks allocated directly to the owners. \u00a9 2007 Elsevier Ltd and IPMA.", "author" : [ { "dropping-particle" : "", "family" : "El-Sayegh", "given" : "Sameh Monir", "non-dropping-particle" : "", "parse-names" : false, "suffix" : "" } ], "container-title" : "International Journal of Project Management", "id" : "ITEM-1", "issue" : "4", "issued" : { "date-parts" : [ [ "2008" ] ] }, "page" : "431-438", "title" : "Risk assessment and allocation in the UAE construction industry", "type" : "article-journal", "volume" : "26" }, "uris" : [ "http://www.mendeley.com/documents/?uuid=b66f1fd6-e31d-42e6-ad14-b557f5e45891" ] } ], "mendeley" : { "formattedCitation" : "[69]", "plainTextFormattedCitation" : "[69]", "previouslyFormattedCitation" : "[69]" }, "properties" : { "noteIndex" : 0 }, "schema" : "https://github.com/citation-style-language/schema/raw/master/csl-citation.json" }</w:instrText>
      </w:r>
      <w:r w:rsidR="002C35B4" w:rsidRPr="001912F1">
        <w:rPr>
          <w:rFonts w:ascii="Times New Roman" w:hAnsi="Times New Roman" w:cs="Times New Roman"/>
        </w:rPr>
        <w:fldChar w:fldCharType="separate"/>
      </w:r>
      <w:r w:rsidR="00A172E2" w:rsidRPr="00A172E2">
        <w:rPr>
          <w:rFonts w:ascii="Times New Roman" w:hAnsi="Times New Roman" w:cs="Times New Roman"/>
          <w:noProof/>
        </w:rPr>
        <w:t>[69]</w:t>
      </w:r>
      <w:r w:rsidR="002C35B4" w:rsidRPr="001912F1">
        <w:rPr>
          <w:rFonts w:ascii="Times New Roman" w:hAnsi="Times New Roman" w:cs="Times New Roman"/>
        </w:rPr>
        <w:fldChar w:fldCharType="end"/>
      </w:r>
      <w:r w:rsidR="00EE09DD" w:rsidRPr="001912F1">
        <w:rPr>
          <w:rFonts w:ascii="Times New Roman" w:hAnsi="Times New Roman" w:cs="Times New Roman"/>
        </w:rPr>
        <w:t>.</w:t>
      </w:r>
      <w:r w:rsidR="002C35B4" w:rsidRPr="001912F1">
        <w:rPr>
          <w:rFonts w:ascii="Times New Roman" w:hAnsi="Times New Roman" w:cs="Times New Roman"/>
        </w:rPr>
        <w:t xml:space="preserve"> While it is rare, clients and owners can cancel GB projects or breach their contracts due to bankruptcy.</w:t>
      </w:r>
      <w:r w:rsidR="00B5365A" w:rsidRPr="001912F1">
        <w:rPr>
          <w:rFonts w:ascii="Times New Roman" w:hAnsi="Times New Roman" w:cs="Times New Roman"/>
        </w:rPr>
        <w:t xml:space="preserve"> The funding challenges and disputes in GB project</w:t>
      </w:r>
      <w:r w:rsidR="005D08AE" w:rsidRPr="001912F1">
        <w:rPr>
          <w:rFonts w:ascii="Times New Roman" w:hAnsi="Times New Roman" w:cs="Times New Roman"/>
        </w:rPr>
        <w:t>s</w:t>
      </w:r>
      <w:r w:rsidR="00B5365A" w:rsidRPr="001912F1">
        <w:rPr>
          <w:rFonts w:ascii="Times New Roman" w:hAnsi="Times New Roman" w:cs="Times New Roman"/>
        </w:rPr>
        <w:t xml:space="preserve"> </w:t>
      </w:r>
      <w:r w:rsidR="0057721B" w:rsidRPr="001912F1">
        <w:rPr>
          <w:rFonts w:ascii="Times New Roman" w:hAnsi="Times New Roman" w:cs="Times New Roman"/>
        </w:rPr>
        <w:t xml:space="preserve">may </w:t>
      </w:r>
      <w:r w:rsidR="00B5365A" w:rsidRPr="001912F1">
        <w:rPr>
          <w:rFonts w:ascii="Times New Roman" w:hAnsi="Times New Roman" w:cs="Times New Roman"/>
        </w:rPr>
        <w:t>arise from the split incentive, where the developer or contractor bearing the higher design and construction costs do not benefit directly from the long-term benefits and operational cost savings, especially when cost-plus contracts are not used</w:t>
      </w:r>
      <w:r w:rsidR="00C96166" w:rsidRPr="001912F1">
        <w:rPr>
          <w:rFonts w:ascii="Times New Roman" w:hAnsi="Times New Roman" w:cs="Times New Roman"/>
        </w:rPr>
        <w:t xml:space="preserve"> </w:t>
      </w:r>
      <w:r w:rsidR="00C96166"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"10.1080/09613218.2011.561948", "ISSN" : "09613218", "abstract" : "What are the actual barriers and drivers for sustainable building? A literature review, interviews and case studies are presented to address this question. Sustainable building is not hindered by a lack of technologies and assessment methods, but is instead beset with organizational and procedural difficulties entailed by the adoption of new methods. New technologies are resisted because they require process changes entailing risks and unforeseen costs. These hindrances can be reduced by learning what kind of decision-making phases, new tasks, actors, roles and ways of networking are needed. The barriers are outlined as steering mechanisms, economics, a lack of client understanding, process (procurement and tendering, timing, cooperation and networking), and underpinning knowledge (knowledge and common language, the availability of methods and tools, innovation). The most important actions to promote sustainable building are the development of the awareness of clients about the benefits of sustainable building, the development and adoption of methods for sustainable building requirement management, the mobilization of sustainable building tools, the development of designers' competence and team working, and the development of new concepts and services. The interviews and case studies were carried out in Finland, but the results may be applicable or interesting to other countries as well. \u00a9 2011 Taylor &amp; Francis.", "author" : [ { "dropping-particle" : "", "family" : "H\u00e4kkinen", "given" : "Tarja", "non-dropping-particle" : "", "parse-names" : false, "suffix" : "" }, { "dropping-particle" : "", "family" : "Belloni", "given" : "Kaisa", "non-dropping-particle" : "", "parse-names" : false, "suffix" : "" } ], "container-title" : "Building Research and Information", "id" : "ITEM-1", "issue" : "3", "issued" : { "date-parts" : [ [ "2011" ] ] }, "page" : "239-255", "title" : "Barriers and drivers for sustainable building", "type" : "article-journal", "volume" : "39" }, "uris" : [ "http://www.mendeley.com/documents/?uuid=7fa56671-0397-479e-aec7-708637a215d1" ] } ], "mendeley" : { "formattedCitation" : "[13]", "plainTextFormattedCitation" : "[13]", "previouslyFormattedCitation" : "[13]" }, "properties" : { "noteIndex" : 0 }, "schema" : "https://github.com/citation-style-language/schema/raw/master/csl-citation.json" }</w:instrText>
      </w:r>
      <w:r w:rsidR="00C96166" w:rsidRPr="001912F1">
        <w:rPr>
          <w:rFonts w:ascii="Times New Roman" w:hAnsi="Times New Roman" w:cs="Times New Roman"/>
        </w:rPr>
        <w:fldChar w:fldCharType="separate"/>
      </w:r>
      <w:r w:rsidR="00A172E2" w:rsidRPr="00A172E2">
        <w:rPr>
          <w:rFonts w:ascii="Times New Roman" w:hAnsi="Times New Roman" w:cs="Times New Roman"/>
          <w:noProof/>
        </w:rPr>
        <w:t>[13]</w:t>
      </w:r>
      <w:r w:rsidR="00C96166" w:rsidRPr="001912F1">
        <w:rPr>
          <w:rFonts w:ascii="Times New Roman" w:hAnsi="Times New Roman" w:cs="Times New Roman"/>
        </w:rPr>
        <w:fldChar w:fldCharType="end"/>
      </w:r>
      <w:r w:rsidR="00B5365A" w:rsidRPr="001912F1">
        <w:rPr>
          <w:rFonts w:ascii="Times New Roman" w:hAnsi="Times New Roman" w:cs="Times New Roman"/>
        </w:rPr>
        <w:t>.</w:t>
      </w:r>
      <w:r w:rsidR="00D3467B" w:rsidRPr="001912F1">
        <w:rPr>
          <w:rFonts w:ascii="Times New Roman" w:hAnsi="Times New Roman" w:cs="Times New Roman"/>
        </w:rPr>
        <w:t xml:space="preserve"> The split incentive problem arises because the stakeholder making the investment decisions is not a </w:t>
      </w:r>
      <w:r w:rsidR="0057721B" w:rsidRPr="001912F1">
        <w:rPr>
          <w:rFonts w:ascii="Times New Roman" w:hAnsi="Times New Roman" w:cs="Times New Roman"/>
        </w:rPr>
        <w:t xml:space="preserve">direct </w:t>
      </w:r>
      <w:r w:rsidR="00D3467B" w:rsidRPr="001912F1">
        <w:rPr>
          <w:rFonts w:ascii="Times New Roman" w:hAnsi="Times New Roman" w:cs="Times New Roman"/>
        </w:rPr>
        <w:t>beneficiary of the long-term benefits</w:t>
      </w:r>
      <w:r w:rsidR="00836EC5" w:rsidRPr="001912F1">
        <w:rPr>
          <w:rFonts w:ascii="Times New Roman" w:hAnsi="Times New Roman" w:cs="Times New Roman"/>
        </w:rPr>
        <w:t xml:space="preserve"> </w:t>
      </w:r>
      <w:r w:rsidR="00836EC5"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"10.1016/j.techsoc.2005.10.017", "ISSN" : "0160791X", "abstract" : "In the spring of 2002, recognizing that New York City was proving to be a difficult arena in which to do 'high performance building' and that this might have serious negative implications for the city's global position, the non-profit Center for Economic and Environmental Partnership, Inc. (CEEP), undertook the High Performance Building Initiative. Its premise was that if high performance building - an approach to construction aimed at, among other things, reduced environmental impact, improved public health, better security, and more flexible space - was to become mainstream in New York City, the high performance path would need to be perceived as reasonably predictable, posing only manageable risks and uncertainties. The purpose of the Initiative was to identify the barriers to high performance building in the city and to propose ways in which they could be reduced or eliminated. To accomplish this, CEEP convened interested and/or knowled geable individuals from the full range of relevant specializations and stakeholder perspectives. A final report [1], summarized herein, aggregated the participants' findings. The Initiative was both an important model of collaborative policy research and a valuable catalyst for change in both the public and private sectors. \u00a9 2005 Published by Elsevier Ltd.", "author" : [ { "dropping-particle" : "", "family" : "Zerkin", "given" : "Allen J.", "non-dropping-particle" : "", "parse-names" : false, "suffix" : "" } ], "container-title" : "Technology in Society", "id" : "ITEM-1", "issue" : "1-2", "issued" : { "date-parts" : [ [ "2006" ] ] }, "page" : "137-155", "title" : "Mainstreaming high performance building in New York City: A comprehensive roadmap for removing the barriers", "type" : "article-journal", "volume" : "28" }, "uris" : [ "http://www.mendeley.com/documents/?uuid=daae5acb-cfbf-471c-bf05-9f7553097991" ] } ], "mendeley" : { "formattedCitation" : "[25]", "plainTextFormattedCitation" : "[25]", "previouslyFormattedCitation" : "[25]" }, "properties" : { "noteIndex" : 0 }, "schema" : "https://github.com/citation-style-language/schema/raw/master/csl-citation.json" }</w:instrText>
      </w:r>
      <w:r w:rsidR="00836EC5" w:rsidRPr="001912F1">
        <w:rPr>
          <w:rFonts w:ascii="Times New Roman" w:hAnsi="Times New Roman" w:cs="Times New Roman"/>
        </w:rPr>
        <w:fldChar w:fldCharType="separate"/>
      </w:r>
      <w:r w:rsidR="00A172E2" w:rsidRPr="00A172E2">
        <w:rPr>
          <w:rFonts w:ascii="Times New Roman" w:hAnsi="Times New Roman" w:cs="Times New Roman"/>
          <w:noProof/>
        </w:rPr>
        <w:t>[25]</w:t>
      </w:r>
      <w:r w:rsidR="00836EC5" w:rsidRPr="001912F1">
        <w:rPr>
          <w:rFonts w:ascii="Times New Roman" w:hAnsi="Times New Roman" w:cs="Times New Roman"/>
        </w:rPr>
        <w:fldChar w:fldCharType="end"/>
      </w:r>
      <w:r w:rsidR="00D3467B" w:rsidRPr="001912F1">
        <w:rPr>
          <w:rFonts w:ascii="Times New Roman" w:hAnsi="Times New Roman" w:cs="Times New Roman"/>
        </w:rPr>
        <w:t>.</w:t>
      </w:r>
    </w:p>
    <w:p w14:paraId="1789C9B6" w14:textId="40A67BD1" w:rsidR="00574C7B" w:rsidRPr="001912F1" w:rsidRDefault="005E242A" w:rsidP="0050090C">
      <w:pPr>
        <w:spacing w:line="480" w:lineRule="auto"/>
        <w:jc w:val="both"/>
        <w:rPr>
          <w:rFonts w:ascii="Times New Roman" w:hAnsi="Times New Roman" w:cs="Times New Roman"/>
        </w:rPr>
      </w:pPr>
      <w:r w:rsidRPr="001912F1">
        <w:rPr>
          <w:rFonts w:ascii="Times New Roman" w:hAnsi="Times New Roman" w:cs="Times New Roman"/>
        </w:rPr>
        <w:t>Additionally, delayed payments to the specialist contractor due to project funding problems can result in dysfunctional disputes</w:t>
      </w:r>
      <w:r w:rsidR="00EB44BD" w:rsidRPr="001912F1">
        <w:rPr>
          <w:rFonts w:ascii="Times New Roman" w:hAnsi="Times New Roman" w:cs="Times New Roman"/>
        </w:rPr>
        <w:t xml:space="preserve"> </w:t>
      </w:r>
      <w:r w:rsidR="00EB44BD"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"10.1016/j.ijproman.2007.03.001", "ISSN" : "02637863", "abstract" : "The aim of this paper is to understand the key risks in construction projects in China and to develop strategies to manage them. Risks were prioritized according to their significance of influences on typical project objectives in terms of cost, time, quality, safety and environmental sustainability, and then scrutinized from a joint perspective of project stakeholders and life cycle. Postal questionnaire surveys were used to collect data, based on which a total of 25 key risks were ascertained. These risks were compared with the findings of a parallel survey in the Australian construction industry context to highlight the unique risks associated with construction projects in China. Strategies to manage the risks were sought from the perspectives of project stakeholders and life cycle and in light of the Chinese construction culture. It is concluded that clients, designers and government bodies should take the responsibility to manage their relevant risks and work cooperatively from the feasibility phase onwards to address potential risks in time; contractors and subcontractors with robust construction and management knowledge should be employed to minimize construction risks and carry out safe, efficient and quality construction activities. \u00a9 2007 Elsevier Ltd and IPMA.", "author" : [ { "dropping-particle" : "", "family" : "Zou", "given" : "Patrick X.W.", "non-dropping-particle" : "", "parse-names" : false, "suffix" : "" }, { "dropping-particle" : "", "family" : "Zhang", "given" : "Guomin", "non-dropping-particle" : "", "parse-names" : false, "suffix" : "" }, { "dropping-particle" : "", "family" : "Wang", "given" : "Jiayuan", "non-dropping-particle" : "", "parse-names" : false, "suffix" : "" } ], "container-title" : "International Journal of Project Management", "id" : "ITEM-1", "issue" : "6", "issued" : { "date-parts" : [ [ "2007" ] ] }, "page" : "601-614", "title" : "Understanding the key risks in construction projects in China", "type" : "article-journal", "volume" : "25" }, "uris" : [ "http://www.mendeley.com/documents/?uuid=83601f31-dd3a-449c-8adc-7139951b5500" ] } ], "mendeley" : { "formattedCitation" : "[57]", "plainTextFormattedCitation" : "[57]", "previouslyFormattedCitation" : "[57]" }, "properties" : { "noteIndex" : 0 }, "schema" : "https://github.com/citation-style-language/schema/raw/master/csl-citation.json" }</w:instrText>
      </w:r>
      <w:r w:rsidR="00EB44BD" w:rsidRPr="001912F1">
        <w:rPr>
          <w:rFonts w:ascii="Times New Roman" w:hAnsi="Times New Roman" w:cs="Times New Roman"/>
        </w:rPr>
        <w:fldChar w:fldCharType="separate"/>
      </w:r>
      <w:r w:rsidR="00A172E2" w:rsidRPr="00A172E2">
        <w:rPr>
          <w:rFonts w:ascii="Times New Roman" w:hAnsi="Times New Roman" w:cs="Times New Roman"/>
          <w:noProof/>
        </w:rPr>
        <w:t>[57]</w:t>
      </w:r>
      <w:r w:rsidR="00EB44BD" w:rsidRPr="001912F1">
        <w:rPr>
          <w:rFonts w:ascii="Times New Roman" w:hAnsi="Times New Roman" w:cs="Times New Roman"/>
        </w:rPr>
        <w:fldChar w:fldCharType="end"/>
      </w:r>
      <w:r w:rsidRPr="001912F1">
        <w:rPr>
          <w:rFonts w:ascii="Times New Roman" w:hAnsi="Times New Roman" w:cs="Times New Roman"/>
        </w:rPr>
        <w:t>.</w:t>
      </w:r>
      <w:r w:rsidR="004F5AFD" w:rsidRPr="001912F1">
        <w:rPr>
          <w:rFonts w:ascii="Times New Roman" w:hAnsi="Times New Roman" w:cs="Times New Roman"/>
        </w:rPr>
        <w:t xml:space="preserve"> </w:t>
      </w:r>
      <w:r w:rsidR="00B80293" w:rsidRPr="001912F1">
        <w:rPr>
          <w:rFonts w:ascii="Times New Roman" w:hAnsi="Times New Roman" w:cs="Times New Roman"/>
        </w:rPr>
        <w:t>It places financial hardship on contractors, which could constrain their ability to pay subcontractors and labor, resulting in conflicts</w:t>
      </w:r>
      <w:r w:rsidR="00095593" w:rsidRPr="001912F1">
        <w:rPr>
          <w:rFonts w:ascii="Times New Roman" w:hAnsi="Times New Roman" w:cs="Times New Roman"/>
        </w:rPr>
        <w:t xml:space="preserve"> </w:t>
      </w:r>
      <w:r w:rsidR="00095593"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"10.1016/j.ijproman.2007.07.004", "ISBN" : "0263-7863", "ISSN" : "02637863", "abstract" : "This study identifies and assesses the significant risks in the UAE construction industry and addresses their proper allocation. Data were collected through a questionnaire distributed to construction experts. The study reveals that economic risks such as inflation and sudden changes in prices, shortage in material and labor supply are significant. Other significant risks include owner risks such as unrealistic construction schedule, improper intervention and changes in design. Political, social and cultural risks are found to be insignificant. Local and international experts are in agreement as to the ranking of construction risks in the UAE. More risks are allocated to contractors or shared between contractors and owners with only two risks allocated directly to the owners. \u00a9 2007 Elsevier Ltd and IPMA.", "author" : [ { "dropping-particle" : "", "family" : "El-Sayegh", "given" : "Sameh Monir", "non-dropping-particle" : "", "parse-names" : false, "suffix" : "" } ], "container-title" : "International Journal of Project Management", "id" : "ITEM-1", "issue" : "4", "issued" : { "date-parts" : [ [ "2008" ] ] }, "page" : "431-438", "title" : "Risk assessment and allocation in the UAE construction industry", "type" : "article-journal", "volume" : "26" }, "uris" : [ "http://www.mendeley.com/documents/?uuid=b66f1fd6-e31d-42e6-ad14-b557f5e45891" ] } ], "mendeley" : { "formattedCitation" : "[69]", "plainTextFormattedCitation" : "[69]", "previouslyFormattedCitation" : "[69]" }, "properties" : { "noteIndex" : 0 }, "schema" : "https://github.com/citation-style-language/schema/raw/master/csl-citation.json" }</w:instrText>
      </w:r>
      <w:r w:rsidR="00095593" w:rsidRPr="001912F1">
        <w:rPr>
          <w:rFonts w:ascii="Times New Roman" w:hAnsi="Times New Roman" w:cs="Times New Roman"/>
        </w:rPr>
        <w:fldChar w:fldCharType="separate"/>
      </w:r>
      <w:r w:rsidR="00A172E2" w:rsidRPr="00A172E2">
        <w:rPr>
          <w:rFonts w:ascii="Times New Roman" w:hAnsi="Times New Roman" w:cs="Times New Roman"/>
          <w:noProof/>
        </w:rPr>
        <w:t>[69]</w:t>
      </w:r>
      <w:r w:rsidR="00095593" w:rsidRPr="001912F1">
        <w:rPr>
          <w:rFonts w:ascii="Times New Roman" w:hAnsi="Times New Roman" w:cs="Times New Roman"/>
        </w:rPr>
        <w:fldChar w:fldCharType="end"/>
      </w:r>
      <w:r w:rsidR="00B80293" w:rsidRPr="001912F1">
        <w:rPr>
          <w:rFonts w:ascii="Times New Roman" w:hAnsi="Times New Roman" w:cs="Times New Roman"/>
        </w:rPr>
        <w:t xml:space="preserve">. </w:t>
      </w:r>
      <w:r w:rsidR="005D08AE" w:rsidRPr="001912F1">
        <w:rPr>
          <w:rFonts w:ascii="Times New Roman" w:hAnsi="Times New Roman" w:cs="Times New Roman"/>
        </w:rPr>
        <w:t>Contractors need</w:t>
      </w:r>
      <w:r w:rsidR="004F5AFD" w:rsidRPr="001912F1">
        <w:rPr>
          <w:rFonts w:ascii="Times New Roman" w:hAnsi="Times New Roman" w:cs="Times New Roman"/>
        </w:rPr>
        <w:t xml:space="preserve"> to assess the financial capacity of clients and obtain relevant statements that guarantee the progress of payments. It </w:t>
      </w:r>
      <w:r w:rsidR="005D08AE" w:rsidRPr="001912F1">
        <w:rPr>
          <w:rFonts w:ascii="Times New Roman" w:hAnsi="Times New Roman" w:cs="Times New Roman"/>
        </w:rPr>
        <w:t xml:space="preserve">is </w:t>
      </w:r>
      <w:r w:rsidR="004F5AFD" w:rsidRPr="001912F1">
        <w:rPr>
          <w:rFonts w:ascii="Times New Roman" w:hAnsi="Times New Roman" w:cs="Times New Roman"/>
        </w:rPr>
        <w:t xml:space="preserve">also essential for the specialist contractor to </w:t>
      </w:r>
      <w:r w:rsidR="00E17DC2" w:rsidRPr="001912F1">
        <w:rPr>
          <w:rFonts w:ascii="Times New Roman" w:hAnsi="Times New Roman" w:cs="Times New Roman"/>
        </w:rPr>
        <w:t xml:space="preserve">assign </w:t>
      </w:r>
      <w:r w:rsidR="004F5AFD" w:rsidRPr="001912F1">
        <w:rPr>
          <w:rFonts w:ascii="Times New Roman" w:hAnsi="Times New Roman" w:cs="Times New Roman"/>
        </w:rPr>
        <w:t xml:space="preserve">the responsibilities in strict adherence to the contractual agreements and establish </w:t>
      </w:r>
      <w:r w:rsidR="005D08AE" w:rsidRPr="001912F1">
        <w:rPr>
          <w:rFonts w:ascii="Times New Roman" w:hAnsi="Times New Roman" w:cs="Times New Roman"/>
        </w:rPr>
        <w:t xml:space="preserve">a </w:t>
      </w:r>
      <w:r w:rsidR="004F5AFD" w:rsidRPr="001912F1">
        <w:rPr>
          <w:rFonts w:ascii="Times New Roman" w:hAnsi="Times New Roman" w:cs="Times New Roman"/>
        </w:rPr>
        <w:t>good working relationship with the client to avoid uncooperative attitudes</w:t>
      </w:r>
      <w:r w:rsidR="00280A9F" w:rsidRPr="001912F1">
        <w:rPr>
          <w:rFonts w:ascii="Times New Roman" w:hAnsi="Times New Roman" w:cs="Times New Roman"/>
        </w:rPr>
        <w:t xml:space="preserve"> </w:t>
      </w:r>
      <w:r w:rsidR="00280A9F"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"10.1016/j.ijproman.2007.03.001", "ISSN" : "02637863", "abstract" : "The aim of this paper is to understand the key risks in construction projects in China and to develop strategies to manage them. Risks were prioritized according to their significance of influences on typical project objectives in terms of cost, time, quality, safety and environmental sustainability, and then scrutinized from a joint perspective of project stakeholders and life cycle. Postal questionnaire surveys were used to collect data, based on which a total of 25 key risks were ascertained. These risks were compared with the findings of a parallel survey in the Australian construction industry context to highlight the unique risks associated with construction projects in China. Strategies to manage the risks were sought from the perspectives of project stakeholders and life cycle and in light of the Chinese construction culture. It is concluded that clients, designers and government bodies should take the responsibility to manage their relevant risks and work cooperatively from the feasibility phase onwards to address potential risks in time; contractors and subcontractors with robust construction and management knowledge should be employed to minimize construction risks and carry out safe, efficient and quality construction activities. \u00a9 2007 Elsevier Ltd and IPMA.", "author" : [ { "dropping-particle" : "", "family" : "Zou", "given" : "Patrick X.W.", "non-dropping-particle" : "", "parse-names" : false, "suffix" : "" }, { "dropping-particle" : "", "family" : "Zhang", "given" : "Guomin", "non-dropping-particle" : "", "parse-names" : false, "suffix" : "" }, { "dropping-particle" : "", "family" : "Wang", "given" : "Jiayuan", "non-dropping-particle" : "", "parse-names" : false, "suffix" : "" } ], "container-title" : "International Journal of Project Management", "id" : "ITEM-1", "issue" : "6", "issued" : { "date-parts" : [ [ "2007" ] ] }, "page" : "601-614", "title" : "Understanding the key risks in construction projects in China", "type" : "article-journal", "volume" : "25" }, "uris" : [ "http://www.mendeley.com/documents/?uuid=83601f31-dd3a-449c-8adc-7139951b5500" ] } ], "mendeley" : { "formattedCitation" : "[57]", "plainTextFormattedCitation" : "[57]", "previouslyFormattedCitation" : "[57]" }, "properties" : { "noteIndex" : 0 }, "schema" : "https://github.com/citation-style-language/schema/raw/master/csl-citation.json" }</w:instrText>
      </w:r>
      <w:r w:rsidR="00280A9F" w:rsidRPr="001912F1">
        <w:rPr>
          <w:rFonts w:ascii="Times New Roman" w:hAnsi="Times New Roman" w:cs="Times New Roman"/>
        </w:rPr>
        <w:fldChar w:fldCharType="separate"/>
      </w:r>
      <w:r w:rsidR="00A172E2" w:rsidRPr="00A172E2">
        <w:rPr>
          <w:rFonts w:ascii="Times New Roman" w:hAnsi="Times New Roman" w:cs="Times New Roman"/>
          <w:noProof/>
        </w:rPr>
        <w:t>[57]</w:t>
      </w:r>
      <w:r w:rsidR="00280A9F" w:rsidRPr="001912F1">
        <w:rPr>
          <w:rFonts w:ascii="Times New Roman" w:hAnsi="Times New Roman" w:cs="Times New Roman"/>
        </w:rPr>
        <w:fldChar w:fldCharType="end"/>
      </w:r>
      <w:r w:rsidR="004F5AFD" w:rsidRPr="001912F1">
        <w:rPr>
          <w:rFonts w:ascii="Times New Roman" w:hAnsi="Times New Roman" w:cs="Times New Roman"/>
        </w:rPr>
        <w:t>.</w:t>
      </w:r>
    </w:p>
    <w:p w14:paraId="3939C059" w14:textId="6CAD8912" w:rsidR="006A2E97" w:rsidRPr="001912F1" w:rsidRDefault="00EF573B" w:rsidP="0050090C">
      <w:pPr>
        <w:spacing w:line="480" w:lineRule="auto"/>
        <w:jc w:val="both"/>
        <w:rPr>
          <w:rFonts w:ascii="Times New Roman" w:hAnsi="Times New Roman" w:cs="Times New Roman"/>
        </w:rPr>
      </w:pPr>
      <w:r w:rsidRPr="001912F1">
        <w:rPr>
          <w:rFonts w:ascii="Times New Roman" w:hAnsi="Times New Roman" w:cs="Times New Roman"/>
        </w:rPr>
        <w:t>Moreover, i</w:t>
      </w:r>
      <w:r w:rsidR="006A2E97" w:rsidRPr="001912F1">
        <w:rPr>
          <w:rFonts w:ascii="Times New Roman" w:hAnsi="Times New Roman" w:cs="Times New Roman"/>
        </w:rPr>
        <w:t xml:space="preserve">nflation and changes in prices of green construction materials can significantly influence the </w:t>
      </w:r>
      <w:r w:rsidR="00E17DC2" w:rsidRPr="001912F1">
        <w:rPr>
          <w:rFonts w:ascii="Times New Roman" w:hAnsi="Times New Roman" w:cs="Times New Roman"/>
        </w:rPr>
        <w:t xml:space="preserve">delivery </w:t>
      </w:r>
      <w:r w:rsidR="006A2E97" w:rsidRPr="001912F1">
        <w:rPr>
          <w:rFonts w:ascii="Times New Roman" w:hAnsi="Times New Roman" w:cs="Times New Roman"/>
        </w:rPr>
        <w:t>of GB projects.</w:t>
      </w:r>
      <w:r w:rsidR="004D2D24" w:rsidRPr="001912F1">
        <w:rPr>
          <w:rFonts w:ascii="Times New Roman" w:hAnsi="Times New Roman" w:cs="Times New Roman"/>
        </w:rPr>
        <w:t xml:space="preserve"> The prices of green construction materials change in tandem </w:t>
      </w:r>
      <w:r w:rsidRPr="001912F1">
        <w:rPr>
          <w:rFonts w:ascii="Times New Roman" w:hAnsi="Times New Roman" w:cs="Times New Roman"/>
        </w:rPr>
        <w:t xml:space="preserve">with </w:t>
      </w:r>
      <w:r w:rsidR="004D2D24" w:rsidRPr="001912F1">
        <w:rPr>
          <w:rFonts w:ascii="Times New Roman" w:hAnsi="Times New Roman" w:cs="Times New Roman"/>
        </w:rPr>
        <w:t>inflation and the relation</w:t>
      </w:r>
      <w:r w:rsidRPr="001912F1">
        <w:rPr>
          <w:rFonts w:ascii="Times New Roman" w:hAnsi="Times New Roman" w:cs="Times New Roman"/>
        </w:rPr>
        <w:t>ships</w:t>
      </w:r>
      <w:r w:rsidR="004D2D24" w:rsidRPr="001912F1">
        <w:rPr>
          <w:rFonts w:ascii="Times New Roman" w:hAnsi="Times New Roman" w:cs="Times New Roman"/>
        </w:rPr>
        <w:t xml:space="preserve"> between supply and demand in the market.</w:t>
      </w:r>
      <w:r w:rsidR="005552D5" w:rsidRPr="001912F1">
        <w:rPr>
          <w:rFonts w:ascii="Times New Roman" w:hAnsi="Times New Roman" w:cs="Times New Roman"/>
        </w:rPr>
        <w:t xml:space="preserve"> The </w:t>
      </w:r>
      <w:r w:rsidR="005552D5" w:rsidRPr="001912F1">
        <w:rPr>
          <w:rFonts w:ascii="Times New Roman" w:hAnsi="Times New Roman" w:cs="Times New Roman"/>
        </w:rPr>
        <w:lastRenderedPageBreak/>
        <w:t>volatilities of currency and interest rate may incur an increase in the price of imported green construction materials and equipment</w:t>
      </w:r>
      <w:r w:rsidR="00AE1FB5" w:rsidRPr="001912F1">
        <w:rPr>
          <w:rFonts w:ascii="Times New Roman" w:hAnsi="Times New Roman" w:cs="Times New Roman"/>
        </w:rPr>
        <w:t>, translating into cost overrun</w:t>
      </w:r>
      <w:r w:rsidR="00E17DC2" w:rsidRPr="001912F1">
        <w:rPr>
          <w:rFonts w:ascii="Times New Roman" w:hAnsi="Times New Roman" w:cs="Times New Roman"/>
        </w:rPr>
        <w:t>s</w:t>
      </w:r>
      <w:r w:rsidR="00AE1FB5" w:rsidRPr="001912F1">
        <w:rPr>
          <w:rFonts w:ascii="Times New Roman" w:hAnsi="Times New Roman" w:cs="Times New Roman"/>
        </w:rPr>
        <w:t xml:space="preserve"> in GB projects</w:t>
      </w:r>
      <w:r w:rsidR="00641021" w:rsidRPr="001912F1">
        <w:rPr>
          <w:rFonts w:ascii="Times New Roman" w:hAnsi="Times New Roman" w:cs="Times New Roman"/>
        </w:rPr>
        <w:t xml:space="preserve"> </w:t>
      </w:r>
      <w:r w:rsidR="00641021"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"10.1016/j.scs.2017.01.020", "ISSN" : "22106707", "abstract" : "Green buildings have achieved rapid development over the past two decades, yet research efforts on risk management in green building projects are still very limited. This study aims to identify and evaluate risk factors in green commercial building projects in Singapore, to compare their risk criticalities with those in traditional counterparts, and to propose mitigation measures that can tackle these risk factors. To achieve these goals, a comprehensive literature review and structured interviews were carried out, and a questionnaire survey was conducted with 25 Singapore-based construction companies. Survey results showed that the top five critical risk factors in green commercial building projects were \u201cinflation,\u201d \u201ccurrency and interest rate volatility worsened by the import of green materials,\u201d \u201cdurability of green materials,\u201d \u201cdamages caused by human error,\u201d and \u201cshortage of green materials.\u201d Results also showed that green commercial building projects faced risks of design change and poor construction quality for less criticality than their traditional counterparts, but that the adoptions of green ideas, materials, and technologies had posed additional risks to green commercial building projects. Additionally, seven widely used risk mitigation measures were also proposed by this study.", "author" : [ { "dropping-particle" : "", "family" : "Hwang", "given" : "Bon gang", "non-dropping-particle" : "", "parse-names" : false, "suffix" : "" }, { "dropping-particle" : "", "family" : "Shan", "given" : "Ming", "non-dropping-particle" : "", "parse-names" : false, "suffix" : "" }, { "dropping-particle" : "", "family" : "Supa'at", "given" : "Nur Nadiah Binte", "non-dropping-particle" : "", "parse-names" : false, "suffix" : "" } ], "container-title" : "Sustainable Cities and Society", "id" : "ITEM-1", "issued" : { "date-parts" : [ [ "2017" ] ] }, "page" : "237-247", "publisher" : "Elsevier B.V.", "title" : "Green commercial building projects in Singapore: Critical risk factors and mitigation measures", "type" : "article-journal", "volume" : "30" }, "uris" : [ "http://www.mendeley.com/documents/?uuid=11690b9a-aef6-408d-81b8-56fc47de4ec9" ] } ], "mendeley" : { "formattedCitation" : "[15]", "plainTextFormattedCitation" : "[15]", "previouslyFormattedCitation" : "[15]" }, "properties" : { "noteIndex" : 0 }, "schema" : "https://github.com/citation-style-language/schema/raw/master/csl-citation.json" }</w:instrText>
      </w:r>
      <w:r w:rsidR="00641021" w:rsidRPr="001912F1">
        <w:rPr>
          <w:rFonts w:ascii="Times New Roman" w:hAnsi="Times New Roman" w:cs="Times New Roman"/>
        </w:rPr>
        <w:fldChar w:fldCharType="separate"/>
      </w:r>
      <w:r w:rsidR="00A172E2" w:rsidRPr="00A172E2">
        <w:rPr>
          <w:rFonts w:ascii="Times New Roman" w:hAnsi="Times New Roman" w:cs="Times New Roman"/>
          <w:noProof/>
        </w:rPr>
        <w:t>[15]</w:t>
      </w:r>
      <w:r w:rsidR="00641021" w:rsidRPr="001912F1">
        <w:rPr>
          <w:rFonts w:ascii="Times New Roman" w:hAnsi="Times New Roman" w:cs="Times New Roman"/>
        </w:rPr>
        <w:fldChar w:fldCharType="end"/>
      </w:r>
      <w:r w:rsidR="005552D5" w:rsidRPr="001912F1">
        <w:rPr>
          <w:rFonts w:ascii="Times New Roman" w:hAnsi="Times New Roman" w:cs="Times New Roman"/>
        </w:rPr>
        <w:t xml:space="preserve">. </w:t>
      </w:r>
      <w:r w:rsidR="006A494C" w:rsidRPr="001912F1">
        <w:rPr>
          <w:rFonts w:ascii="Times New Roman" w:hAnsi="Times New Roman" w:cs="Times New Roman"/>
        </w:rPr>
        <w:t xml:space="preserve">Inflation can </w:t>
      </w:r>
      <w:r w:rsidRPr="001912F1">
        <w:rPr>
          <w:rFonts w:ascii="Times New Roman" w:hAnsi="Times New Roman" w:cs="Times New Roman"/>
        </w:rPr>
        <w:t xml:space="preserve">also </w:t>
      </w:r>
      <w:r w:rsidR="006A494C" w:rsidRPr="001912F1">
        <w:rPr>
          <w:rFonts w:ascii="Times New Roman" w:hAnsi="Times New Roman" w:cs="Times New Roman"/>
        </w:rPr>
        <w:t xml:space="preserve">generate significant deviation in cost estimate for GB projects, especially where the bill of quantities and estimates are based on the rigid quotation method, without </w:t>
      </w:r>
      <w:r w:rsidR="00E17DC2" w:rsidRPr="001912F1">
        <w:rPr>
          <w:rFonts w:ascii="Times New Roman" w:hAnsi="Times New Roman" w:cs="Times New Roman"/>
        </w:rPr>
        <w:t xml:space="preserve">referring </w:t>
      </w:r>
      <w:r w:rsidR="006A494C" w:rsidRPr="001912F1">
        <w:rPr>
          <w:rFonts w:ascii="Times New Roman" w:hAnsi="Times New Roman" w:cs="Times New Roman"/>
        </w:rPr>
        <w:t xml:space="preserve">to the </w:t>
      </w:r>
      <w:r w:rsidR="008F505A" w:rsidRPr="001912F1">
        <w:rPr>
          <w:rFonts w:ascii="Times New Roman" w:hAnsi="Times New Roman" w:cs="Times New Roman"/>
        </w:rPr>
        <w:t xml:space="preserve">volatile </w:t>
      </w:r>
      <w:r w:rsidR="006A494C" w:rsidRPr="001912F1">
        <w:rPr>
          <w:rFonts w:ascii="Times New Roman" w:hAnsi="Times New Roman" w:cs="Times New Roman"/>
        </w:rPr>
        <w:t>market conditions</w:t>
      </w:r>
      <w:r w:rsidR="008F505A" w:rsidRPr="001912F1">
        <w:rPr>
          <w:rFonts w:ascii="Times New Roman" w:hAnsi="Times New Roman" w:cs="Times New Roman"/>
        </w:rPr>
        <w:t xml:space="preserve"> </w:t>
      </w:r>
      <w:r w:rsidR="008F505A"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"10.1016/j.ijproman.2007.03.001", "ISSN" : "02637863", "abstract" : "The aim of this paper is to understand the key risks in construction projects in China and to develop strategies to manage them. Risks were prioritized according to their significance of influences on typical project objectives in terms of cost, time, quality, safety and environmental sustainability, and then scrutinized from a joint perspective of project stakeholders and life cycle. Postal questionnaire surveys were used to collect data, based on which a total of 25 key risks were ascertained. These risks were compared with the findings of a parallel survey in the Australian construction industry context to highlight the unique risks associated with construction projects in China. Strategies to manage the risks were sought from the perspectives of project stakeholders and life cycle and in light of the Chinese construction culture. It is concluded that clients, designers and government bodies should take the responsibility to manage their relevant risks and work cooperatively from the feasibility phase onwards to address potential risks in time; contractors and subcontractors with robust construction and management knowledge should be employed to minimize construction risks and carry out safe, efficient and quality construction activities. \u00a9 2007 Elsevier Ltd and IPMA.", "author" : [ { "dropping-particle" : "", "family" : "Zou", "given" : "Patrick X.W.", "non-dropping-particle" : "", "parse-names" : false, "suffix" : "" }, { "dropping-particle" : "", "family" : "Zhang", "given" : "Guomin", "non-dropping-particle" : "", "parse-names" : false, "suffix" : "" }, { "dropping-particle" : "", "family" : "Wang", "given" : "Jiayuan", "non-dropping-particle" : "", "parse-names" : false, "suffix" : "" } ], "container-title" : "International Journal of Project Management", "id" : "ITEM-1", "issue" : "6", "issued" : { "date-parts" : [ [ "2007" ] ] }, "page" : "601-614", "title" : "Understanding the key risks in construction projects in China", "type" : "article-journal", "volume" : "25" }, "uris" : [ "http://www.mendeley.com/documents/?uuid=83601f31-dd3a-449c-8adc-7139951b5500" ] } ], "mendeley" : { "formattedCitation" : "[57]", "plainTextFormattedCitation" : "[57]", "previouslyFormattedCitation" : "[57]" }, "properties" : { "noteIndex" : 0 }, "schema" : "https://github.com/citation-style-language/schema/raw/master/csl-citation.json" }</w:instrText>
      </w:r>
      <w:r w:rsidR="008F505A" w:rsidRPr="001912F1">
        <w:rPr>
          <w:rFonts w:ascii="Times New Roman" w:hAnsi="Times New Roman" w:cs="Times New Roman"/>
        </w:rPr>
        <w:fldChar w:fldCharType="separate"/>
      </w:r>
      <w:r w:rsidR="00A172E2" w:rsidRPr="00A172E2">
        <w:rPr>
          <w:rFonts w:ascii="Times New Roman" w:hAnsi="Times New Roman" w:cs="Times New Roman"/>
          <w:noProof/>
        </w:rPr>
        <w:t>[57]</w:t>
      </w:r>
      <w:r w:rsidR="008F505A" w:rsidRPr="001912F1">
        <w:rPr>
          <w:rFonts w:ascii="Times New Roman" w:hAnsi="Times New Roman" w:cs="Times New Roman"/>
        </w:rPr>
        <w:fldChar w:fldCharType="end"/>
      </w:r>
      <w:r w:rsidR="006A494C" w:rsidRPr="001912F1">
        <w:rPr>
          <w:rFonts w:ascii="Times New Roman" w:hAnsi="Times New Roman" w:cs="Times New Roman"/>
        </w:rPr>
        <w:t>.</w:t>
      </w:r>
      <w:r w:rsidRPr="001912F1">
        <w:rPr>
          <w:rFonts w:ascii="Times New Roman" w:hAnsi="Times New Roman" w:cs="Times New Roman"/>
        </w:rPr>
        <w:t xml:space="preserve"> Also, </w:t>
      </w:r>
      <w:r w:rsidR="005D08AE" w:rsidRPr="001912F1">
        <w:rPr>
          <w:rFonts w:ascii="Times New Roman" w:hAnsi="Times New Roman" w:cs="Times New Roman"/>
        </w:rPr>
        <w:t xml:space="preserve">the </w:t>
      </w:r>
      <w:r w:rsidRPr="001912F1">
        <w:rPr>
          <w:rFonts w:ascii="Times New Roman" w:hAnsi="Times New Roman" w:cs="Times New Roman"/>
        </w:rPr>
        <w:t>i</w:t>
      </w:r>
      <w:r w:rsidR="00345C20" w:rsidRPr="001912F1">
        <w:rPr>
          <w:rFonts w:ascii="Times New Roman" w:hAnsi="Times New Roman" w:cs="Times New Roman"/>
        </w:rPr>
        <w:t>naccurate estimate of the long-term return on investment</w:t>
      </w:r>
      <w:r w:rsidR="00BA5C76" w:rsidRPr="001912F1">
        <w:rPr>
          <w:rFonts w:ascii="Times New Roman" w:hAnsi="Times New Roman" w:cs="Times New Roman"/>
        </w:rPr>
        <w:t xml:space="preserve"> (ROI)</w:t>
      </w:r>
      <w:r w:rsidR="00345C20" w:rsidRPr="001912F1">
        <w:rPr>
          <w:rFonts w:ascii="Times New Roman" w:hAnsi="Times New Roman" w:cs="Times New Roman"/>
        </w:rPr>
        <w:t xml:space="preserve"> is due to the unapparent short-term economic returns of GB projects</w:t>
      </w:r>
      <w:r w:rsidR="00951EED" w:rsidRPr="001912F1">
        <w:rPr>
          <w:rFonts w:ascii="Times New Roman" w:hAnsi="Times New Roman" w:cs="Times New Roman"/>
        </w:rPr>
        <w:t xml:space="preserve"> </w:t>
      </w:r>
      <w:r w:rsidR="00951EED"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"10.1016/j.jclepro.2020.120372", "ISSN" : "09596526", "abstract" : "Green building (GB) projects have attracted wide attention in the construction industry in recent years owing to numerous benefits of green practices for sustainable development. However, existing research efforts on GB project risk management are very limited, and no prior in-depth research has focused on studying the risk interdependencies in GB projects from the perspectives of both the project life cycle and multiple project risks. This paper begins by identifying and distinguishing GB project constraints from multiple GB project risks using a systematic literature review and then investigates, based on the Interpretive Structural Modeling (ISM) method, the risk interdependencies taking into account the identified 16 constraint factors, 22 risk factors and 11 objectives throughout a GB project life cycle. The importance of constraints and risk factors associated with GB project objectives was calculated based on the influence transmission through network paths in the established ISM-based model. In addition, the Matrice d'Impacts Crois\u00e9s Multiplication Appliqu\u00e9e \u00e1 un Classement (MICMAC) approach was used to analyze the drive and dependence powers of risk interdependency elements. Critical constraints and risk factors in the implementation of GB projects can be obtained from the proposed risk analysis model, which contributes to an in-depth risk perception of GB projects for industry practitioners and facilitates GB project risk management in a more effective way.", "author" : [ { "dropping-particle" : "", "family" : "Guan", "given" : "Li", "non-dropping-particle" : "", "parse-names" : false, "suffix" : "" }, { "dropping-particle" : "", "family" : "Abbasi", "given" : "Alireza", "non-dropping-particle" : "", "parse-names" : false, "suffix" : "" }, { "dropping-particle" : "", "family" : "Ryan", "given" : "Michael J.", "non-dropping-particle" : "", "parse-names" : false, "suffix" : "" } ], "container-title" : "Journal of Cleaner Production", "id" : "ITEM-1", "issued" : { "date-parts" : [ [ "2020" ] ] }, "page" : "120372", "publisher" : "Elsevier Ltd", "title" : "Analyzing green building project risk interdependencies using Interpretive Structural Modeling", "type" : "article-journal", "volume" : "256" }, "uris" : [ "http://www.mendeley.com/documents/?uuid=fad87b48-b75d-4f4f-b9e9-f097ba07f5f5" ] } ], "mendeley" : { "formattedCitation" : "[19]", "plainTextFormattedCitation" : "[19]", "previouslyFormattedCitation" : "[19]" }, "properties" : { "noteIndex" : 0 }, "schema" : "https://github.com/citation-style-language/schema/raw/master/csl-citation.json" }</w:instrText>
      </w:r>
      <w:r w:rsidR="00951EED" w:rsidRPr="001912F1">
        <w:rPr>
          <w:rFonts w:ascii="Times New Roman" w:hAnsi="Times New Roman" w:cs="Times New Roman"/>
        </w:rPr>
        <w:fldChar w:fldCharType="separate"/>
      </w:r>
      <w:r w:rsidR="00A172E2" w:rsidRPr="00A172E2">
        <w:rPr>
          <w:rFonts w:ascii="Times New Roman" w:hAnsi="Times New Roman" w:cs="Times New Roman"/>
          <w:noProof/>
        </w:rPr>
        <w:t>[19]</w:t>
      </w:r>
      <w:r w:rsidR="00951EED" w:rsidRPr="001912F1">
        <w:rPr>
          <w:rFonts w:ascii="Times New Roman" w:hAnsi="Times New Roman" w:cs="Times New Roman"/>
        </w:rPr>
        <w:fldChar w:fldCharType="end"/>
      </w:r>
      <w:r w:rsidR="00345C20" w:rsidRPr="001912F1">
        <w:rPr>
          <w:rFonts w:ascii="Times New Roman" w:hAnsi="Times New Roman" w:cs="Times New Roman"/>
        </w:rPr>
        <w:t>.</w:t>
      </w:r>
      <w:r w:rsidR="00BA5C76" w:rsidRPr="001912F1">
        <w:rPr>
          <w:rFonts w:ascii="Times New Roman" w:hAnsi="Times New Roman" w:cs="Times New Roman"/>
        </w:rPr>
        <w:t xml:space="preserve"> Given the uncertainty </w:t>
      </w:r>
      <w:r w:rsidR="001B0E10" w:rsidRPr="001912F1">
        <w:rPr>
          <w:rFonts w:ascii="Times New Roman" w:hAnsi="Times New Roman" w:cs="Times New Roman"/>
        </w:rPr>
        <w:t xml:space="preserve">compassing </w:t>
      </w:r>
      <w:r w:rsidR="00BA5C76" w:rsidRPr="001912F1">
        <w:rPr>
          <w:rFonts w:ascii="Times New Roman" w:hAnsi="Times New Roman" w:cs="Times New Roman"/>
        </w:rPr>
        <w:t>the market value of sustainability, an inaccurate estimate of the long-term ROI can result in suboptimal investment decision-making in GB projects</w:t>
      </w:r>
      <w:r w:rsidR="00F86C05" w:rsidRPr="001912F1">
        <w:rPr>
          <w:rFonts w:ascii="Times New Roman" w:hAnsi="Times New Roman" w:cs="Times New Roman"/>
        </w:rPr>
        <w:t xml:space="preserve"> </w:t>
      </w:r>
      <w:r w:rsidR="004B6CC0"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"10.1016/j.jclepro.2020.120372", "ISSN" : "09596526", "abstract" : "Green building (GB) projects have attracted wide attention in the construction industry in recent years owing to numerous benefits of green practices for sustainable development. However, existing research efforts on GB project risk management are very limited, and no prior in-depth research has focused on studying the risk interdependencies in GB projects from the perspectives of both the project life cycle and multiple project risks. This paper begins by identifying and distinguishing GB project constraints from multiple GB project risks using a systematic literature review and then investigates, based on the Interpretive Structural Modeling (ISM) method, the risk interdependencies taking into account the identified 16 constraint factors, 22 risk factors and 11 objectives throughout a GB project life cycle. The importance of constraints and risk factors associated with GB project objectives was calculated based on the influence transmission through network paths in the established ISM-based model. In addition, the Matrice d'Impacts Crois\u00e9s Multiplication Appliqu\u00e9e \u00e1 un Classement (MICMAC) approach was used to analyze the drive and dependence powers of risk interdependency elements. Critical constraints and risk factors in the implementation of GB projects can be obtained from the proposed risk analysis model, which contributes to an in-depth risk perception of GB projects for industry practitioners and facilitates GB project risk management in a more effective way.", "author" : [ { "dropping-particle" : "", "family" : "Guan", "given" : "Li", "non-dropping-particle" : "", "parse-names" : false, "suffix" : "" }, { "dropping-particle" : "", "family" : "Abbasi", "given" : "Alireza", "non-dropping-particle" : "", "parse-names" : false, "suffix" : "" }, { "dropping-particle" : "", "family" : "Ryan", "given" : "Michael J.", "non-dropping-particle" : "", "parse-names" : false, "suffix" : "" } ], "container-title" : "Journal of Cleaner Production", "id" : "ITEM-1", "issued" : { "date-parts" : [ [ "2020" ] ] }, "page" : "120372", "publisher" : "Elsevier Ltd", "title" : "Analyzing green building project risk interdependencies using Interpretive Structural Modeling", "type" : "article-journal", "volume" : "256" }, "uris" : [ "http://www.mendeley.com/documents/?uuid=fad87b48-b75d-4f4f-b9e9-f097ba07f5f5" ] } ], "mendeley" : { "formattedCitation" : "[19]", "plainTextFormattedCitation" : "[19]", "previouslyFormattedCitation" : "[19]" }, "properties" : { "noteIndex" : 0 }, "schema" : "https://github.com/citation-style-language/schema/raw/master/csl-citation.json" }</w:instrText>
      </w:r>
      <w:r w:rsidR="004B6CC0" w:rsidRPr="001912F1">
        <w:rPr>
          <w:rFonts w:ascii="Times New Roman" w:hAnsi="Times New Roman" w:cs="Times New Roman"/>
        </w:rPr>
        <w:fldChar w:fldCharType="separate"/>
      </w:r>
      <w:r w:rsidR="00A172E2" w:rsidRPr="00A172E2">
        <w:rPr>
          <w:rFonts w:ascii="Times New Roman" w:hAnsi="Times New Roman" w:cs="Times New Roman"/>
          <w:noProof/>
        </w:rPr>
        <w:t>[19]</w:t>
      </w:r>
      <w:r w:rsidR="004B6CC0" w:rsidRPr="001912F1">
        <w:rPr>
          <w:rFonts w:ascii="Times New Roman" w:hAnsi="Times New Roman" w:cs="Times New Roman"/>
        </w:rPr>
        <w:fldChar w:fldCharType="end"/>
      </w:r>
      <w:r w:rsidR="00BA5C76" w:rsidRPr="001912F1">
        <w:rPr>
          <w:rFonts w:ascii="Times New Roman" w:hAnsi="Times New Roman" w:cs="Times New Roman"/>
        </w:rPr>
        <w:t>.</w:t>
      </w:r>
    </w:p>
    <w:p w14:paraId="19E05C8F" w14:textId="0FAB40BE" w:rsidR="005B2E91" w:rsidRPr="001912F1" w:rsidRDefault="00E22D8A" w:rsidP="005B2E91">
      <w:pPr>
        <w:spacing w:line="480" w:lineRule="auto"/>
        <w:jc w:val="both"/>
        <w:rPr>
          <w:rFonts w:ascii="Times New Roman" w:hAnsi="Times New Roman" w:cs="Times New Roman"/>
        </w:rPr>
      </w:pPr>
      <w:r w:rsidRPr="001912F1">
        <w:rPr>
          <w:rFonts w:ascii="Times New Roman" w:hAnsi="Times New Roman" w:cs="Times New Roman"/>
          <w:b/>
          <w:bCs/>
          <w:i/>
          <w:iCs/>
        </w:rPr>
        <w:t>Material and equipment risks</w:t>
      </w:r>
      <w:r w:rsidRPr="001912F1">
        <w:rPr>
          <w:rFonts w:ascii="Times New Roman" w:hAnsi="Times New Roman" w:cs="Times New Roman"/>
        </w:rPr>
        <w:t xml:space="preserve">: Fig. </w:t>
      </w:r>
      <w:r w:rsidR="008049B7" w:rsidRPr="001912F1">
        <w:rPr>
          <w:rFonts w:ascii="Times New Roman" w:hAnsi="Times New Roman" w:cs="Times New Roman"/>
        </w:rPr>
        <w:t>5 (b)</w:t>
      </w:r>
      <w:r w:rsidRPr="001912F1">
        <w:rPr>
          <w:rFonts w:ascii="Times New Roman" w:hAnsi="Times New Roman" w:cs="Times New Roman"/>
        </w:rPr>
        <w:t xml:space="preserve"> </w:t>
      </w:r>
      <w:r w:rsidR="005B2E91" w:rsidRPr="001912F1">
        <w:rPr>
          <w:rFonts w:ascii="Times New Roman" w:hAnsi="Times New Roman" w:cs="Times New Roman"/>
        </w:rPr>
        <w:t>shows nine (9) material and equipment risks of GB projects. The vital critical material and equipment risk factors include unavailability and shortage of approved green materials and technologies (MER1), unproven quality of new green products, materials, equipment, and technologies (MER2), inadequate information of green building products, materials, systems, and performance (MER3), unclear information and uncertainty in the performance of green materials, products, and equipment (MER4), inadequate pool of suppliers of green materials and products (MER5), and delay and late delivery of green building materials (MER6).</w:t>
      </w:r>
    </w:p>
    <w:p w14:paraId="4F7DAF1D" w14:textId="255ABE46" w:rsidR="001B0E10" w:rsidRPr="001912F1" w:rsidRDefault="00831EE2" w:rsidP="0050090C">
      <w:pPr>
        <w:spacing w:line="480" w:lineRule="auto"/>
        <w:jc w:val="both"/>
        <w:rPr>
          <w:rFonts w:ascii="Times New Roman" w:hAnsi="Times New Roman" w:cs="Times New Roman"/>
        </w:rPr>
      </w:pPr>
      <w:r w:rsidRPr="001912F1">
        <w:rPr>
          <w:rFonts w:ascii="Times New Roman" w:hAnsi="Times New Roman" w:cs="Times New Roman"/>
        </w:rPr>
        <w:t xml:space="preserve">Given the </w:t>
      </w:r>
      <w:r w:rsidR="007D0856" w:rsidRPr="001912F1">
        <w:rPr>
          <w:rFonts w:ascii="Times New Roman" w:hAnsi="Times New Roman" w:cs="Times New Roman"/>
        </w:rPr>
        <w:t xml:space="preserve">prevailing </w:t>
      </w:r>
      <w:r w:rsidRPr="001912F1">
        <w:rPr>
          <w:rFonts w:ascii="Times New Roman" w:hAnsi="Times New Roman" w:cs="Times New Roman"/>
        </w:rPr>
        <w:t xml:space="preserve">immaturity of the green market in some countries, unavailability and shortage of approved green materials, products, and technologies </w:t>
      </w:r>
      <w:r w:rsidR="007D0856" w:rsidRPr="001912F1">
        <w:rPr>
          <w:rFonts w:ascii="Times New Roman" w:hAnsi="Times New Roman" w:cs="Times New Roman"/>
        </w:rPr>
        <w:t>present serious risks in GB projects</w:t>
      </w:r>
      <w:r w:rsidR="00C6319F" w:rsidRPr="001912F1">
        <w:rPr>
          <w:rFonts w:ascii="Times New Roman" w:hAnsi="Times New Roman" w:cs="Times New Roman"/>
        </w:rPr>
        <w:t xml:space="preserve"> </w:t>
      </w:r>
      <w:r w:rsidR="00C6319F"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"10.1080/09613218.2011.561948", "ISSN" : "09613218", "abstract" : "What are the actual barriers and drivers for sustainable building? A literature review, interviews and case studies are presented to address this question. Sustainable building is not hindered by a lack of technologies and assessment methods, but is instead beset with organizational and procedural difficulties entailed by the adoption of new methods. New technologies are resisted because they require process changes entailing risks and unforeseen costs. These hindrances can be reduced by learning what kind of decision-making phases, new tasks, actors, roles and ways of networking are needed. The barriers are outlined as steering mechanisms, economics, a lack of client understanding, process (procurement and tendering, timing, cooperation and networking), and underpinning knowledge (knowledge and common language, the availability of methods and tools, innovation). The most important actions to promote sustainable building are the development of the awareness of clients about the benefits of sustainable building, the development and adoption of methods for sustainable building requirement management, the mobilization of sustainable building tools, the development of designers' competence and team working, and the development of new concepts and services. The interviews and case studies were carried out in Finland, but the results may be applicable or interesting to other countries as well. \u00a9 2011 Taylor &amp; Francis.", "author" : [ { "dropping-particle" : "", "family" : "H\u00e4kkinen", "given" : "Tarja", "non-dropping-particle" : "", "parse-names" : false, "suffix" : "" }, { "dropping-particle" : "", "family" : "Belloni", "given" : "Kaisa", "non-dropping-particle" : "", "parse-names" : false, "suffix" : "" } ], "container-title" : "Building Research and Information", "id" : "ITEM-1", "issue" : "3", "issued" : { "date-parts" : [ [ "2011" ] ] }, "page" : "239-255", "title" : "Barriers and drivers for sustainable building", "type" : "article-journal", "volume" : "39" }, "uris" : [ "http://www.mendeley.com/documents/?uuid=7fa56671-0397-479e-aec7-708637a215d1" ] } ], "mendeley" : { "formattedCitation" : "[13]", "plainTextFormattedCitation" : "[13]", "previouslyFormattedCitation" : "[13]" }, "properties" : { "noteIndex" : 0 }, "schema" : "https://github.com/citation-style-language/schema/raw/master/csl-citation.json" }</w:instrText>
      </w:r>
      <w:r w:rsidR="00C6319F" w:rsidRPr="001912F1">
        <w:rPr>
          <w:rFonts w:ascii="Times New Roman" w:hAnsi="Times New Roman" w:cs="Times New Roman"/>
        </w:rPr>
        <w:fldChar w:fldCharType="separate"/>
      </w:r>
      <w:r w:rsidR="00A172E2" w:rsidRPr="00A172E2">
        <w:rPr>
          <w:rFonts w:ascii="Times New Roman" w:hAnsi="Times New Roman" w:cs="Times New Roman"/>
          <w:noProof/>
        </w:rPr>
        <w:t>[13]</w:t>
      </w:r>
      <w:r w:rsidR="00C6319F" w:rsidRPr="001912F1">
        <w:rPr>
          <w:rFonts w:ascii="Times New Roman" w:hAnsi="Times New Roman" w:cs="Times New Roman"/>
        </w:rPr>
        <w:fldChar w:fldCharType="end"/>
      </w:r>
      <w:r w:rsidRPr="001912F1">
        <w:rPr>
          <w:rFonts w:ascii="Times New Roman" w:hAnsi="Times New Roman" w:cs="Times New Roman"/>
        </w:rPr>
        <w:t>.</w:t>
      </w:r>
      <w:r w:rsidR="00F2069D" w:rsidRPr="001912F1">
        <w:rPr>
          <w:rFonts w:ascii="Times New Roman" w:hAnsi="Times New Roman" w:cs="Times New Roman"/>
        </w:rPr>
        <w:t xml:space="preserve"> Green materials and products are sometimes only available at a cost premium unless they are specified and contracted in the </w:t>
      </w:r>
      <w:r w:rsidR="001B0E10" w:rsidRPr="001912F1">
        <w:rPr>
          <w:rFonts w:ascii="Times New Roman" w:hAnsi="Times New Roman" w:cs="Times New Roman"/>
        </w:rPr>
        <w:t xml:space="preserve">early </w:t>
      </w:r>
      <w:r w:rsidR="00F2069D" w:rsidRPr="001912F1">
        <w:rPr>
          <w:rFonts w:ascii="Times New Roman" w:hAnsi="Times New Roman" w:cs="Times New Roman"/>
        </w:rPr>
        <w:t>design process, and even then there may be delays in actually getting them delivered</w:t>
      </w:r>
      <w:r w:rsidR="005A58B3" w:rsidRPr="001912F1">
        <w:rPr>
          <w:rFonts w:ascii="Times New Roman" w:hAnsi="Times New Roman" w:cs="Times New Roman"/>
        </w:rPr>
        <w:t xml:space="preserve"> </w:t>
      </w:r>
      <w:r w:rsidR="005A58B3"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"10.1016/j.techsoc.2005.10.017", "ISSN" : "0160791X", "abstract" : "In the spring of 2002, recognizing that New York City was proving to be a difficult arena in which to do 'high performance building' and that this might have serious negative implications for the city's global position, the non-profit Center for Economic and Environmental Partnership, Inc. (CEEP), undertook the High Performance Building Initiative. Its premise was that if high performance building - an approach to construction aimed at, among other things, reduced environmental impact, improved public health, better security, and more flexible space - was to become mainstream in New York City, the high performance path would need to be perceived as reasonably predictable, posing only manageable risks and uncertainties. The purpose of the Initiative was to identify the barriers to high performance building in the city and to propose ways in which they could be reduced or eliminated. To accomplish this, CEEP convened interested and/or knowled geable individuals from the full range of relevant specializations and stakeholder perspectives. A final report [1], summarized herein, aggregated the participants' findings. The Initiative was both an important model of collaborative policy research and a valuable catalyst for change in both the public and private sectors. \u00a9 2005 Published by Elsevier Ltd.", "author" : [ { "dropping-particle" : "", "family" : "Zerkin", "given" : "Allen J.", "non-dropping-particle" : "", "parse-names" : false, "suffix" : "" } ], "container-title" : "Technology in Society", "id" : "ITEM-1", "issue" : "1-2", "issued" : { "date-parts" : [ [ "2006" ] ] }, "page" : "137-155", "title" : "Mainstreaming high performance building in New York City: A comprehensive roadmap for removing the barriers", "type" : "article-journal", "volume" : "28" }, "uris" : [ "http://www.mendeley.com/documents/?uuid=daae5acb-cfbf-471c-bf05-9f7553097991" ] } ], "mendeley" : { "formattedCitation" : "[25]", "plainTextFormattedCitation" : "[25]", "previouslyFormattedCitation" : "[25]" }, "properties" : { "noteIndex" : 0 }, "schema" : "https://github.com/citation-style-language/schema/raw/master/csl-citation.json" }</w:instrText>
      </w:r>
      <w:r w:rsidR="005A58B3" w:rsidRPr="001912F1">
        <w:rPr>
          <w:rFonts w:ascii="Times New Roman" w:hAnsi="Times New Roman" w:cs="Times New Roman"/>
        </w:rPr>
        <w:fldChar w:fldCharType="separate"/>
      </w:r>
      <w:r w:rsidR="00A172E2" w:rsidRPr="00A172E2">
        <w:rPr>
          <w:rFonts w:ascii="Times New Roman" w:hAnsi="Times New Roman" w:cs="Times New Roman"/>
          <w:noProof/>
        </w:rPr>
        <w:t>[25]</w:t>
      </w:r>
      <w:r w:rsidR="005A58B3" w:rsidRPr="001912F1">
        <w:rPr>
          <w:rFonts w:ascii="Times New Roman" w:hAnsi="Times New Roman" w:cs="Times New Roman"/>
        </w:rPr>
        <w:fldChar w:fldCharType="end"/>
      </w:r>
      <w:r w:rsidR="00F2069D" w:rsidRPr="001912F1">
        <w:rPr>
          <w:rFonts w:ascii="Times New Roman" w:hAnsi="Times New Roman" w:cs="Times New Roman"/>
        </w:rPr>
        <w:t>.</w:t>
      </w:r>
      <w:r w:rsidR="0035502C" w:rsidRPr="001912F1">
        <w:rPr>
          <w:rFonts w:ascii="Times New Roman" w:hAnsi="Times New Roman" w:cs="Times New Roman"/>
        </w:rPr>
        <w:t xml:space="preserve"> </w:t>
      </w:r>
      <w:r w:rsidR="00641021" w:rsidRPr="001912F1">
        <w:rPr>
          <w:rFonts w:ascii="Times New Roman" w:hAnsi="Times New Roman" w:cs="Times New Roman"/>
        </w:rPr>
        <w:t xml:space="preserve">Shortages in the supply of green materials may arise from poor forecasting, planning, low inventory levels, poor communication of information, and dependence on a single supplier </w:t>
      </w:r>
      <w:r w:rsidR="00641021"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"10.1016/j.scs.2017.01.020", "ISSN" : "22106707", "abstract" : "Green buildings have achieved rapid development over the past two decades, yet research efforts on risk management in green building projects are still very limited. This study aims to identify and evaluate risk factors in green commercial building projects in Singapore, to compare their risk criticalities with those in traditional counterparts, and to propose mitigation measures that can tackle these risk factors. To achieve these goals, a comprehensive literature review and structured interviews were carried out, and a questionnaire survey was conducted with 25 Singapore-based construction companies. Survey results showed that the top five critical risk factors in green commercial building projects were \u201cinflation,\u201d \u201ccurrency and interest rate volatility worsened by the import of green materials,\u201d \u201cdurability of green materials,\u201d \u201cdamages caused by human error,\u201d and \u201cshortage of green materials.\u201d Results also showed that green commercial building projects faced risks of design change and poor construction quality for less criticality than their traditional counterparts, but that the adoptions of green ideas, materials, and technologies had posed additional risks to green commercial building projects. Additionally, seven widely used risk mitigation measures were also proposed by this study.", "author" : [ { "dropping-particle" : "", "family" : "Hwang", "given" : "Bon gang", "non-dropping-particle" : "", "parse-names" : false, "suffix" : "" }, { "dropping-particle" : "", "family" : "Shan", "given" : "Ming", "non-dropping-particle" : "", "parse-names" : false, "suffix" : "" }, { "dropping-particle" : "", "family" : "Supa'at", "given" : "Nur Nadiah Binte", "non-dropping-particle" : "", "parse-names" : false, "suffix" : "" } ], "container-title" : "Sustainable Cities and Society", "id" : "ITEM-1", "issued" : { "date-parts" : [ [ "2017" ] ] }, "page" : "237-247", "publisher" : "Elsevier B.V.", "title" : "Green commercial building projects in Singapore: Critical risk factors and mitigation measures", "type" : "article-journal", "volume" : "30" }, "uris" : [ "http://www.mendeley.com/documents/?uuid=11690b9a-aef6-408d-81b8-56fc47de4ec9" ] } ], "mendeley" : { "formattedCitation" : "[15]", "plainTextFormattedCitation" : "[15]", "previouslyFormattedCitation" : "[15]" }, "properties" : { "noteIndex" : 0 }, "schema" : "https://github.com/citation-style-language/schema/raw/master/csl-citation.json" }</w:instrText>
      </w:r>
      <w:r w:rsidR="00641021" w:rsidRPr="001912F1">
        <w:rPr>
          <w:rFonts w:ascii="Times New Roman" w:hAnsi="Times New Roman" w:cs="Times New Roman"/>
        </w:rPr>
        <w:fldChar w:fldCharType="separate"/>
      </w:r>
      <w:r w:rsidR="00A172E2" w:rsidRPr="00A172E2">
        <w:rPr>
          <w:rFonts w:ascii="Times New Roman" w:hAnsi="Times New Roman" w:cs="Times New Roman"/>
          <w:noProof/>
        </w:rPr>
        <w:t>[15]</w:t>
      </w:r>
      <w:r w:rsidR="00641021" w:rsidRPr="001912F1">
        <w:rPr>
          <w:rFonts w:ascii="Times New Roman" w:hAnsi="Times New Roman" w:cs="Times New Roman"/>
        </w:rPr>
        <w:fldChar w:fldCharType="end"/>
      </w:r>
      <w:r w:rsidR="00641021" w:rsidRPr="001912F1">
        <w:rPr>
          <w:rFonts w:ascii="Times New Roman" w:hAnsi="Times New Roman" w:cs="Times New Roman"/>
        </w:rPr>
        <w:t xml:space="preserve">. </w:t>
      </w:r>
    </w:p>
    <w:p w14:paraId="38D20B45" w14:textId="3F230940" w:rsidR="005449A4" w:rsidRPr="001912F1" w:rsidRDefault="0035502C" w:rsidP="002039F2">
      <w:pPr>
        <w:spacing w:line="480" w:lineRule="auto"/>
        <w:jc w:val="both"/>
        <w:rPr>
          <w:rFonts w:ascii="Times New Roman" w:hAnsi="Times New Roman" w:cs="Times New Roman"/>
        </w:rPr>
      </w:pPr>
      <w:r w:rsidRPr="001912F1">
        <w:rPr>
          <w:rFonts w:ascii="Times New Roman" w:hAnsi="Times New Roman" w:cs="Times New Roman"/>
        </w:rPr>
        <w:lastRenderedPageBreak/>
        <w:t>Despite the</w:t>
      </w:r>
      <w:r w:rsidR="00FA0954" w:rsidRPr="001912F1">
        <w:rPr>
          <w:rFonts w:ascii="Times New Roman" w:hAnsi="Times New Roman" w:cs="Times New Roman"/>
        </w:rPr>
        <w:t xml:space="preserve"> </w:t>
      </w:r>
      <w:r w:rsidR="00FA0954" w:rsidRPr="001912F1">
        <w:rPr>
          <w:rFonts w:ascii="Times New Roman" w:hAnsi="Times New Roman" w:cs="Times New Roman" w:hint="eastAsia"/>
          <w:lang w:eastAsia="zh-CN"/>
        </w:rPr>
        <w:t>sub</w:t>
      </w:r>
      <w:r w:rsidR="00FA0954" w:rsidRPr="001912F1">
        <w:rPr>
          <w:rFonts w:ascii="Times New Roman" w:hAnsi="Times New Roman" w:cs="Times New Roman"/>
        </w:rPr>
        <w:t>stantial</w:t>
      </w:r>
      <w:r w:rsidRPr="001912F1">
        <w:rPr>
          <w:rFonts w:ascii="Times New Roman" w:hAnsi="Times New Roman" w:cs="Times New Roman"/>
        </w:rPr>
        <w:t xml:space="preserve"> progress in GBs, there exist inadequate information o</w:t>
      </w:r>
      <w:r w:rsidR="005D08AE" w:rsidRPr="001912F1">
        <w:rPr>
          <w:rFonts w:ascii="Times New Roman" w:hAnsi="Times New Roman" w:cs="Times New Roman"/>
        </w:rPr>
        <w:t>n</w:t>
      </w:r>
      <w:r w:rsidRPr="001912F1">
        <w:rPr>
          <w:rFonts w:ascii="Times New Roman" w:hAnsi="Times New Roman" w:cs="Times New Roman"/>
        </w:rPr>
        <w:t xml:space="preserve"> green building products, materials, systems, and performance in some contexts.</w:t>
      </w:r>
      <w:r w:rsidR="005C35B9" w:rsidRPr="001912F1">
        <w:rPr>
          <w:rFonts w:ascii="Times New Roman" w:hAnsi="Times New Roman" w:cs="Times New Roman"/>
        </w:rPr>
        <w:t xml:space="preserve"> The quality of new green materials, products, equipment, and technologies </w:t>
      </w:r>
      <w:r w:rsidR="001E31A3" w:rsidRPr="001912F1">
        <w:rPr>
          <w:rFonts w:ascii="Times New Roman" w:hAnsi="Times New Roman" w:cs="Times New Roman"/>
        </w:rPr>
        <w:t>do</w:t>
      </w:r>
      <w:r w:rsidR="005D08AE" w:rsidRPr="001912F1">
        <w:rPr>
          <w:rFonts w:ascii="Times New Roman" w:hAnsi="Times New Roman" w:cs="Times New Roman"/>
        </w:rPr>
        <w:t>es</w:t>
      </w:r>
      <w:r w:rsidR="001E31A3" w:rsidRPr="001912F1">
        <w:rPr>
          <w:rFonts w:ascii="Times New Roman" w:hAnsi="Times New Roman" w:cs="Times New Roman"/>
        </w:rPr>
        <w:t xml:space="preserve"> not have a proven track record</w:t>
      </w:r>
      <w:r w:rsidR="005E4002" w:rsidRPr="001912F1">
        <w:rPr>
          <w:rFonts w:ascii="Times New Roman" w:hAnsi="Times New Roman" w:cs="Times New Roman"/>
        </w:rPr>
        <w:t xml:space="preserve"> </w:t>
      </w:r>
      <w:r w:rsidR="001E31A3"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"10.1016/j.ijproman.2012.05.004", "ISSN" : "02637863", "abstract" : "A competent project manager is vital to project success. While many studies have examined competency of project managers, few have done so in the context of green construction. Therefore, this study aims to identify challenges faced by project managers who execute green construction projects and to determine the critical knowledge areas and skills that are necessary to respond to such challenges. Through literature review, surveys and interviews with project managers, this study will help establish a knowledge base for project managers to be competitive and to effectively execute sustainable projects. \u00a9 2012 Association for Project Management and the International Project Management Association and Elsevier Ltd.", "author" : [ { "dropping-particle" : "", "family" : "Hwang", "given" : "Bon Gang", "non-dropping-particle" : "", "parse-names" : false, "suffix" : "" }, { "dropping-particle" : "", "family" : "Ng", "given" : "Wei Jian", "non-dropping-particle" : "", "parse-names" : false, "suffix" : "" } ], "container-title" : "International Journal of Project Management", "id" : "ITEM-1", "issue" : "2", "issued" : { "date-parts" : [ [ "2013" ] ] }, "page" : "272-284", "publisher" : "Association for Project Management and the International Project Management Association and Elsevier Ltd", "title" : "Project management knowledge and skills for green construction: Overcoming challenges", "type" : "article-journal", "volume" : "31" }, "uris" : [ "http://www.mendeley.com/documents/?uuid=e9264a44-f2e1-4df4-a845-ef1a6396a1de" ] }, { "id" : "ITEM-2", "itemData" : { "DOI" : "10.1108/14714170910950830", "ISSN" : "14770857", "abstract" : "Purpose \u2013 The purpose of this paper is to understand what factors best promote or prevent sustainable construction practices and establish the consistency of how sustainability is measured. Design/methodology/approach \u2013 A literature review considered the impact of the industry to sustainability and identified what action and initiatives are already in place. Through this, the main drivers, barriers, measures and benchmarks were identified. The opinions of building surveying professionals were sought and analysed. Findings \u2013 The paper suggested that fiscal incentives/penalties and regulations help to drive sustainable construction. Such financial implications are consistent with \u201caffordability\u201d being the biggest barrier highlighted. The majority of respondents believed the industry is taking some account of sustainability issues, but identified that more needs to be done. Originality/value \u2013 Sustainable development is an integral part of the lives and affects all aspects of business operations. This paper provides an in-depth insight into the level of sustainable development within the construction industry, identifying implications for both the demand and supply side. \u00a9 2009, Emerald Group Publishing Limited", "author" : [ { "dropping-particle" : "", "family" : "Pitt", "given" : "Michael", "non-dropping-particle" : "", "parse-names" : false, "suffix" : "" }, { "dropping-particle" : "", "family" : "Tucker", "given" : "Matthew", "non-dropping-particle" : "", "parse-names" : false, "suffix" : "" }, { "dropping-particle" : "", "family" : "Riley", "given" : "Mike", "non-dropping-particle" : "", "parse-names" : false, "suffix" : "" }, { "dropping-particle" : "", "family" : "Longden", "given" : "Jennifer", "non-dropping-particle" : "", "parse-names" : false, "suffix" : "" } ], "container-title" : "Construction Innovation", "id" : "ITEM-2", "issue" : "2", "issued" : { "date-parts" : [ [ "2009" ] ] }, "page" : "201-224", "title" : "Towards sustainable construction: Promotion and best practices", "type" : "article-journal", "volume" : "9" }, "uris" : [ "http://www.mendeley.com/documents/?uuid=f835dd5d-9421-484f-80df-afe9c51da42a" ] } ], "mendeley" : { "formattedCitation" : "[26,42]", "plainTextFormattedCitation" : "[26,42]", "previouslyFormattedCitation" : "[26,42]" }, "properties" : { "noteIndex" : 0 }, "schema" : "https://github.com/citation-style-language/schema/raw/master/csl-citation.json" }</w:instrText>
      </w:r>
      <w:r w:rsidR="001E31A3" w:rsidRPr="001912F1">
        <w:rPr>
          <w:rFonts w:ascii="Times New Roman" w:hAnsi="Times New Roman" w:cs="Times New Roman"/>
        </w:rPr>
        <w:fldChar w:fldCharType="separate"/>
      </w:r>
      <w:r w:rsidR="00A172E2" w:rsidRPr="00A172E2">
        <w:rPr>
          <w:rFonts w:ascii="Times New Roman" w:hAnsi="Times New Roman" w:cs="Times New Roman"/>
          <w:noProof/>
        </w:rPr>
        <w:t>[26,42]</w:t>
      </w:r>
      <w:r w:rsidR="001E31A3" w:rsidRPr="001912F1">
        <w:rPr>
          <w:rFonts w:ascii="Times New Roman" w:hAnsi="Times New Roman" w:cs="Times New Roman"/>
        </w:rPr>
        <w:fldChar w:fldCharType="end"/>
      </w:r>
      <w:r w:rsidR="005C35B9" w:rsidRPr="001912F1">
        <w:rPr>
          <w:rFonts w:ascii="Times New Roman" w:hAnsi="Times New Roman" w:cs="Times New Roman"/>
        </w:rPr>
        <w:t>.</w:t>
      </w:r>
      <w:r w:rsidR="004965DC" w:rsidRPr="001912F1">
        <w:rPr>
          <w:rFonts w:ascii="Times New Roman" w:hAnsi="Times New Roman" w:cs="Times New Roman"/>
        </w:rPr>
        <w:t xml:space="preserve"> </w:t>
      </w:r>
      <w:r w:rsidR="00EF573B" w:rsidRPr="001912F1">
        <w:rPr>
          <w:rFonts w:ascii="Times New Roman" w:hAnsi="Times New Roman" w:cs="Times New Roman"/>
        </w:rPr>
        <w:t xml:space="preserve">The relevant project parties </w:t>
      </w:r>
      <w:r w:rsidR="004965DC" w:rsidRPr="001912F1">
        <w:rPr>
          <w:rFonts w:ascii="Times New Roman" w:hAnsi="Times New Roman" w:cs="Times New Roman"/>
        </w:rPr>
        <w:t>may lack awareness of, and access to information about, green materials, technologies, equipment, and options during the delivery of GB projects.</w:t>
      </w:r>
      <w:r w:rsidR="003F6D3D" w:rsidRPr="001912F1">
        <w:rPr>
          <w:rFonts w:ascii="Times New Roman" w:hAnsi="Times New Roman" w:cs="Times New Roman"/>
        </w:rPr>
        <w:t xml:space="preserve"> Similarly, </w:t>
      </w:r>
      <w:r w:rsidR="00FA0954" w:rsidRPr="001912F1">
        <w:rPr>
          <w:rFonts w:ascii="Times New Roman" w:hAnsi="Times New Roman" w:cs="Times New Roman"/>
        </w:rPr>
        <w:t>an</w:t>
      </w:r>
      <w:r w:rsidR="005D08AE" w:rsidRPr="001912F1">
        <w:rPr>
          <w:rFonts w:ascii="Times New Roman" w:hAnsi="Times New Roman" w:cs="Times New Roman"/>
        </w:rPr>
        <w:t xml:space="preserve"> </w:t>
      </w:r>
      <w:r w:rsidR="003F6D3D" w:rsidRPr="001912F1">
        <w:rPr>
          <w:rFonts w:ascii="Times New Roman" w:hAnsi="Times New Roman" w:cs="Times New Roman"/>
        </w:rPr>
        <w:t>inadequate pool of suppliers of green materials and products influence</w:t>
      </w:r>
      <w:r w:rsidR="005D08AE" w:rsidRPr="001912F1">
        <w:rPr>
          <w:rFonts w:ascii="Times New Roman" w:hAnsi="Times New Roman" w:cs="Times New Roman"/>
        </w:rPr>
        <w:t>s</w:t>
      </w:r>
      <w:r w:rsidR="003F6D3D" w:rsidRPr="001912F1">
        <w:rPr>
          <w:rFonts w:ascii="Times New Roman" w:hAnsi="Times New Roman" w:cs="Times New Roman"/>
        </w:rPr>
        <w:t xml:space="preserve"> the availability and costs of high-performance materials and products.</w:t>
      </w:r>
      <w:r w:rsidR="007E2D66" w:rsidRPr="001912F1">
        <w:rPr>
          <w:rFonts w:ascii="Times New Roman" w:hAnsi="Times New Roman" w:cs="Times New Roman"/>
        </w:rPr>
        <w:t xml:space="preserve"> In </w:t>
      </w:r>
      <w:r w:rsidR="005D08AE" w:rsidRPr="001912F1">
        <w:rPr>
          <w:rFonts w:ascii="Times New Roman" w:hAnsi="Times New Roman" w:cs="Times New Roman"/>
        </w:rPr>
        <w:t xml:space="preserve">a </w:t>
      </w:r>
      <w:r w:rsidR="007E2D66" w:rsidRPr="001912F1">
        <w:rPr>
          <w:rFonts w:ascii="Times New Roman" w:hAnsi="Times New Roman" w:cs="Times New Roman"/>
        </w:rPr>
        <w:t xml:space="preserve">case where green materials and products have to be procured from overseas due to the inadequate pool of local suppliers, it can result in </w:t>
      </w:r>
      <w:r w:rsidR="005D08AE" w:rsidRPr="001912F1">
        <w:rPr>
          <w:rFonts w:ascii="Times New Roman" w:hAnsi="Times New Roman" w:cs="Times New Roman"/>
        </w:rPr>
        <w:t xml:space="preserve">a </w:t>
      </w:r>
      <w:r w:rsidR="007E2D66" w:rsidRPr="001912F1">
        <w:rPr>
          <w:rFonts w:ascii="Times New Roman" w:hAnsi="Times New Roman" w:cs="Times New Roman"/>
        </w:rPr>
        <w:t>long lead time, international transportation</w:t>
      </w:r>
      <w:r w:rsidR="00EF573B" w:rsidRPr="001912F1">
        <w:rPr>
          <w:rFonts w:ascii="Times New Roman" w:hAnsi="Times New Roman" w:cs="Times New Roman"/>
        </w:rPr>
        <w:t xml:space="preserve"> costs</w:t>
      </w:r>
      <w:r w:rsidR="007E2D66" w:rsidRPr="001912F1">
        <w:rPr>
          <w:rFonts w:ascii="Times New Roman" w:hAnsi="Times New Roman" w:cs="Times New Roman"/>
        </w:rPr>
        <w:t>, complex logistical challenges, and longer supply cycles</w:t>
      </w:r>
      <w:r w:rsidR="00D87A4B" w:rsidRPr="001912F1">
        <w:rPr>
          <w:rFonts w:ascii="Times New Roman" w:hAnsi="Times New Roman" w:cs="Times New Roman"/>
        </w:rPr>
        <w:t xml:space="preserve"> </w:t>
      </w:r>
      <w:r w:rsidR="00D87A4B"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"10.1016/j.ijproman.2007.03.001", "ISSN" : "02637863", "abstract" : "The aim of this paper is to understand the key risks in construction projects in China and to develop strategies to manage them. Risks were prioritized according to their significance of influences on typical project objectives in terms of cost, time, quality, safety and environmental sustainability, and then scrutinized from a joint perspective of project stakeholders and life cycle. Postal questionnaire surveys were used to collect data, based on which a total of 25 key risks were ascertained. These risks were compared with the findings of a parallel survey in the Australian construction industry context to highlight the unique risks associated with construction projects in China. Strategies to manage the risks were sought from the perspectives of project stakeholders and life cycle and in light of the Chinese construction culture. It is concluded that clients, designers and government bodies should take the responsibility to manage their relevant risks and work cooperatively from the feasibility phase onwards to address potential risks in time; contractors and subcontractors with robust construction and management knowledge should be employed to minimize construction risks and carry out safe, efficient and quality construction activities. \u00a9 2007 Elsevier Ltd and IPMA.", "author" : [ { "dropping-particle" : "", "family" : "Zou", "given" : "Patrick X.W.", "non-dropping-particle" : "", "parse-names" : false, "suffix" : "" }, { "dropping-particle" : "", "family" : "Zhang", "given" : "Guomin", "non-dropping-particle" : "", "parse-names" : false, "suffix" : "" }, { "dropping-particle" : "", "family" : "Wang", "given" : "Jiayuan", "non-dropping-particle" : "", "parse-names" : false, "suffix" : "" } ], "container-title" : "International Journal of Project Management", "id" : "ITEM-1", "issue" : "6", "issued" : { "date-parts" : [ [ "2007" ] ] }, "page" : "601-614", "title" : "Understanding the key risks in construction projects in China", "type" : "article-journal", "volume" : "25" }, "uris" : [ "http://www.mendeley.com/documents/?uuid=83601f31-dd3a-449c-8adc-7139951b5500" ] } ], "mendeley" : { "formattedCitation" : "[57]", "plainTextFormattedCitation" : "[57]", "previouslyFormattedCitation" : "[57]" }, "properties" : { "noteIndex" : 0 }, "schema" : "https://github.com/citation-style-language/schema/raw/master/csl-citation.json" }</w:instrText>
      </w:r>
      <w:r w:rsidR="00D87A4B" w:rsidRPr="001912F1">
        <w:rPr>
          <w:rFonts w:ascii="Times New Roman" w:hAnsi="Times New Roman" w:cs="Times New Roman"/>
        </w:rPr>
        <w:fldChar w:fldCharType="separate"/>
      </w:r>
      <w:r w:rsidR="00A172E2" w:rsidRPr="00A172E2">
        <w:rPr>
          <w:rFonts w:ascii="Times New Roman" w:hAnsi="Times New Roman" w:cs="Times New Roman"/>
          <w:noProof/>
        </w:rPr>
        <w:t>[57]</w:t>
      </w:r>
      <w:r w:rsidR="00D87A4B" w:rsidRPr="001912F1">
        <w:rPr>
          <w:rFonts w:ascii="Times New Roman" w:hAnsi="Times New Roman" w:cs="Times New Roman"/>
        </w:rPr>
        <w:fldChar w:fldCharType="end"/>
      </w:r>
      <w:r w:rsidR="007E2D66" w:rsidRPr="001912F1">
        <w:rPr>
          <w:rFonts w:ascii="Times New Roman" w:hAnsi="Times New Roman" w:cs="Times New Roman"/>
        </w:rPr>
        <w:t>.</w:t>
      </w:r>
    </w:p>
    <w:p w14:paraId="3CF34D2E" w14:textId="2AF153EC" w:rsidR="00FC78F8" w:rsidRPr="001912F1" w:rsidRDefault="00E22D8A" w:rsidP="00FC78F8">
      <w:pPr>
        <w:spacing w:line="480" w:lineRule="auto"/>
        <w:jc w:val="both"/>
        <w:rPr>
          <w:rFonts w:ascii="Times New Roman" w:hAnsi="Times New Roman" w:cs="Times New Roman"/>
        </w:rPr>
      </w:pPr>
      <w:r w:rsidRPr="001912F1">
        <w:rPr>
          <w:rFonts w:ascii="Times New Roman" w:hAnsi="Times New Roman" w:cs="Times New Roman"/>
          <w:b/>
          <w:bCs/>
          <w:i/>
          <w:iCs/>
        </w:rPr>
        <w:t>Design risks</w:t>
      </w:r>
      <w:r w:rsidRPr="001912F1">
        <w:rPr>
          <w:rFonts w:ascii="Times New Roman" w:hAnsi="Times New Roman" w:cs="Times New Roman"/>
        </w:rPr>
        <w:t xml:space="preserve">:  Fig. </w:t>
      </w:r>
      <w:r w:rsidR="008049B7" w:rsidRPr="001912F1">
        <w:rPr>
          <w:rFonts w:ascii="Times New Roman" w:hAnsi="Times New Roman" w:cs="Times New Roman"/>
        </w:rPr>
        <w:t>5 (c)</w:t>
      </w:r>
      <w:r w:rsidR="003423BC" w:rsidRPr="001912F1">
        <w:rPr>
          <w:rFonts w:ascii="Times New Roman" w:hAnsi="Times New Roman" w:cs="Times New Roman"/>
        </w:rPr>
        <w:t xml:space="preserve"> shows six (6) design risks of GB projects.</w:t>
      </w:r>
      <w:r w:rsidR="00FC78F8" w:rsidRPr="001912F1">
        <w:rPr>
          <w:rFonts w:ascii="Times New Roman" w:hAnsi="Times New Roman" w:cs="Times New Roman"/>
        </w:rPr>
        <w:t xml:space="preserve"> The vital critical design risk factors include poor detailed design with deficiencies in drawings and unclear specifications (DR1), inaccurate specification</w:t>
      </w:r>
      <w:r w:rsidR="00FA0954" w:rsidRPr="001912F1">
        <w:rPr>
          <w:rFonts w:ascii="Times New Roman" w:hAnsi="Times New Roman" w:cs="Times New Roman"/>
        </w:rPr>
        <w:t>s</w:t>
      </w:r>
      <w:r w:rsidR="00FC78F8" w:rsidRPr="001912F1">
        <w:rPr>
          <w:rFonts w:ascii="Times New Roman" w:hAnsi="Times New Roman" w:cs="Times New Roman"/>
        </w:rPr>
        <w:t xml:space="preserve"> of green construction materials and technologies (DR2), frequent design changes and variations (DR3), and inadequate integration of sustainability into the design and supply chain of green buildings (DR4).</w:t>
      </w:r>
    </w:p>
    <w:p w14:paraId="714A4DD1" w14:textId="26AF08F3" w:rsidR="008049B7" w:rsidRPr="001912F1" w:rsidRDefault="006D70EB" w:rsidP="002039F2">
      <w:pPr>
        <w:spacing w:line="480" w:lineRule="auto"/>
        <w:jc w:val="both"/>
        <w:rPr>
          <w:rFonts w:ascii="Times New Roman" w:hAnsi="Times New Roman" w:cs="Times New Roman"/>
        </w:rPr>
      </w:pPr>
      <w:r w:rsidRPr="001912F1">
        <w:rPr>
          <w:rFonts w:ascii="Times New Roman" w:hAnsi="Times New Roman" w:cs="Times New Roman"/>
        </w:rPr>
        <w:t>T</w:t>
      </w:r>
      <w:r w:rsidR="00765B05" w:rsidRPr="001912F1">
        <w:rPr>
          <w:rFonts w:ascii="Times New Roman" w:hAnsi="Times New Roman" w:cs="Times New Roman"/>
        </w:rPr>
        <w:t>he design</w:t>
      </w:r>
      <w:r w:rsidRPr="001912F1">
        <w:rPr>
          <w:rFonts w:ascii="Times New Roman" w:hAnsi="Times New Roman" w:cs="Times New Roman"/>
        </w:rPr>
        <w:t xml:space="preserve"> plays a key role in affecting the quality of a GB project</w:t>
      </w:r>
      <w:r w:rsidR="00765B05" w:rsidRPr="001912F1">
        <w:rPr>
          <w:rFonts w:ascii="Times New Roman" w:hAnsi="Times New Roman" w:cs="Times New Roman"/>
        </w:rPr>
        <w:t xml:space="preserve">. </w:t>
      </w:r>
      <w:r w:rsidR="00DC3F97" w:rsidRPr="001912F1">
        <w:rPr>
          <w:rFonts w:ascii="Times New Roman" w:hAnsi="Times New Roman" w:cs="Times New Roman"/>
        </w:rPr>
        <w:t xml:space="preserve">Poor detailed design with deficiencies in drawings and unclear specifications, arising from incomplete design, rushed design freezing, and excessive changes can compromise the objectives of GB projects </w:t>
      </w:r>
      <w:r w:rsidR="00765B05"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"10.1016/j.ijproman.2007.07.004", "ISBN" : "0263-7863", "ISSN" : "02637863", "abstract" : "This study identifies and assesses the significant risks in the UAE construction industry and addresses their proper allocation. Data were collected through a questionnaire distributed to construction experts. The study reveals that economic risks such as inflation and sudden changes in prices, shortage in material and labor supply are significant. Other significant risks include owner risks such as unrealistic construction schedule, improper intervention and changes in design. Political, social and cultural risks are found to be insignificant. Local and international experts are in agreement as to the ranking of construction risks in the UAE. More risks are allocated to contractors or shared between contractors and owners with only two risks allocated directly to the owners. \u00a9 2007 Elsevier Ltd and IPMA.", "author" : [ { "dropping-particle" : "", "family" : "El-Sayegh", "given" : "Sameh Monir", "non-dropping-particle" : "", "parse-names" : false, "suffix" : "" } ], "container-title" : "International Journal of Project Management", "id" : "ITEM-1", "issue" : "4", "issued" : { "date-parts" : [ [ "2008" ] ] }, "page" : "431-438", "title" : "Risk assessment and allocation in the UAE construction industry", "type" : "article-journal", "volume" : "26" }, "uris" : [ "http://www.mendeley.com/documents/?uuid=b66f1fd6-e31d-42e6-ad14-b557f5e45891" ] } ], "mendeley" : { "formattedCitation" : "[69]", "plainTextFormattedCitation" : "[69]", "previouslyFormattedCitation" : "[69]" }, "properties" : { "noteIndex" : 0 }, "schema" : "https://github.com/citation-style-language/schema/raw/master/csl-citation.json" }</w:instrText>
      </w:r>
      <w:r w:rsidR="00765B05" w:rsidRPr="001912F1">
        <w:rPr>
          <w:rFonts w:ascii="Times New Roman" w:hAnsi="Times New Roman" w:cs="Times New Roman"/>
        </w:rPr>
        <w:fldChar w:fldCharType="separate"/>
      </w:r>
      <w:r w:rsidR="00A172E2" w:rsidRPr="00A172E2">
        <w:rPr>
          <w:rFonts w:ascii="Times New Roman" w:hAnsi="Times New Roman" w:cs="Times New Roman"/>
          <w:noProof/>
        </w:rPr>
        <w:t>[69]</w:t>
      </w:r>
      <w:r w:rsidR="00765B05" w:rsidRPr="001912F1">
        <w:rPr>
          <w:rFonts w:ascii="Times New Roman" w:hAnsi="Times New Roman" w:cs="Times New Roman"/>
        </w:rPr>
        <w:fldChar w:fldCharType="end"/>
      </w:r>
      <w:r w:rsidR="00C07CA9" w:rsidRPr="001912F1">
        <w:rPr>
          <w:rFonts w:ascii="Times New Roman" w:hAnsi="Times New Roman" w:cs="Times New Roman"/>
        </w:rPr>
        <w:t>. The specification</w:t>
      </w:r>
      <w:r w:rsidR="00EE4DDB" w:rsidRPr="001912F1">
        <w:rPr>
          <w:rFonts w:ascii="Times New Roman" w:hAnsi="Times New Roman" w:cs="Times New Roman"/>
        </w:rPr>
        <w:t xml:space="preserve"> of </w:t>
      </w:r>
      <w:r w:rsidR="00C07CA9" w:rsidRPr="001912F1">
        <w:rPr>
          <w:rFonts w:ascii="Times New Roman" w:hAnsi="Times New Roman" w:cs="Times New Roman"/>
        </w:rPr>
        <w:t>appropriate green constru</w:t>
      </w:r>
      <w:r w:rsidR="00EE4DDB" w:rsidRPr="001912F1">
        <w:rPr>
          <w:rFonts w:ascii="Times New Roman" w:hAnsi="Times New Roman" w:cs="Times New Roman"/>
        </w:rPr>
        <w:t>ction materials and products during the design</w:t>
      </w:r>
      <w:r w:rsidRPr="001912F1">
        <w:rPr>
          <w:rFonts w:ascii="Times New Roman" w:hAnsi="Times New Roman" w:cs="Times New Roman"/>
        </w:rPr>
        <w:t xml:space="preserve"> stage</w:t>
      </w:r>
      <w:r w:rsidR="00EE4DDB" w:rsidRPr="001912F1">
        <w:rPr>
          <w:rFonts w:ascii="Times New Roman" w:hAnsi="Times New Roman" w:cs="Times New Roman"/>
        </w:rPr>
        <w:t xml:space="preserve"> has the greatest influence on the outcomes of GB projects</w:t>
      </w:r>
      <w:r w:rsidR="009E7529" w:rsidRPr="001912F1">
        <w:rPr>
          <w:rFonts w:ascii="Times New Roman" w:hAnsi="Times New Roman" w:cs="Times New Roman"/>
        </w:rPr>
        <w:t xml:space="preserve"> </w:t>
      </w:r>
      <w:r w:rsidR="009E7529"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"10.1108/14714170910950830", "ISSN" : "14770857", "abstract" : "Purpose \u2013 The purpose of this paper is to understand what factors best promote or prevent sustainable construction practices and establish the consistency of how sustainability is measured. Design/methodology/approach \u2013 A literature review considered the impact of the industry to sustainability and identified what action and initiatives are already in place. Through this, the main drivers, barriers, measures and benchmarks were identified. The opinions of building surveying professionals were sought and analysed. Findings \u2013 The paper suggested that fiscal incentives/penalties and regulations help to drive sustainable construction. Such financial implications are consistent with \u201caffordability\u201d being the biggest barrier highlighted. The majority of respondents believed the industry is taking some account of sustainability issues, but identified that more needs to be done. Originality/value \u2013 Sustainable development is an integral part of the lives and affects all aspects of business operations. This paper provides an in-depth insight into the level of sustainable development within the construction industry, identifying implications for both the demand and supply side. \u00a9 2009, Emerald Group Publishing Limited", "author" : [ { "dropping-particle" : "", "family" : "Pitt", "given" : "Michael", "non-dropping-particle" : "", "parse-names" : false, "suffix" : "" }, { "dropping-particle" : "", "family" : "Tucker", "given" : "Matthew", "non-dropping-particle" : "", "parse-names" : false, "suffix" : "" }, { "dropping-particle" : "", "family" : "Riley", "given" : "Mike", "non-dropping-particle" : "", "parse-names" : false, "suffix" : "" }, { "dropping-particle" : "", "family" : "Longden", "given" : "Jennifer", "non-dropping-particle" : "", "parse-names" : false, "suffix" : "" } ], "container-title" : "Construction Innovation", "id" : "ITEM-1", "issue" : "2", "issued" : { "date-parts" : [ [ "2009" ] ] }, "page" : "201-224", "title" : "Towards sustainable construction: Promotion and best practices", "type" : "article-journal", "volume" : "9" }, "uris" : [ "http://www.mendeley.com/documents/?uuid=f835dd5d-9421-484f-80df-afe9c51da42a" ] } ], "mendeley" : { "formattedCitation" : "[26]", "plainTextFormattedCitation" : "[26]", "previouslyFormattedCitation" : "[26]" }, "properties" : { "noteIndex" : 0 }, "schema" : "https://github.com/citation-style-language/schema/raw/master/csl-citation.json" }</w:instrText>
      </w:r>
      <w:r w:rsidR="009E7529" w:rsidRPr="001912F1">
        <w:rPr>
          <w:rFonts w:ascii="Times New Roman" w:hAnsi="Times New Roman" w:cs="Times New Roman"/>
        </w:rPr>
        <w:fldChar w:fldCharType="separate"/>
      </w:r>
      <w:r w:rsidR="00A172E2" w:rsidRPr="00A172E2">
        <w:rPr>
          <w:rFonts w:ascii="Times New Roman" w:hAnsi="Times New Roman" w:cs="Times New Roman"/>
          <w:noProof/>
        </w:rPr>
        <w:t>[26]</w:t>
      </w:r>
      <w:r w:rsidR="009E7529" w:rsidRPr="001912F1">
        <w:rPr>
          <w:rFonts w:ascii="Times New Roman" w:hAnsi="Times New Roman" w:cs="Times New Roman"/>
        </w:rPr>
        <w:fldChar w:fldCharType="end"/>
      </w:r>
      <w:r w:rsidR="00EE4DDB" w:rsidRPr="001912F1">
        <w:rPr>
          <w:rFonts w:ascii="Times New Roman" w:hAnsi="Times New Roman" w:cs="Times New Roman"/>
        </w:rPr>
        <w:t>.</w:t>
      </w:r>
      <w:r w:rsidR="009E7529" w:rsidRPr="001912F1">
        <w:rPr>
          <w:rFonts w:ascii="Times New Roman" w:hAnsi="Times New Roman" w:cs="Times New Roman"/>
        </w:rPr>
        <w:t xml:space="preserve"> Thus, inaccurate specification</w:t>
      </w:r>
      <w:r w:rsidR="005D08AE" w:rsidRPr="001912F1">
        <w:rPr>
          <w:rFonts w:ascii="Times New Roman" w:hAnsi="Times New Roman" w:cs="Times New Roman"/>
        </w:rPr>
        <w:t>s</w:t>
      </w:r>
      <w:r w:rsidR="009E7529" w:rsidRPr="001912F1">
        <w:rPr>
          <w:rFonts w:ascii="Times New Roman" w:hAnsi="Times New Roman" w:cs="Times New Roman"/>
        </w:rPr>
        <w:t xml:space="preserve"> of green construction materials and technologies can lead to poor financial, environmental, and social outcomes of GB projects</w:t>
      </w:r>
      <w:r w:rsidR="0017125C" w:rsidRPr="001912F1">
        <w:rPr>
          <w:rFonts w:ascii="Times New Roman" w:hAnsi="Times New Roman" w:cs="Times New Roman"/>
        </w:rPr>
        <w:t xml:space="preserve"> </w:t>
      </w:r>
      <w:r w:rsidR="0017125C"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"10.3992/jgb.5.2.129", "ISSN" : "19434618", "abstract" : "For sustainable buildings to become mainstream they must demonstrate not only improved environmental performance but also financial performance, benefiting both end users and investors. The perceived financial constraints and risks are often major barriers to sustainable design. This paper discusses the application of a new tool that formalizes the traditionally intuitive-based early-stage decision making processes and assesses the potential for creating a financially feasible best-practice sustainable building across a range of environmental, social and economic parameters, using the limited data available at the outset of a project. It considers the total cost of ownership, demonstrating the link between the recurrent and capital costs. A detailed feasibility assessment of those areas where greatest potential for improving environmental and financial performance exists can then be carried out, saving a considerable amount of time, money and effort otherwise spent on looking at all possible strategies for achieving a sustainable outcome. This approach also identifies areas where incorporating environmental strategies might be financially risky, reassuring investors and developers by reducing investment risks. By reducing some of these risks and perceived barriers to sustainable building development, it is hoped that clients and investors will be further encouraged to adopt a more sustainable approach to their building projects.", "author" : [ { "dropping-particle" : "", "family" : "Ranaweera", "given" : "Renuka", "non-dropping-particle" : "", "parse-names" : false, "suffix" : "" }, { "dropping-particle" : "", "family" : "Crawford", "given" : "Robert H.", "non-dropping-particle" : "", "parse-names" : false, "suffix" : "" } ], "container-title" : "Journal of Green Building", "id" : "ITEM-1", "issue" : "2", "issued" : { "date-parts" : [ [ "2010" ] ] }, "page" : "129-146", "title" : "Using early-stage assessment to reduce the financial risks and perceived barriers of sustainable buildings", "type" : "article-journal", "volume" : "5" }, "uris" : [ "http://www.mendeley.com/documents/?uuid=92f6342c-ca83-4135-84e5-15cf0852d828" ] } ], "mendeley" : { "formattedCitation" : "[8]", "plainTextFormattedCitation" : "[8]", "previouslyFormattedCitation" : "[8]" }, "properties" : { "noteIndex" : 0 }, "schema" : "https://github.com/citation-style-language/schema/raw/master/csl-citation.json" }</w:instrText>
      </w:r>
      <w:r w:rsidR="0017125C" w:rsidRPr="001912F1">
        <w:rPr>
          <w:rFonts w:ascii="Times New Roman" w:hAnsi="Times New Roman" w:cs="Times New Roman"/>
        </w:rPr>
        <w:fldChar w:fldCharType="separate"/>
      </w:r>
      <w:r w:rsidR="00A172E2" w:rsidRPr="00A172E2">
        <w:rPr>
          <w:rFonts w:ascii="Times New Roman" w:hAnsi="Times New Roman" w:cs="Times New Roman"/>
          <w:noProof/>
        </w:rPr>
        <w:t>[8]</w:t>
      </w:r>
      <w:r w:rsidR="0017125C" w:rsidRPr="001912F1">
        <w:rPr>
          <w:rFonts w:ascii="Times New Roman" w:hAnsi="Times New Roman" w:cs="Times New Roman"/>
        </w:rPr>
        <w:fldChar w:fldCharType="end"/>
      </w:r>
      <w:r w:rsidR="009E7529" w:rsidRPr="001912F1">
        <w:rPr>
          <w:rFonts w:ascii="Times New Roman" w:hAnsi="Times New Roman" w:cs="Times New Roman"/>
        </w:rPr>
        <w:t>.</w:t>
      </w:r>
      <w:r w:rsidR="00EE4DDB" w:rsidRPr="001912F1">
        <w:rPr>
          <w:rFonts w:ascii="Times New Roman" w:hAnsi="Times New Roman" w:cs="Times New Roman"/>
        </w:rPr>
        <w:t xml:space="preserve"> </w:t>
      </w:r>
    </w:p>
    <w:p w14:paraId="28F4FBD2" w14:textId="333AEC74" w:rsidR="00B413F5" w:rsidRPr="001912F1" w:rsidRDefault="00B413F5" w:rsidP="002039F2">
      <w:pPr>
        <w:spacing w:line="480" w:lineRule="auto"/>
        <w:jc w:val="both"/>
        <w:rPr>
          <w:rFonts w:ascii="Times New Roman" w:hAnsi="Times New Roman" w:cs="Times New Roman"/>
        </w:rPr>
      </w:pPr>
      <w:r w:rsidRPr="001912F1">
        <w:rPr>
          <w:rFonts w:ascii="Times New Roman" w:hAnsi="Times New Roman" w:cs="Times New Roman"/>
        </w:rPr>
        <w:t>Typically, frequent design changes and variations arise from defective designs and change orders of the client</w:t>
      </w:r>
      <w:r w:rsidR="00061E11" w:rsidRPr="001912F1">
        <w:rPr>
          <w:rFonts w:ascii="Times New Roman" w:hAnsi="Times New Roman" w:cs="Times New Roman"/>
        </w:rPr>
        <w:t xml:space="preserve"> </w:t>
      </w:r>
      <w:r w:rsidR="00061E11"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"10.1016/j.ijproman.2007.03.001", "ISSN" : "02637863", "abstract" : "The aim of this paper is to understand the key risks in construction projects in China and to develop strategies to manage them. Risks were prioritized according to their significance of influences on typical project objectives in terms of cost, time, quality, safety and environmental sustainability, and then scrutinized from a joint perspective of project stakeholders and life cycle. Postal questionnaire surveys were used to collect data, based on which a total of 25 key risks were ascertained. These risks were compared with the findings of a parallel survey in the Australian construction industry context to highlight the unique risks associated with construction projects in China. Strategies to manage the risks were sought from the perspectives of project stakeholders and life cycle and in light of the Chinese construction culture. It is concluded that clients, designers and government bodies should take the responsibility to manage their relevant risks and work cooperatively from the feasibility phase onwards to address potential risks in time; contractors and subcontractors with robust construction and management knowledge should be employed to minimize construction risks and carry out safe, efficient and quality construction activities. \u00a9 2007 Elsevier Ltd and IPMA.", "author" : [ { "dropping-particle" : "", "family" : "Zou", "given" : "Patrick X.W.", "non-dropping-particle" : "", "parse-names" : false, "suffix" : "" }, { "dropping-particle" : "", "family" : "Zhang", "given" : "Guomin", "non-dropping-particle" : "", "parse-names" : false, "suffix" : "" }, { "dropping-particle" : "", "family" : "Wang", "given" : "Jiayuan", "non-dropping-particle" : "", "parse-names" : false, "suffix" : "" } ], "container-title" : "International Journal of Project Management", "id" : "ITEM-1", "issue" : "6", "issued" : { "date-parts" : [ [ "2007" ] ] }, "page" : "601-614", "title" : "Understanding the key risks in construction projects in China", "type" : "article-journal", "volume" : "25" }, "uris" : [ "http://www.mendeley.com/documents/?uuid=83601f31-dd3a-449c-8adc-7139951b5500" ] } ], "mendeley" : { "formattedCitation" : "[57]", "plainTextFormattedCitation" : "[57]", "previouslyFormattedCitation" : "[57]" }, "properties" : { "noteIndex" : 0 }, "schema" : "https://github.com/citation-style-language/schema/raw/master/csl-citation.json" }</w:instrText>
      </w:r>
      <w:r w:rsidR="00061E11" w:rsidRPr="001912F1">
        <w:rPr>
          <w:rFonts w:ascii="Times New Roman" w:hAnsi="Times New Roman" w:cs="Times New Roman"/>
        </w:rPr>
        <w:fldChar w:fldCharType="separate"/>
      </w:r>
      <w:r w:rsidR="00A172E2" w:rsidRPr="00A172E2">
        <w:rPr>
          <w:rFonts w:ascii="Times New Roman" w:hAnsi="Times New Roman" w:cs="Times New Roman"/>
          <w:noProof/>
        </w:rPr>
        <w:t>[57]</w:t>
      </w:r>
      <w:r w:rsidR="00061E11" w:rsidRPr="001912F1">
        <w:rPr>
          <w:rFonts w:ascii="Times New Roman" w:hAnsi="Times New Roman" w:cs="Times New Roman"/>
        </w:rPr>
        <w:fldChar w:fldCharType="end"/>
      </w:r>
      <w:r w:rsidRPr="001912F1">
        <w:rPr>
          <w:rFonts w:ascii="Times New Roman" w:hAnsi="Times New Roman" w:cs="Times New Roman"/>
        </w:rPr>
        <w:t>.</w:t>
      </w:r>
      <w:r w:rsidR="00061E11" w:rsidRPr="001912F1">
        <w:rPr>
          <w:rFonts w:ascii="Times New Roman" w:hAnsi="Times New Roman" w:cs="Times New Roman"/>
        </w:rPr>
        <w:t xml:space="preserve"> Defective designs result from a poor understanding of the client</w:t>
      </w:r>
      <w:r w:rsidR="006D70EB" w:rsidRPr="001912F1">
        <w:rPr>
          <w:rFonts w:ascii="Times New Roman" w:hAnsi="Times New Roman" w:cs="Times New Roman"/>
        </w:rPr>
        <w:t>’s needs</w:t>
      </w:r>
      <w:r w:rsidR="00061E11" w:rsidRPr="001912F1">
        <w:rPr>
          <w:rFonts w:ascii="Times New Roman" w:hAnsi="Times New Roman" w:cs="Times New Roman"/>
        </w:rPr>
        <w:t xml:space="preserve"> in the project brief, </w:t>
      </w:r>
      <w:r w:rsidR="00257826" w:rsidRPr="001912F1">
        <w:rPr>
          <w:rFonts w:ascii="Times New Roman" w:hAnsi="Times New Roman" w:cs="Times New Roman"/>
        </w:rPr>
        <w:t xml:space="preserve">late involvement of specialist contractors, </w:t>
      </w:r>
      <w:r w:rsidR="00EF0132" w:rsidRPr="001912F1">
        <w:rPr>
          <w:rFonts w:ascii="Times New Roman" w:hAnsi="Times New Roman" w:cs="Times New Roman"/>
        </w:rPr>
        <w:t xml:space="preserve">inadequate planning, </w:t>
      </w:r>
      <w:r w:rsidR="00061E11" w:rsidRPr="001912F1">
        <w:rPr>
          <w:rFonts w:ascii="Times New Roman" w:hAnsi="Times New Roman" w:cs="Times New Roman"/>
        </w:rPr>
        <w:t xml:space="preserve">poor </w:t>
      </w:r>
      <w:r w:rsidR="00061E11" w:rsidRPr="001912F1">
        <w:rPr>
          <w:rFonts w:ascii="Times New Roman" w:hAnsi="Times New Roman" w:cs="Times New Roman"/>
        </w:rPr>
        <w:lastRenderedPageBreak/>
        <w:t>site investigation to obtain reliable design data, and limited communication and information sharing among the design team members</w:t>
      </w:r>
      <w:r w:rsidR="00792E25" w:rsidRPr="001912F1">
        <w:rPr>
          <w:rFonts w:ascii="Times New Roman" w:hAnsi="Times New Roman" w:cs="Times New Roman"/>
        </w:rPr>
        <w:t xml:space="preserve"> </w:t>
      </w:r>
      <w:r w:rsidR="00792E25"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"10.1016/j.ijproman.2007.07.004", "ISBN" : "0263-7863", "ISSN" : "02637863", "abstract" : "This study identifies and assesses the significant risks in the UAE construction industry and addresses their proper allocation. Data were collected through a questionnaire distributed to construction experts. The study reveals that economic risks such as inflation and sudden changes in prices, shortage in material and labor supply are significant. Other significant risks include owner risks such as unrealistic construction schedule, improper intervention and changes in design. Political, social and cultural risks are found to be insignificant. Local and international experts are in agreement as to the ranking of construction risks in the UAE. More risks are allocated to contractors or shared between contractors and owners with only two risks allocated directly to the owners. \u00a9 2007 Elsevier Ltd and IPMA.", "author" : [ { "dropping-particle" : "", "family" : "El-Sayegh", "given" : "Sameh Monir", "non-dropping-particle" : "", "parse-names" : false, "suffix" : "" } ], "container-title" : "International Journal of Project Management", "id" : "ITEM-1", "issue" : "4", "issued" : { "date-parts" : [ [ "2008" ] ] }, "page" : "431-438", "title" : "Risk assessment and allocation in the UAE construction industry", "type" : "article-journal", "volume" : "26" }, "uris" : [ "http://www.mendeley.com/documents/?uuid=b66f1fd6-e31d-42e6-ad14-b557f5e45891" ] } ], "mendeley" : { "formattedCitation" : "[69]", "plainTextFormattedCitation" : "[69]", "previouslyFormattedCitation" : "[69]" }, "properties" : { "noteIndex" : 0 }, "schema" : "https://github.com/citation-style-language/schema/raw/master/csl-citation.json" }</w:instrText>
      </w:r>
      <w:r w:rsidR="00792E25" w:rsidRPr="001912F1">
        <w:rPr>
          <w:rFonts w:ascii="Times New Roman" w:hAnsi="Times New Roman" w:cs="Times New Roman"/>
        </w:rPr>
        <w:fldChar w:fldCharType="separate"/>
      </w:r>
      <w:r w:rsidR="00A172E2" w:rsidRPr="00A172E2">
        <w:rPr>
          <w:rFonts w:ascii="Times New Roman" w:hAnsi="Times New Roman" w:cs="Times New Roman"/>
          <w:noProof/>
        </w:rPr>
        <w:t>[69]</w:t>
      </w:r>
      <w:r w:rsidR="00792E25" w:rsidRPr="001912F1">
        <w:rPr>
          <w:rFonts w:ascii="Times New Roman" w:hAnsi="Times New Roman" w:cs="Times New Roman"/>
        </w:rPr>
        <w:fldChar w:fldCharType="end"/>
      </w:r>
      <w:r w:rsidR="00061E11" w:rsidRPr="001912F1">
        <w:rPr>
          <w:rFonts w:ascii="Times New Roman" w:hAnsi="Times New Roman" w:cs="Times New Roman"/>
        </w:rPr>
        <w:t>.</w:t>
      </w:r>
      <w:r w:rsidR="00BA062C" w:rsidRPr="001912F1">
        <w:rPr>
          <w:rFonts w:ascii="Times New Roman" w:hAnsi="Times New Roman" w:cs="Times New Roman"/>
        </w:rPr>
        <w:t xml:space="preserve"> Frequent design variations </w:t>
      </w:r>
      <w:r w:rsidR="00270C64" w:rsidRPr="001912F1">
        <w:rPr>
          <w:rFonts w:ascii="Times New Roman" w:hAnsi="Times New Roman" w:cs="Times New Roman"/>
        </w:rPr>
        <w:t xml:space="preserve">can cause </w:t>
      </w:r>
      <w:r w:rsidR="005D08AE" w:rsidRPr="001912F1">
        <w:rPr>
          <w:rFonts w:ascii="Times New Roman" w:hAnsi="Times New Roman" w:cs="Times New Roman"/>
        </w:rPr>
        <w:t xml:space="preserve">a </w:t>
      </w:r>
      <w:r w:rsidR="006D70EB" w:rsidRPr="001912F1">
        <w:rPr>
          <w:rFonts w:ascii="Times New Roman" w:hAnsi="Times New Roman" w:cs="Times New Roman"/>
        </w:rPr>
        <w:t xml:space="preserve">significant </w:t>
      </w:r>
      <w:r w:rsidR="00270C64" w:rsidRPr="001912F1">
        <w:rPr>
          <w:rFonts w:ascii="Times New Roman" w:hAnsi="Times New Roman" w:cs="Times New Roman"/>
        </w:rPr>
        <w:t xml:space="preserve">delay in </w:t>
      </w:r>
      <w:r w:rsidR="005D08AE" w:rsidRPr="001912F1">
        <w:rPr>
          <w:rFonts w:ascii="Times New Roman" w:hAnsi="Times New Roman" w:cs="Times New Roman"/>
        </w:rPr>
        <w:t xml:space="preserve">the </w:t>
      </w:r>
      <w:r w:rsidR="00270C64" w:rsidRPr="001912F1">
        <w:rPr>
          <w:rFonts w:ascii="Times New Roman" w:hAnsi="Times New Roman" w:cs="Times New Roman"/>
        </w:rPr>
        <w:t>project schedule</w:t>
      </w:r>
      <w:r w:rsidR="006D70EB" w:rsidRPr="001912F1">
        <w:rPr>
          <w:rFonts w:ascii="Times New Roman" w:hAnsi="Times New Roman" w:cs="Times New Roman"/>
        </w:rPr>
        <w:t xml:space="preserve">, </w:t>
      </w:r>
      <w:r w:rsidR="00270C64" w:rsidRPr="001912F1">
        <w:rPr>
          <w:rFonts w:ascii="Times New Roman" w:hAnsi="Times New Roman" w:cs="Times New Roman"/>
        </w:rPr>
        <w:t>incur</w:t>
      </w:r>
      <w:r w:rsidR="006D70EB" w:rsidRPr="001912F1">
        <w:rPr>
          <w:rFonts w:ascii="Times New Roman" w:hAnsi="Times New Roman" w:cs="Times New Roman"/>
        </w:rPr>
        <w:t>ring</w:t>
      </w:r>
      <w:r w:rsidR="00270C64" w:rsidRPr="001912F1">
        <w:rPr>
          <w:rFonts w:ascii="Times New Roman" w:hAnsi="Times New Roman" w:cs="Times New Roman"/>
        </w:rPr>
        <w:t xml:space="preserve"> extra costs</w:t>
      </w:r>
      <w:r w:rsidR="00BA062C" w:rsidRPr="001912F1">
        <w:rPr>
          <w:rFonts w:ascii="Times New Roman" w:hAnsi="Times New Roman" w:cs="Times New Roman"/>
        </w:rPr>
        <w:t xml:space="preserve"> in GB projects</w:t>
      </w:r>
      <w:r w:rsidR="00655CFA" w:rsidRPr="001912F1">
        <w:rPr>
          <w:rFonts w:ascii="Times New Roman" w:hAnsi="Times New Roman" w:cs="Times New Roman"/>
        </w:rPr>
        <w:t xml:space="preserve"> </w:t>
      </w:r>
      <w:r w:rsidR="00270C64"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"10.1002/sd.492", "ISSN" : "09680802", "abstract" : "Green building construction is earning a place in Singapore's construction industry, and, with augmenting cognizance of environmental issues and growing concern over climate change, sustainable construction is gradually being put forth globally. However, construction of green buildings in Singapore still encounters impediments, as there is a lack of proper project management framework for such projects. Based on survey and interview results from 31 industry experts, this study aims to identify common obstacles encountered during management of green construction projects, ultimately proposing some solutions to overcome the barriers. The findings from this study reveal that, although project cost is the paramount barrier among others in green building construction management, there is no paucity in sustainable knowledge in Singapore's construction industry. To deal with the cost related problem, the coverage of government incentives should be widened to include the usage of green products and technologies. Furthermore, a project management framework for green building construction should be developed to overcome the barriers, possibly promoting adoption of sustainable construction in future projects. \u00a9 2010 John Wiley &amp; Sons, Ltd and ERP Environment.", "author" : [ { "dropping-particle" : "", "family" : "Hwang", "given" : "Bon Gang", "non-dropping-particle" : "", "parse-names" : false, "suffix" : "" }, { "dropping-particle" : "", "family" : "Tan", "given" : "Jac See", "non-dropping-particle" : "", "parse-names" : false, "suffix" : "" } ], "container-title" : "Sustainable Development", "id" : "ITEM-1", "issue" : "5", "issued" : { "date-parts" : [ [ "2012" ] ] }, "page" : "335-349", "title" : "Green building project management: Obstacles and solutions for sustainable development", "type" : "article-journal", "volume" : "20" }, "uris" : [ "http://www.mendeley.com/documents/?uuid=84cd5305-9dfd-458e-86f5-5b3d2bdb6add" ] }, { "id" : "ITEM-2", "itemData" : { "DOI" : "10.1080/15623599.2018.1536963", "ISSN" : "15623599", "abstract" : "There is a big shift towards sustainable construction projects in the United Arab Emirates (UAE). Sustainable construction projects are riskier than traditional projects. The purpose of this paper is to identify and assess the risks in sustainable construction projects in the UAE. This will help project participants to properly manage these risks in their projects. A list of thirty risks was identified based on literature review. These risks were grouped into five categories: management, technical, green team, green materials and regulatory/economic. A survey was then developed and sent to professionals from the UAE. The respondents evaluated each risk in terms of its probability of occurrence and potential impact. Forty-four responses were collected. The thirty risks were ranked based on the risk severity (probability multiplied by impact). The top five risks are shortage of clients\u2019 funding, insufficient or incorrect sustainable design information, design changes, unreasonably tight schedule for sustainable construction and poor scope definition in sustainable construction. Risk identification and assessment are important part of project risk management. This allows for appropriate risk response planning and control.", "author" : [ { "dropping-particle" : "", "family" : "El-Sayegh", "given" : "Sameh M.", "non-dropping-particle" : "", "parse-names" : false, "suffix" : "" }, { "dropping-particle" : "", "family" : "Manjikian", "given" : "Solair", "non-dropping-particle" : "", "parse-names" : false, "suffix" : "" }, { "dropping-particle" : "", "family" : "Ibrahim", "given" : "Ahmed", "non-dropping-particle" : "", "parse-names" : false, "suffix" : "" }, { "dropping-particle" : "", "family" : "Abouelyousr", "given" : "Ahmed", "non-dropping-particle" : "", "parse-names" : false, "suffix" : "" }, { "dropping-particle" : "", "family" : "Jabbour", "given" : "Raed", "non-dropping-particle" : "", "parse-names" : false, "suffix" : "" } ], "container-title" : "International Journal of Construction Management", "id" : "ITEM-2", "issue" : "4", "issued" : { "date-parts" : [ [ "2021" ] ] }, "page" : "327-336", "publisher" : "Taylor &amp; Francis", "title" : "Risk identification and assessment in sustainable construction projects in the UAE", "type" : "article-journal", "volume" : "21" }, "uris" : [ "http://www.mendeley.com/documents/?uuid=233d8ceb-657d-4fd5-99b0-028e6bc56e4e" ] } ], "mendeley" : { "formattedCitation" : "[30,83]", "plainTextFormattedCitation" : "[30,83]", "previouslyFormattedCitation" : "[30,83]" }, "properties" : { "noteIndex" : 0 }, "schema" : "https://github.com/citation-style-language/schema/raw/master/csl-citation.json" }</w:instrText>
      </w:r>
      <w:r w:rsidR="00270C64" w:rsidRPr="001912F1">
        <w:rPr>
          <w:rFonts w:ascii="Times New Roman" w:hAnsi="Times New Roman" w:cs="Times New Roman"/>
        </w:rPr>
        <w:fldChar w:fldCharType="separate"/>
      </w:r>
      <w:r w:rsidR="00A172E2" w:rsidRPr="00A172E2">
        <w:rPr>
          <w:rFonts w:ascii="Times New Roman" w:hAnsi="Times New Roman" w:cs="Times New Roman"/>
          <w:noProof/>
        </w:rPr>
        <w:t>[30,83]</w:t>
      </w:r>
      <w:r w:rsidR="00270C64" w:rsidRPr="001912F1">
        <w:rPr>
          <w:rFonts w:ascii="Times New Roman" w:hAnsi="Times New Roman" w:cs="Times New Roman"/>
        </w:rPr>
        <w:fldChar w:fldCharType="end"/>
      </w:r>
      <w:r w:rsidR="00BA062C" w:rsidRPr="001912F1">
        <w:rPr>
          <w:rFonts w:ascii="Times New Roman" w:hAnsi="Times New Roman" w:cs="Times New Roman"/>
        </w:rPr>
        <w:t>.</w:t>
      </w:r>
      <w:r w:rsidRPr="001912F1">
        <w:rPr>
          <w:rFonts w:ascii="Times New Roman" w:hAnsi="Times New Roman" w:cs="Times New Roman"/>
        </w:rPr>
        <w:t xml:space="preserve"> </w:t>
      </w:r>
      <w:r w:rsidR="000E0CE2" w:rsidRPr="001912F1">
        <w:rPr>
          <w:rFonts w:ascii="Times New Roman" w:hAnsi="Times New Roman" w:cs="Times New Roman"/>
        </w:rPr>
        <w:t xml:space="preserve">Green objectives must be explicitly specified and incorporated throughout the construction cycle to achieve desired outcomes in GB projects. </w:t>
      </w:r>
      <w:r w:rsidR="00283499" w:rsidRPr="001912F1">
        <w:rPr>
          <w:rFonts w:ascii="Times New Roman" w:hAnsi="Times New Roman" w:cs="Times New Roman"/>
        </w:rPr>
        <w:t xml:space="preserve">Thus, inadequate integration of sustainability into the design and supply chain can lead to poor </w:t>
      </w:r>
      <w:r w:rsidR="007073F7" w:rsidRPr="001912F1">
        <w:rPr>
          <w:rFonts w:ascii="Times New Roman" w:hAnsi="Times New Roman" w:cs="Times New Roman"/>
        </w:rPr>
        <w:t xml:space="preserve">financial </w:t>
      </w:r>
      <w:r w:rsidR="00283499" w:rsidRPr="001912F1">
        <w:rPr>
          <w:rFonts w:ascii="Times New Roman" w:hAnsi="Times New Roman" w:cs="Times New Roman"/>
        </w:rPr>
        <w:t>outcomes of GB projects</w:t>
      </w:r>
      <w:r w:rsidR="007073F7" w:rsidRPr="001912F1">
        <w:rPr>
          <w:rFonts w:ascii="Times New Roman" w:hAnsi="Times New Roman" w:cs="Times New Roman"/>
        </w:rPr>
        <w:t xml:space="preserve"> </w:t>
      </w:r>
      <w:r w:rsidR="007073F7"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"10.3992/jgb.5.2.129", "ISSN" : "19434618", "abstract" : "For sustainable buildings to become mainstream they must demonstrate not only improved environmental performance but also financial performance, benefiting both end users and investors. The perceived financial constraints and risks are often major barriers to sustainable design. This paper discusses the application of a new tool that formalizes the traditionally intuitive-based early-stage decision making processes and assesses the potential for creating a financially feasible best-practice sustainable building across a range of environmental, social and economic parameters, using the limited data available at the outset of a project. It considers the total cost of ownership, demonstrating the link between the recurrent and capital costs. A detailed feasibility assessment of those areas where greatest potential for improving environmental and financial performance exists can then be carried out, saving a considerable amount of time, money and effort otherwise spent on looking at all possible strategies for achieving a sustainable outcome. This approach also identifies areas where incorporating environmental strategies might be financially risky, reassuring investors and developers by reducing investment risks. By reducing some of these risks and perceived barriers to sustainable building development, it is hoped that clients and investors will be further encouraged to adopt a more sustainable approach to their building projects.", "author" : [ { "dropping-particle" : "", "family" : "Ranaweera", "given" : "Renuka", "non-dropping-particle" : "", "parse-names" : false, "suffix" : "" }, { "dropping-particle" : "", "family" : "Crawford", "given" : "Robert H.", "non-dropping-particle" : "", "parse-names" : false, "suffix" : "" } ], "container-title" : "Journal of Green Building", "id" : "ITEM-1", "issue" : "2", "issued" : { "date-parts" : [ [ "2010" ] ] }, "page" : "129-146", "title" : "Using early-stage assessment to reduce the financial risks and perceived barriers of sustainable buildings", "type" : "article-journal", "volume" : "5" }, "uris" : [ "http://www.mendeley.com/documents/?uuid=92f6342c-ca83-4135-84e5-15cf0852d828" ] } ], "mendeley" : { "formattedCitation" : "[8]", "plainTextFormattedCitation" : "[8]", "previouslyFormattedCitation" : "[8]" }, "properties" : { "noteIndex" : 0 }, "schema" : "https://github.com/citation-style-language/schema/raw/master/csl-citation.json" }</w:instrText>
      </w:r>
      <w:r w:rsidR="007073F7" w:rsidRPr="001912F1">
        <w:rPr>
          <w:rFonts w:ascii="Times New Roman" w:hAnsi="Times New Roman" w:cs="Times New Roman"/>
        </w:rPr>
        <w:fldChar w:fldCharType="separate"/>
      </w:r>
      <w:r w:rsidR="00A172E2" w:rsidRPr="00A172E2">
        <w:rPr>
          <w:rFonts w:ascii="Times New Roman" w:hAnsi="Times New Roman" w:cs="Times New Roman"/>
          <w:noProof/>
        </w:rPr>
        <w:t>[8]</w:t>
      </w:r>
      <w:r w:rsidR="007073F7" w:rsidRPr="001912F1">
        <w:rPr>
          <w:rFonts w:ascii="Times New Roman" w:hAnsi="Times New Roman" w:cs="Times New Roman"/>
        </w:rPr>
        <w:fldChar w:fldCharType="end"/>
      </w:r>
      <w:r w:rsidR="00283499" w:rsidRPr="001912F1">
        <w:rPr>
          <w:rFonts w:ascii="Times New Roman" w:hAnsi="Times New Roman" w:cs="Times New Roman"/>
        </w:rPr>
        <w:t>.</w:t>
      </w:r>
      <w:r w:rsidR="000E0CE2" w:rsidRPr="001912F1">
        <w:rPr>
          <w:rFonts w:ascii="Times New Roman" w:hAnsi="Times New Roman" w:cs="Times New Roman"/>
        </w:rPr>
        <w:t xml:space="preserve"> </w:t>
      </w:r>
    </w:p>
    <w:p w14:paraId="0E7E7B68" w14:textId="5C317C69" w:rsidR="009167FA" w:rsidRPr="001912F1" w:rsidRDefault="00E22D8A" w:rsidP="009167FA">
      <w:pPr>
        <w:spacing w:line="480" w:lineRule="auto"/>
        <w:jc w:val="both"/>
        <w:rPr>
          <w:rFonts w:ascii="Times New Roman" w:hAnsi="Times New Roman" w:cs="Times New Roman"/>
        </w:rPr>
      </w:pPr>
      <w:r w:rsidRPr="001912F1">
        <w:rPr>
          <w:rFonts w:ascii="Times New Roman" w:hAnsi="Times New Roman" w:cs="Times New Roman"/>
          <w:b/>
          <w:bCs/>
          <w:i/>
          <w:iCs/>
        </w:rPr>
        <w:t>Technical risks</w:t>
      </w:r>
      <w:r w:rsidRPr="001912F1">
        <w:rPr>
          <w:rFonts w:ascii="Times New Roman" w:hAnsi="Times New Roman" w:cs="Times New Roman"/>
        </w:rPr>
        <w:t xml:space="preserve">: Fig. </w:t>
      </w:r>
      <w:r w:rsidR="008049B7" w:rsidRPr="001912F1">
        <w:rPr>
          <w:rFonts w:ascii="Times New Roman" w:hAnsi="Times New Roman" w:cs="Times New Roman"/>
        </w:rPr>
        <w:t xml:space="preserve">5 (d) </w:t>
      </w:r>
      <w:r w:rsidR="009167FA" w:rsidRPr="001912F1">
        <w:rPr>
          <w:rFonts w:ascii="Times New Roman" w:hAnsi="Times New Roman" w:cs="Times New Roman"/>
        </w:rPr>
        <w:t>shows fifteen (15) technical risks of GB projects. The vital critical technical risk factors include inadequate professional knowledge and expertise in efficient green building methods, technologies, and eco-products (TR1), lack of competent and experienced green building project team (TR2), unavailability of skilled and experienced manpower (TR3), unfamiliarity with green building techniques and technologies (TR4), lack of quantitative tools and models to evaluate cost, benefits, and certification of green building (TR5), longer planning, design and procurement time required to incorporate green objectives (TR6), long lead times for green products and materials (TR7), improper feasibility, planning and scheduling for green buildings (TR8), and low labor and equipment productivity (TR9).</w:t>
      </w:r>
    </w:p>
    <w:p w14:paraId="543DF083" w14:textId="57B23026" w:rsidR="008049B7" w:rsidRPr="001912F1" w:rsidRDefault="005D08AE" w:rsidP="008049B7">
      <w:pPr>
        <w:spacing w:line="480" w:lineRule="auto"/>
        <w:jc w:val="both"/>
        <w:rPr>
          <w:rFonts w:ascii="Times New Roman" w:hAnsi="Times New Roman" w:cs="Times New Roman"/>
        </w:rPr>
      </w:pPr>
      <w:r w:rsidRPr="001912F1">
        <w:rPr>
          <w:rFonts w:ascii="Times New Roman" w:hAnsi="Times New Roman" w:cs="Times New Roman"/>
        </w:rPr>
        <w:t xml:space="preserve">The inadequate professional knowledge and expertise of the core project team </w:t>
      </w:r>
      <w:r w:rsidR="00254355" w:rsidRPr="001912F1">
        <w:rPr>
          <w:rFonts w:ascii="Times New Roman" w:hAnsi="Times New Roman" w:cs="Times New Roman"/>
        </w:rPr>
        <w:t xml:space="preserve">members </w:t>
      </w:r>
      <w:r w:rsidRPr="001912F1">
        <w:rPr>
          <w:rFonts w:ascii="Times New Roman" w:hAnsi="Times New Roman" w:cs="Times New Roman"/>
        </w:rPr>
        <w:t xml:space="preserve">in GB tools, technologies, methods, and products can fail GB projects </w:t>
      </w:r>
      <w:r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"10.1080/13504509709469962", "ISSN" : "17452627", "abstract" : "Sustainable decision-making requires consideration of technology, ecology, and the social and political infrastructure of society. While it may never be possible to identify with certainty what is sustainable and what is not, an attempt has been made in this paper to formulate a measure that permits one to compare the performances of project alternatives with respect to risk. An algorithm is presented for the evaluation of a risk criterion that can be used with other criteria in the process of selecting project alternatives. The intent of the risk criterion is to involve project stakeholders in the process of quantifying the risks associated with different project alternatives. \u00a9 1997 Taylor &amp; Francis Group, LLC.", "author" : [ { "dropping-particle" : "", "family" : "Kroeger", "given" : "Heidelore I.", "non-dropping-particle" : "", "parse-names" : false, "suffix" : "" }, { "dropping-particle" : "", "family" : "Simonovic", "given" : "Slobodan P.", "non-dropping-particle" : "", "parse-names" : false, "suffix" : "" } ], "container-title" : "International Journal of Sustainable Development and World Ecology", "id" : "ITEM-1", "issue" : "4", "issued" : { "date-parts" : [ [ "1997" ] ] }, "page" : "274-285", "title" : "Development of a risk measure as a sustainable project selection criterion", "type" : "article-journal", "volume" : "4" }, "uris" : [ "http://www.mendeley.com/documents/?uuid=e9007791-6327-4448-a54f-b20748789d73" ] } ], "mendeley" : { "formattedCitation" : "[84]", "plainTextFormattedCitation" : "[84]", "previouslyFormattedCitation" : "[84]" }, "properties" : { "noteIndex" : 0 }, "schema" : "https://github.com/citation-style-language/schema/raw/master/csl-citation.json" }</w:instrText>
      </w:r>
      <w:r w:rsidRPr="001912F1">
        <w:rPr>
          <w:rFonts w:ascii="Times New Roman" w:hAnsi="Times New Roman" w:cs="Times New Roman"/>
        </w:rPr>
        <w:fldChar w:fldCharType="separate"/>
      </w:r>
      <w:r w:rsidR="00A172E2" w:rsidRPr="00A172E2">
        <w:rPr>
          <w:rFonts w:ascii="Times New Roman" w:hAnsi="Times New Roman" w:cs="Times New Roman"/>
          <w:noProof/>
        </w:rPr>
        <w:t>[84]</w:t>
      </w:r>
      <w:r w:rsidRPr="001912F1">
        <w:rPr>
          <w:rFonts w:ascii="Times New Roman" w:hAnsi="Times New Roman" w:cs="Times New Roman"/>
        </w:rPr>
        <w:fldChar w:fldCharType="end"/>
      </w:r>
      <w:r w:rsidRPr="001912F1">
        <w:rPr>
          <w:rFonts w:ascii="Times New Roman" w:hAnsi="Times New Roman" w:cs="Times New Roman"/>
        </w:rPr>
        <w:t xml:space="preserve">. Designers with insufficient knowledge of and unfamiliarity with high-performance options, products, and design solutions to produce robust specifications for contractors can generate significant inefficiencies and compromise the objectives of GB projects </w:t>
      </w:r>
      <w:r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"10.1016/j.techsoc.2005.10.017", "ISSN" : "0160791X", "abstract" : "In the spring of 2002, recognizing that New York City was proving to be a difficult arena in which to do 'high performance building' and that this might have serious negative implications for the city's global position, the non-profit Center for Economic and Environmental Partnership, Inc. (CEEP), undertook the High Performance Building Initiative. Its premise was that if high performance building - an approach to construction aimed at, among other things, reduced environmental impact, improved public health, better security, and more flexible space - was to become mainstream in New York City, the high performance path would need to be perceived as reasonably predictable, posing only manageable risks and uncertainties. The purpose of the Initiative was to identify the barriers to high performance building in the city and to propose ways in which they could be reduced or eliminated. To accomplish this, CEEP convened interested and/or knowled geable individuals from the full range of relevant specializations and stakeholder perspectives. A final report [1], summarized herein, aggregated the participants' findings. The Initiative was both an important model of collaborative policy research and a valuable catalyst for change in both the public and private sectors. \u00a9 2005 Published by Elsevier Ltd.", "author" : [ { "dropping-particle" : "", "family" : "Zerkin", "given" : "Allen J.", "non-dropping-particle" : "", "parse-names" : false, "suffix" : "" } ], "container-title" : "Technology in Society", "id" : "ITEM-1", "issue" : "1-2", "issued" : { "date-parts" : [ [ "2006" ] ] }, "page" : "137-155", "title" : "Mainstreaming high performance building in New York City: A comprehensive roadmap for removing the barriers", "type" : "article-journal", "volume" : "28" }, "uris" : [ "http://www.mendeley.com/documents/?uuid=daae5acb-cfbf-471c-bf05-9f7553097991" ] } ], "mendeley" : { "formattedCitation" : "[25]", "plainTextFormattedCitation" : "[25]", "previouslyFormattedCitation" : "[25]" }, "properties" : { "noteIndex" : 0 }, "schema" : "https://github.com/citation-style-language/schema/raw/master/csl-citation.json" }</w:instrText>
      </w:r>
      <w:r w:rsidRPr="001912F1">
        <w:rPr>
          <w:rFonts w:ascii="Times New Roman" w:hAnsi="Times New Roman" w:cs="Times New Roman"/>
        </w:rPr>
        <w:fldChar w:fldCharType="separate"/>
      </w:r>
      <w:r w:rsidR="00A172E2" w:rsidRPr="00A172E2">
        <w:rPr>
          <w:rFonts w:ascii="Times New Roman" w:hAnsi="Times New Roman" w:cs="Times New Roman"/>
          <w:noProof/>
        </w:rPr>
        <w:t>[25]</w:t>
      </w:r>
      <w:r w:rsidRPr="001912F1">
        <w:rPr>
          <w:rFonts w:ascii="Times New Roman" w:hAnsi="Times New Roman" w:cs="Times New Roman"/>
        </w:rPr>
        <w:fldChar w:fldCharType="end"/>
      </w:r>
      <w:r w:rsidRPr="001912F1">
        <w:rPr>
          <w:rFonts w:ascii="Times New Roman" w:hAnsi="Times New Roman" w:cs="Times New Roman"/>
        </w:rPr>
        <w:t xml:space="preserve">. The inexperienced designers may invest considerable time researching alternative sources of high-performance materials and equipment, resulting in a longer design time and extended project duration. Senior management and </w:t>
      </w:r>
      <w:r w:rsidR="00254355" w:rsidRPr="001912F1">
        <w:rPr>
          <w:rFonts w:ascii="Times New Roman" w:hAnsi="Times New Roman" w:cs="Times New Roman"/>
        </w:rPr>
        <w:t xml:space="preserve">core </w:t>
      </w:r>
      <w:r w:rsidRPr="001912F1">
        <w:rPr>
          <w:rFonts w:ascii="Times New Roman" w:hAnsi="Times New Roman" w:cs="Times New Roman"/>
        </w:rPr>
        <w:t>project team members without considerable knowledge may fail to make optimal decisions that consider the impact of external and internal conditions</w:t>
      </w:r>
      <w:r w:rsidR="00254355" w:rsidRPr="001912F1">
        <w:rPr>
          <w:rFonts w:ascii="Times New Roman" w:hAnsi="Times New Roman" w:cs="Times New Roman"/>
        </w:rPr>
        <w:t>, thus</w:t>
      </w:r>
      <w:r w:rsidRPr="001912F1">
        <w:rPr>
          <w:rFonts w:ascii="Times New Roman" w:hAnsi="Times New Roman" w:cs="Times New Roman"/>
        </w:rPr>
        <w:t xml:space="preserve"> influenc</w:t>
      </w:r>
      <w:r w:rsidR="00254355" w:rsidRPr="001912F1">
        <w:rPr>
          <w:rFonts w:ascii="Times New Roman" w:hAnsi="Times New Roman" w:cs="Times New Roman"/>
        </w:rPr>
        <w:t>ing</w:t>
      </w:r>
      <w:r w:rsidRPr="001912F1">
        <w:rPr>
          <w:rFonts w:ascii="Times New Roman" w:hAnsi="Times New Roman" w:cs="Times New Roman"/>
        </w:rPr>
        <w:t xml:space="preserve"> the performance of GB projects </w:t>
      </w:r>
      <w:r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"10.1080/13504509709469962", "ISSN" : "17452627", "abstract" : "Sustainable decision-making requires consideration of technology, ecology, and the social and political infrastructure of society. While it may never be possible to identify with certainty what is sustainable and what is not, an attempt has been made in this paper to formulate a measure that permits one to compare the performances of project alternatives with respect to risk. An algorithm is presented for the evaluation of a risk criterion that can be used with other criteria in the process of selecting project alternatives. The intent of the risk criterion is to involve project stakeholders in the process of quantifying the risks associated with different project alternatives. \u00a9 1997 Taylor &amp; Francis Group, LLC.", "author" : [ { "dropping-particle" : "", "family" : "Kroeger", "given" : "Heidelore I.", "non-dropping-particle" : "", "parse-names" : false, "suffix" : "" }, { "dropping-particle" : "", "family" : "Simonovic", "given" : "Slobodan P.", "non-dropping-particle" : "", "parse-names" : false, "suffix" : "" } ], "container-title" : "International Journal of Sustainable Development and World Ecology", "id" : "ITEM-1", "issue" : "4", "issued" : { "date-parts" : [ [ "1997" ] ] }, "page" : "274-285", "title" : "Development of a risk measure as a sustainable project selection criterion", "type" : "article-journal", "volume" : "4" }, "uris" : [ "http://www.mendeley.com/documents/?uuid=e9007791-6327-4448-a54f-b20748789d73" ] } ], "mendeley" : { "formattedCitation" : "[84]", "plainTextFormattedCitation" : "[84]", "previouslyFormattedCitation" : "[84]" }, "properties" : { "noteIndex" : 0 }, "schema" : "https://github.com/citation-style-language/schema/raw/master/csl-citation.json" }</w:instrText>
      </w:r>
      <w:r w:rsidRPr="001912F1">
        <w:rPr>
          <w:rFonts w:ascii="Times New Roman" w:hAnsi="Times New Roman" w:cs="Times New Roman"/>
        </w:rPr>
        <w:fldChar w:fldCharType="separate"/>
      </w:r>
      <w:r w:rsidR="00A172E2" w:rsidRPr="00A172E2">
        <w:rPr>
          <w:rFonts w:ascii="Times New Roman" w:hAnsi="Times New Roman" w:cs="Times New Roman"/>
          <w:noProof/>
        </w:rPr>
        <w:t>[84]</w:t>
      </w:r>
      <w:r w:rsidRPr="001912F1">
        <w:rPr>
          <w:rFonts w:ascii="Times New Roman" w:hAnsi="Times New Roman" w:cs="Times New Roman"/>
        </w:rPr>
        <w:fldChar w:fldCharType="end"/>
      </w:r>
      <w:r w:rsidRPr="001912F1">
        <w:rPr>
          <w:rFonts w:ascii="Times New Roman" w:hAnsi="Times New Roman" w:cs="Times New Roman"/>
        </w:rPr>
        <w:t>.</w:t>
      </w:r>
    </w:p>
    <w:p w14:paraId="6CF42173" w14:textId="6331561E" w:rsidR="004C45FF" w:rsidRPr="001912F1" w:rsidRDefault="00E550BF" w:rsidP="008049B7">
      <w:pPr>
        <w:spacing w:line="480" w:lineRule="auto"/>
        <w:jc w:val="both"/>
        <w:rPr>
          <w:rFonts w:ascii="Times New Roman" w:hAnsi="Times New Roman" w:cs="Times New Roman"/>
        </w:rPr>
      </w:pPr>
      <w:r w:rsidRPr="001912F1">
        <w:rPr>
          <w:rFonts w:ascii="Times New Roman" w:hAnsi="Times New Roman" w:cs="Times New Roman"/>
        </w:rPr>
        <w:lastRenderedPageBreak/>
        <w:t xml:space="preserve">Similarly, </w:t>
      </w:r>
      <w:r w:rsidR="005D08AE" w:rsidRPr="001912F1">
        <w:rPr>
          <w:rFonts w:ascii="Times New Roman" w:hAnsi="Times New Roman" w:cs="Times New Roman"/>
        </w:rPr>
        <w:t xml:space="preserve">a </w:t>
      </w:r>
      <w:r w:rsidRPr="001912F1">
        <w:rPr>
          <w:rFonts w:ascii="Times New Roman" w:hAnsi="Times New Roman" w:cs="Times New Roman"/>
        </w:rPr>
        <w:t xml:space="preserve">lack of competent and experienced </w:t>
      </w:r>
      <w:r w:rsidR="00EF573B" w:rsidRPr="001912F1">
        <w:rPr>
          <w:rFonts w:ascii="Times New Roman" w:hAnsi="Times New Roman" w:cs="Times New Roman"/>
        </w:rPr>
        <w:t>GB</w:t>
      </w:r>
      <w:r w:rsidRPr="001912F1">
        <w:rPr>
          <w:rFonts w:ascii="Times New Roman" w:hAnsi="Times New Roman" w:cs="Times New Roman"/>
        </w:rPr>
        <w:t xml:space="preserve"> project team present</w:t>
      </w:r>
      <w:r w:rsidR="005D08AE" w:rsidRPr="001912F1">
        <w:rPr>
          <w:rFonts w:ascii="Times New Roman" w:hAnsi="Times New Roman" w:cs="Times New Roman"/>
        </w:rPr>
        <w:t>s</w:t>
      </w:r>
      <w:r w:rsidRPr="001912F1">
        <w:rPr>
          <w:rFonts w:ascii="Times New Roman" w:hAnsi="Times New Roman" w:cs="Times New Roman"/>
        </w:rPr>
        <w:t xml:space="preserve"> serious risks because successful installation and maintenance of </w:t>
      </w:r>
      <w:r w:rsidR="00D3467B" w:rsidRPr="001912F1">
        <w:rPr>
          <w:rFonts w:ascii="Times New Roman" w:hAnsi="Times New Roman" w:cs="Times New Roman"/>
        </w:rPr>
        <w:t>high-performance</w:t>
      </w:r>
      <w:r w:rsidRPr="001912F1">
        <w:rPr>
          <w:rFonts w:ascii="Times New Roman" w:hAnsi="Times New Roman" w:cs="Times New Roman"/>
        </w:rPr>
        <w:t xml:space="preserve"> systems depend on the availability of speci</w:t>
      </w:r>
      <w:r w:rsidR="00EF573B" w:rsidRPr="001912F1">
        <w:rPr>
          <w:rFonts w:ascii="Times New Roman" w:hAnsi="Times New Roman" w:cs="Times New Roman"/>
        </w:rPr>
        <w:t>alized</w:t>
      </w:r>
      <w:r w:rsidRPr="001912F1">
        <w:rPr>
          <w:rFonts w:ascii="Times New Roman" w:hAnsi="Times New Roman" w:cs="Times New Roman"/>
        </w:rPr>
        <w:t xml:space="preserve"> knowledgeable players.</w:t>
      </w:r>
      <w:r w:rsidR="00280093" w:rsidRPr="001912F1">
        <w:rPr>
          <w:rFonts w:ascii="Times New Roman" w:hAnsi="Times New Roman" w:cs="Times New Roman"/>
        </w:rPr>
        <w:t xml:space="preserve"> For most countries, the special </w:t>
      </w:r>
      <w:r w:rsidR="00EF573B" w:rsidRPr="001912F1">
        <w:rPr>
          <w:rFonts w:ascii="Times New Roman" w:hAnsi="Times New Roman" w:cs="Times New Roman"/>
        </w:rPr>
        <w:t xml:space="preserve">bespoke </w:t>
      </w:r>
      <w:r w:rsidR="00280093" w:rsidRPr="001912F1">
        <w:rPr>
          <w:rFonts w:ascii="Times New Roman" w:hAnsi="Times New Roman" w:cs="Times New Roman"/>
        </w:rPr>
        <w:t>skills and system knowledge required for the design, construction, maintenance, and operation of GBs are in short supply, and training in relevant high-performance technologies and building practices is not readily accessible for the trades, contractors, operation staff and managers</w:t>
      </w:r>
      <w:r w:rsidR="00D3467B" w:rsidRPr="001912F1">
        <w:rPr>
          <w:rFonts w:ascii="Times New Roman" w:hAnsi="Times New Roman" w:cs="Times New Roman"/>
        </w:rPr>
        <w:t xml:space="preserve"> </w:t>
      </w:r>
      <w:r w:rsidR="00D3467B"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"10.1016/j.techsoc.2005.10.017", "ISSN" : "0160791X", "abstract" : "In the spring of 2002, recognizing that New York City was proving to be a difficult arena in which to do 'high performance building' and that this might have serious negative implications for the city's global position, the non-profit Center for Economic and Environmental Partnership, Inc. (CEEP), undertook the High Performance Building Initiative. Its premise was that if high performance building - an approach to construction aimed at, among other things, reduced environmental impact, improved public health, better security, and more flexible space - was to become mainstream in New York City, the high performance path would need to be perceived as reasonably predictable, posing only manageable risks and uncertainties. The purpose of the Initiative was to identify the barriers to high performance building in the city and to propose ways in which they could be reduced or eliminated. To accomplish this, CEEP convened interested and/or knowled geable individuals from the full range of relevant specializations and stakeholder perspectives. A final report [1], summarized herein, aggregated the participants' findings. The Initiative was both an important model of collaborative policy research and a valuable catalyst for change in both the public and private sectors. \u00a9 2005 Published by Elsevier Ltd.", "author" : [ { "dropping-particle" : "", "family" : "Zerkin", "given" : "Allen J.", "non-dropping-particle" : "", "parse-names" : false, "suffix" : "" } ], "container-title" : "Technology in Society", "id" : "ITEM-1", "issue" : "1-2", "issued" : { "date-parts" : [ [ "2006" ] ] }, "page" : "137-155", "title" : "Mainstreaming high performance building in New York City: A comprehensive roadmap for removing the barriers", "type" : "article-journal", "volume" : "28" }, "uris" : [ "http://www.mendeley.com/documents/?uuid=daae5acb-cfbf-471c-bf05-9f7553097991" ] } ], "mendeley" : { "formattedCitation" : "[25]", "plainTextFormattedCitation" : "[25]", "previouslyFormattedCitation" : "[25]" }, "properties" : { "noteIndex" : 0 }, "schema" : "https://github.com/citation-style-language/schema/raw/master/csl-citation.json" }</w:instrText>
      </w:r>
      <w:r w:rsidR="00D3467B" w:rsidRPr="001912F1">
        <w:rPr>
          <w:rFonts w:ascii="Times New Roman" w:hAnsi="Times New Roman" w:cs="Times New Roman"/>
        </w:rPr>
        <w:fldChar w:fldCharType="separate"/>
      </w:r>
      <w:r w:rsidR="00A172E2" w:rsidRPr="00A172E2">
        <w:rPr>
          <w:rFonts w:ascii="Times New Roman" w:hAnsi="Times New Roman" w:cs="Times New Roman"/>
          <w:noProof/>
        </w:rPr>
        <w:t>[25]</w:t>
      </w:r>
      <w:r w:rsidR="00D3467B" w:rsidRPr="001912F1">
        <w:rPr>
          <w:rFonts w:ascii="Times New Roman" w:hAnsi="Times New Roman" w:cs="Times New Roman"/>
        </w:rPr>
        <w:fldChar w:fldCharType="end"/>
      </w:r>
      <w:r w:rsidR="00280093" w:rsidRPr="001912F1">
        <w:rPr>
          <w:rFonts w:ascii="Times New Roman" w:hAnsi="Times New Roman" w:cs="Times New Roman"/>
        </w:rPr>
        <w:t>.</w:t>
      </w:r>
      <w:r w:rsidR="00792E25" w:rsidRPr="001912F1">
        <w:rPr>
          <w:rFonts w:ascii="Times New Roman" w:hAnsi="Times New Roman" w:cs="Times New Roman"/>
        </w:rPr>
        <w:t xml:space="preserve"> Government imposition of strict quotas for </w:t>
      </w:r>
      <w:r w:rsidR="005D08AE" w:rsidRPr="001912F1">
        <w:rPr>
          <w:rFonts w:ascii="Times New Roman" w:hAnsi="Times New Roman" w:cs="Times New Roman"/>
        </w:rPr>
        <w:t xml:space="preserve">the </w:t>
      </w:r>
      <w:r w:rsidR="00792E25" w:rsidRPr="001912F1">
        <w:rPr>
          <w:rFonts w:ascii="Times New Roman" w:hAnsi="Times New Roman" w:cs="Times New Roman"/>
        </w:rPr>
        <w:t xml:space="preserve">importation of skilled manpower from specific nations generates an added risk of recruiting relevant </w:t>
      </w:r>
      <w:r w:rsidR="00EF573B" w:rsidRPr="001912F1">
        <w:rPr>
          <w:rFonts w:ascii="Times New Roman" w:hAnsi="Times New Roman" w:cs="Times New Roman"/>
        </w:rPr>
        <w:t xml:space="preserve">skilled labor </w:t>
      </w:r>
      <w:r w:rsidR="00792E25" w:rsidRPr="001912F1">
        <w:rPr>
          <w:rFonts w:ascii="Times New Roman" w:hAnsi="Times New Roman" w:cs="Times New Roman"/>
        </w:rPr>
        <w:t>for GB projects</w:t>
      </w:r>
      <w:r w:rsidR="005006D2" w:rsidRPr="001912F1">
        <w:rPr>
          <w:rFonts w:ascii="Times New Roman" w:hAnsi="Times New Roman" w:cs="Times New Roman"/>
        </w:rPr>
        <w:t xml:space="preserve"> </w:t>
      </w:r>
      <w:r w:rsidR="005006D2"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"10.1016/j.ijproman.2007.07.004", "ISBN" : "0263-7863", "ISSN" : "02637863", "abstract" : "This study identifies and assesses the significant risks in the UAE construction industry and addresses their proper allocation. Data were collected through a questionnaire distributed to construction experts. The study reveals that economic risks such as inflation and sudden changes in prices, shortage in material and labor supply are significant. Other significant risks include owner risks such as unrealistic construction schedule, improper intervention and changes in design. Political, social and cultural risks are found to be insignificant. Local and international experts are in agreement as to the ranking of construction risks in the UAE. More risks are allocated to contractors or shared between contractors and owners with only two risks allocated directly to the owners. \u00a9 2007 Elsevier Ltd and IPMA.", "author" : [ { "dropping-particle" : "", "family" : "El-Sayegh", "given" : "Sameh Monir", "non-dropping-particle" : "", "parse-names" : false, "suffix" : "" } ], "container-title" : "International Journal of Project Management", "id" : "ITEM-1", "issue" : "4", "issued" : { "date-parts" : [ [ "2008" ] ] }, "page" : "431-438", "title" : "Risk assessment and allocation in the UAE construction industry", "type" : "article-journal", "volume" : "26" }, "uris" : [ "http://www.mendeley.com/documents/?uuid=b66f1fd6-e31d-42e6-ad14-b557f5e45891" ] } ], "mendeley" : { "formattedCitation" : "[69]", "plainTextFormattedCitation" : "[69]", "previouslyFormattedCitation" : "[69]" }, "properties" : { "noteIndex" : 0 }, "schema" : "https://github.com/citation-style-language/schema/raw/master/csl-citation.json" }</w:instrText>
      </w:r>
      <w:r w:rsidR="005006D2" w:rsidRPr="001912F1">
        <w:rPr>
          <w:rFonts w:ascii="Times New Roman" w:hAnsi="Times New Roman" w:cs="Times New Roman"/>
        </w:rPr>
        <w:fldChar w:fldCharType="separate"/>
      </w:r>
      <w:r w:rsidR="00A172E2" w:rsidRPr="00A172E2">
        <w:rPr>
          <w:rFonts w:ascii="Times New Roman" w:hAnsi="Times New Roman" w:cs="Times New Roman"/>
          <w:noProof/>
        </w:rPr>
        <w:t>[69]</w:t>
      </w:r>
      <w:r w:rsidR="005006D2" w:rsidRPr="001912F1">
        <w:rPr>
          <w:rFonts w:ascii="Times New Roman" w:hAnsi="Times New Roman" w:cs="Times New Roman"/>
        </w:rPr>
        <w:fldChar w:fldCharType="end"/>
      </w:r>
      <w:r w:rsidR="00792E25" w:rsidRPr="001912F1">
        <w:rPr>
          <w:rFonts w:ascii="Times New Roman" w:hAnsi="Times New Roman" w:cs="Times New Roman"/>
        </w:rPr>
        <w:t>.</w:t>
      </w:r>
      <w:r w:rsidR="00280A9F" w:rsidRPr="001912F1">
        <w:rPr>
          <w:rFonts w:ascii="Times New Roman" w:hAnsi="Times New Roman" w:cs="Times New Roman"/>
        </w:rPr>
        <w:t xml:space="preserve"> The unavailability of skilled and experienced manpower present</w:t>
      </w:r>
      <w:r w:rsidR="005D08AE" w:rsidRPr="001912F1">
        <w:rPr>
          <w:rFonts w:ascii="Times New Roman" w:hAnsi="Times New Roman" w:cs="Times New Roman"/>
        </w:rPr>
        <w:t>s</w:t>
      </w:r>
      <w:r w:rsidR="00280A9F" w:rsidRPr="001912F1">
        <w:rPr>
          <w:rFonts w:ascii="Times New Roman" w:hAnsi="Times New Roman" w:cs="Times New Roman"/>
        </w:rPr>
        <w:t xml:space="preserve"> serious risks because it can result </w:t>
      </w:r>
      <w:r w:rsidR="00904251" w:rsidRPr="001912F1">
        <w:rPr>
          <w:rFonts w:ascii="Times New Roman" w:hAnsi="Times New Roman" w:cs="Times New Roman"/>
        </w:rPr>
        <w:t>in an acute</w:t>
      </w:r>
      <w:r w:rsidR="00280A9F" w:rsidRPr="001912F1">
        <w:rPr>
          <w:rFonts w:ascii="Times New Roman" w:hAnsi="Times New Roman" w:cs="Times New Roman"/>
        </w:rPr>
        <w:t xml:space="preserve"> shortage and </w:t>
      </w:r>
      <w:r w:rsidR="007678DB" w:rsidRPr="001912F1">
        <w:rPr>
          <w:rFonts w:ascii="Times New Roman" w:hAnsi="Times New Roman" w:cs="Times New Roman"/>
        </w:rPr>
        <w:t xml:space="preserve">a </w:t>
      </w:r>
      <w:r w:rsidR="00280A9F" w:rsidRPr="001912F1">
        <w:rPr>
          <w:rFonts w:ascii="Times New Roman" w:hAnsi="Times New Roman" w:cs="Times New Roman"/>
        </w:rPr>
        <w:t>high cost of the limited skilled labor to deliver GB projects.</w:t>
      </w:r>
      <w:r w:rsidR="0065461C" w:rsidRPr="001912F1">
        <w:rPr>
          <w:rFonts w:ascii="Times New Roman" w:hAnsi="Times New Roman" w:cs="Times New Roman"/>
        </w:rPr>
        <w:t xml:space="preserve"> Poor competency of the manpower can result in </w:t>
      </w:r>
      <w:r w:rsidR="00C739BF" w:rsidRPr="001912F1">
        <w:rPr>
          <w:rFonts w:ascii="Times New Roman" w:hAnsi="Times New Roman" w:cs="Times New Roman"/>
        </w:rPr>
        <w:t>quality and safety problems in</w:t>
      </w:r>
      <w:r w:rsidR="0065461C" w:rsidRPr="001912F1">
        <w:rPr>
          <w:rFonts w:ascii="Times New Roman" w:hAnsi="Times New Roman" w:cs="Times New Roman"/>
        </w:rPr>
        <w:t xml:space="preserve"> GB project</w:t>
      </w:r>
      <w:r w:rsidR="00C739BF" w:rsidRPr="001912F1">
        <w:rPr>
          <w:rFonts w:ascii="Times New Roman" w:hAnsi="Times New Roman" w:cs="Times New Roman"/>
        </w:rPr>
        <w:t xml:space="preserve">s </w:t>
      </w:r>
      <w:r w:rsidR="003B387D"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"10.1016/j.ijproman.2007.03.001", "ISSN" : "02637863", "abstract" : "The aim of this paper is to understand the key risks in construction projects in China and to develop strategies to manage them. Risks were prioritized according to their significance of influences on typical project objectives in terms of cost, time, quality, safety and environmental sustainability, and then scrutinized from a joint perspective of project stakeholders and life cycle. Postal questionnaire surveys were used to collect data, based on which a total of 25 key risks were ascertained. These risks were compared with the findings of a parallel survey in the Australian construction industry context to highlight the unique risks associated with construction projects in China. Strategies to manage the risks were sought from the perspectives of project stakeholders and life cycle and in light of the Chinese construction culture. It is concluded that clients, designers and government bodies should take the responsibility to manage their relevant risks and work cooperatively from the feasibility phase onwards to address potential risks in time; contractors and subcontractors with robust construction and management knowledge should be employed to minimize construction risks and carry out safe, efficient and quality construction activities. \u00a9 2007 Elsevier Ltd and IPMA.", "author" : [ { "dropping-particle" : "", "family" : "Zou", "given" : "Patrick X.W.", "non-dropping-particle" : "", "parse-names" : false, "suffix" : "" }, { "dropping-particle" : "", "family" : "Zhang", "given" : "Guomin", "non-dropping-particle" : "", "parse-names" : false, "suffix" : "" }, { "dropping-particle" : "", "family" : "Wang", "given" : "Jiayuan", "non-dropping-particle" : "", "parse-names" : false, "suffix" : "" } ], "container-title" : "International Journal of Project Management", "id" : "ITEM-1", "issue" : "6", "issued" : { "date-parts" : [ [ "2007" ] ] }, "page" : "601-614", "title" : "Understanding the key risks in construction projects in China", "type" : "article-journal", "volume" : "25" }, "uris" : [ "http://www.mendeley.com/documents/?uuid=83601f31-dd3a-449c-8adc-7139951b5500" ] } ], "mendeley" : { "formattedCitation" : "[57]", "plainTextFormattedCitation" : "[57]", "previouslyFormattedCitation" : "[57]" }, "properties" : { "noteIndex" : 0 }, "schema" : "https://github.com/citation-style-language/schema/raw/master/csl-citation.json" }</w:instrText>
      </w:r>
      <w:r w:rsidR="003B387D" w:rsidRPr="001912F1">
        <w:rPr>
          <w:rFonts w:ascii="Times New Roman" w:hAnsi="Times New Roman" w:cs="Times New Roman"/>
        </w:rPr>
        <w:fldChar w:fldCharType="separate"/>
      </w:r>
      <w:r w:rsidR="00A172E2" w:rsidRPr="00A172E2">
        <w:rPr>
          <w:rFonts w:ascii="Times New Roman" w:hAnsi="Times New Roman" w:cs="Times New Roman"/>
          <w:noProof/>
        </w:rPr>
        <w:t>[57]</w:t>
      </w:r>
      <w:r w:rsidR="003B387D" w:rsidRPr="001912F1">
        <w:rPr>
          <w:rFonts w:ascii="Times New Roman" w:hAnsi="Times New Roman" w:cs="Times New Roman"/>
        </w:rPr>
        <w:fldChar w:fldCharType="end"/>
      </w:r>
      <w:r w:rsidR="0065461C" w:rsidRPr="001912F1">
        <w:rPr>
          <w:rFonts w:ascii="Times New Roman" w:hAnsi="Times New Roman" w:cs="Times New Roman"/>
        </w:rPr>
        <w:t>.</w:t>
      </w:r>
    </w:p>
    <w:p w14:paraId="00556B00" w14:textId="1434604F" w:rsidR="00E22D8A" w:rsidRPr="001912F1" w:rsidRDefault="007E3F49" w:rsidP="002039F2">
      <w:pPr>
        <w:spacing w:line="480" w:lineRule="auto"/>
        <w:jc w:val="both"/>
        <w:rPr>
          <w:rFonts w:ascii="Times New Roman" w:hAnsi="Times New Roman" w:cs="Times New Roman"/>
        </w:rPr>
      </w:pPr>
      <w:r w:rsidRPr="001912F1">
        <w:rPr>
          <w:rFonts w:ascii="Times New Roman" w:hAnsi="Times New Roman" w:cs="Times New Roman"/>
        </w:rPr>
        <w:t xml:space="preserve">Despite the development of international and national GB rating and certification systems, there remain inaccessible quantitative tools and models to evaluate the cost, benefits, and certification of GB projects </w:t>
      </w:r>
      <w:r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"10.1080/09613218.2011.561948", "ISSN" : "09613218", "abstract" : "What are the actual barriers and drivers for sustainable building? A literature review, interviews and case studies are presented to address this question. Sustainable building is not hindered by a lack of technologies and assessment methods, but is instead beset with organizational and procedural difficulties entailed by the adoption of new methods. New technologies are resisted because they require process changes entailing risks and unforeseen costs. These hindrances can be reduced by learning what kind of decision-making phases, new tasks, actors, roles and ways of networking are needed. The barriers are outlined as steering mechanisms, economics, a lack of client understanding, process (procurement and tendering, timing, cooperation and networking), and underpinning knowledge (knowledge and common language, the availability of methods and tools, innovation). The most important actions to promote sustainable building are the development of the awareness of clients about the benefits of sustainable building, the development and adoption of methods for sustainable building requirement management, the mobilization of sustainable building tools, the development of designers' competence and team working, and the development of new concepts and services. The interviews and case studies were carried out in Finland, but the results may be applicable or interesting to other countries as well. \u00a9 2011 Taylor &amp; Francis.", "author" : [ { "dropping-particle" : "", "family" : "H\u00e4kkinen", "given" : "Tarja", "non-dropping-particle" : "", "parse-names" : false, "suffix" : "" }, { "dropping-particle" : "", "family" : "Belloni", "given" : "Kaisa", "non-dropping-particle" : "", "parse-names" : false, "suffix" : "" } ], "container-title" : "Building Research and Information", "id" : "ITEM-1", "issue" : "3", "issued" : { "date-parts" : [ [ "2011" ] ] }, "page" : "239-255", "title" : "Barriers and drivers for sustainable building", "type" : "article-journal", "volume" : "39" }, "uris" : [ "http://www.mendeley.com/documents/?uuid=7fa56671-0397-479e-aec7-708637a215d1" ] } ], "mendeley" : { "formattedCitation" : "[13]", "plainTextFormattedCitation" : "[13]", "previouslyFormattedCitation" : "[13]" }, "properties" : { "noteIndex" : 0 }, "schema" : "https://github.com/citation-style-language/schema/raw/master/csl-citation.json" }</w:instrText>
      </w:r>
      <w:r w:rsidRPr="001912F1">
        <w:rPr>
          <w:rFonts w:ascii="Times New Roman" w:hAnsi="Times New Roman" w:cs="Times New Roman"/>
        </w:rPr>
        <w:fldChar w:fldCharType="separate"/>
      </w:r>
      <w:r w:rsidR="00A172E2" w:rsidRPr="00A172E2">
        <w:rPr>
          <w:rFonts w:ascii="Times New Roman" w:hAnsi="Times New Roman" w:cs="Times New Roman"/>
          <w:noProof/>
        </w:rPr>
        <w:t>[13]</w:t>
      </w:r>
      <w:r w:rsidRPr="001912F1">
        <w:rPr>
          <w:rFonts w:ascii="Times New Roman" w:hAnsi="Times New Roman" w:cs="Times New Roman"/>
        </w:rPr>
        <w:fldChar w:fldCharType="end"/>
      </w:r>
      <w:r w:rsidRPr="001912F1">
        <w:rPr>
          <w:rFonts w:ascii="Times New Roman" w:hAnsi="Times New Roman" w:cs="Times New Roman"/>
        </w:rPr>
        <w:t xml:space="preserve">. </w:t>
      </w:r>
      <w:r w:rsidR="004C45FF" w:rsidRPr="001912F1">
        <w:rPr>
          <w:rFonts w:ascii="Times New Roman" w:hAnsi="Times New Roman" w:cs="Times New Roman"/>
        </w:rPr>
        <w:t xml:space="preserve">Additionally, most green materials and products are imported, resulting in uncertain and long lead times </w:t>
      </w:r>
      <w:r w:rsidR="004C45FF"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"10.1016/j.ijproman.2007.07.004", "ISBN" : "0263-7863", "ISSN" : "02637863", "abstract" : "This study identifies and assesses the significant risks in the UAE construction industry and addresses their proper allocation. Data were collected through a questionnaire distributed to construction experts. The study reveals that economic risks such as inflation and sudden changes in prices, shortage in material and labor supply are significant. Other significant risks include owner risks such as unrealistic construction schedule, improper intervention and changes in design. Political, social and cultural risks are found to be insignificant. Local and international experts are in agreement as to the ranking of construction risks in the UAE. More risks are allocated to contractors or shared between contractors and owners with only two risks allocated directly to the owners. \u00a9 2007 Elsevier Ltd and IPMA.", "author" : [ { "dropping-particle" : "", "family" : "El-Sayegh", "given" : "Sameh Monir", "non-dropping-particle" : "", "parse-names" : false, "suffix" : "" } ], "container-title" : "International Journal of Project Management", "id" : "ITEM-1", "issue" : "4", "issued" : { "date-parts" : [ [ "2008" ] ] }, "page" : "431-438", "title" : "Risk assessment and allocation in the UAE construction industry", "type" : "article-journal", "volume" : "26" }, "uris" : [ "http://www.mendeley.com/documents/?uuid=b66f1fd6-e31d-42e6-ad14-b557f5e45891" ] } ], "mendeley" : { "formattedCitation" : "[69]", "plainTextFormattedCitation" : "[69]", "previouslyFormattedCitation" : "[69]" }, "properties" : { "noteIndex" : 0 }, "schema" : "https://github.com/citation-style-language/schema/raw/master/csl-citation.json" }</w:instrText>
      </w:r>
      <w:r w:rsidR="004C45FF" w:rsidRPr="001912F1">
        <w:rPr>
          <w:rFonts w:ascii="Times New Roman" w:hAnsi="Times New Roman" w:cs="Times New Roman"/>
        </w:rPr>
        <w:fldChar w:fldCharType="separate"/>
      </w:r>
      <w:r w:rsidR="00A172E2" w:rsidRPr="00A172E2">
        <w:rPr>
          <w:rFonts w:ascii="Times New Roman" w:hAnsi="Times New Roman" w:cs="Times New Roman"/>
          <w:noProof/>
        </w:rPr>
        <w:t>[69]</w:t>
      </w:r>
      <w:r w:rsidR="004C45FF" w:rsidRPr="001912F1">
        <w:rPr>
          <w:rFonts w:ascii="Times New Roman" w:hAnsi="Times New Roman" w:cs="Times New Roman"/>
        </w:rPr>
        <w:fldChar w:fldCharType="end"/>
      </w:r>
      <w:r w:rsidR="004C45FF" w:rsidRPr="001912F1">
        <w:rPr>
          <w:rFonts w:ascii="Times New Roman" w:hAnsi="Times New Roman" w:cs="Times New Roman"/>
        </w:rPr>
        <w:t>.</w:t>
      </w:r>
      <w:r w:rsidR="006060C5" w:rsidRPr="001912F1">
        <w:rPr>
          <w:rFonts w:ascii="Times New Roman" w:hAnsi="Times New Roman" w:cs="Times New Roman"/>
        </w:rPr>
        <w:t xml:space="preserve"> </w:t>
      </w:r>
      <w:r w:rsidR="00651840" w:rsidRPr="001912F1">
        <w:rPr>
          <w:rFonts w:ascii="Times New Roman" w:hAnsi="Times New Roman" w:cs="Times New Roman"/>
        </w:rPr>
        <w:t>The uncertainties and custom complexities associated with importing green materials and products present additional layers of risks in GB projects.</w:t>
      </w:r>
      <w:r w:rsidRPr="001912F1">
        <w:rPr>
          <w:rFonts w:ascii="Times New Roman" w:hAnsi="Times New Roman" w:cs="Times New Roman"/>
        </w:rPr>
        <w:t xml:space="preserve"> </w:t>
      </w:r>
      <w:r w:rsidR="00AD69F2" w:rsidRPr="001912F1">
        <w:rPr>
          <w:rFonts w:ascii="Times New Roman" w:hAnsi="Times New Roman" w:cs="Times New Roman"/>
        </w:rPr>
        <w:t xml:space="preserve">The prevailing constraints associated with green construction materials, building codes, supply chains, skilled labor, and management mean that GB projects are not usually physically supported, financially prudent, technically possible, and legally advised. As such, improper feasibility, planning and scheduling can result in unforeseeable challenges, complexities, and abortive costs in GB projects </w:t>
      </w:r>
      <w:r w:rsidR="00AD69F2"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"10.3992/jgb.5.2.129", "ISSN" : "19434618", "abstract" : "For sustainable buildings to become mainstream they must demonstrate not only improved environmental performance but also financial performance, benefiting both end users and investors. The perceived financial constraints and risks are often major barriers to sustainable design. This paper discusses the application of a new tool that formalizes the traditionally intuitive-based early-stage decision making processes and assesses the potential for creating a financially feasible best-practice sustainable building across a range of environmental, social and economic parameters, using the limited data available at the outset of a project. It considers the total cost of ownership, demonstrating the link between the recurrent and capital costs. A detailed feasibility assessment of those areas where greatest potential for improving environmental and financial performance exists can then be carried out, saving a considerable amount of time, money and effort otherwise spent on looking at all possible strategies for achieving a sustainable outcome. This approach also identifies areas where incorporating environmental strategies might be financially risky, reassuring investors and developers by reducing investment risks. By reducing some of these risks and perceived barriers to sustainable building development, it is hoped that clients and investors will be further encouraged to adopt a more sustainable approach to their building projects.", "author" : [ { "dropping-particle" : "", "family" : "Ranaweera", "given" : "Renuka", "non-dropping-particle" : "", "parse-names" : false, "suffix" : "" }, { "dropping-particle" : "", "family" : "Crawford", "given" : "Robert H.", "non-dropping-particle" : "", "parse-names" : false, "suffix" : "" } ], "container-title" : "Journal of Green Building", "id" : "ITEM-1", "issue" : "2", "issued" : { "date-parts" : [ [ "2010" ] ] }, "page" : "129-146", "title" : "Using early-stage assessment to reduce the financial risks and perceived barriers of sustainable buildings", "type" : "article-journal", "volume" : "5" }, "uris" : [ "http://www.mendeley.com/documents/?uuid=92f6342c-ca83-4135-84e5-15cf0852d828" ] } ], "mendeley" : { "formattedCitation" : "[8]", "plainTextFormattedCitation" : "[8]", "previouslyFormattedCitation" : "[8]" }, "properties" : { "noteIndex" : 0 }, "schema" : "https://github.com/citation-style-language/schema/raw/master/csl-citation.json" }</w:instrText>
      </w:r>
      <w:r w:rsidR="00AD69F2" w:rsidRPr="001912F1">
        <w:rPr>
          <w:rFonts w:ascii="Times New Roman" w:hAnsi="Times New Roman" w:cs="Times New Roman"/>
        </w:rPr>
        <w:fldChar w:fldCharType="separate"/>
      </w:r>
      <w:r w:rsidR="00A172E2" w:rsidRPr="00A172E2">
        <w:rPr>
          <w:rFonts w:ascii="Times New Roman" w:hAnsi="Times New Roman" w:cs="Times New Roman"/>
          <w:noProof/>
        </w:rPr>
        <w:t>[8]</w:t>
      </w:r>
      <w:r w:rsidR="00AD69F2" w:rsidRPr="001912F1">
        <w:rPr>
          <w:rFonts w:ascii="Times New Roman" w:hAnsi="Times New Roman" w:cs="Times New Roman"/>
        </w:rPr>
        <w:fldChar w:fldCharType="end"/>
      </w:r>
      <w:r w:rsidR="00AD69F2" w:rsidRPr="001912F1">
        <w:rPr>
          <w:rFonts w:ascii="Times New Roman" w:hAnsi="Times New Roman" w:cs="Times New Roman"/>
        </w:rPr>
        <w:t>.</w:t>
      </w:r>
    </w:p>
    <w:p w14:paraId="146F4775" w14:textId="3D18AB59" w:rsidR="00B45535" w:rsidRPr="001912F1" w:rsidRDefault="00E22D8A" w:rsidP="008049B7">
      <w:pPr>
        <w:spacing w:line="480" w:lineRule="auto"/>
        <w:jc w:val="both"/>
        <w:rPr>
          <w:rFonts w:ascii="Times New Roman" w:hAnsi="Times New Roman" w:cs="Times New Roman"/>
        </w:rPr>
      </w:pPr>
      <w:r w:rsidRPr="001912F1">
        <w:rPr>
          <w:rFonts w:ascii="Times New Roman" w:hAnsi="Times New Roman" w:cs="Times New Roman"/>
          <w:b/>
          <w:bCs/>
          <w:i/>
          <w:iCs/>
        </w:rPr>
        <w:t>Stakeholder risks</w:t>
      </w:r>
      <w:r w:rsidRPr="001912F1">
        <w:rPr>
          <w:rFonts w:ascii="Times New Roman" w:hAnsi="Times New Roman" w:cs="Times New Roman"/>
        </w:rPr>
        <w:t xml:space="preserve">: Fig. </w:t>
      </w:r>
      <w:r w:rsidR="008049B7" w:rsidRPr="001912F1">
        <w:rPr>
          <w:rFonts w:ascii="Times New Roman" w:hAnsi="Times New Roman" w:cs="Times New Roman"/>
        </w:rPr>
        <w:t>6 (a)</w:t>
      </w:r>
      <w:r w:rsidRPr="001912F1">
        <w:rPr>
          <w:rFonts w:ascii="Times New Roman" w:hAnsi="Times New Roman" w:cs="Times New Roman"/>
        </w:rPr>
        <w:t xml:space="preserve"> </w:t>
      </w:r>
      <w:r w:rsidR="00D50BD0" w:rsidRPr="001912F1">
        <w:rPr>
          <w:rFonts w:ascii="Times New Roman" w:hAnsi="Times New Roman" w:cs="Times New Roman"/>
        </w:rPr>
        <w:t>shows twelve (12) stakeholder risks of GB projects. The vital critical stakeholder risk factors include</w:t>
      </w:r>
      <w:r w:rsidR="00F04D41" w:rsidRPr="001912F1">
        <w:rPr>
          <w:rFonts w:ascii="Times New Roman" w:hAnsi="Times New Roman" w:cs="Times New Roman"/>
        </w:rPr>
        <w:t xml:space="preserve"> poor communication, cooperation, and networking between the project team members (SR1), frequent change orders and intervention of client (SR2), lack of a common understanding of sustainability and shared vision of green buildings </w:t>
      </w:r>
      <w:r w:rsidR="00F04D41" w:rsidRPr="001912F1">
        <w:rPr>
          <w:rFonts w:ascii="Times New Roman" w:hAnsi="Times New Roman" w:cs="Times New Roman"/>
        </w:rPr>
        <w:lastRenderedPageBreak/>
        <w:t>(SR3), injuries and accidents during construction (SR4), delays in resolving contractual issues, problems, disputes, and conflicts in green buildings (SR5), lack of expressed interest from client and project team members (SR6), poor interrelationships between the client, project team and supply chain partners (SR7), and poor commitment of the consultant (SR8).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428"/>
      </w:tblGrid>
      <w:tr w:rsidR="001912F1" w:rsidRPr="001912F1" w14:paraId="7633C2B2" w14:textId="77777777" w:rsidTr="00D02060">
        <w:tc>
          <w:tcPr>
            <w:tcW w:w="4598" w:type="dxa"/>
          </w:tcPr>
          <w:p w14:paraId="46989AD5" w14:textId="77777777" w:rsidR="00B45535" w:rsidRPr="001912F1" w:rsidRDefault="00B45535" w:rsidP="00A656EF">
            <w:pPr>
              <w:rPr>
                <w:rFonts w:ascii="Times New Roman" w:hAnsi="Times New Roman" w:cs="Times New Roman"/>
                <w:bCs/>
              </w:rPr>
            </w:pPr>
            <w:r w:rsidRPr="001912F1">
              <w:rPr>
                <w:rFonts w:ascii="Times New Roman" w:hAnsi="Times New Roman" w:cs="Times New Roman"/>
                <w:bCs/>
                <w:noProof/>
              </w:rPr>
              <w:drawing>
                <wp:inline distT="0" distB="0" distL="0" distR="0" wp14:anchorId="5B572381" wp14:editId="38F9F24A">
                  <wp:extent cx="2826327" cy="177608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0EDA8.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64039" cy="1799781"/>
                          </a:xfrm>
                          <a:prstGeom prst="rect">
                            <a:avLst/>
                          </a:prstGeom>
                        </pic:spPr>
                      </pic:pic>
                    </a:graphicData>
                  </a:graphic>
                </wp:inline>
              </w:drawing>
            </w:r>
          </w:p>
          <w:p w14:paraId="6778AC80" w14:textId="77777777" w:rsidR="00B45535" w:rsidRPr="001912F1" w:rsidRDefault="00B45535" w:rsidP="00B45535">
            <w:pPr>
              <w:pStyle w:val="ListParagraph"/>
              <w:numPr>
                <w:ilvl w:val="0"/>
                <w:numId w:val="6"/>
              </w:numPr>
              <w:ind w:left="341" w:hanging="450"/>
              <w:jc w:val="both"/>
              <w:rPr>
                <w:rFonts w:ascii="Times New Roman" w:hAnsi="Times New Roman" w:cs="Times New Roman"/>
              </w:rPr>
            </w:pPr>
            <w:r w:rsidRPr="001912F1">
              <w:rPr>
                <w:rFonts w:ascii="Times New Roman" w:hAnsi="Times New Roman" w:cs="Times New Roman"/>
                <w:bCs/>
              </w:rPr>
              <w:t>Stakeholder risks of GB projects</w:t>
            </w:r>
          </w:p>
        </w:tc>
        <w:tc>
          <w:tcPr>
            <w:tcW w:w="4428" w:type="dxa"/>
          </w:tcPr>
          <w:p w14:paraId="1B7EA383" w14:textId="77777777" w:rsidR="00B45535" w:rsidRPr="001912F1" w:rsidRDefault="00B45535" w:rsidP="00A656EF">
            <w:pPr>
              <w:rPr>
                <w:rFonts w:ascii="Times New Roman" w:hAnsi="Times New Roman" w:cs="Times New Roman"/>
                <w:bCs/>
              </w:rPr>
            </w:pPr>
            <w:r w:rsidRPr="001912F1">
              <w:rPr>
                <w:rFonts w:ascii="Times New Roman" w:hAnsi="Times New Roman" w:cs="Times New Roman"/>
                <w:bCs/>
                <w:noProof/>
              </w:rPr>
              <w:drawing>
                <wp:inline distT="0" distB="0" distL="0" distR="0" wp14:anchorId="67D0E655" wp14:editId="542148D5">
                  <wp:extent cx="2673922" cy="1752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01A4F.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00856" cy="1835798"/>
                          </a:xfrm>
                          <a:prstGeom prst="rect">
                            <a:avLst/>
                          </a:prstGeom>
                        </pic:spPr>
                      </pic:pic>
                    </a:graphicData>
                  </a:graphic>
                </wp:inline>
              </w:drawing>
            </w:r>
          </w:p>
          <w:p w14:paraId="6453997A" w14:textId="77777777" w:rsidR="00B45535" w:rsidRPr="001912F1" w:rsidRDefault="00B45535" w:rsidP="00B45535">
            <w:pPr>
              <w:pStyle w:val="ListParagraph"/>
              <w:numPr>
                <w:ilvl w:val="0"/>
                <w:numId w:val="6"/>
              </w:numPr>
              <w:ind w:left="386" w:hanging="450"/>
              <w:jc w:val="both"/>
              <w:rPr>
                <w:rFonts w:ascii="Times New Roman" w:hAnsi="Times New Roman" w:cs="Times New Roman"/>
              </w:rPr>
            </w:pPr>
            <w:r w:rsidRPr="001912F1">
              <w:rPr>
                <w:rFonts w:ascii="Times New Roman" w:hAnsi="Times New Roman" w:cs="Times New Roman"/>
                <w:bCs/>
              </w:rPr>
              <w:t>Management risks of GB projects</w:t>
            </w:r>
          </w:p>
        </w:tc>
      </w:tr>
      <w:tr w:rsidR="001912F1" w:rsidRPr="001912F1" w14:paraId="3A20E1A1" w14:textId="77777777" w:rsidTr="00D02060">
        <w:tc>
          <w:tcPr>
            <w:tcW w:w="4598" w:type="dxa"/>
          </w:tcPr>
          <w:p w14:paraId="3AC11DA7" w14:textId="77777777" w:rsidR="00B45535" w:rsidRPr="001912F1" w:rsidRDefault="00B45535" w:rsidP="00A656EF">
            <w:pPr>
              <w:rPr>
                <w:rFonts w:ascii="Times New Roman" w:hAnsi="Times New Roman" w:cs="Times New Roman"/>
                <w:bCs/>
              </w:rPr>
            </w:pPr>
            <w:r w:rsidRPr="001912F1">
              <w:rPr>
                <w:rFonts w:ascii="Times New Roman" w:hAnsi="Times New Roman" w:cs="Times New Roman"/>
                <w:bCs/>
                <w:noProof/>
              </w:rPr>
              <w:drawing>
                <wp:inline distT="0" distB="0" distL="0" distR="0" wp14:anchorId="1BF3FA2F" wp14:editId="79D198A4">
                  <wp:extent cx="2775127" cy="1773382"/>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0F185.tmp"/>
                          <pic:cNvPicPr/>
                        </pic:nvPicPr>
                        <pic:blipFill>
                          <a:blip r:embed="rId19">
                            <a:extLst>
                              <a:ext uri="{28A0092B-C50C-407E-A947-70E740481C1C}">
                                <a14:useLocalDpi xmlns:a14="http://schemas.microsoft.com/office/drawing/2010/main" val="0"/>
                              </a:ext>
                            </a:extLst>
                          </a:blip>
                          <a:stretch>
                            <a:fillRect/>
                          </a:stretch>
                        </pic:blipFill>
                        <pic:spPr>
                          <a:xfrm>
                            <a:off x="0" y="0"/>
                            <a:ext cx="2865203" cy="1830943"/>
                          </a:xfrm>
                          <a:prstGeom prst="rect">
                            <a:avLst/>
                          </a:prstGeom>
                        </pic:spPr>
                      </pic:pic>
                    </a:graphicData>
                  </a:graphic>
                </wp:inline>
              </w:drawing>
            </w:r>
          </w:p>
          <w:p w14:paraId="1D9B543B" w14:textId="77777777" w:rsidR="00B45535" w:rsidRPr="001912F1" w:rsidRDefault="00B45535" w:rsidP="00B45535">
            <w:pPr>
              <w:pStyle w:val="ListParagraph"/>
              <w:numPr>
                <w:ilvl w:val="0"/>
                <w:numId w:val="6"/>
              </w:numPr>
              <w:ind w:left="341"/>
              <w:jc w:val="both"/>
              <w:rPr>
                <w:rFonts w:ascii="Times New Roman" w:hAnsi="Times New Roman" w:cs="Times New Roman"/>
              </w:rPr>
            </w:pPr>
            <w:r w:rsidRPr="001912F1">
              <w:rPr>
                <w:rFonts w:ascii="Times New Roman" w:hAnsi="Times New Roman" w:cs="Times New Roman"/>
                <w:bCs/>
              </w:rPr>
              <w:t>Environmental risks of GB projects</w:t>
            </w:r>
          </w:p>
        </w:tc>
        <w:tc>
          <w:tcPr>
            <w:tcW w:w="4428" w:type="dxa"/>
          </w:tcPr>
          <w:p w14:paraId="6AFB16A0" w14:textId="77777777" w:rsidR="00B45535" w:rsidRPr="001912F1" w:rsidRDefault="00B45535" w:rsidP="00A656EF">
            <w:pPr>
              <w:ind w:left="-19"/>
              <w:rPr>
                <w:rFonts w:ascii="Times New Roman" w:hAnsi="Times New Roman" w:cs="Times New Roman"/>
                <w:rtl/>
              </w:rPr>
            </w:pPr>
            <w:r w:rsidRPr="001912F1">
              <w:rPr>
                <w:rFonts w:ascii="Times New Roman" w:hAnsi="Times New Roman" w:cs="Times New Roman"/>
                <w:bCs/>
                <w:noProof/>
              </w:rPr>
              <w:drawing>
                <wp:inline distT="0" distB="0" distL="0" distR="0" wp14:anchorId="78D9B4ED" wp14:editId="52FED0EC">
                  <wp:extent cx="2727921" cy="1731818"/>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0DFA0.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9730" cy="1771057"/>
                          </a:xfrm>
                          <a:prstGeom prst="rect">
                            <a:avLst/>
                          </a:prstGeom>
                        </pic:spPr>
                      </pic:pic>
                    </a:graphicData>
                  </a:graphic>
                </wp:inline>
              </w:drawing>
            </w:r>
          </w:p>
          <w:p w14:paraId="3D9FE4FF" w14:textId="77777777" w:rsidR="00B45535" w:rsidRPr="001912F1" w:rsidRDefault="00B45535" w:rsidP="00B45535">
            <w:pPr>
              <w:pStyle w:val="ListParagraph"/>
              <w:numPr>
                <w:ilvl w:val="0"/>
                <w:numId w:val="6"/>
              </w:numPr>
              <w:ind w:left="341"/>
              <w:jc w:val="both"/>
              <w:rPr>
                <w:rFonts w:ascii="Times New Roman" w:hAnsi="Times New Roman" w:cs="Times New Roman"/>
              </w:rPr>
            </w:pPr>
            <w:r w:rsidRPr="001912F1">
              <w:rPr>
                <w:rFonts w:ascii="Times New Roman" w:hAnsi="Times New Roman" w:cs="Times New Roman"/>
                <w:bCs/>
              </w:rPr>
              <w:t>Legal risks of green building projects</w:t>
            </w:r>
          </w:p>
        </w:tc>
      </w:tr>
      <w:tr w:rsidR="001912F1" w:rsidRPr="001912F1" w14:paraId="368B1A47" w14:textId="77777777" w:rsidTr="00D02060">
        <w:tc>
          <w:tcPr>
            <w:tcW w:w="9026" w:type="dxa"/>
            <w:gridSpan w:val="2"/>
          </w:tcPr>
          <w:p w14:paraId="1A7CB2E9" w14:textId="77777777" w:rsidR="00B45535" w:rsidRPr="001912F1" w:rsidRDefault="00B45535" w:rsidP="00A656EF">
            <w:pPr>
              <w:jc w:val="center"/>
              <w:rPr>
                <w:rFonts w:ascii="Times New Roman" w:hAnsi="Times New Roman" w:cs="Times New Roman"/>
                <w:bCs/>
              </w:rPr>
            </w:pPr>
            <w:r w:rsidRPr="001912F1">
              <w:rPr>
                <w:rFonts w:ascii="Times New Roman" w:hAnsi="Times New Roman" w:cs="Times New Roman"/>
                <w:bCs/>
                <w:noProof/>
              </w:rPr>
              <w:drawing>
                <wp:inline distT="0" distB="0" distL="0" distR="0" wp14:anchorId="14A1CC12" wp14:editId="1E1E9C51">
                  <wp:extent cx="2979320" cy="179762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00DC28.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11385" cy="1816974"/>
                          </a:xfrm>
                          <a:prstGeom prst="rect">
                            <a:avLst/>
                          </a:prstGeom>
                        </pic:spPr>
                      </pic:pic>
                    </a:graphicData>
                  </a:graphic>
                </wp:inline>
              </w:drawing>
            </w:r>
          </w:p>
          <w:p w14:paraId="3CE84AD1" w14:textId="77777777" w:rsidR="00B45535" w:rsidRPr="001912F1" w:rsidRDefault="00B45535" w:rsidP="00B45535">
            <w:pPr>
              <w:pStyle w:val="ListParagraph"/>
              <w:numPr>
                <w:ilvl w:val="0"/>
                <w:numId w:val="6"/>
              </w:numPr>
              <w:jc w:val="center"/>
              <w:rPr>
                <w:rFonts w:ascii="Times New Roman" w:hAnsi="Times New Roman" w:cs="Times New Roman"/>
              </w:rPr>
            </w:pPr>
            <w:r w:rsidRPr="001912F1">
              <w:rPr>
                <w:rFonts w:ascii="Times New Roman" w:hAnsi="Times New Roman" w:cs="Times New Roman"/>
                <w:bCs/>
              </w:rPr>
              <w:t>Regulatory risks of green building projects</w:t>
            </w:r>
          </w:p>
        </w:tc>
      </w:tr>
    </w:tbl>
    <w:p w14:paraId="117BF448" w14:textId="707BBDFC" w:rsidR="00B45535" w:rsidRPr="001912F1" w:rsidRDefault="00B45535" w:rsidP="008049B7">
      <w:pPr>
        <w:jc w:val="both"/>
        <w:rPr>
          <w:rFonts w:ascii="Times New Roman" w:hAnsi="Times New Roman" w:cs="Times New Roman"/>
          <w:bCs/>
        </w:rPr>
      </w:pPr>
      <w:r w:rsidRPr="001912F1">
        <w:rPr>
          <w:rFonts w:ascii="Times New Roman" w:hAnsi="Times New Roman" w:cs="Times New Roman"/>
          <w:b/>
        </w:rPr>
        <w:t>Fig</w:t>
      </w:r>
      <w:r w:rsidR="008049B7" w:rsidRPr="001912F1">
        <w:rPr>
          <w:rFonts w:ascii="Times New Roman" w:hAnsi="Times New Roman" w:cs="Times New Roman"/>
          <w:b/>
        </w:rPr>
        <w:t>. 6</w:t>
      </w:r>
      <w:r w:rsidRPr="001912F1">
        <w:rPr>
          <w:rFonts w:ascii="Times New Roman" w:hAnsi="Times New Roman" w:cs="Times New Roman"/>
          <w:bCs/>
        </w:rPr>
        <w:t>. Pareto charts of stakeholder, management, environmental, legal, and regulatory risks of GB projects</w:t>
      </w:r>
    </w:p>
    <w:p w14:paraId="1F63416E" w14:textId="77777777" w:rsidR="00D02060" w:rsidRDefault="00D02060" w:rsidP="002039F2">
      <w:pPr>
        <w:spacing w:line="480" w:lineRule="auto"/>
        <w:jc w:val="both"/>
        <w:rPr>
          <w:rFonts w:ascii="Times New Roman" w:hAnsi="Times New Roman" w:cs="Times New Roman"/>
        </w:rPr>
      </w:pPr>
    </w:p>
    <w:p w14:paraId="6F23A358" w14:textId="35412633" w:rsidR="00D01F7E" w:rsidRPr="001912F1" w:rsidRDefault="00D02060" w:rsidP="002039F2">
      <w:pPr>
        <w:spacing w:line="480" w:lineRule="auto"/>
        <w:jc w:val="both"/>
        <w:rPr>
          <w:rFonts w:ascii="Times New Roman" w:hAnsi="Times New Roman" w:cs="Times New Roman"/>
        </w:rPr>
      </w:pPr>
      <w:r w:rsidRPr="001912F1">
        <w:rPr>
          <w:rFonts w:ascii="Times New Roman" w:hAnsi="Times New Roman" w:cs="Times New Roman"/>
        </w:rPr>
        <w:t xml:space="preserve">GB projects are designed and constructed by multiple project participants, institutions, and organizations </w:t>
      </w:r>
      <w:r w:rsidRPr="001912F1">
        <w:rPr>
          <w:rFonts w:ascii="Times New Roman" w:hAnsi="Times New Roman" w:cs="Times New Roman"/>
        </w:rPr>
        <w:fldChar w:fldCharType="begin" w:fldLock="1"/>
      </w:r>
      <w:r>
        <w:rPr>
          <w:rFonts w:ascii="Times New Roman" w:hAnsi="Times New Roman" w:cs="Times New Roman"/>
        </w:rPr>
        <w:instrText>ADDIN CSL_CITATION { "citationItems" : [ { "id" : "ITEM-1", "itemData" : { "DOI" : "10.1108/BEPAM-02-2020-0025", "ISBN" : "0220200025", "ISSN" : "20441258", "abstract" : "Purpose: Prefabricated prefinished volumetric construction (PPVC) projects are industrialized building systems that are co-created. Thus, effective management of the involved stakeholders is required to ensure project success. However, knowledge of how best to manage the diverse stakeholders in PPVC projects is limited. This research identified and prioritized the success factors or key result areas (KRAs) for the effective stakeholder management (SM) in PPVC projects. Design/methodology/approach: A quantitative research design was implemented involving a literature review and structured questionnaire survey with international PPVC experts. The research identified and statistically analysed 12 KRAs for SM in PPVC projects. Findings: Analysis showed that the top three KRAs for SM in PPVC projects include: effective working collaboration, communication and information sharing among participants; effective coordination of the PPVC supply chain segments; and early involvement of relevant stakeholders in the PPVC project. A factor analysis clustered the 12 KRAs into stakeholder analysis and early involvement, effective communication and information sharing and stakeholder interest integration and conflict management. Practical implications: The paper identified and prioritized the KRAs required for the effective SM in PPVC projects. To practitioners, the results may serve as decision support on the key areas to focus to ensure effective SM in PPVC projects and may guide the efficient allocation of limited resources. Originality/value: This research constitutes the first exclusive attempt at identifying and benchmarking the generic KRAs required for effective SM in PPVC projects and contributes to the SM body of knowledge in industrialized construction.", "author" : [ { "dropping-particle" : "", "family" : "Wuni", "given" : "Ibrahim Yahaya", "non-dropping-particle" : "", "parse-names" : false, "suffix" : "" }, { "dropping-particle" : "", "family" : "Shen", "given" : "Geoffrey Qiping", "non-dropping-particle" : "", "parse-names" : false, "suffix" : "" } ], "container-title" : "Built Environment Project and Asset Management", "id" : "ITEM-1", "issue" : "3", "issued" : { "date-parts" : [ [ "2020" ] ] }, "page" : "407-421", "title" : "Stakeholder management in prefabricated prefinished volumetric construction projects: benchmarking the key result areas", "type" : "article-journal", "volume" : "10" }, "uris" : [ "http://www.mendeley.com/documents/?uuid=509400ec-b9c1-4a77-8d1b-eee6a6febf30" ] } ], "mendeley" : { "formattedCitation" : "[85]", "plainTextFormattedCitation" : "[85]", "previouslyFormattedCitation" : "[85]" }, "properties" : { "noteIndex" : 0 }, "schema" : "https://github.com/citation-style-language/schema/raw/master/csl-citation.json" }</w:instrText>
      </w:r>
      <w:r w:rsidRPr="001912F1">
        <w:rPr>
          <w:rFonts w:ascii="Times New Roman" w:hAnsi="Times New Roman" w:cs="Times New Roman"/>
        </w:rPr>
        <w:fldChar w:fldCharType="separate"/>
      </w:r>
      <w:r w:rsidRPr="00A172E2">
        <w:rPr>
          <w:rFonts w:ascii="Times New Roman" w:hAnsi="Times New Roman" w:cs="Times New Roman"/>
          <w:noProof/>
        </w:rPr>
        <w:t>[85]</w:t>
      </w:r>
      <w:r w:rsidRPr="001912F1">
        <w:rPr>
          <w:rFonts w:ascii="Times New Roman" w:hAnsi="Times New Roman" w:cs="Times New Roman"/>
        </w:rPr>
        <w:fldChar w:fldCharType="end"/>
      </w:r>
      <w:r w:rsidRPr="001912F1">
        <w:rPr>
          <w:rFonts w:ascii="Times New Roman" w:hAnsi="Times New Roman" w:cs="Times New Roman"/>
        </w:rPr>
        <w:t xml:space="preserve">. These various players have varied objectives, value systems, goals, understanding, and levels of knowledge of high-performance buildings </w:t>
      </w:r>
      <w:r w:rsidRPr="001912F1">
        <w:rPr>
          <w:rFonts w:ascii="Times New Roman" w:hAnsi="Times New Roman" w:cs="Times New Roman"/>
        </w:rPr>
        <w:fldChar w:fldCharType="begin" w:fldLock="1"/>
      </w:r>
      <w:r>
        <w:rPr>
          <w:rFonts w:ascii="Times New Roman" w:hAnsi="Times New Roman" w:cs="Times New Roman"/>
        </w:rPr>
        <w:instrText>ADDIN CSL_CITATION { "citationItems" : [ { "id" : "ITEM-1", "itemData" : { "DOI" : "10.1016/j.techsoc.2005.10.017", "ISSN" : "0160791X", "abstract" : "In the spring of 2002, recognizing that New York City was proving to be a difficult arena in which to do 'high performance building' and that this might have serious negative implications for the city's global position, the non-profit Center for Economic and Environmental Partnership, Inc. (CEEP), undertook the High Performance Building Initiative. Its premise was that if high performance building - an approach to construction aimed at, among other things, reduced environmental impact, improved public health, better security, and more flexible space - was to become mainstream in New York City, the high performance path would need to be perceived as reasonably predictable, posing only manageable risks and uncertainties. The purpose of the Initiative was to identify the barriers to high performance building in the city and to propose ways in which they could be reduced or eliminated. To accomplish this, CEEP convened interested and/or knowled geable individuals from the full range of relevant specializations and stakeholder perspectives. A final report [1], summarized herein, aggregated the participants' findings. The Initiative was both an important model of collaborative policy research and a valuable catalyst for change in both the public and private sectors. \u00a9 2005 Published by Elsevier Ltd.", "author" : [ { "dropping-particle" : "", "family" : "Zerkin", "given" : "Allen J.", "non-dropping-particle" : "", "parse-names" : false, "suffix" : "" } ], "container-title" : "Technology in Society", "id" : "ITEM-1", "issue" : "1-2", "issued" : { "date-parts" : [ [ "2006" ] ] }, "page" : "137-155", "title" : "Mainstreaming high performance building in New York City: A comprehensive roadmap for removing the barriers", "type" : "article-journal", "volume" : "28" }, "uris" : [ "http://www.mendeley.com/documents/?uuid=daae5acb-cfbf-471c-bf05-9f7553097991" ] } ], "mendeley" : { "formattedCitation" : "[25]", "plainTextFormattedCitation" : "[25]", "previouslyFormattedCitation" : "[25]" }, "properties" : { "noteIndex" : 0 }, "schema" : "https://github.com/citation-style-language/schema/raw/master/csl-citation.json" }</w:instrText>
      </w:r>
      <w:r w:rsidRPr="001912F1">
        <w:rPr>
          <w:rFonts w:ascii="Times New Roman" w:hAnsi="Times New Roman" w:cs="Times New Roman"/>
        </w:rPr>
        <w:fldChar w:fldCharType="separate"/>
      </w:r>
      <w:r w:rsidRPr="00A172E2">
        <w:rPr>
          <w:rFonts w:ascii="Times New Roman" w:hAnsi="Times New Roman" w:cs="Times New Roman"/>
          <w:noProof/>
        </w:rPr>
        <w:t>[25]</w:t>
      </w:r>
      <w:r w:rsidRPr="001912F1">
        <w:rPr>
          <w:rFonts w:ascii="Times New Roman" w:hAnsi="Times New Roman" w:cs="Times New Roman"/>
        </w:rPr>
        <w:fldChar w:fldCharType="end"/>
      </w:r>
      <w:r w:rsidRPr="001912F1">
        <w:rPr>
          <w:rFonts w:ascii="Times New Roman" w:hAnsi="Times New Roman" w:cs="Times New Roman"/>
        </w:rPr>
        <w:t xml:space="preserve">. The key decisions </w:t>
      </w:r>
      <w:r w:rsidRPr="001912F1">
        <w:rPr>
          <w:rFonts w:ascii="Times New Roman" w:hAnsi="Times New Roman" w:cs="Times New Roman"/>
        </w:rPr>
        <w:lastRenderedPageBreak/>
        <w:t xml:space="preserve">(e.g., specification and selection of building materials) significantly affecting the outcomes of GB projects are usually made early in the project lifecycle, without the involvement of key players such as contractors </w:t>
      </w:r>
      <w:r w:rsidRPr="001912F1">
        <w:rPr>
          <w:rFonts w:ascii="Times New Roman" w:hAnsi="Times New Roman" w:cs="Times New Roman"/>
        </w:rPr>
        <w:fldChar w:fldCharType="begin" w:fldLock="1"/>
      </w:r>
      <w:r>
        <w:rPr>
          <w:rFonts w:ascii="Times New Roman" w:hAnsi="Times New Roman" w:cs="Times New Roman"/>
        </w:rPr>
        <w:instrText>ADDIN CSL_CITATION { "citationItems" : [ { "id" : "ITEM-1", "itemData" : { "DOI" : "10.1108/14714170910950830", "ISSN" : "14770857", "abstract" : "Purpose \u2013 The purpose of this paper is to understand what factors best promote or prevent sustainable construction practices and establish the consistency of how sustainability is measured. Design/methodology/approach \u2013 A literature review considered the impact of the industry to sustainability and identified what action and initiatives are already in place. Through this, the main drivers, barriers, measures and benchmarks were identified. The opinions of building surveying professionals were sought and analysed. Findings \u2013 The paper suggested that fiscal incentives/penalties and regulations help to drive sustainable construction. Such financial implications are consistent with \u201caffordability\u201d being the biggest barrier highlighted. The majority of respondents believed the industry is taking some account of sustainability issues, but identified that more needs to be done. Originality/value \u2013 Sustainable development is an integral part of the lives and affects all aspects of business operations. This paper provides an in-depth insight into the level of sustainable development within the construction industry, identifying implications for both the demand and supply side. \u00a9 2009, Emerald Group Publishing Limited", "author" : [ { "dropping-particle" : "", "family" : "Pitt", "given" : "Michael", "non-dropping-particle" : "", "parse-names" : false, "suffix" : "" }, { "dropping-particle" : "", "family" : "Tucker", "given" : "Matthew", "non-dropping-particle" : "", "parse-names" : false, "suffix" : "" }, { "dropping-particle" : "", "family" : "Riley", "given" : "Mike", "non-dropping-particle" : "", "parse-names" : false, "suffix" : "" }, { "dropping-particle" : "", "family" : "Longden", "given" : "Jennifer", "non-dropping-particle" : "", "parse-names" : false, "suffix" : "" } ], "container-title" : "Construction Innovation", "id" : "ITEM-1", "issue" : "2", "issued" : { "date-parts" : [ [ "2009" ] ] }, "page" : "201-224", "title" : "Towards sustainable construction: Promotion and best practices", "type" : "article-journal", "volume" : "9" }, "uris" : [ "http://www.mendeley.com/documents/?uuid=f835dd5d-9421-484f-80df-afe9c51da42a" ] } ], "mendeley" : { "formattedCitation" : "[26]", "plainTextFormattedCitation" : "[26]", "previouslyFormattedCitation" : "[26]" }, "properties" : { "noteIndex" : 0 }, "schema" : "https://github.com/citation-style-language/schema/raw/master/csl-citation.json" }</w:instrText>
      </w:r>
      <w:r w:rsidRPr="001912F1">
        <w:rPr>
          <w:rFonts w:ascii="Times New Roman" w:hAnsi="Times New Roman" w:cs="Times New Roman"/>
        </w:rPr>
        <w:fldChar w:fldCharType="separate"/>
      </w:r>
      <w:r w:rsidRPr="00A172E2">
        <w:rPr>
          <w:rFonts w:ascii="Times New Roman" w:hAnsi="Times New Roman" w:cs="Times New Roman"/>
          <w:noProof/>
        </w:rPr>
        <w:t>[26]</w:t>
      </w:r>
      <w:r w:rsidRPr="001912F1">
        <w:rPr>
          <w:rFonts w:ascii="Times New Roman" w:hAnsi="Times New Roman" w:cs="Times New Roman"/>
        </w:rPr>
        <w:fldChar w:fldCharType="end"/>
      </w:r>
      <w:r w:rsidRPr="001912F1">
        <w:rPr>
          <w:rFonts w:ascii="Times New Roman" w:hAnsi="Times New Roman" w:cs="Times New Roman"/>
        </w:rPr>
        <w:t>.</w:t>
      </w:r>
    </w:p>
    <w:p w14:paraId="1ADBDF82" w14:textId="3489B304" w:rsidR="00F55BE6" w:rsidRPr="001912F1" w:rsidRDefault="00F55BE6" w:rsidP="002039F2">
      <w:pPr>
        <w:spacing w:line="480" w:lineRule="auto"/>
        <w:jc w:val="both"/>
        <w:rPr>
          <w:rFonts w:ascii="Times New Roman" w:hAnsi="Times New Roman" w:cs="Times New Roman"/>
        </w:rPr>
      </w:pPr>
      <w:r w:rsidRPr="001912F1">
        <w:rPr>
          <w:rFonts w:ascii="Times New Roman" w:hAnsi="Times New Roman" w:cs="Times New Roman"/>
        </w:rPr>
        <w:t>Yet, the decisions and roles of various stakeholders have a complementary and cumulative impact on the outcomes of GB projects. Thus, inconsistencies and discrepancies</w:t>
      </w:r>
      <w:r w:rsidR="00142F5A" w:rsidRPr="001912F1">
        <w:rPr>
          <w:rFonts w:ascii="Times New Roman" w:hAnsi="Times New Roman" w:cs="Times New Roman"/>
        </w:rPr>
        <w:t xml:space="preserve"> of decisions</w:t>
      </w:r>
      <w:r w:rsidRPr="001912F1">
        <w:rPr>
          <w:rFonts w:ascii="Times New Roman" w:hAnsi="Times New Roman" w:cs="Times New Roman"/>
        </w:rPr>
        <w:t xml:space="preserve"> between downstream and upstream stages of the delivery chain can compromise the success of GB projects. Thus, poor communication, cooperation, and networking between the project team members can generate inefficiencies and complications in GB projects </w:t>
      </w:r>
      <w:r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"10.1016/j.buildenv.2013.12.014", "ISBN" : "0360-1323", "ISSN" : "03601323", "abstract" : "Previous research on risks in complex green building projects has been mainly focused on what the risks are and how they may impact on project objectives. Such studies have tended toward an inward looking perspective that treats risks in isolation from one another. In reality, most risks are interrelated and associated with internal or external project stakeholders. To address this research gap, this current research developed a Social Network Analysis (SNA) based stakeholder-associated risk analysis method to assess and analyse the risks and their interactions in complex green building projects. A case study was conducted to highlight the green-specific risks and their profiles, together with the proposed mitigation actions. The research results presented in this paper may broaden researchers and construction professionals' awareness of influential risks in green building projects and enhance their ability to perceive, understand, assess, and mitigate the risks in an effective and efficient way; thereby achieving higher performance in strategic risk management and stakeholder communication in green building project management. \u00a9 2014 Elsevier Ltd.", "author" : [ { "dropping-particle" : "", "family" : "Yang", "given" : "Rebecca J.", "non-dropping-particle" : "", "parse-names" : false, "suffix" : "" }, { "dropping-particle" : "", "family" : "Zou", "given" : "Patrick X.W.", "non-dropping-particle" : "", "parse-names" : false, "suffix" : "" } ], "container-title" : "Building and Environment", "id" : "ITEM-1", "issued" : { "date-parts" : [ [ "2014" ] ] }, "page" : "208-222", "publisher" : "Elsevier Ltd", "title" : "Stakeholder-associated risks and their interactions in complex green building projects: A social network model", "type" : "article-journal", "volume" : "73" }, "uris" : [ "http://www.mendeley.com/documents/?uuid=9dfd3cc2-8874-4274-a0ae-694573734acb" ] }, { "id" : "ITEM-2", "itemData" : { "DOI" : "10.1016/j.buildenv.2017.11.014", "ISBN" : "0360-1323", "ISSN" : "03601323", "abstract" : "The high-energy consumption of the architectural, engineering and construction (AEC) industry and associated environmental pollution have become a global challenge, and governments at different levels in China have been dedicated to improving the industry's sustainability. However, although the concept of green building (GB) has been growing rapidly, the primarily emphasis has been on energy-saving design with little attention paid to sustainable post-occupancy operations, which is hindering further development. To address this fundamental issue it is necessary to evaluate the post-occupancy performance of GB and, given China's current circumstances, one that involves the participation of all stakeholders to avoid being dominated by construction professionals. However, such participatory evaluations are currently very limited and perfunctory in the country, usually involving simply informing or placating the stakeholders. In response, this paper develops a comprehensive quantitative method to analyze stakeholder impact during GB post-occupancy evaluation (POE). This enables the various stakeholder groups to be prioritized in terms of their influence levels and hence contributes to maximizing overall stakeholder satisfaction by improving the efficiency and effectiveness of the evaluation. The findings of the paper are expected to help clients and design teams improve their building designs by integrating the views of stakeholders through the POE in order to realize the true spirit of GB development.", "author" : [ { "dropping-particle" : "", "family" : "Li", "given" : "Hongyang", "non-dropping-particle" : "", "parse-names" : false, "suffix" : "" }, { "dropping-particle" : "", "family" : "Ng", "given" : "S. Thomas", "non-dropping-particle" : "", "parse-names" : false, "suffix" : "" }, { "dropping-particle" : "", "family" : "Skitmore", "given" : "Martin", "non-dropping-particle" : "", "parse-names" : false, "suffix" : "" } ], "container-title" : "Building and Environment", "id" : "ITEM-2", "issue" : "November 2017", "issued" : { "date-parts" : [ [ "2018" ] ] }, "page" : "89-95", "publisher" : "Elsevier", "title" : "Stakeholder impact analysis during post-occupancy evaluation of green buildings \u2013 A Chinese context", "type" : "article-journal", "volume" : "128" }, "uris" : [ "http://www.mendeley.com/documents/?uuid=a7f1b957-a07c-4d5d-9c90-3cb2b0a70679" ] } ], "mendeley" : { "formattedCitation" : "[86,87]", "plainTextFormattedCitation" : "[86,87]", "previouslyFormattedCitation" : "[86,87]" }, "properties" : { "noteIndex" : 0 }, "schema" : "https://github.com/citation-style-language/schema/raw/master/csl-citation.json" }</w:instrText>
      </w:r>
      <w:r w:rsidRPr="001912F1">
        <w:rPr>
          <w:rFonts w:ascii="Times New Roman" w:hAnsi="Times New Roman" w:cs="Times New Roman"/>
        </w:rPr>
        <w:fldChar w:fldCharType="separate"/>
      </w:r>
      <w:r w:rsidR="00A172E2" w:rsidRPr="00A172E2">
        <w:rPr>
          <w:rFonts w:ascii="Times New Roman" w:hAnsi="Times New Roman" w:cs="Times New Roman"/>
          <w:noProof/>
        </w:rPr>
        <w:t>[86,87]</w:t>
      </w:r>
      <w:r w:rsidRPr="001912F1">
        <w:rPr>
          <w:rFonts w:ascii="Times New Roman" w:hAnsi="Times New Roman" w:cs="Times New Roman"/>
        </w:rPr>
        <w:fldChar w:fldCharType="end"/>
      </w:r>
      <w:r w:rsidRPr="001912F1">
        <w:rPr>
          <w:rFonts w:ascii="Times New Roman" w:hAnsi="Times New Roman" w:cs="Times New Roman"/>
        </w:rPr>
        <w:t>. Similarly, a lack of a common understanding of sustainability and a shared vision of green buildings can compromise and defeat the collaborative commitment and effort required to achieve success in GB projects.</w:t>
      </w:r>
    </w:p>
    <w:p w14:paraId="42C67142" w14:textId="5DB19001" w:rsidR="009911CE" w:rsidRPr="001912F1" w:rsidRDefault="009911CE" w:rsidP="009911CE">
      <w:pPr>
        <w:spacing w:line="480" w:lineRule="auto"/>
        <w:jc w:val="both"/>
        <w:rPr>
          <w:rFonts w:ascii="Times New Roman" w:hAnsi="Times New Roman" w:cs="Times New Roman"/>
        </w:rPr>
      </w:pPr>
      <w:r w:rsidRPr="001912F1">
        <w:rPr>
          <w:rFonts w:ascii="Times New Roman" w:hAnsi="Times New Roman" w:cs="Times New Roman"/>
        </w:rPr>
        <w:t xml:space="preserve">Additionally, the efficient use of all necessary information and the effective cooperation of all actors call for methods that enable the management and sharing of information among the client, project team, and supply chain partners in GB projects </w:t>
      </w:r>
      <w:r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"10.1080/09613218.2011.561948", "ISSN" : "09613218", "abstract" : "What are the actual barriers and drivers for sustainable building? A literature review, interviews and case studies are presented to address this question. Sustainable building is not hindered by a lack of technologies and assessment methods, but is instead beset with organizational and procedural difficulties entailed by the adoption of new methods. New technologies are resisted because they require process changes entailing risks and unforeseen costs. These hindrances can be reduced by learning what kind of decision-making phases, new tasks, actors, roles and ways of networking are needed. The barriers are outlined as steering mechanisms, economics, a lack of client understanding, process (procurement and tendering, timing, cooperation and networking), and underpinning knowledge (knowledge and common language, the availability of methods and tools, innovation). The most important actions to promote sustainable building are the development of the awareness of clients about the benefits of sustainable building, the development and adoption of methods for sustainable building requirement management, the mobilization of sustainable building tools, the development of designers' competence and team working, and the development of new concepts and services. The interviews and case studies were carried out in Finland, but the results may be applicable or interesting to other countries as well. \u00a9 2011 Taylor &amp; Francis.", "author" : [ { "dropping-particle" : "", "family" : "H\u00e4kkinen", "given" : "Tarja", "non-dropping-particle" : "", "parse-names" : false, "suffix" : "" }, { "dropping-particle" : "", "family" : "Belloni", "given" : "Kaisa", "non-dropping-particle" : "", "parse-names" : false, "suffix" : "" } ], "container-title" : "Building Research and Information", "id" : "ITEM-1", "issue" : "3", "issued" : { "date-parts" : [ [ "2011" ] ] }, "page" : "239-255", "title" : "Barriers and drivers for sustainable building", "type" : "article-journal", "volume" : "39" }, "uris" : [ "http://www.mendeley.com/documents/?uuid=7fa56671-0397-479e-aec7-708637a215d1" ] } ], "mendeley" : { "formattedCitation" : "[13]", "plainTextFormattedCitation" : "[13]", "previouslyFormattedCitation" : "[13]" }, "properties" : { "noteIndex" : 0 }, "schema" : "https://github.com/citation-style-language/schema/raw/master/csl-citation.json" }</w:instrText>
      </w:r>
      <w:r w:rsidRPr="001912F1">
        <w:rPr>
          <w:rFonts w:ascii="Times New Roman" w:hAnsi="Times New Roman" w:cs="Times New Roman"/>
        </w:rPr>
        <w:fldChar w:fldCharType="separate"/>
      </w:r>
      <w:r w:rsidR="00A172E2" w:rsidRPr="00A172E2">
        <w:rPr>
          <w:rFonts w:ascii="Times New Roman" w:hAnsi="Times New Roman" w:cs="Times New Roman"/>
          <w:noProof/>
        </w:rPr>
        <w:t>[13]</w:t>
      </w:r>
      <w:r w:rsidRPr="001912F1">
        <w:rPr>
          <w:rFonts w:ascii="Times New Roman" w:hAnsi="Times New Roman" w:cs="Times New Roman"/>
        </w:rPr>
        <w:fldChar w:fldCharType="end"/>
      </w:r>
      <w:r w:rsidRPr="001912F1">
        <w:rPr>
          <w:rFonts w:ascii="Times New Roman" w:hAnsi="Times New Roman" w:cs="Times New Roman"/>
        </w:rPr>
        <w:t xml:space="preserve">. Thus, poor interrelationships between </w:t>
      </w:r>
      <w:r w:rsidR="00142F5A" w:rsidRPr="001912F1">
        <w:rPr>
          <w:rFonts w:ascii="Times New Roman" w:hAnsi="Times New Roman" w:cs="Times New Roman"/>
        </w:rPr>
        <w:t>various stakeholders</w:t>
      </w:r>
      <w:r w:rsidRPr="001912F1">
        <w:rPr>
          <w:rFonts w:ascii="Times New Roman" w:hAnsi="Times New Roman" w:cs="Times New Roman"/>
        </w:rPr>
        <w:t xml:space="preserve"> present acute risks of poor communication and information sharing to achieve the objectives of GB projects. Similarly, early commitment and interests of the client and project team members are required to achieve desired outcomes in GB projects. For instance, the interested client and project players would commit to green objectives early upfront, plan extensively, and adopt an integrated delivery method to integrate the key players at the outset of </w:t>
      </w:r>
      <w:r w:rsidR="0028352F" w:rsidRPr="001912F1">
        <w:rPr>
          <w:rFonts w:ascii="Times New Roman" w:hAnsi="Times New Roman" w:cs="Times New Roman"/>
        </w:rPr>
        <w:t xml:space="preserve">GB </w:t>
      </w:r>
      <w:r w:rsidRPr="001912F1">
        <w:rPr>
          <w:rFonts w:ascii="Times New Roman" w:hAnsi="Times New Roman" w:cs="Times New Roman"/>
        </w:rPr>
        <w:t xml:space="preserve">projects, where decisions about green objectives matter most </w:t>
      </w:r>
      <w:r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"10.1108/ECAM-10-2019-0534", "ISSN" : "09699988", "abstract" : "Purpose: For many types of buildings, prefabricated prefinished volumetric construction (PPVC) is increasingly becoming a preferred alternative construction approach. Empirical evidence of project performance has consistently demonstrated that the ultimate success of PPVC projects is directly linked to the key decisions made at the outset of the PPVC project life cycle. However, there is limited knowledge of how to successfully manage these early stages. This research identified and evaluated the critical success factors (CSFs) required for the management of the conception, planning and design stages of the PPVC project life cycle. Design/methodology/approach: A multistage methodological framework was adopted to identify and evaluate the CSFs for management of the early stages of the PPVC project life cycle. Based on a comprehensive literature review and expert review, a list of the 9 CSFs relevant to the early stages of the PPVC project life cycle was established. Drawing on an online-based international questionnaire survey with global PPVC experts, the CSFs were measured. The data set was statistically tested for reliability and analyzed using several techniques such as mean scores, relativity weightings and significance analysis. Findings: The analysis revealed that the top 5 most influential CSFs for management of the early stages of the PPVC project life cycle include robust design specifications, accurate drawings and early design freeze; good working collaboration, effective communication and information sharing among project participants; effective stakeholder management; extensive project planning and scheduling; and early engagement of key players. The research further found correlations among the CSFs and proposed a conceptual framework for the management of the early stages of the PPVC project life cycle. Research limitations/implications: The research recognizes that data quality and reliability risks are the major drawbacks of online questionnaire surveys but the engagement of experts with substantial theoretical and hands-on experiences in PPVC projects helped to minimize these risks. Although small, the sample size was justified and compared with studies that adopted the same data collection approach but analyzed even smaller samples. However, the results should be interpreted against these limitations. Practical implications: The findings suggest that effective management of the early stages of the PPVC project lifecycle requires early\u2026", "author" : [ { "dropping-particle" : "", "family" : "Wuni", "given" : "Ibrahim Yahaya", "non-dropping-particle" : "", "parse-names" : false, "suffix" : "" }, { "dropping-particle" : "", "family" : "Shen", "given" : "Geoffrey Qiping", "non-dropping-particle" : "", "parse-names" : false, "suffix" : "" } ], "container-title" : "Engineering, Construction and Architectural Management", "id" : "ITEM-1", "issue" : "9", "issued" : { "date-parts" : [ [ "2020" ] ] }, "page" : "2315-2333", "title" : "Critical success factors for management of the early stages of prefabricated prefinished volumetric construction project life cycle", "type" : "article-journal", "volume" : "27" }, "uris" : [ "http://www.mendeley.com/documents/?uuid=a047b0a1-141c-48d8-9435-1b198e3acf72" ] } ], "mendeley" : { "formattedCitation" : "[88]", "plainTextFormattedCitation" : "[88]", "previouslyFormattedCitation" : "[88]" }, "properties" : { "noteIndex" : 0 }, "schema" : "https://github.com/citation-style-language/schema/raw/master/csl-citation.json" }</w:instrText>
      </w:r>
      <w:r w:rsidRPr="001912F1">
        <w:rPr>
          <w:rFonts w:ascii="Times New Roman" w:hAnsi="Times New Roman" w:cs="Times New Roman"/>
        </w:rPr>
        <w:fldChar w:fldCharType="separate"/>
      </w:r>
      <w:r w:rsidR="00A172E2" w:rsidRPr="00A172E2">
        <w:rPr>
          <w:rFonts w:ascii="Times New Roman" w:hAnsi="Times New Roman" w:cs="Times New Roman"/>
          <w:noProof/>
        </w:rPr>
        <w:t>[88]</w:t>
      </w:r>
      <w:r w:rsidRPr="001912F1">
        <w:rPr>
          <w:rFonts w:ascii="Times New Roman" w:hAnsi="Times New Roman" w:cs="Times New Roman"/>
        </w:rPr>
        <w:fldChar w:fldCharType="end"/>
      </w:r>
      <w:r w:rsidRPr="001912F1">
        <w:rPr>
          <w:rFonts w:ascii="Times New Roman" w:hAnsi="Times New Roman" w:cs="Times New Roman"/>
        </w:rPr>
        <w:t>. Thus, a lack of expressed interest from client and project team members constitute</w:t>
      </w:r>
      <w:r w:rsidR="005D08AE" w:rsidRPr="001912F1">
        <w:rPr>
          <w:rFonts w:ascii="Times New Roman" w:hAnsi="Times New Roman" w:cs="Times New Roman"/>
        </w:rPr>
        <w:t>s</w:t>
      </w:r>
      <w:r w:rsidRPr="001912F1">
        <w:rPr>
          <w:rFonts w:ascii="Times New Roman" w:hAnsi="Times New Roman" w:cs="Times New Roman"/>
        </w:rPr>
        <w:t xml:space="preserve"> </w:t>
      </w:r>
      <w:r w:rsidR="005D08AE" w:rsidRPr="001912F1">
        <w:rPr>
          <w:rFonts w:ascii="Times New Roman" w:hAnsi="Times New Roman" w:cs="Times New Roman"/>
        </w:rPr>
        <w:t xml:space="preserve">a </w:t>
      </w:r>
      <w:r w:rsidRPr="001912F1">
        <w:rPr>
          <w:rFonts w:ascii="Times New Roman" w:hAnsi="Times New Roman" w:cs="Times New Roman"/>
        </w:rPr>
        <w:t xml:space="preserve">recipe for poor commitment to and outcomes of GB projects </w:t>
      </w:r>
      <w:r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"10.1080/17452007.2012.659507", "ISSN" : "17527589", "abstract" : "The call for green building development provides the construction supply chain with new business opportunities. However, there are significant risks associated with such opportunities. This research aims at understanding the major risks and their distributions in the supply chain and developing strategies to manage these risks. 250 sets of survey questionnaires were set out to selected industry professionals in Australia and 93 sets were returned with 91 sets valid. The results show that the risks in green building development vary and are unequally distributed throughout the supply chain, but there are common risks with \u2018lack of commitment in the supply chain to go green\u2019 and \u2018higher investment costs\u2019 as the most important risks overall. The results also show that considerable improvement could be made to green building performance through research and development, training and education, supply chain co-ordination, knowledge and information sharing, experience accumulation and technology application. The research finding suggests that members in the supply chain: record green-related information in a central database; utilize expertise of green building professionals; clearly communicate green building objectives and responsibilities to all supply chain members; invest in greenbuilding training and education regarding responsibilities, benefits, technology and solutions; and team up with suppliers and manufacturers for developing green-complied products and materials.", "author" : [ { "dropping-particle" : "", "family" : "Zou", "given" : "Patrick X.W.", "non-dropping-particle" : "", "parse-names" : false, "suffix" : "" }, { "dropping-particle" : "", "family" : "Couani", "given" : "Paul", "non-dropping-particle" : "", "parse-names" : false, "suffix" : "" } ], "container-title" : "Architectural Engineering and Design Management", "id" : "ITEM-1", "issue" : "2", "issued" : { "date-parts" : [ [ "2012" ] ] }, "page" : "143-158", "title" : "Managing risks in green building supply chain", "type" : "article-journal", "volume" : "8" }, "uris" : [ "http://www.mendeley.com/documents/?uuid=e69165f8-c38a-4b64-a85d-f8dd1fb12f6a" ] } ], "mendeley" : { "formattedCitation" : "[29]", "plainTextFormattedCitation" : "[29]", "previouslyFormattedCitation" : "[29]" }, "properties" : { "noteIndex" : 0 }, "schema" : "https://github.com/citation-style-language/schema/raw/master/csl-citation.json" }</w:instrText>
      </w:r>
      <w:r w:rsidRPr="001912F1">
        <w:rPr>
          <w:rFonts w:ascii="Times New Roman" w:hAnsi="Times New Roman" w:cs="Times New Roman"/>
        </w:rPr>
        <w:fldChar w:fldCharType="separate"/>
      </w:r>
      <w:r w:rsidR="00A172E2" w:rsidRPr="00A172E2">
        <w:rPr>
          <w:rFonts w:ascii="Times New Roman" w:hAnsi="Times New Roman" w:cs="Times New Roman"/>
          <w:noProof/>
        </w:rPr>
        <w:t>[29]</w:t>
      </w:r>
      <w:r w:rsidRPr="001912F1">
        <w:rPr>
          <w:rFonts w:ascii="Times New Roman" w:hAnsi="Times New Roman" w:cs="Times New Roman"/>
        </w:rPr>
        <w:fldChar w:fldCharType="end"/>
      </w:r>
      <w:r w:rsidRPr="001912F1">
        <w:rPr>
          <w:rFonts w:ascii="Times New Roman" w:hAnsi="Times New Roman" w:cs="Times New Roman"/>
        </w:rPr>
        <w:t>. Similarly, a poor commitment of consultant</w:t>
      </w:r>
      <w:r w:rsidR="0028352F" w:rsidRPr="001912F1">
        <w:rPr>
          <w:rFonts w:ascii="Times New Roman" w:hAnsi="Times New Roman" w:cs="Times New Roman"/>
        </w:rPr>
        <w:t>s</w:t>
      </w:r>
      <w:r w:rsidRPr="001912F1">
        <w:rPr>
          <w:rFonts w:ascii="Times New Roman" w:hAnsi="Times New Roman" w:cs="Times New Roman"/>
        </w:rPr>
        <w:t xml:space="preserve"> can result in poor decisions at early stages, limited access to reliable data and information o</w:t>
      </w:r>
      <w:r w:rsidR="005D08AE" w:rsidRPr="001912F1">
        <w:rPr>
          <w:rFonts w:ascii="Times New Roman" w:hAnsi="Times New Roman" w:cs="Times New Roman"/>
        </w:rPr>
        <w:t>n</w:t>
      </w:r>
      <w:r w:rsidRPr="001912F1">
        <w:rPr>
          <w:rFonts w:ascii="Times New Roman" w:hAnsi="Times New Roman" w:cs="Times New Roman"/>
        </w:rPr>
        <w:t xml:space="preserve"> green solutions, inefficiencies during the construction phase, and risk </w:t>
      </w:r>
      <w:r w:rsidRPr="001912F1">
        <w:rPr>
          <w:rFonts w:ascii="Times New Roman" w:hAnsi="Times New Roman" w:cs="Times New Roman"/>
        </w:rPr>
        <w:lastRenderedPageBreak/>
        <w:t>of losing green certification or additional cost</w:t>
      </w:r>
      <w:r w:rsidR="005D08AE" w:rsidRPr="001912F1">
        <w:rPr>
          <w:rFonts w:ascii="Times New Roman" w:hAnsi="Times New Roman" w:cs="Times New Roman"/>
        </w:rPr>
        <w:t>s</w:t>
      </w:r>
      <w:r w:rsidRPr="001912F1">
        <w:rPr>
          <w:rFonts w:ascii="Times New Roman" w:hAnsi="Times New Roman" w:cs="Times New Roman"/>
        </w:rPr>
        <w:t xml:space="preserve"> to correct products and systems </w:t>
      </w:r>
      <w:r w:rsidR="00696A1F" w:rsidRPr="001912F1">
        <w:rPr>
          <w:rFonts w:ascii="Times New Roman" w:hAnsi="Times New Roman" w:cs="Times New Roman"/>
        </w:rPr>
        <w:t>with a lack of</w:t>
      </w:r>
      <w:r w:rsidRPr="001912F1">
        <w:rPr>
          <w:rFonts w:ascii="Times New Roman" w:hAnsi="Times New Roman" w:cs="Times New Roman"/>
        </w:rPr>
        <w:t xml:space="preserve"> green standards </w:t>
      </w:r>
      <w:r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"10.1002/sd.492", "ISSN" : "09680802", "abstract" : "Green building construction is earning a place in Singapore's construction industry, and, with augmenting cognizance of environmental issues and growing concern over climate change, sustainable construction is gradually being put forth globally. However, construction of green buildings in Singapore still encounters impediments, as there is a lack of proper project management framework for such projects. Based on survey and interview results from 31 industry experts, this study aims to identify common obstacles encountered during management of green construction projects, ultimately proposing some solutions to overcome the barriers. The findings from this study reveal that, although project cost is the paramount barrier among others in green building construction management, there is no paucity in sustainable knowledge in Singapore's construction industry. To deal with the cost related problem, the coverage of government incentives should be widened to include the usage of green products and technologies. Furthermore, a project management framework for green building construction should be developed to overcome the barriers, possibly promoting adoption of sustainable construction in future projects. \u00a9 2010 John Wiley &amp; Sons, Ltd and ERP Environment.", "author" : [ { "dropping-particle" : "", "family" : "Hwang", "given" : "Bon Gang", "non-dropping-particle" : "", "parse-names" : false, "suffix" : "" }, { "dropping-particle" : "", "family" : "Tan", "given" : "Jac See", "non-dropping-particle" : "", "parse-names" : false, "suffix" : "" } ], "container-title" : "Sustainable Development", "id" : "ITEM-1", "issue" : "5", "issued" : { "date-parts" : [ [ "2012" ] ] }, "page" : "335-349", "title" : "Green building project management: Obstacles and solutions for sustainable development", "type" : "article-journal", "volume" : "20" }, "uris" : [ "http://www.mendeley.com/documents/?uuid=84cd5305-9dfd-458e-86f5-5b3d2bdb6add" ] }, { "id" : "ITEM-2", "itemData" : { "DOI" : "10.1080/17452007.2012.659507", "ISSN" : "17527589", "abstract" : "The call for green building development provides the construction supply chain with new business opportunities. However, there are significant risks associated with such opportunities. This research aims at understanding the major risks and their distributions in the supply chain and developing strategies to manage these risks. 250 sets of survey questionnaires were set out to selected industry professionals in Australia and 93 sets were returned with 91 sets valid. The results show that the risks in green building development vary and are unequally distributed throughout the supply chain, but there are common risks with \u2018lack of commitment in the supply chain to go green\u2019 and \u2018higher investment costs\u2019 as the most important risks overall. The results also show that considerable improvement could be made to green building performance through research and development, training and education, supply chain co-ordination, knowledge and information sharing, experience accumulation and technology application. The research finding suggests that members in the supply chain: record green-related information in a central database; utilize expertise of green building professionals; clearly communicate green building objectives and responsibilities to all supply chain members; invest in greenbuilding training and education regarding responsibilities, benefits, technology and solutions; and team up with suppliers and manufacturers for developing green-complied products and materials.", "author" : [ { "dropping-particle" : "", "family" : "Zou", "given" : "Patrick X.W.", "non-dropping-particle" : "", "parse-names" : false, "suffix" : "" }, { "dropping-particle" : "", "family" : "Couani", "given" : "Paul", "non-dropping-particle" : "", "parse-names" : false, "suffix" : "" } ], "container-title" : "Architectural Engineering and Design Management", "id" : "ITEM-2", "issue" : "2", "issued" : { "date-parts" : [ [ "2012" ] ] }, "page" : "143-158", "title" : "Managing risks in green building supply chain", "type" : "article-journal", "volume" : "8" }, "uris" : [ "http://www.mendeley.com/documents/?uuid=e69165f8-c38a-4b64-a85d-f8dd1fb12f6a" ] } ], "mendeley" : { "formattedCitation" : "[29,83]", "plainTextFormattedCitation" : "[29,83]", "previouslyFormattedCitation" : "[29,83]" }, "properties" : { "noteIndex" : 0 }, "schema" : "https://github.com/citation-style-language/schema/raw/master/csl-citation.json" }</w:instrText>
      </w:r>
      <w:r w:rsidRPr="001912F1">
        <w:rPr>
          <w:rFonts w:ascii="Times New Roman" w:hAnsi="Times New Roman" w:cs="Times New Roman"/>
        </w:rPr>
        <w:fldChar w:fldCharType="separate"/>
      </w:r>
      <w:r w:rsidR="00A172E2" w:rsidRPr="00A172E2">
        <w:rPr>
          <w:rFonts w:ascii="Times New Roman" w:hAnsi="Times New Roman" w:cs="Times New Roman"/>
          <w:noProof/>
        </w:rPr>
        <w:t>[29,83]</w:t>
      </w:r>
      <w:r w:rsidRPr="001912F1">
        <w:rPr>
          <w:rFonts w:ascii="Times New Roman" w:hAnsi="Times New Roman" w:cs="Times New Roman"/>
        </w:rPr>
        <w:fldChar w:fldCharType="end"/>
      </w:r>
      <w:r w:rsidRPr="001912F1">
        <w:rPr>
          <w:rFonts w:ascii="Times New Roman" w:hAnsi="Times New Roman" w:cs="Times New Roman"/>
        </w:rPr>
        <w:t>.</w:t>
      </w:r>
    </w:p>
    <w:p w14:paraId="20871DD7" w14:textId="16C2A8B6" w:rsidR="002678B9" w:rsidRPr="001912F1" w:rsidRDefault="009911CE" w:rsidP="0050090C">
      <w:pPr>
        <w:spacing w:line="480" w:lineRule="auto"/>
        <w:jc w:val="both"/>
        <w:rPr>
          <w:rFonts w:ascii="Times New Roman" w:hAnsi="Times New Roman" w:cs="Times New Roman"/>
        </w:rPr>
      </w:pPr>
      <w:r w:rsidRPr="001912F1">
        <w:rPr>
          <w:rFonts w:ascii="Times New Roman" w:hAnsi="Times New Roman" w:cs="Times New Roman"/>
        </w:rPr>
        <w:t>Moreover, f</w:t>
      </w:r>
      <w:r w:rsidR="00A40CEE" w:rsidRPr="001912F1">
        <w:rPr>
          <w:rFonts w:ascii="Times New Roman" w:hAnsi="Times New Roman" w:cs="Times New Roman"/>
        </w:rPr>
        <w:t xml:space="preserve">requent change orders and </w:t>
      </w:r>
      <w:r w:rsidR="005D08AE" w:rsidRPr="001912F1">
        <w:rPr>
          <w:rFonts w:ascii="Times New Roman" w:hAnsi="Times New Roman" w:cs="Times New Roman"/>
        </w:rPr>
        <w:t xml:space="preserve">the </w:t>
      </w:r>
      <w:r w:rsidR="00A40CEE" w:rsidRPr="001912F1">
        <w:rPr>
          <w:rFonts w:ascii="Times New Roman" w:hAnsi="Times New Roman" w:cs="Times New Roman"/>
        </w:rPr>
        <w:t>intervention of client</w:t>
      </w:r>
      <w:r w:rsidR="005D08AE" w:rsidRPr="001912F1">
        <w:rPr>
          <w:rFonts w:ascii="Times New Roman" w:hAnsi="Times New Roman" w:cs="Times New Roman"/>
        </w:rPr>
        <w:t>s</w:t>
      </w:r>
      <w:r w:rsidR="00E22D8A" w:rsidRPr="001912F1">
        <w:rPr>
          <w:rFonts w:ascii="Times New Roman" w:hAnsi="Times New Roman" w:cs="Times New Roman"/>
        </w:rPr>
        <w:t xml:space="preserve"> </w:t>
      </w:r>
      <w:r w:rsidR="00A40CEE" w:rsidRPr="001912F1">
        <w:rPr>
          <w:rFonts w:ascii="Times New Roman" w:hAnsi="Times New Roman" w:cs="Times New Roman"/>
        </w:rPr>
        <w:t>can significantly alter the time and cost of planning, design, and construction of GB projects</w:t>
      </w:r>
      <w:r w:rsidR="00325A97" w:rsidRPr="001912F1">
        <w:rPr>
          <w:rFonts w:ascii="Times New Roman" w:hAnsi="Times New Roman" w:cs="Times New Roman"/>
        </w:rPr>
        <w:t xml:space="preserve"> </w:t>
      </w:r>
      <w:r w:rsidR="00325A97"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"10.1016/j.ijproman.2007.03.001", "ISSN" : "02637863", "abstract" : "The aim of this paper is to understand the key risks in construction projects in China and to develop strategies to manage them. Risks were prioritized according to their significance of influences on typical project objectives in terms of cost, time, quality, safety and environmental sustainability, and then scrutinized from a joint perspective of project stakeholders and life cycle. Postal questionnaire surveys were used to collect data, based on which a total of 25 key risks were ascertained. These risks were compared with the findings of a parallel survey in the Australian construction industry context to highlight the unique risks associated with construction projects in China. Strategies to manage the risks were sought from the perspectives of project stakeholders and life cycle and in light of the Chinese construction culture. It is concluded that clients, designers and government bodies should take the responsibility to manage their relevant risks and work cooperatively from the feasibility phase onwards to address potential risks in time; contractors and subcontractors with robust construction and management knowledge should be employed to minimize construction risks and carry out safe, efficient and quality construction activities. \u00a9 2007 Elsevier Ltd and IPMA.", "author" : [ { "dropping-particle" : "", "family" : "Zou", "given" : "Patrick X.W.", "non-dropping-particle" : "", "parse-names" : false, "suffix" : "" }, { "dropping-particle" : "", "family" : "Zhang", "given" : "Guomin", "non-dropping-particle" : "", "parse-names" : false, "suffix" : "" }, { "dropping-particle" : "", "family" : "Wang", "given" : "Jiayuan", "non-dropping-particle" : "", "parse-names" : false, "suffix" : "" } ], "container-title" : "International Journal of Project Management", "id" : "ITEM-1", "issue" : "6", "issued" : { "date-parts" : [ [ "2007" ] ] }, "page" : "601-614", "title" : "Understanding the key risks in construction projects in China", "type" : "article-journal", "volume" : "25" }, "uris" : [ "http://www.mendeley.com/documents/?uuid=83601f31-dd3a-449c-8adc-7139951b5500" ] } ], "mendeley" : { "formattedCitation" : "[57]", "plainTextFormattedCitation" : "[57]", "previouslyFormattedCitation" : "[57]" }, "properties" : { "noteIndex" : 0 }, "schema" : "https://github.com/citation-style-language/schema/raw/master/csl-citation.json" }</w:instrText>
      </w:r>
      <w:r w:rsidR="00325A97" w:rsidRPr="001912F1">
        <w:rPr>
          <w:rFonts w:ascii="Times New Roman" w:hAnsi="Times New Roman" w:cs="Times New Roman"/>
        </w:rPr>
        <w:fldChar w:fldCharType="separate"/>
      </w:r>
      <w:r w:rsidR="00A172E2" w:rsidRPr="00A172E2">
        <w:rPr>
          <w:rFonts w:ascii="Times New Roman" w:hAnsi="Times New Roman" w:cs="Times New Roman"/>
          <w:noProof/>
        </w:rPr>
        <w:t>[57]</w:t>
      </w:r>
      <w:r w:rsidR="00325A97" w:rsidRPr="001912F1">
        <w:rPr>
          <w:rFonts w:ascii="Times New Roman" w:hAnsi="Times New Roman" w:cs="Times New Roman"/>
        </w:rPr>
        <w:fldChar w:fldCharType="end"/>
      </w:r>
      <w:r w:rsidR="00A40CEE" w:rsidRPr="001912F1">
        <w:rPr>
          <w:rFonts w:ascii="Times New Roman" w:hAnsi="Times New Roman" w:cs="Times New Roman"/>
        </w:rPr>
        <w:t>.</w:t>
      </w:r>
      <w:r w:rsidR="00E22D8A" w:rsidRPr="001912F1">
        <w:rPr>
          <w:rFonts w:ascii="Times New Roman" w:hAnsi="Times New Roman" w:cs="Times New Roman"/>
        </w:rPr>
        <w:t xml:space="preserve"> </w:t>
      </w:r>
      <w:r w:rsidR="005E5BCF" w:rsidRPr="001912F1">
        <w:rPr>
          <w:rFonts w:ascii="Times New Roman" w:hAnsi="Times New Roman" w:cs="Times New Roman"/>
        </w:rPr>
        <w:t>While the client is responsible for changes due to change of mind and additional requirements, change orders arising from the misinterpretation of the client</w:t>
      </w:r>
      <w:r w:rsidR="00696A1F" w:rsidRPr="001912F1">
        <w:rPr>
          <w:rFonts w:ascii="Times New Roman" w:hAnsi="Times New Roman" w:cs="Times New Roman"/>
        </w:rPr>
        <w:t>’s needs</w:t>
      </w:r>
      <w:r w:rsidR="005E5BCF" w:rsidRPr="001912F1">
        <w:rPr>
          <w:rFonts w:ascii="Times New Roman" w:hAnsi="Times New Roman" w:cs="Times New Roman"/>
        </w:rPr>
        <w:t xml:space="preserve"> in the project brief can result in dysfunctional conflicts in GB projects.</w:t>
      </w:r>
      <w:r w:rsidRPr="001912F1">
        <w:rPr>
          <w:rFonts w:ascii="Times New Roman" w:hAnsi="Times New Roman" w:cs="Times New Roman"/>
        </w:rPr>
        <w:t xml:space="preserve"> Lastly, l</w:t>
      </w:r>
      <w:r w:rsidR="00CE221B" w:rsidRPr="001912F1">
        <w:rPr>
          <w:rFonts w:ascii="Times New Roman" w:hAnsi="Times New Roman" w:cs="Times New Roman"/>
        </w:rPr>
        <w:t>abor injuries and accidents caused by overexertion, exposure to hazardous materials, malfunction of equipment, and electrical shocks can significant</w:t>
      </w:r>
      <w:r w:rsidR="005D08AE" w:rsidRPr="001912F1">
        <w:rPr>
          <w:rFonts w:ascii="Times New Roman" w:hAnsi="Times New Roman" w:cs="Times New Roman"/>
        </w:rPr>
        <w:t>ly</w:t>
      </w:r>
      <w:r w:rsidR="00CE221B" w:rsidRPr="001912F1">
        <w:rPr>
          <w:rFonts w:ascii="Times New Roman" w:hAnsi="Times New Roman" w:cs="Times New Roman"/>
        </w:rPr>
        <w:t xml:space="preserve"> result </w:t>
      </w:r>
      <w:r w:rsidR="005D08AE" w:rsidRPr="001912F1">
        <w:rPr>
          <w:rFonts w:ascii="Times New Roman" w:hAnsi="Times New Roman" w:cs="Times New Roman"/>
        </w:rPr>
        <w:t xml:space="preserve">in </w:t>
      </w:r>
      <w:r w:rsidR="00CE221B" w:rsidRPr="001912F1">
        <w:rPr>
          <w:rFonts w:ascii="Times New Roman" w:hAnsi="Times New Roman" w:cs="Times New Roman"/>
        </w:rPr>
        <w:t xml:space="preserve">decreased morale of workers, low productivity, and statutory claims in GB projects </w:t>
      </w:r>
      <w:r w:rsidR="00CE221B"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"10.1016/j.jclepro.2020.120372", "ISSN" : "09596526", "abstract" : "Green building (GB) projects have attracted wide attention in the construction industry in recent years owing to numerous benefits of green practices for sustainable development. However, existing research efforts on GB project risk management are very limited, and no prior in-depth research has focused on studying the risk interdependencies in GB projects from the perspectives of both the project life cycle and multiple project risks. This paper begins by identifying and distinguishing GB project constraints from multiple GB project risks using a systematic literature review and then investigates, based on the Interpretive Structural Modeling (ISM) method, the risk interdependencies taking into account the identified 16 constraint factors, 22 risk factors and 11 objectives throughout a GB project life cycle. The importance of constraints and risk factors associated with GB project objectives was calculated based on the influence transmission through network paths in the established ISM-based model. In addition, the Matrice d'Impacts Crois\u00e9s Multiplication Appliqu\u00e9e \u00e1 un Classement (MICMAC) approach was used to analyze the drive and dependence powers of risk interdependency elements. Critical constraints and risk factors in the implementation of GB projects can be obtained from the proposed risk analysis model, which contributes to an in-depth risk perception of GB projects for industry practitioners and facilitates GB project risk management in a more effective way.", "author" : [ { "dropping-particle" : "", "family" : "Guan", "given" : "Li", "non-dropping-particle" : "", "parse-names" : false, "suffix" : "" }, { "dropping-particle" : "", "family" : "Abbasi", "given" : "Alireza", "non-dropping-particle" : "", "parse-names" : false, "suffix" : "" }, { "dropping-particle" : "", "family" : "Ryan", "given" : "Michael J.", "non-dropping-particle" : "", "parse-names" : false, "suffix" : "" } ], "container-title" : "Journal of Cleaner Production", "id" : "ITEM-1", "issued" : { "date-parts" : [ [ "2020" ] ] }, "page" : "120372", "publisher" : "Elsevier Ltd", "title" : "Analyzing green building project risk interdependencies using Interpretive Structural Modeling", "type" : "article-journal", "volume" : "256" }, "uris" : [ "http://www.mendeley.com/documents/?uuid=fad87b48-b75d-4f4f-b9e9-f097ba07f5f5" ] } ], "mendeley" : { "formattedCitation" : "[19]", "plainTextFormattedCitation" : "[19]", "previouslyFormattedCitation" : "[19]" }, "properties" : { "noteIndex" : 0 }, "schema" : "https://github.com/citation-style-language/schema/raw/master/csl-citation.json" }</w:instrText>
      </w:r>
      <w:r w:rsidR="00CE221B" w:rsidRPr="001912F1">
        <w:rPr>
          <w:rFonts w:ascii="Times New Roman" w:hAnsi="Times New Roman" w:cs="Times New Roman"/>
        </w:rPr>
        <w:fldChar w:fldCharType="separate"/>
      </w:r>
      <w:r w:rsidR="00A172E2" w:rsidRPr="00A172E2">
        <w:rPr>
          <w:rFonts w:ascii="Times New Roman" w:hAnsi="Times New Roman" w:cs="Times New Roman"/>
          <w:noProof/>
        </w:rPr>
        <w:t>[19]</w:t>
      </w:r>
      <w:r w:rsidR="00CE221B" w:rsidRPr="001912F1">
        <w:rPr>
          <w:rFonts w:ascii="Times New Roman" w:hAnsi="Times New Roman" w:cs="Times New Roman"/>
        </w:rPr>
        <w:fldChar w:fldCharType="end"/>
      </w:r>
      <w:r w:rsidR="00CE221B" w:rsidRPr="001912F1">
        <w:rPr>
          <w:rFonts w:ascii="Times New Roman" w:hAnsi="Times New Roman" w:cs="Times New Roman"/>
        </w:rPr>
        <w:t xml:space="preserve">. </w:t>
      </w:r>
      <w:r w:rsidR="00246076" w:rsidRPr="001912F1">
        <w:rPr>
          <w:rFonts w:ascii="Times New Roman" w:hAnsi="Times New Roman" w:cs="Times New Roman"/>
        </w:rPr>
        <w:t>Injuries and accidents during construction</w:t>
      </w:r>
      <w:r w:rsidR="005E5BCF" w:rsidRPr="001912F1">
        <w:rPr>
          <w:rFonts w:ascii="Times New Roman" w:hAnsi="Times New Roman" w:cs="Times New Roman"/>
        </w:rPr>
        <w:t xml:space="preserve"> </w:t>
      </w:r>
      <w:r w:rsidR="00246076" w:rsidRPr="001912F1">
        <w:rPr>
          <w:rFonts w:ascii="Times New Roman" w:hAnsi="Times New Roman" w:cs="Times New Roman"/>
        </w:rPr>
        <w:t>have adverse implications on the objectives of GB projects</w:t>
      </w:r>
      <w:r w:rsidR="002678B9" w:rsidRPr="001912F1">
        <w:rPr>
          <w:rFonts w:ascii="Times New Roman" w:hAnsi="Times New Roman" w:cs="Times New Roman"/>
        </w:rPr>
        <w:t>,</w:t>
      </w:r>
      <w:r w:rsidR="00246076" w:rsidRPr="001912F1">
        <w:rPr>
          <w:rFonts w:ascii="Times New Roman" w:hAnsi="Times New Roman" w:cs="Times New Roman"/>
        </w:rPr>
        <w:t xml:space="preserve"> including cost overruns, delays, loss of productivity, and loss of morale.</w:t>
      </w:r>
      <w:r w:rsidR="00CE221B" w:rsidRPr="001912F1">
        <w:rPr>
          <w:rFonts w:ascii="Times New Roman" w:hAnsi="Times New Roman" w:cs="Times New Roman"/>
        </w:rPr>
        <w:t xml:space="preserve"> </w:t>
      </w:r>
    </w:p>
    <w:p w14:paraId="18999505" w14:textId="77A2262A" w:rsidR="00575BF1" w:rsidRPr="001912F1" w:rsidRDefault="00E22D8A" w:rsidP="001917CA">
      <w:pPr>
        <w:spacing w:line="480" w:lineRule="auto"/>
        <w:jc w:val="both"/>
        <w:rPr>
          <w:rFonts w:ascii="Times New Roman" w:hAnsi="Times New Roman" w:cs="Times New Roman"/>
        </w:rPr>
      </w:pPr>
      <w:r w:rsidRPr="001912F1">
        <w:rPr>
          <w:rFonts w:ascii="Times New Roman" w:hAnsi="Times New Roman" w:cs="Times New Roman"/>
          <w:b/>
          <w:bCs/>
          <w:i/>
          <w:iCs/>
        </w:rPr>
        <w:t>Management risks</w:t>
      </w:r>
      <w:r w:rsidRPr="001912F1">
        <w:rPr>
          <w:rFonts w:ascii="Times New Roman" w:hAnsi="Times New Roman" w:cs="Times New Roman"/>
        </w:rPr>
        <w:t xml:space="preserve">: Fig. </w:t>
      </w:r>
      <w:r w:rsidR="00D01F7E" w:rsidRPr="001912F1">
        <w:rPr>
          <w:rFonts w:ascii="Times New Roman" w:hAnsi="Times New Roman" w:cs="Times New Roman"/>
        </w:rPr>
        <w:t xml:space="preserve">6 (b) </w:t>
      </w:r>
      <w:r w:rsidR="00575BF1" w:rsidRPr="001912F1">
        <w:rPr>
          <w:rFonts w:ascii="Times New Roman" w:hAnsi="Times New Roman" w:cs="Times New Roman"/>
        </w:rPr>
        <w:t xml:space="preserve">shows twenty (20) management risks of GB projects. The vital critical management risk factors include </w:t>
      </w:r>
      <w:r w:rsidR="001917CA" w:rsidRPr="001912F1">
        <w:rPr>
          <w:rFonts w:ascii="Times New Roman" w:hAnsi="Times New Roman" w:cs="Times New Roman"/>
        </w:rPr>
        <w:t>inadequate supervision of a project manager with limited technical expertise and skills in green buildings (MR1), improper quality control, defective work, and reworks (MR2), inaccurate cost estimation of green buildings (MR3), inaccurate quotation, project budgeting, and poor management of the contractor (MR4), unreasonably tight project schedule for green construction practices (MR5), unclear assignment of roles to the project team members (MR6), organizational and procedural difficulties (MR7), lack of support from senior management (MR8), strict health and safety regulations (MR9), lack of proper project management framework and staff for green buildings (MR10), inappropriate procurement systems discouraging supply chain integration (MR11), and frequent meeting with green specialists (MR12).</w:t>
      </w:r>
    </w:p>
    <w:p w14:paraId="7F7586A8" w14:textId="79DBD758" w:rsidR="00D01F7E" w:rsidRPr="001912F1" w:rsidRDefault="006C5DED" w:rsidP="002039F2">
      <w:pPr>
        <w:spacing w:line="480" w:lineRule="auto"/>
        <w:jc w:val="both"/>
        <w:rPr>
          <w:rFonts w:ascii="Times New Roman" w:hAnsi="Times New Roman" w:cs="Times New Roman"/>
        </w:rPr>
      </w:pPr>
      <w:r w:rsidRPr="001912F1">
        <w:rPr>
          <w:rFonts w:ascii="Times New Roman" w:hAnsi="Times New Roman" w:cs="Times New Roman"/>
        </w:rPr>
        <w:t>The unreasonably tight project schedule for green construction practices puts project team members under pressure, resulting in</w:t>
      </w:r>
      <w:r w:rsidR="00D01F7E" w:rsidRPr="001912F1">
        <w:rPr>
          <w:rFonts w:ascii="Times New Roman" w:hAnsi="Times New Roman" w:cs="Times New Roman"/>
        </w:rPr>
        <w:t xml:space="preserve"> detrimental</w:t>
      </w:r>
      <w:r w:rsidRPr="001912F1">
        <w:rPr>
          <w:rFonts w:ascii="Times New Roman" w:hAnsi="Times New Roman" w:cs="Times New Roman"/>
        </w:rPr>
        <w:t xml:space="preserve"> mistakes and practices </w:t>
      </w:r>
      <w:r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"10.1016/j.ijproman.2007.03.001", "ISSN" : "02637863", "abstract" : "The aim of this paper is to understand the key risks in construction projects in China and to develop strategies to manage them. Risks were prioritized according to their significance of influences on typical project objectives in terms of cost, time, quality, safety and environmental sustainability, and then scrutinized from a joint perspective of project stakeholders and life cycle. Postal questionnaire surveys were used to collect data, based on which a total of 25 key risks were ascertained. These risks were compared with the findings of a parallel survey in the Australian construction industry context to highlight the unique risks associated with construction projects in China. Strategies to manage the risks were sought from the perspectives of project stakeholders and life cycle and in light of the Chinese construction culture. It is concluded that clients, designers and government bodies should take the responsibility to manage their relevant risks and work cooperatively from the feasibility phase onwards to address potential risks in time; contractors and subcontractors with robust construction and management knowledge should be employed to minimize construction risks and carry out safe, efficient and quality construction activities. \u00a9 2007 Elsevier Ltd and IPMA.", "author" : [ { "dropping-particle" : "", "family" : "Zou", "given" : "Patrick X.W.", "non-dropping-particle" : "", "parse-names" : false, "suffix" : "" }, { "dropping-particle" : "", "family" : "Zhang", "given" : "Guomin", "non-dropping-particle" : "", "parse-names" : false, "suffix" : "" }, { "dropping-particle" : "", "family" : "Wang", "given" : "Jiayuan", "non-dropping-particle" : "", "parse-names" : false, "suffix" : "" } ], "container-title" : "International Journal of Project Management", "id" : "ITEM-1", "issue" : "6", "issued" : { "date-parts" : [ [ "2007" ] ] }, "page" : "601-614", "title" : "Understanding the key risks in construction projects in China", "type" : "article-journal", "volume" : "25" }, "uris" : [ "http://www.mendeley.com/documents/?uuid=83601f31-dd3a-449c-8adc-7139951b5500" ] } ], "mendeley" : { "formattedCitation" : "[57]", "plainTextFormattedCitation" : "[57]", "previouslyFormattedCitation" : "[57]" }, "properties" : { "noteIndex" : 0 }, "schema" : "https://github.com/citation-style-language/schema/raw/master/csl-citation.json" }</w:instrText>
      </w:r>
      <w:r w:rsidRPr="001912F1">
        <w:rPr>
          <w:rFonts w:ascii="Times New Roman" w:hAnsi="Times New Roman" w:cs="Times New Roman"/>
        </w:rPr>
        <w:fldChar w:fldCharType="separate"/>
      </w:r>
      <w:r w:rsidR="00A172E2" w:rsidRPr="00A172E2">
        <w:rPr>
          <w:rFonts w:ascii="Times New Roman" w:hAnsi="Times New Roman" w:cs="Times New Roman"/>
          <w:noProof/>
        </w:rPr>
        <w:t>[57]</w:t>
      </w:r>
      <w:r w:rsidRPr="001912F1">
        <w:rPr>
          <w:rFonts w:ascii="Times New Roman" w:hAnsi="Times New Roman" w:cs="Times New Roman"/>
        </w:rPr>
        <w:fldChar w:fldCharType="end"/>
      </w:r>
      <w:r w:rsidRPr="001912F1">
        <w:rPr>
          <w:rFonts w:ascii="Times New Roman" w:hAnsi="Times New Roman" w:cs="Times New Roman"/>
        </w:rPr>
        <w:t xml:space="preserve">. Excessively tight </w:t>
      </w:r>
      <w:r w:rsidRPr="001912F1">
        <w:rPr>
          <w:rFonts w:ascii="Times New Roman" w:hAnsi="Times New Roman" w:cs="Times New Roman"/>
        </w:rPr>
        <w:lastRenderedPageBreak/>
        <w:t xml:space="preserve">GB project schedules can be difficult and impractical to achieve </w:t>
      </w:r>
      <w:r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"10.1016/j.ijproman.2007.07.004", "ISBN" : "0263-7863", "ISSN" : "02637863", "abstract" : "This study identifies and assesses the significant risks in the UAE construction industry and addresses their proper allocation. Data were collected through a questionnaire distributed to construction experts. The study reveals that economic risks such as inflation and sudden changes in prices, shortage in material and labor supply are significant. Other significant risks include owner risks such as unrealistic construction schedule, improper intervention and changes in design. Political, social and cultural risks are found to be insignificant. Local and international experts are in agreement as to the ranking of construction risks in the UAE. More risks are allocated to contractors or shared between contractors and owners with only two risks allocated directly to the owners. \u00a9 2007 Elsevier Ltd and IPMA.", "author" : [ { "dropping-particle" : "", "family" : "El-Sayegh", "given" : "Sameh Monir", "non-dropping-particle" : "", "parse-names" : false, "suffix" : "" } ], "container-title" : "International Journal of Project Management", "id" : "ITEM-1", "issue" : "4", "issued" : { "date-parts" : [ [ "2008" ] ] }, "page" : "431-438", "title" : "Risk assessment and allocation in the UAE construction industry", "type" : "article-journal", "volume" : "26" }, "uris" : [ "http://www.mendeley.com/documents/?uuid=b66f1fd6-e31d-42e6-ad14-b557f5e45891" ] } ], "mendeley" : { "formattedCitation" : "[69]", "plainTextFormattedCitation" : "[69]", "previouslyFormattedCitation" : "[69]" }, "properties" : { "noteIndex" : 0 }, "schema" : "https://github.com/citation-style-language/schema/raw/master/csl-citation.json" }</w:instrText>
      </w:r>
      <w:r w:rsidRPr="001912F1">
        <w:rPr>
          <w:rFonts w:ascii="Times New Roman" w:hAnsi="Times New Roman" w:cs="Times New Roman"/>
        </w:rPr>
        <w:fldChar w:fldCharType="separate"/>
      </w:r>
      <w:r w:rsidR="00A172E2" w:rsidRPr="00A172E2">
        <w:rPr>
          <w:rFonts w:ascii="Times New Roman" w:hAnsi="Times New Roman" w:cs="Times New Roman"/>
          <w:noProof/>
        </w:rPr>
        <w:t>[69]</w:t>
      </w:r>
      <w:r w:rsidRPr="001912F1">
        <w:rPr>
          <w:rFonts w:ascii="Times New Roman" w:hAnsi="Times New Roman" w:cs="Times New Roman"/>
        </w:rPr>
        <w:fldChar w:fldCharType="end"/>
      </w:r>
      <w:r w:rsidRPr="001912F1">
        <w:rPr>
          <w:rFonts w:ascii="Times New Roman" w:hAnsi="Times New Roman" w:cs="Times New Roman"/>
        </w:rPr>
        <w:t>. Inaccurate cost estimates for GB projects can arise from several factors, including limited consultation of local subcontractors, fluctuation of market prices, rigid cost estimation methods, inexperience</w:t>
      </w:r>
      <w:r w:rsidR="00804687" w:rsidRPr="001912F1">
        <w:rPr>
          <w:rFonts w:ascii="Times New Roman" w:hAnsi="Times New Roman" w:cs="Times New Roman"/>
        </w:rPr>
        <w:t xml:space="preserve">d </w:t>
      </w:r>
      <w:r w:rsidRPr="001912F1">
        <w:rPr>
          <w:rFonts w:ascii="Times New Roman" w:hAnsi="Times New Roman" w:cs="Times New Roman"/>
        </w:rPr>
        <w:t xml:space="preserve">cost estimator, and volatility of exchange rate, especially when green materials and products are imported </w:t>
      </w:r>
      <w:r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"10.1080/17452007.2012.659507", "ISSN" : "17527589", "abstract" : "The call for green building development provides the construction supply chain with new business opportunities. However, there are significant risks associated with such opportunities. This research aims at understanding the major risks and their distributions in the supply chain and developing strategies to manage these risks. 250 sets of survey questionnaires were set out to selected industry professionals in Australia and 93 sets were returned with 91 sets valid. The results show that the risks in green building development vary and are unequally distributed throughout the supply chain, but there are common risks with \u2018lack of commitment in the supply chain to go green\u2019 and \u2018higher investment costs\u2019 as the most important risks overall. The results also show that considerable improvement could be made to green building performance through research and development, training and education, supply chain co-ordination, knowledge and information sharing, experience accumulation and technology application. The research finding suggests that members in the supply chain: record green-related information in a central database; utilize expertise of green building professionals; clearly communicate green building objectives and responsibilities to all supply chain members; invest in greenbuilding training and education regarding responsibilities, benefits, technology and solutions; and team up with suppliers and manufacturers for developing green-complied products and materials.", "author" : [ { "dropping-particle" : "", "family" : "Zou", "given" : "Patrick X.W.", "non-dropping-particle" : "", "parse-names" : false, "suffix" : "" }, { "dropping-particle" : "", "family" : "Couani", "given" : "Paul", "non-dropping-particle" : "", "parse-names" : false, "suffix" : "" } ], "container-title" : "Architectural Engineering and Design Management", "id" : "ITEM-1", "issue" : "2", "issued" : { "date-parts" : [ [ "2012" ] ] }, "page" : "143-158", "title" : "Managing risks in green building supply chain", "type" : "article-journal", "volume" : "8" }, "uris" : [ "http://www.mendeley.com/documents/?uuid=e69165f8-c38a-4b64-a85d-f8dd1fb12f6a" ] } ], "mendeley" : { "formattedCitation" : "[29]", "plainTextFormattedCitation" : "[29]", "previouslyFormattedCitation" : "[29]" }, "properties" : { "noteIndex" : 0 }, "schema" : "https://github.com/citation-style-language/schema/raw/master/csl-citation.json" }</w:instrText>
      </w:r>
      <w:r w:rsidRPr="001912F1">
        <w:rPr>
          <w:rFonts w:ascii="Times New Roman" w:hAnsi="Times New Roman" w:cs="Times New Roman"/>
        </w:rPr>
        <w:fldChar w:fldCharType="separate"/>
      </w:r>
      <w:r w:rsidR="00A172E2" w:rsidRPr="00A172E2">
        <w:rPr>
          <w:rFonts w:ascii="Times New Roman" w:hAnsi="Times New Roman" w:cs="Times New Roman"/>
          <w:noProof/>
        </w:rPr>
        <w:t>[29]</w:t>
      </w:r>
      <w:r w:rsidRPr="001912F1">
        <w:rPr>
          <w:rFonts w:ascii="Times New Roman" w:hAnsi="Times New Roman" w:cs="Times New Roman"/>
        </w:rPr>
        <w:fldChar w:fldCharType="end"/>
      </w:r>
      <w:r w:rsidRPr="001912F1">
        <w:rPr>
          <w:rFonts w:ascii="Times New Roman" w:hAnsi="Times New Roman" w:cs="Times New Roman"/>
        </w:rPr>
        <w:t xml:space="preserve">. Inaccurate cost estimation is a major cause of funding shortages and financial disputes between clients and contractors in GB projects </w:t>
      </w:r>
      <w:r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"10.1080/09613218.2011.561948", "ISSN" : "09613218", "abstract" : "What are the actual barriers and drivers for sustainable building? A literature review, interviews and case studies are presented to address this question. Sustainable building is not hindered by a lack of technologies and assessment methods, but is instead beset with organizational and procedural difficulties entailed by the adoption of new methods. New technologies are resisted because they require process changes entailing risks and unforeseen costs. These hindrances can be reduced by learning what kind of decision-making phases, new tasks, actors, roles and ways of networking are needed. The barriers are outlined as steering mechanisms, economics, a lack of client understanding, process (procurement and tendering, timing, cooperation and networking), and underpinning knowledge (knowledge and common language, the availability of methods and tools, innovation). The most important actions to promote sustainable building are the development of the awareness of clients about the benefits of sustainable building, the development and adoption of methods for sustainable building requirement management, the mobilization of sustainable building tools, the development of designers' competence and team working, and the development of new concepts and services. The interviews and case studies were carried out in Finland, but the results may be applicable or interesting to other countries as well. \u00a9 2011 Taylor &amp; Francis.", "author" : [ { "dropping-particle" : "", "family" : "H\u00e4kkinen", "given" : "Tarja", "non-dropping-particle" : "", "parse-names" : false, "suffix" : "" }, { "dropping-particle" : "", "family" : "Belloni", "given" : "Kaisa", "non-dropping-particle" : "", "parse-names" : false, "suffix" : "" } ], "container-title" : "Building Research and Information", "id" : "ITEM-1", "issue" : "3", "issued" : { "date-parts" : [ [ "2011" ] ] }, "page" : "239-255", "title" : "Barriers and drivers for sustainable building", "type" : "article-journal", "volume" : "39" }, "uris" : [ "http://www.mendeley.com/documents/?uuid=7fa56671-0397-479e-aec7-708637a215d1" ] } ], "mendeley" : { "formattedCitation" : "[13]", "plainTextFormattedCitation" : "[13]", "previouslyFormattedCitation" : "[13]" }, "properties" : { "noteIndex" : 0 }, "schema" : "https://github.com/citation-style-language/schema/raw/master/csl-citation.json" }</w:instrText>
      </w:r>
      <w:r w:rsidRPr="001912F1">
        <w:rPr>
          <w:rFonts w:ascii="Times New Roman" w:hAnsi="Times New Roman" w:cs="Times New Roman"/>
        </w:rPr>
        <w:fldChar w:fldCharType="separate"/>
      </w:r>
      <w:r w:rsidR="00A172E2" w:rsidRPr="00A172E2">
        <w:rPr>
          <w:rFonts w:ascii="Times New Roman" w:hAnsi="Times New Roman" w:cs="Times New Roman"/>
          <w:noProof/>
        </w:rPr>
        <w:t>[13]</w:t>
      </w:r>
      <w:r w:rsidRPr="001912F1">
        <w:rPr>
          <w:rFonts w:ascii="Times New Roman" w:hAnsi="Times New Roman" w:cs="Times New Roman"/>
        </w:rPr>
        <w:fldChar w:fldCharType="end"/>
      </w:r>
      <w:r w:rsidRPr="001912F1">
        <w:rPr>
          <w:rFonts w:ascii="Times New Roman" w:hAnsi="Times New Roman" w:cs="Times New Roman"/>
        </w:rPr>
        <w:t xml:space="preserve">. </w:t>
      </w:r>
    </w:p>
    <w:p w14:paraId="25394975" w14:textId="35B6AAF0" w:rsidR="006C5DED" w:rsidRPr="001912F1" w:rsidRDefault="006C5DED" w:rsidP="002039F2">
      <w:pPr>
        <w:spacing w:line="480" w:lineRule="auto"/>
        <w:jc w:val="both"/>
        <w:rPr>
          <w:rFonts w:ascii="Times New Roman" w:hAnsi="Times New Roman" w:cs="Times New Roman"/>
        </w:rPr>
      </w:pPr>
      <w:r w:rsidRPr="001912F1">
        <w:rPr>
          <w:rFonts w:ascii="Times New Roman" w:hAnsi="Times New Roman" w:cs="Times New Roman"/>
        </w:rPr>
        <w:t xml:space="preserve">A closely related risk factor is </w:t>
      </w:r>
      <w:r w:rsidR="005D08AE" w:rsidRPr="001912F1">
        <w:rPr>
          <w:rFonts w:ascii="Times New Roman" w:hAnsi="Times New Roman" w:cs="Times New Roman"/>
        </w:rPr>
        <w:t xml:space="preserve">an </w:t>
      </w:r>
      <w:r w:rsidRPr="001912F1">
        <w:rPr>
          <w:rFonts w:ascii="Times New Roman" w:hAnsi="Times New Roman" w:cs="Times New Roman"/>
        </w:rPr>
        <w:t xml:space="preserve">inaccurate quotation, project budgeting, and poor management of the contractor. Most GB contractors </w:t>
      </w:r>
      <w:r w:rsidR="00804687" w:rsidRPr="001912F1">
        <w:rPr>
          <w:rFonts w:ascii="Times New Roman" w:hAnsi="Times New Roman" w:cs="Times New Roman"/>
        </w:rPr>
        <w:t xml:space="preserve">are </w:t>
      </w:r>
      <w:r w:rsidRPr="001912F1">
        <w:rPr>
          <w:rFonts w:ascii="Times New Roman" w:hAnsi="Times New Roman" w:cs="Times New Roman"/>
        </w:rPr>
        <w:t>previously general contractors</w:t>
      </w:r>
      <w:r w:rsidR="00804687" w:rsidRPr="001912F1">
        <w:rPr>
          <w:rFonts w:ascii="Times New Roman" w:hAnsi="Times New Roman" w:cs="Times New Roman"/>
        </w:rPr>
        <w:t xml:space="preserve">, </w:t>
      </w:r>
      <w:r w:rsidRPr="001912F1">
        <w:rPr>
          <w:rFonts w:ascii="Times New Roman" w:hAnsi="Times New Roman" w:cs="Times New Roman"/>
        </w:rPr>
        <w:t>lack</w:t>
      </w:r>
      <w:r w:rsidR="00804687" w:rsidRPr="001912F1">
        <w:rPr>
          <w:rFonts w:ascii="Times New Roman" w:hAnsi="Times New Roman" w:cs="Times New Roman"/>
        </w:rPr>
        <w:t>ing</w:t>
      </w:r>
      <w:r w:rsidRPr="001912F1">
        <w:rPr>
          <w:rFonts w:ascii="Times New Roman" w:hAnsi="Times New Roman" w:cs="Times New Roman"/>
        </w:rPr>
        <w:t xml:space="preserve"> managerial skills to contract GB projects. Though contractors typically rely on specialist subcontractors to deliver GB projects, their limited specialist knowledge generate</w:t>
      </w:r>
      <w:r w:rsidR="005D08AE" w:rsidRPr="001912F1">
        <w:rPr>
          <w:rFonts w:ascii="Times New Roman" w:hAnsi="Times New Roman" w:cs="Times New Roman"/>
        </w:rPr>
        <w:t>s</w:t>
      </w:r>
      <w:r w:rsidRPr="001912F1">
        <w:rPr>
          <w:rFonts w:ascii="Times New Roman" w:hAnsi="Times New Roman" w:cs="Times New Roman"/>
        </w:rPr>
        <w:t xml:space="preserve"> significant challenges and lapses in developing clear pro-GB contractual terms with subcontractors and overseeing the </w:t>
      </w:r>
      <w:r w:rsidR="00804687" w:rsidRPr="001912F1">
        <w:rPr>
          <w:rFonts w:ascii="Times New Roman" w:hAnsi="Times New Roman" w:cs="Times New Roman"/>
        </w:rPr>
        <w:t xml:space="preserve">project </w:t>
      </w:r>
      <w:r w:rsidRPr="001912F1">
        <w:rPr>
          <w:rFonts w:ascii="Times New Roman" w:hAnsi="Times New Roman" w:cs="Times New Roman"/>
        </w:rPr>
        <w:t xml:space="preserve">delivery to achieve the green objectives </w:t>
      </w:r>
      <w:r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"10.1016/j.ijproman.2007.03.001", "ISSN" : "02637863", "abstract" : "The aim of this paper is to understand the key risks in construction projects in China and to develop strategies to manage them. Risks were prioritized according to their significance of influences on typical project objectives in terms of cost, time, quality, safety and environmental sustainability, and then scrutinized from a joint perspective of project stakeholders and life cycle. Postal questionnaire surveys were used to collect data, based on which a total of 25 key risks were ascertained. These risks were compared with the findings of a parallel survey in the Australian construction industry context to highlight the unique risks associated with construction projects in China. Strategies to manage the risks were sought from the perspectives of project stakeholders and life cycle and in light of the Chinese construction culture. It is concluded that clients, designers and government bodies should take the responsibility to manage their relevant risks and work cooperatively from the feasibility phase onwards to address potential risks in time; contractors and subcontractors with robust construction and management knowledge should be employed to minimize construction risks and carry out safe, efficient and quality construction activities. \u00a9 2007 Elsevier Ltd and IPMA.", "author" : [ { "dropping-particle" : "", "family" : "Zou", "given" : "Patrick X.W.", "non-dropping-particle" : "", "parse-names" : false, "suffix" : "" }, { "dropping-particle" : "", "family" : "Zhang", "given" : "Guomin", "non-dropping-particle" : "", "parse-names" : false, "suffix" : "" }, { "dropping-particle" : "", "family" : "Wang", "given" : "Jiayuan", "non-dropping-particle" : "", "parse-names" : false, "suffix" : "" } ], "container-title" : "International Journal of Project Management", "id" : "ITEM-1", "issue" : "6", "issued" : { "date-parts" : [ [ "2007" ] ] }, "page" : "601-614", "title" : "Understanding the key risks in construction projects in China", "type" : "article-journal", "volume" : "25" }, "uris" : [ "http://www.mendeley.com/documents/?uuid=83601f31-dd3a-449c-8adc-7139951b5500" ] } ], "mendeley" : { "formattedCitation" : "[57]", "plainTextFormattedCitation" : "[57]", "previouslyFormattedCitation" : "[57]" }, "properties" : { "noteIndex" : 0 }, "schema" : "https://github.com/citation-style-language/schema/raw/master/csl-citation.json" }</w:instrText>
      </w:r>
      <w:r w:rsidRPr="001912F1">
        <w:rPr>
          <w:rFonts w:ascii="Times New Roman" w:hAnsi="Times New Roman" w:cs="Times New Roman"/>
        </w:rPr>
        <w:fldChar w:fldCharType="separate"/>
      </w:r>
      <w:r w:rsidR="00A172E2" w:rsidRPr="00A172E2">
        <w:rPr>
          <w:rFonts w:ascii="Times New Roman" w:hAnsi="Times New Roman" w:cs="Times New Roman"/>
          <w:noProof/>
        </w:rPr>
        <w:t>[57]</w:t>
      </w:r>
      <w:r w:rsidRPr="001912F1">
        <w:rPr>
          <w:rFonts w:ascii="Times New Roman" w:hAnsi="Times New Roman" w:cs="Times New Roman"/>
        </w:rPr>
        <w:fldChar w:fldCharType="end"/>
      </w:r>
      <w:r w:rsidRPr="001912F1">
        <w:rPr>
          <w:rFonts w:ascii="Times New Roman" w:hAnsi="Times New Roman" w:cs="Times New Roman"/>
        </w:rPr>
        <w:t>.</w:t>
      </w:r>
    </w:p>
    <w:p w14:paraId="4A033BA2" w14:textId="6BC3F040" w:rsidR="006C5DED" w:rsidRPr="001912F1" w:rsidRDefault="006C5DED" w:rsidP="006C5DED">
      <w:pPr>
        <w:spacing w:line="480" w:lineRule="auto"/>
        <w:jc w:val="both"/>
        <w:rPr>
          <w:rFonts w:ascii="Times New Roman" w:hAnsi="Times New Roman" w:cs="Times New Roman"/>
        </w:rPr>
      </w:pPr>
      <w:r w:rsidRPr="001912F1">
        <w:rPr>
          <w:rFonts w:ascii="Times New Roman" w:hAnsi="Times New Roman" w:cs="Times New Roman"/>
        </w:rPr>
        <w:t>Compared to conventional building projects, GB projects require additional design time, planning, approval procedures, and organizations. The organizational and procedural difficulties prolong the construction time and costs of GB projects.</w:t>
      </w:r>
      <w:r w:rsidR="00315758" w:rsidRPr="001912F1">
        <w:rPr>
          <w:rFonts w:ascii="Times New Roman" w:hAnsi="Times New Roman" w:cs="Times New Roman"/>
        </w:rPr>
        <w:t xml:space="preserve"> Typically, senior management approve</w:t>
      </w:r>
      <w:r w:rsidR="005D08AE" w:rsidRPr="001912F1">
        <w:rPr>
          <w:rFonts w:ascii="Times New Roman" w:hAnsi="Times New Roman" w:cs="Times New Roman"/>
        </w:rPr>
        <w:t>s</w:t>
      </w:r>
      <w:r w:rsidR="00315758" w:rsidRPr="001912F1">
        <w:rPr>
          <w:rFonts w:ascii="Times New Roman" w:hAnsi="Times New Roman" w:cs="Times New Roman"/>
        </w:rPr>
        <w:t xml:space="preserve"> and develop</w:t>
      </w:r>
      <w:r w:rsidR="005D08AE" w:rsidRPr="001912F1">
        <w:rPr>
          <w:rFonts w:ascii="Times New Roman" w:hAnsi="Times New Roman" w:cs="Times New Roman"/>
        </w:rPr>
        <w:t>s</w:t>
      </w:r>
      <w:r w:rsidR="00315758" w:rsidRPr="001912F1">
        <w:rPr>
          <w:rFonts w:ascii="Times New Roman" w:hAnsi="Times New Roman" w:cs="Times New Roman"/>
        </w:rPr>
        <w:t xml:space="preserve"> strategies to implement sustainable solutions in construction projects and organizations</w:t>
      </w:r>
      <w:r w:rsidR="00CB7B8E" w:rsidRPr="001912F1">
        <w:rPr>
          <w:rFonts w:ascii="Times New Roman" w:hAnsi="Times New Roman" w:cs="Times New Roman"/>
        </w:rPr>
        <w:t xml:space="preserve"> </w:t>
      </w:r>
      <w:r w:rsidR="00CB7B8E"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"10.1080/09613218.2011.561948", "ISSN" : "09613218", "abstract" : "What are the actual barriers and drivers for sustainable building? A literature review, interviews and case studies are presented to address this question. Sustainable building is not hindered by a lack of technologies and assessment methods, but is instead beset with organizational and procedural difficulties entailed by the adoption of new methods. New technologies are resisted because they require process changes entailing risks and unforeseen costs. These hindrances can be reduced by learning what kind of decision-making phases, new tasks, actors, roles and ways of networking are needed. The barriers are outlined as steering mechanisms, economics, a lack of client understanding, process (procurement and tendering, timing, cooperation and networking), and underpinning knowledge (knowledge and common language, the availability of methods and tools, innovation). The most important actions to promote sustainable building are the development of the awareness of clients about the benefits of sustainable building, the development and adoption of methods for sustainable building requirement management, the mobilization of sustainable building tools, the development of designers' competence and team working, and the development of new concepts and services. The interviews and case studies were carried out in Finland, but the results may be applicable or interesting to other countries as well. \u00a9 2011 Taylor &amp; Francis.", "author" : [ { "dropping-particle" : "", "family" : "H\u00e4kkinen", "given" : "Tarja", "non-dropping-particle" : "", "parse-names" : false, "suffix" : "" }, { "dropping-particle" : "", "family" : "Belloni", "given" : "Kaisa", "non-dropping-particle" : "", "parse-names" : false, "suffix" : "" } ], "container-title" : "Building Research and Information", "id" : "ITEM-1", "issue" : "3", "issued" : { "date-parts" : [ [ "2011" ] ] }, "page" : "239-255", "title" : "Barriers and drivers for sustainable building", "type" : "article-journal", "volume" : "39" }, "uris" : [ "http://www.mendeley.com/documents/?uuid=7fa56671-0397-479e-aec7-708637a215d1" ] } ], "mendeley" : { "formattedCitation" : "[13]", "plainTextFormattedCitation" : "[13]", "previouslyFormattedCitation" : "[13]" }, "properties" : { "noteIndex" : 0 }, "schema" : "https://github.com/citation-style-language/schema/raw/master/csl-citation.json" }</w:instrText>
      </w:r>
      <w:r w:rsidR="00CB7B8E" w:rsidRPr="001912F1">
        <w:rPr>
          <w:rFonts w:ascii="Times New Roman" w:hAnsi="Times New Roman" w:cs="Times New Roman"/>
        </w:rPr>
        <w:fldChar w:fldCharType="separate"/>
      </w:r>
      <w:r w:rsidR="00A172E2" w:rsidRPr="00A172E2">
        <w:rPr>
          <w:rFonts w:ascii="Times New Roman" w:hAnsi="Times New Roman" w:cs="Times New Roman"/>
          <w:noProof/>
        </w:rPr>
        <w:t>[13]</w:t>
      </w:r>
      <w:r w:rsidR="00CB7B8E" w:rsidRPr="001912F1">
        <w:rPr>
          <w:rFonts w:ascii="Times New Roman" w:hAnsi="Times New Roman" w:cs="Times New Roman"/>
        </w:rPr>
        <w:fldChar w:fldCharType="end"/>
      </w:r>
      <w:r w:rsidR="00315758" w:rsidRPr="001912F1">
        <w:rPr>
          <w:rFonts w:ascii="Times New Roman" w:hAnsi="Times New Roman" w:cs="Times New Roman"/>
        </w:rPr>
        <w:t xml:space="preserve">. Thus, </w:t>
      </w:r>
      <w:r w:rsidR="005D08AE" w:rsidRPr="001912F1">
        <w:rPr>
          <w:rFonts w:ascii="Times New Roman" w:hAnsi="Times New Roman" w:cs="Times New Roman"/>
        </w:rPr>
        <w:t xml:space="preserve">a </w:t>
      </w:r>
      <w:r w:rsidRPr="001912F1">
        <w:rPr>
          <w:rFonts w:ascii="Times New Roman" w:hAnsi="Times New Roman" w:cs="Times New Roman"/>
        </w:rPr>
        <w:t xml:space="preserve">lack of support from senior management </w:t>
      </w:r>
      <w:r w:rsidR="00315758" w:rsidRPr="001912F1">
        <w:rPr>
          <w:rFonts w:ascii="Times New Roman" w:hAnsi="Times New Roman" w:cs="Times New Roman"/>
        </w:rPr>
        <w:t>can translate into inadequate funding allocation for, commitment to, and governance of GB projects</w:t>
      </w:r>
      <w:r w:rsidR="00CB7B8E" w:rsidRPr="001912F1">
        <w:rPr>
          <w:rFonts w:ascii="Times New Roman" w:hAnsi="Times New Roman" w:cs="Times New Roman"/>
        </w:rPr>
        <w:t xml:space="preserve"> </w:t>
      </w:r>
      <w:r w:rsidR="00CB7B8E"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"10.3992/jgb.5.2.129", "ISSN" : "19434618", "abstract" : "For sustainable buildings to become mainstream they must demonstrate not only improved environmental performance but also financial performance, benefiting both end users and investors. The perceived financial constraints and risks are often major barriers to sustainable design. This paper discusses the application of a new tool that formalizes the traditionally intuitive-based early-stage decision making processes and assesses the potential for creating a financially feasible best-practice sustainable building across a range of environmental, social and economic parameters, using the limited data available at the outset of a project. It considers the total cost of ownership, demonstrating the link between the recurrent and capital costs. A detailed feasibility assessment of those areas where greatest potential for improving environmental and financial performance exists can then be carried out, saving a considerable amount of time, money and effort otherwise spent on looking at all possible strategies for achieving a sustainable outcome. This approach also identifies areas where incorporating environmental strategies might be financially risky, reassuring investors and developers by reducing investment risks. By reducing some of these risks and perceived barriers to sustainable building development, it is hoped that clients and investors will be further encouraged to adopt a more sustainable approach to their building projects.", "author" : [ { "dropping-particle" : "", "family" : "Ranaweera", "given" : "Renuka", "non-dropping-particle" : "", "parse-names" : false, "suffix" : "" }, { "dropping-particle" : "", "family" : "Crawford", "given" : "Robert H.", "non-dropping-particle" : "", "parse-names" : false, "suffix" : "" } ], "container-title" : "Journal of Green Building", "id" : "ITEM-1", "issue" : "2", "issued" : { "date-parts" : [ [ "2010" ] ] }, "page" : "129-146", "title" : "Using early-stage assessment to reduce the financial risks and perceived barriers of sustainable buildings", "type" : "article-journal", "volume" : "5" }, "uris" : [ "http://www.mendeley.com/documents/?uuid=92f6342c-ca83-4135-84e5-15cf0852d828" ] } ], "mendeley" : { "formattedCitation" : "[8]", "plainTextFormattedCitation" : "[8]", "previouslyFormattedCitation" : "[8]" }, "properties" : { "noteIndex" : 0 }, "schema" : "https://github.com/citation-style-language/schema/raw/master/csl-citation.json" }</w:instrText>
      </w:r>
      <w:r w:rsidR="00CB7B8E" w:rsidRPr="001912F1">
        <w:rPr>
          <w:rFonts w:ascii="Times New Roman" w:hAnsi="Times New Roman" w:cs="Times New Roman"/>
        </w:rPr>
        <w:fldChar w:fldCharType="separate"/>
      </w:r>
      <w:r w:rsidR="00A172E2" w:rsidRPr="00A172E2">
        <w:rPr>
          <w:rFonts w:ascii="Times New Roman" w:hAnsi="Times New Roman" w:cs="Times New Roman"/>
          <w:noProof/>
        </w:rPr>
        <w:t>[8]</w:t>
      </w:r>
      <w:r w:rsidR="00CB7B8E" w:rsidRPr="001912F1">
        <w:rPr>
          <w:rFonts w:ascii="Times New Roman" w:hAnsi="Times New Roman" w:cs="Times New Roman"/>
        </w:rPr>
        <w:fldChar w:fldCharType="end"/>
      </w:r>
      <w:r w:rsidR="00315758" w:rsidRPr="001912F1">
        <w:rPr>
          <w:rFonts w:ascii="Times New Roman" w:hAnsi="Times New Roman" w:cs="Times New Roman"/>
        </w:rPr>
        <w:t>.</w:t>
      </w:r>
      <w:r w:rsidR="00747F1D" w:rsidRPr="001912F1">
        <w:rPr>
          <w:rFonts w:ascii="Times New Roman" w:hAnsi="Times New Roman" w:cs="Times New Roman"/>
        </w:rPr>
        <w:t xml:space="preserve"> It could fuel </w:t>
      </w:r>
      <w:r w:rsidR="005D08AE" w:rsidRPr="001912F1">
        <w:rPr>
          <w:rFonts w:ascii="Times New Roman" w:hAnsi="Times New Roman" w:cs="Times New Roman"/>
        </w:rPr>
        <w:t xml:space="preserve">an </w:t>
      </w:r>
      <w:r w:rsidR="00747F1D" w:rsidRPr="001912F1">
        <w:rPr>
          <w:rFonts w:ascii="Times New Roman" w:hAnsi="Times New Roman" w:cs="Times New Roman"/>
        </w:rPr>
        <w:t>improper project management framework and inadequate staffing of GB projects</w:t>
      </w:r>
      <w:r w:rsidR="00CB7B8E" w:rsidRPr="001912F1">
        <w:rPr>
          <w:rFonts w:ascii="Times New Roman" w:hAnsi="Times New Roman" w:cs="Times New Roman"/>
        </w:rPr>
        <w:t xml:space="preserve"> </w:t>
      </w:r>
      <w:r w:rsidR="00CB7B8E"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"10.1016/j.jclepro.2020.120372", "ISSN" : "09596526", "abstract" : "Green building (GB) projects have attracted wide attention in the construction industry in recent years owing to numerous benefits of green practices for sustainable development. However, existing research efforts on GB project risk management are very limited, and no prior in-depth research has focused on studying the risk interdependencies in GB projects from the perspectives of both the project life cycle and multiple project risks. This paper begins by identifying and distinguishing GB project constraints from multiple GB project risks using a systematic literature review and then investigates, based on the Interpretive Structural Modeling (ISM) method, the risk interdependencies taking into account the identified 16 constraint factors, 22 risk factors and 11 objectives throughout a GB project life cycle. The importance of constraints and risk factors associated with GB project objectives was calculated based on the influence transmission through network paths in the established ISM-based model. In addition, the Matrice d'Impacts Crois\u00e9s Multiplication Appliqu\u00e9e \u00e1 un Classement (MICMAC) approach was used to analyze the drive and dependence powers of risk interdependency elements. Critical constraints and risk factors in the implementation of GB projects can be obtained from the proposed risk analysis model, which contributes to an in-depth risk perception of GB projects for industry practitioners and facilitates GB project risk management in a more effective way.", "author" : [ { "dropping-particle" : "", "family" : "Guan", "given" : "Li", "non-dropping-particle" : "", "parse-names" : false, "suffix" : "" }, { "dropping-particle" : "", "family" : "Abbasi", "given" : "Alireza", "non-dropping-particle" : "", "parse-names" : false, "suffix" : "" }, { "dropping-particle" : "", "family" : "Ryan", "given" : "Michael J.", "non-dropping-particle" : "", "parse-names" : false, "suffix" : "" } ], "container-title" : "Journal of Cleaner Production", "id" : "ITEM-1", "issued" : { "date-parts" : [ [ "2020" ] ] }, "page" : "120372", "publisher" : "Elsevier Ltd", "title" : "Analyzing green building project risk interdependencies using Interpretive Structural Modeling", "type" : "article-journal", "volume" : "256" }, "uris" : [ "http://www.mendeley.com/documents/?uuid=fad87b48-b75d-4f4f-b9e9-f097ba07f5f5" ] } ], "mendeley" : { "formattedCitation" : "[19]", "plainTextFormattedCitation" : "[19]", "previouslyFormattedCitation" : "[19]" }, "properties" : { "noteIndex" : 0 }, "schema" : "https://github.com/citation-style-language/schema/raw/master/csl-citation.json" }</w:instrText>
      </w:r>
      <w:r w:rsidR="00CB7B8E" w:rsidRPr="001912F1">
        <w:rPr>
          <w:rFonts w:ascii="Times New Roman" w:hAnsi="Times New Roman" w:cs="Times New Roman"/>
        </w:rPr>
        <w:fldChar w:fldCharType="separate"/>
      </w:r>
      <w:r w:rsidR="00A172E2" w:rsidRPr="00A172E2">
        <w:rPr>
          <w:rFonts w:ascii="Times New Roman" w:hAnsi="Times New Roman" w:cs="Times New Roman"/>
          <w:noProof/>
        </w:rPr>
        <w:t>[19]</w:t>
      </w:r>
      <w:r w:rsidR="00CB7B8E" w:rsidRPr="001912F1">
        <w:rPr>
          <w:rFonts w:ascii="Times New Roman" w:hAnsi="Times New Roman" w:cs="Times New Roman"/>
        </w:rPr>
        <w:fldChar w:fldCharType="end"/>
      </w:r>
      <w:r w:rsidR="00747F1D" w:rsidRPr="001912F1">
        <w:rPr>
          <w:rFonts w:ascii="Times New Roman" w:hAnsi="Times New Roman" w:cs="Times New Roman"/>
        </w:rPr>
        <w:t>.</w:t>
      </w:r>
      <w:r w:rsidR="00315758" w:rsidRPr="001912F1">
        <w:rPr>
          <w:rFonts w:ascii="Times New Roman" w:hAnsi="Times New Roman" w:cs="Times New Roman"/>
        </w:rPr>
        <w:t xml:space="preserve"> </w:t>
      </w:r>
      <w:r w:rsidR="00747F1D" w:rsidRPr="001912F1">
        <w:rPr>
          <w:rFonts w:ascii="Times New Roman" w:hAnsi="Times New Roman" w:cs="Times New Roman"/>
        </w:rPr>
        <w:t>The s</w:t>
      </w:r>
      <w:r w:rsidRPr="001912F1">
        <w:rPr>
          <w:rFonts w:ascii="Times New Roman" w:hAnsi="Times New Roman" w:cs="Times New Roman"/>
        </w:rPr>
        <w:t>trict</w:t>
      </w:r>
      <w:r w:rsidR="00747F1D" w:rsidRPr="001912F1">
        <w:rPr>
          <w:rFonts w:ascii="Times New Roman" w:hAnsi="Times New Roman" w:cs="Times New Roman"/>
        </w:rPr>
        <w:t>er</w:t>
      </w:r>
      <w:r w:rsidRPr="001912F1">
        <w:rPr>
          <w:rFonts w:ascii="Times New Roman" w:hAnsi="Times New Roman" w:cs="Times New Roman"/>
        </w:rPr>
        <w:t xml:space="preserve"> health and safety regulations </w:t>
      </w:r>
      <w:r w:rsidR="00747F1D" w:rsidRPr="001912F1">
        <w:rPr>
          <w:rFonts w:ascii="Times New Roman" w:hAnsi="Times New Roman" w:cs="Times New Roman"/>
        </w:rPr>
        <w:t>in GB project</w:t>
      </w:r>
      <w:r w:rsidR="00804687" w:rsidRPr="001912F1">
        <w:rPr>
          <w:rFonts w:ascii="Times New Roman" w:hAnsi="Times New Roman" w:cs="Times New Roman"/>
        </w:rPr>
        <w:t>s</w:t>
      </w:r>
      <w:r w:rsidR="00747F1D" w:rsidRPr="001912F1">
        <w:rPr>
          <w:rFonts w:ascii="Times New Roman" w:hAnsi="Times New Roman" w:cs="Times New Roman"/>
        </w:rPr>
        <w:t xml:space="preserve"> increase the investment and funding allocation to</w:t>
      </w:r>
      <w:r w:rsidR="00804687" w:rsidRPr="001912F1">
        <w:rPr>
          <w:rFonts w:ascii="Times New Roman" w:hAnsi="Times New Roman" w:cs="Times New Roman"/>
        </w:rPr>
        <w:t xml:space="preserve"> deploy</w:t>
      </w:r>
      <w:r w:rsidR="00747F1D" w:rsidRPr="001912F1">
        <w:rPr>
          <w:rFonts w:ascii="Times New Roman" w:hAnsi="Times New Roman" w:cs="Times New Roman"/>
        </w:rPr>
        <w:t xml:space="preserve"> safety programs and strategies.</w:t>
      </w:r>
      <w:r w:rsidR="00CB7B8E" w:rsidRPr="001912F1">
        <w:rPr>
          <w:rFonts w:ascii="Times New Roman" w:hAnsi="Times New Roman" w:cs="Times New Roman"/>
        </w:rPr>
        <w:t xml:space="preserve"> The use of </w:t>
      </w:r>
      <w:r w:rsidRPr="001912F1">
        <w:rPr>
          <w:rFonts w:ascii="Times New Roman" w:hAnsi="Times New Roman" w:cs="Times New Roman"/>
        </w:rPr>
        <w:t>inappropriate procurement systems discouraging supply chain integration</w:t>
      </w:r>
      <w:r w:rsidR="00CB7B8E" w:rsidRPr="001912F1">
        <w:rPr>
          <w:rFonts w:ascii="Times New Roman" w:hAnsi="Times New Roman" w:cs="Times New Roman"/>
        </w:rPr>
        <w:t xml:space="preserve"> can limit collaborative working relationships, frequent communication, and information sharing in GB projects.</w:t>
      </w:r>
    </w:p>
    <w:p w14:paraId="2B53B95F" w14:textId="06B1B42D" w:rsidR="00E22D8A" w:rsidRPr="001912F1" w:rsidRDefault="00E22D8A" w:rsidP="00161C46">
      <w:pPr>
        <w:spacing w:line="480" w:lineRule="auto"/>
        <w:jc w:val="both"/>
        <w:rPr>
          <w:rFonts w:ascii="Times New Roman" w:hAnsi="Times New Roman" w:cs="Times New Roman"/>
        </w:rPr>
      </w:pPr>
      <w:r w:rsidRPr="001912F1">
        <w:rPr>
          <w:rFonts w:ascii="Times New Roman" w:hAnsi="Times New Roman" w:cs="Times New Roman"/>
          <w:b/>
          <w:bCs/>
          <w:i/>
          <w:iCs/>
        </w:rPr>
        <w:lastRenderedPageBreak/>
        <w:t>Environmental risks</w:t>
      </w:r>
      <w:r w:rsidRPr="001912F1">
        <w:rPr>
          <w:rFonts w:ascii="Times New Roman" w:hAnsi="Times New Roman" w:cs="Times New Roman"/>
        </w:rPr>
        <w:t xml:space="preserve">: Fig. </w:t>
      </w:r>
      <w:r w:rsidR="00D01F7E" w:rsidRPr="001912F1">
        <w:rPr>
          <w:rFonts w:ascii="Times New Roman" w:hAnsi="Times New Roman" w:cs="Times New Roman"/>
        </w:rPr>
        <w:t xml:space="preserve">6 (c) </w:t>
      </w:r>
      <w:r w:rsidR="00161C46" w:rsidRPr="001912F1">
        <w:rPr>
          <w:rFonts w:ascii="Times New Roman" w:hAnsi="Times New Roman" w:cs="Times New Roman"/>
        </w:rPr>
        <w:t>shows five (5) environmental risks of GB projects. The vital critical environmental risk factors for GB projects include inadequate site information</w:t>
      </w:r>
      <w:r w:rsidR="00B71B38" w:rsidRPr="001912F1">
        <w:rPr>
          <w:rFonts w:ascii="Times New Roman" w:hAnsi="Times New Roman" w:cs="Times New Roman"/>
        </w:rPr>
        <w:t xml:space="preserve"> (ER1), v</w:t>
      </w:r>
      <w:r w:rsidR="00161C46" w:rsidRPr="001912F1">
        <w:rPr>
          <w:rFonts w:ascii="Times New Roman" w:hAnsi="Times New Roman" w:cs="Times New Roman"/>
        </w:rPr>
        <w:t>ariation in adverse weather conditions (ER</w:t>
      </w:r>
      <w:r w:rsidR="00B71B38" w:rsidRPr="001912F1">
        <w:rPr>
          <w:rFonts w:ascii="Times New Roman" w:hAnsi="Times New Roman" w:cs="Times New Roman"/>
        </w:rPr>
        <w:t>2</w:t>
      </w:r>
      <w:r w:rsidR="00161C46" w:rsidRPr="001912F1">
        <w:rPr>
          <w:rFonts w:ascii="Times New Roman" w:hAnsi="Times New Roman" w:cs="Times New Roman"/>
        </w:rPr>
        <w:t xml:space="preserve">), </w:t>
      </w:r>
      <w:r w:rsidR="000E4710" w:rsidRPr="001912F1">
        <w:rPr>
          <w:rFonts w:ascii="Times New Roman" w:hAnsi="Times New Roman" w:cs="Times New Roman"/>
        </w:rPr>
        <w:t xml:space="preserve">and </w:t>
      </w:r>
      <w:r w:rsidR="00161C46" w:rsidRPr="001912F1">
        <w:rPr>
          <w:rFonts w:ascii="Times New Roman" w:hAnsi="Times New Roman" w:cs="Times New Roman"/>
        </w:rPr>
        <w:t>insufficient construction site investigation and unforeseen adverse site conditions (ER</w:t>
      </w:r>
      <w:r w:rsidR="00B71B38" w:rsidRPr="001912F1">
        <w:rPr>
          <w:rFonts w:ascii="Times New Roman" w:hAnsi="Times New Roman" w:cs="Times New Roman"/>
        </w:rPr>
        <w:t>3</w:t>
      </w:r>
      <w:r w:rsidR="00161C46" w:rsidRPr="001912F1">
        <w:rPr>
          <w:rFonts w:ascii="Times New Roman" w:hAnsi="Times New Roman" w:cs="Times New Roman"/>
        </w:rPr>
        <w:t>)</w:t>
      </w:r>
      <w:r w:rsidR="000E4710" w:rsidRPr="001912F1">
        <w:rPr>
          <w:rFonts w:ascii="Times New Roman" w:hAnsi="Times New Roman" w:cs="Times New Roman"/>
        </w:rPr>
        <w:t>.</w:t>
      </w:r>
    </w:p>
    <w:p w14:paraId="196B19C6" w14:textId="5AA1B8CA" w:rsidR="005D08AE" w:rsidRPr="001912F1" w:rsidRDefault="005D08AE" w:rsidP="00D01F7E">
      <w:pPr>
        <w:spacing w:line="480" w:lineRule="auto"/>
        <w:jc w:val="both"/>
        <w:rPr>
          <w:rFonts w:ascii="Times New Roman" w:hAnsi="Times New Roman" w:cs="Times New Roman"/>
        </w:rPr>
      </w:pPr>
      <w:r w:rsidRPr="001912F1">
        <w:rPr>
          <w:rFonts w:ascii="Times New Roman" w:hAnsi="Times New Roman" w:cs="Times New Roman"/>
        </w:rPr>
        <w:t xml:space="preserve">Inadequate site information resulting from inaccurate soil tests and surveys presents serious environmental risks in GB projects. Insufficient data and knowledge of site conditions can lead to uninformative design and detrimental cascading effect on the progress of excavation, foundation, and footing construction in GB projects </w:t>
      </w:r>
      <w:r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"10.1016/j.ijproman.2007.03.001", "ISSN" : "02637863", "abstract" : "The aim of this paper is to understand the key risks in construction projects in China and to develop strategies to manage them. Risks were prioritized according to their significance of influences on typical project objectives in terms of cost, time, quality, safety and environmental sustainability, and then scrutinized from a joint perspective of project stakeholders and life cycle. Postal questionnaire surveys were used to collect data, based on which a total of 25 key risks were ascertained. These risks were compared with the findings of a parallel survey in the Australian construction industry context to highlight the unique risks associated with construction projects in China. Strategies to manage the risks were sought from the perspectives of project stakeholders and life cycle and in light of the Chinese construction culture. It is concluded that clients, designers and government bodies should take the responsibility to manage their relevant risks and work cooperatively from the feasibility phase onwards to address potential risks in time; contractors and subcontractors with robust construction and management knowledge should be employed to minimize construction risks and carry out safe, efficient and quality construction activities. \u00a9 2007 Elsevier Ltd and IPMA.", "author" : [ { "dropping-particle" : "", "family" : "Zou", "given" : "Patrick X.W.", "non-dropping-particle" : "", "parse-names" : false, "suffix" : "" }, { "dropping-particle" : "", "family" : "Zhang", "given" : "Guomin", "non-dropping-particle" : "", "parse-names" : false, "suffix" : "" }, { "dropping-particle" : "", "family" : "Wang", "given" : "Jiayuan", "non-dropping-particle" : "", "parse-names" : false, "suffix" : "" } ], "container-title" : "International Journal of Project Management", "id" : "ITEM-1", "issue" : "6", "issued" : { "date-parts" : [ [ "2007" ] ] }, "page" : "601-614", "title" : "Understanding the key risks in construction projects in China", "type" : "article-journal", "volume" : "25" }, "uris" : [ "http://www.mendeley.com/documents/?uuid=83601f31-dd3a-449c-8adc-7139951b5500" ] } ], "mendeley" : { "formattedCitation" : "[57]", "plainTextFormattedCitation" : "[57]", "previouslyFormattedCitation" : "[57]" }, "properties" : { "noteIndex" : 0 }, "schema" : "https://github.com/citation-style-language/schema/raw/master/csl-citation.json" }</w:instrText>
      </w:r>
      <w:r w:rsidRPr="001912F1">
        <w:rPr>
          <w:rFonts w:ascii="Times New Roman" w:hAnsi="Times New Roman" w:cs="Times New Roman"/>
        </w:rPr>
        <w:fldChar w:fldCharType="separate"/>
      </w:r>
      <w:r w:rsidR="00A172E2" w:rsidRPr="00A172E2">
        <w:rPr>
          <w:rFonts w:ascii="Times New Roman" w:hAnsi="Times New Roman" w:cs="Times New Roman"/>
          <w:noProof/>
        </w:rPr>
        <w:t>[57]</w:t>
      </w:r>
      <w:r w:rsidRPr="001912F1">
        <w:rPr>
          <w:rFonts w:ascii="Times New Roman" w:hAnsi="Times New Roman" w:cs="Times New Roman"/>
        </w:rPr>
        <w:fldChar w:fldCharType="end"/>
      </w:r>
      <w:r w:rsidRPr="001912F1">
        <w:rPr>
          <w:rFonts w:ascii="Times New Roman" w:hAnsi="Times New Roman" w:cs="Times New Roman"/>
        </w:rPr>
        <w:t>. Variation</w:t>
      </w:r>
      <w:r w:rsidR="00EF713A" w:rsidRPr="001912F1">
        <w:rPr>
          <w:rFonts w:ascii="Times New Roman" w:hAnsi="Times New Roman" w:cs="Times New Roman"/>
        </w:rPr>
        <w:t>s</w:t>
      </w:r>
      <w:r w:rsidRPr="001912F1">
        <w:rPr>
          <w:rFonts w:ascii="Times New Roman" w:hAnsi="Times New Roman" w:cs="Times New Roman"/>
        </w:rPr>
        <w:t xml:space="preserve"> in weather conditions can </w:t>
      </w:r>
      <w:r w:rsidR="00EF713A" w:rsidRPr="001912F1">
        <w:rPr>
          <w:rFonts w:ascii="Times New Roman" w:hAnsi="Times New Roman" w:cs="Times New Roman"/>
        </w:rPr>
        <w:t xml:space="preserve">also </w:t>
      </w:r>
      <w:r w:rsidRPr="001912F1">
        <w:rPr>
          <w:rFonts w:ascii="Times New Roman" w:hAnsi="Times New Roman" w:cs="Times New Roman"/>
        </w:rPr>
        <w:t xml:space="preserve">generate additional uncertainties, delays in schedule, and extra costs in GB projects </w:t>
      </w:r>
      <w:r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"10.1016/j.jclepro.2020.120372", "ISSN" : "09596526", "abstract" : "Green building (GB) projects have attracted wide attention in the construction industry in recent years owing to numerous benefits of green practices for sustainable development. However, existing research efforts on GB project risk management are very limited, and no prior in-depth research has focused on studying the risk interdependencies in GB projects from the perspectives of both the project life cycle and multiple project risks. This paper begins by identifying and distinguishing GB project constraints from multiple GB project risks using a systematic literature review and then investigates, based on the Interpretive Structural Modeling (ISM) method, the risk interdependencies taking into account the identified 16 constraint factors, 22 risk factors and 11 objectives throughout a GB project life cycle. The importance of constraints and risk factors associated with GB project objectives was calculated based on the influence transmission through network paths in the established ISM-based model. In addition, the Matrice d'Impacts Crois\u00e9s Multiplication Appliqu\u00e9e \u00e1 un Classement (MICMAC) approach was used to analyze the drive and dependence powers of risk interdependency elements. Critical constraints and risk factors in the implementation of GB projects can be obtained from the proposed risk analysis model, which contributes to an in-depth risk perception of GB projects for industry practitioners and facilitates GB project risk management in a more effective way.", "author" : [ { "dropping-particle" : "", "family" : "Guan", "given" : "Li", "non-dropping-particle" : "", "parse-names" : false, "suffix" : "" }, { "dropping-particle" : "", "family" : "Abbasi", "given" : "Alireza", "non-dropping-particle" : "", "parse-names" : false, "suffix" : "" }, { "dropping-particle" : "", "family" : "Ryan", "given" : "Michael J.", "non-dropping-particle" : "", "parse-names" : false, "suffix" : "" } ], "container-title" : "Journal of Cleaner Production", "id" : "ITEM-1", "issued" : { "date-parts" : [ [ "2020" ] ] }, "page" : "120372", "publisher" : "Elsevier Ltd", "title" : "Analyzing green building project risk interdependencies using Interpretive Structural Modeling", "type" : "article-journal", "volume" : "256" }, "uris" : [ "http://www.mendeley.com/documents/?uuid=fad87b48-b75d-4f4f-b9e9-f097ba07f5f5" ] } ], "mendeley" : { "formattedCitation" : "[19]", "plainTextFormattedCitation" : "[19]", "previouslyFormattedCitation" : "[19]" }, "properties" : { "noteIndex" : 0 }, "schema" : "https://github.com/citation-style-language/schema/raw/master/csl-citation.json" }</w:instrText>
      </w:r>
      <w:r w:rsidRPr="001912F1">
        <w:rPr>
          <w:rFonts w:ascii="Times New Roman" w:hAnsi="Times New Roman" w:cs="Times New Roman"/>
        </w:rPr>
        <w:fldChar w:fldCharType="separate"/>
      </w:r>
      <w:r w:rsidR="00A172E2" w:rsidRPr="00A172E2">
        <w:rPr>
          <w:rFonts w:ascii="Times New Roman" w:hAnsi="Times New Roman" w:cs="Times New Roman"/>
          <w:noProof/>
        </w:rPr>
        <w:t>[19]</w:t>
      </w:r>
      <w:r w:rsidRPr="001912F1">
        <w:rPr>
          <w:rFonts w:ascii="Times New Roman" w:hAnsi="Times New Roman" w:cs="Times New Roman"/>
        </w:rPr>
        <w:fldChar w:fldCharType="end"/>
      </w:r>
      <w:r w:rsidRPr="001912F1">
        <w:rPr>
          <w:rFonts w:ascii="Times New Roman" w:hAnsi="Times New Roman" w:cs="Times New Roman"/>
        </w:rPr>
        <w:t xml:space="preserve">. Extreme weather events (e.g., typhoons, hurricanes, floods) in </w:t>
      </w:r>
      <w:r w:rsidR="00EF713A" w:rsidRPr="001912F1">
        <w:rPr>
          <w:rFonts w:ascii="Times New Roman" w:hAnsi="Times New Roman" w:cs="Times New Roman"/>
        </w:rPr>
        <w:t>today’s</w:t>
      </w:r>
      <w:r w:rsidRPr="001912F1">
        <w:rPr>
          <w:rFonts w:ascii="Times New Roman" w:hAnsi="Times New Roman" w:cs="Times New Roman"/>
        </w:rPr>
        <w:t xml:space="preserve"> rising climatic impacts can destroy and halt onsite green construction activities and potentially contaminate green materials and products with weather-driven pollutants.</w:t>
      </w:r>
    </w:p>
    <w:p w14:paraId="297E8080" w14:textId="5C20D72E" w:rsidR="00AF2A73" w:rsidRPr="001912F1" w:rsidRDefault="00E22D8A" w:rsidP="00F573A3">
      <w:pPr>
        <w:spacing w:line="480" w:lineRule="auto"/>
        <w:jc w:val="both"/>
        <w:rPr>
          <w:rFonts w:ascii="Times New Roman" w:hAnsi="Times New Roman" w:cs="Times New Roman"/>
        </w:rPr>
      </w:pPr>
      <w:r w:rsidRPr="001912F1">
        <w:rPr>
          <w:rFonts w:ascii="Times New Roman" w:hAnsi="Times New Roman" w:cs="Times New Roman"/>
          <w:b/>
          <w:bCs/>
          <w:i/>
          <w:iCs/>
        </w:rPr>
        <w:t>Legal risks</w:t>
      </w:r>
      <w:r w:rsidRPr="001912F1">
        <w:rPr>
          <w:rFonts w:ascii="Times New Roman" w:hAnsi="Times New Roman" w:cs="Times New Roman"/>
        </w:rPr>
        <w:t xml:space="preserve">:  Fig. </w:t>
      </w:r>
      <w:r w:rsidR="00D01F7E" w:rsidRPr="001912F1">
        <w:rPr>
          <w:rFonts w:ascii="Times New Roman" w:hAnsi="Times New Roman" w:cs="Times New Roman"/>
        </w:rPr>
        <w:t xml:space="preserve">6 (d) </w:t>
      </w:r>
      <w:r w:rsidR="00AF2A73" w:rsidRPr="001912F1">
        <w:rPr>
          <w:rFonts w:ascii="Times New Roman" w:hAnsi="Times New Roman" w:cs="Times New Roman"/>
        </w:rPr>
        <w:t>shows five (5) legal risks of GB projects. The vital critical legal risk factors for GB projects include</w:t>
      </w:r>
      <w:r w:rsidR="00F573A3" w:rsidRPr="001912F1">
        <w:rPr>
          <w:rFonts w:ascii="Times New Roman" w:hAnsi="Times New Roman" w:cs="Times New Roman"/>
        </w:rPr>
        <w:t xml:space="preserve"> breach of contracts and disputes (LR1), </w:t>
      </w:r>
      <w:bookmarkStart w:id="8" w:name="_Hlk108438628"/>
      <w:r w:rsidR="00F573A3" w:rsidRPr="001912F1">
        <w:rPr>
          <w:rFonts w:ascii="Times New Roman" w:hAnsi="Times New Roman" w:cs="Times New Roman"/>
        </w:rPr>
        <w:t>unclear contract clauses and conditions for green building</w:t>
      </w:r>
      <w:bookmarkEnd w:id="8"/>
      <w:r w:rsidR="00F573A3" w:rsidRPr="001912F1">
        <w:rPr>
          <w:rFonts w:ascii="Times New Roman" w:hAnsi="Times New Roman" w:cs="Times New Roman"/>
        </w:rPr>
        <w:t xml:space="preserve"> (LR2), inadequate long-term warranties and insurances for green materials and equipment (LR3), and litigation, legal actions, and prosecutions during construction (LR4).</w:t>
      </w:r>
    </w:p>
    <w:p w14:paraId="25E8C376" w14:textId="3107562A" w:rsidR="00C12B3E" w:rsidRPr="001912F1" w:rsidRDefault="00C12B3E" w:rsidP="00C12B3E">
      <w:pPr>
        <w:spacing w:line="480" w:lineRule="auto"/>
        <w:jc w:val="both"/>
        <w:rPr>
          <w:rFonts w:ascii="Times New Roman" w:hAnsi="Times New Roman" w:cs="Times New Roman"/>
        </w:rPr>
      </w:pPr>
      <w:r w:rsidRPr="001912F1">
        <w:rPr>
          <w:rFonts w:ascii="Times New Roman" w:hAnsi="Times New Roman" w:cs="Times New Roman"/>
        </w:rPr>
        <w:t xml:space="preserve">Breach of contracts and disputes arising from the failure of relevant parties to discharge and fulfill contractual obligations can cause </w:t>
      </w:r>
      <w:r w:rsidR="00D43799" w:rsidRPr="001912F1">
        <w:rPr>
          <w:rFonts w:ascii="Times New Roman" w:hAnsi="Times New Roman" w:cs="Times New Roman" w:hint="eastAsia"/>
          <w:lang w:eastAsia="zh-CN"/>
        </w:rPr>
        <w:t>si</w:t>
      </w:r>
      <w:r w:rsidR="00D43799" w:rsidRPr="001912F1">
        <w:rPr>
          <w:rFonts w:ascii="Times New Roman" w:hAnsi="Times New Roman" w:cs="Times New Roman"/>
          <w:lang w:eastAsia="zh-CN"/>
        </w:rPr>
        <w:t>gnificant</w:t>
      </w:r>
      <w:r w:rsidRPr="001912F1">
        <w:rPr>
          <w:rFonts w:ascii="Times New Roman" w:hAnsi="Times New Roman" w:cs="Times New Roman"/>
        </w:rPr>
        <w:t xml:space="preserve"> delay in the project schedule, generate dissatisfaction, additional legal costs of dispute resolutions, and </w:t>
      </w:r>
      <w:r w:rsidR="00D43799" w:rsidRPr="001912F1">
        <w:rPr>
          <w:rFonts w:ascii="Times New Roman" w:hAnsi="Times New Roman" w:cs="Times New Roman"/>
        </w:rPr>
        <w:t xml:space="preserve">even </w:t>
      </w:r>
      <w:r w:rsidRPr="001912F1">
        <w:rPr>
          <w:rFonts w:ascii="Times New Roman" w:hAnsi="Times New Roman" w:cs="Times New Roman"/>
        </w:rPr>
        <w:t xml:space="preserve">possible termination of the project </w:t>
      </w:r>
      <w:r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"10.1002/sd.492", "ISSN" : "09680802", "abstract" : "Green building construction is earning a place in Singapore's construction industry, and, with augmenting cognizance of environmental issues and growing concern over climate change, sustainable construction is gradually being put forth globally. However, construction of green buildings in Singapore still encounters impediments, as there is a lack of proper project management framework for such projects. Based on survey and interview results from 31 industry experts, this study aims to identify common obstacles encountered during management of green construction projects, ultimately proposing some solutions to overcome the barriers. The findings from this study reveal that, although project cost is the paramount barrier among others in green building construction management, there is no paucity in sustainable knowledge in Singapore's construction industry. To deal with the cost related problem, the coverage of government incentives should be widened to include the usage of green products and technologies. Furthermore, a project management framework for green building construction should be developed to overcome the barriers, possibly promoting adoption of sustainable construction in future projects. \u00a9 2010 John Wiley &amp; Sons, Ltd and ERP Environment.", "author" : [ { "dropping-particle" : "", "family" : "Hwang", "given" : "Bon Gang", "non-dropping-particle" : "", "parse-names" : false, "suffix" : "" }, { "dropping-particle" : "", "family" : "Tan", "given" : "Jac See", "non-dropping-particle" : "", "parse-names" : false, "suffix" : "" } ], "container-title" : "Sustainable Development", "id" : "ITEM-1", "issue" : "5", "issued" : { "date-parts" : [ [ "2012" ] ] }, "page" : "335-349", "title" : "Green building project management: Obstacles and solutions for sustainable development", "type" : "article-journal", "volume" : "20" }, "uris" : [ "http://www.mendeley.com/documents/?uuid=84cd5305-9dfd-458e-86f5-5b3d2bdb6add" ] } ], "mendeley" : { "formattedCitation" : "[83]", "plainTextFormattedCitation" : "[83]", "previouslyFormattedCitation" : "[83]" }, "properties" : { "noteIndex" : 0 }, "schema" : "https://github.com/citation-style-language/schema/raw/master/csl-citation.json" }</w:instrText>
      </w:r>
      <w:r w:rsidRPr="001912F1">
        <w:rPr>
          <w:rFonts w:ascii="Times New Roman" w:hAnsi="Times New Roman" w:cs="Times New Roman"/>
        </w:rPr>
        <w:fldChar w:fldCharType="separate"/>
      </w:r>
      <w:r w:rsidR="00A172E2" w:rsidRPr="00A172E2">
        <w:rPr>
          <w:rFonts w:ascii="Times New Roman" w:hAnsi="Times New Roman" w:cs="Times New Roman"/>
          <w:noProof/>
        </w:rPr>
        <w:t>[83]</w:t>
      </w:r>
      <w:r w:rsidRPr="001912F1">
        <w:rPr>
          <w:rFonts w:ascii="Times New Roman" w:hAnsi="Times New Roman" w:cs="Times New Roman"/>
        </w:rPr>
        <w:fldChar w:fldCharType="end"/>
      </w:r>
      <w:r w:rsidRPr="001912F1">
        <w:rPr>
          <w:rFonts w:ascii="Times New Roman" w:hAnsi="Times New Roman" w:cs="Times New Roman"/>
        </w:rPr>
        <w:t xml:space="preserve">. While contractual breaches could arise from the bankruptcy of a client </w:t>
      </w:r>
      <w:r w:rsidR="00D43799" w:rsidRPr="001912F1">
        <w:rPr>
          <w:rFonts w:ascii="Times New Roman" w:hAnsi="Times New Roman" w:cs="Times New Roman"/>
        </w:rPr>
        <w:t>or</w:t>
      </w:r>
      <w:r w:rsidRPr="001912F1">
        <w:rPr>
          <w:rFonts w:ascii="Times New Roman" w:hAnsi="Times New Roman" w:cs="Times New Roman"/>
        </w:rPr>
        <w:t xml:space="preserve"> other reasons, disputes usually arise from unclear contract clauses and conditions for GB projects. Contract documents for GB projects usually specify the roles, responsibilities, rights, and rewards of various parties to the contract, </w:t>
      </w:r>
      <w:r w:rsidR="00D43799" w:rsidRPr="001912F1">
        <w:rPr>
          <w:rFonts w:ascii="Times New Roman" w:hAnsi="Times New Roman" w:cs="Times New Roman"/>
        </w:rPr>
        <w:t>different</w:t>
      </w:r>
      <w:r w:rsidRPr="001912F1">
        <w:rPr>
          <w:rFonts w:ascii="Times New Roman" w:hAnsi="Times New Roman" w:cs="Times New Roman"/>
        </w:rPr>
        <w:t xml:space="preserve"> types of materials and equipment to be used, minimize standards required, and </w:t>
      </w:r>
      <w:r w:rsidR="00D43799" w:rsidRPr="001912F1">
        <w:rPr>
          <w:rFonts w:ascii="Times New Roman" w:hAnsi="Times New Roman" w:cs="Times New Roman"/>
        </w:rPr>
        <w:t xml:space="preserve">necessary </w:t>
      </w:r>
      <w:r w:rsidRPr="001912F1">
        <w:rPr>
          <w:rFonts w:ascii="Times New Roman" w:hAnsi="Times New Roman" w:cs="Times New Roman"/>
        </w:rPr>
        <w:t xml:space="preserve">mechanisms to address potential disputes </w:t>
      </w:r>
      <w:r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"10.1002/sd.492", "ISSN" : "09680802", "abstract" : "Green building construction is earning a place in Singapore's construction industry, and, with augmenting cognizance of environmental issues and growing concern over climate change, sustainable construction is gradually being put forth globally. However, construction of green buildings in Singapore still encounters impediments, as there is a lack of proper project management framework for such projects. Based on survey and interview results from 31 industry experts, this study aims to identify common obstacles encountered during management of green construction projects, ultimately proposing some solutions to overcome the barriers. The findings from this study reveal that, although project cost is the paramount barrier among others in green building construction management, there is no paucity in sustainable knowledge in Singapore's construction industry. To deal with the cost related problem, the coverage of government incentives should be widened to include the usage of green products and technologies. Furthermore, a project management framework for green building construction should be developed to overcome the barriers, possibly promoting adoption of sustainable construction in future projects. \u00a9 2010 John Wiley &amp; Sons, Ltd and ERP Environment.", "author" : [ { "dropping-particle" : "", "family" : "Hwang", "given" : "Bon Gang", "non-dropping-particle" : "", "parse-names" : false, "suffix" : "" }, { "dropping-particle" : "", "family" : "Tan", "given" : "Jac See", "non-dropping-particle" : "", "parse-names" : false, "suffix" : "" } ], "container-title" : "Sustainable Development", "id" : "ITEM-1", "issue" : "5", "issued" : { "date-parts" : [ [ "2012" ] ] }, "page" : "335-349", "title" : "Green building project management: Obstacles and solutions for sustainable development", "type" : "article-journal", "volume" : "20" }, "uris" : [ "http://www.mendeley.com/documents/?uuid=84cd5305-9dfd-458e-86f5-5b3d2bdb6add" ] } ], "mendeley" : { "formattedCitation" : "[83]", "plainTextFormattedCitation" : "[83]", "previouslyFormattedCitation" : "[83]" }, "properties" : { "noteIndex" : 0 }, "schema" : "https://github.com/citation-style-language/schema/raw/master/csl-citation.json" }</w:instrText>
      </w:r>
      <w:r w:rsidRPr="001912F1">
        <w:rPr>
          <w:rFonts w:ascii="Times New Roman" w:hAnsi="Times New Roman" w:cs="Times New Roman"/>
        </w:rPr>
        <w:fldChar w:fldCharType="separate"/>
      </w:r>
      <w:r w:rsidR="00A172E2" w:rsidRPr="00A172E2">
        <w:rPr>
          <w:rFonts w:ascii="Times New Roman" w:hAnsi="Times New Roman" w:cs="Times New Roman"/>
          <w:noProof/>
        </w:rPr>
        <w:t>[83]</w:t>
      </w:r>
      <w:r w:rsidRPr="001912F1">
        <w:rPr>
          <w:rFonts w:ascii="Times New Roman" w:hAnsi="Times New Roman" w:cs="Times New Roman"/>
        </w:rPr>
        <w:fldChar w:fldCharType="end"/>
      </w:r>
      <w:r w:rsidRPr="001912F1">
        <w:rPr>
          <w:rFonts w:ascii="Times New Roman" w:hAnsi="Times New Roman" w:cs="Times New Roman"/>
        </w:rPr>
        <w:t xml:space="preserve">. </w:t>
      </w:r>
      <w:r w:rsidRPr="001912F1">
        <w:rPr>
          <w:rFonts w:ascii="Times New Roman" w:hAnsi="Times New Roman" w:cs="Times New Roman"/>
        </w:rPr>
        <w:lastRenderedPageBreak/>
        <w:t>Thus, unclear contract clauses and conditions are sources of dysfunctional litigations and associated costs.</w:t>
      </w:r>
    </w:p>
    <w:p w14:paraId="4CE2BCC8" w14:textId="65C1E186" w:rsidR="003F5309" w:rsidRPr="001912F1" w:rsidRDefault="003F5309" w:rsidP="003F5309">
      <w:pPr>
        <w:spacing w:line="480" w:lineRule="auto"/>
        <w:jc w:val="both"/>
        <w:rPr>
          <w:rFonts w:ascii="Times New Roman" w:hAnsi="Times New Roman" w:cs="Times New Roman"/>
        </w:rPr>
      </w:pPr>
      <w:r w:rsidRPr="001912F1">
        <w:rPr>
          <w:rFonts w:ascii="Times New Roman" w:hAnsi="Times New Roman" w:cs="Times New Roman"/>
        </w:rPr>
        <w:t>Inadequate long-term warranties and insurances for green materials and equipment fail to provide financial protection against the unproven quality of new green materials and equipment.</w:t>
      </w:r>
      <w:r w:rsidR="005C3F0C" w:rsidRPr="001912F1">
        <w:rPr>
          <w:rFonts w:ascii="Times New Roman" w:hAnsi="Times New Roman" w:cs="Times New Roman"/>
        </w:rPr>
        <w:t xml:space="preserve"> L</w:t>
      </w:r>
      <w:r w:rsidRPr="001912F1">
        <w:rPr>
          <w:rFonts w:ascii="Times New Roman" w:hAnsi="Times New Roman" w:cs="Times New Roman"/>
        </w:rPr>
        <w:t xml:space="preserve">itigation, legal actions, and prosecutions during construction </w:t>
      </w:r>
      <w:r w:rsidR="005C3F0C" w:rsidRPr="001912F1">
        <w:rPr>
          <w:rFonts w:ascii="Times New Roman" w:hAnsi="Times New Roman" w:cs="Times New Roman"/>
        </w:rPr>
        <w:t>can halt progress and significantly extend the schedule of GB projects</w:t>
      </w:r>
      <w:r w:rsidR="00446113" w:rsidRPr="001912F1">
        <w:rPr>
          <w:rFonts w:ascii="Times New Roman" w:hAnsi="Times New Roman" w:cs="Times New Roman"/>
        </w:rPr>
        <w:t>,</w:t>
      </w:r>
      <w:r w:rsidR="005C3F0C" w:rsidRPr="001912F1">
        <w:rPr>
          <w:rFonts w:ascii="Times New Roman" w:hAnsi="Times New Roman" w:cs="Times New Roman"/>
        </w:rPr>
        <w:t xml:space="preserve"> </w:t>
      </w:r>
      <w:r w:rsidR="00446113" w:rsidRPr="001912F1">
        <w:rPr>
          <w:rFonts w:ascii="Times New Roman" w:hAnsi="Times New Roman" w:cs="Times New Roman"/>
        </w:rPr>
        <w:t xml:space="preserve">thus </w:t>
      </w:r>
      <w:r w:rsidR="005C3F0C" w:rsidRPr="001912F1">
        <w:rPr>
          <w:rFonts w:ascii="Times New Roman" w:hAnsi="Times New Roman" w:cs="Times New Roman"/>
        </w:rPr>
        <w:t>incur</w:t>
      </w:r>
      <w:r w:rsidR="00446113" w:rsidRPr="001912F1">
        <w:rPr>
          <w:rFonts w:ascii="Times New Roman" w:hAnsi="Times New Roman" w:cs="Times New Roman"/>
        </w:rPr>
        <w:t>ring</w:t>
      </w:r>
      <w:r w:rsidR="005C3F0C" w:rsidRPr="001912F1">
        <w:rPr>
          <w:rFonts w:ascii="Times New Roman" w:hAnsi="Times New Roman" w:cs="Times New Roman"/>
        </w:rPr>
        <w:t xml:space="preserve"> additional costs</w:t>
      </w:r>
      <w:r w:rsidR="00FA4FCA" w:rsidRPr="001912F1">
        <w:rPr>
          <w:rFonts w:ascii="Times New Roman" w:hAnsi="Times New Roman" w:cs="Times New Roman"/>
        </w:rPr>
        <w:t xml:space="preserve"> </w:t>
      </w:r>
      <w:r w:rsidR="00FA4FCA"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"10.1016/j.scs.2017.01.020", "ISSN" : "22106707", "abstract" : "Green buildings have achieved rapid development over the past two decades, yet research efforts on risk management in green building projects are still very limited. This study aims to identify and evaluate risk factors in green commercial building projects in Singapore, to compare their risk criticalities with those in traditional counterparts, and to propose mitigation measures that can tackle these risk factors. To achieve these goals, a comprehensive literature review and structured interviews were carried out, and a questionnaire survey was conducted with 25 Singapore-based construction companies. Survey results showed that the top five critical risk factors in green commercial building projects were \u201cinflation,\u201d \u201ccurrency and interest rate volatility worsened by the import of green materials,\u201d \u201cdurability of green materials,\u201d \u201cdamages caused by human error,\u201d and \u201cshortage of green materials.\u201d Results also showed that green commercial building projects faced risks of design change and poor construction quality for less criticality than their traditional counterparts, but that the adoptions of green ideas, materials, and technologies had posed additional risks to green commercial building projects. Additionally, seven widely used risk mitigation measures were also proposed by this study.", "author" : [ { "dropping-particle" : "", "family" : "Hwang", "given" : "Bon gang", "non-dropping-particle" : "", "parse-names" : false, "suffix" : "" }, { "dropping-particle" : "", "family" : "Shan", "given" : "Ming", "non-dropping-particle" : "", "parse-names" : false, "suffix" : "" }, { "dropping-particle" : "", "family" : "Supa'at", "given" : "Nur Nadiah Binte", "non-dropping-particle" : "", "parse-names" : false, "suffix" : "" } ], "container-title" : "Sustainable Cities and Society", "id" : "ITEM-1", "issued" : { "date-parts" : [ [ "2017" ] ] }, "page" : "237-247", "publisher" : "Elsevier B.V.", "title" : "Green commercial building projects in Singapore: Critical risk factors and mitigation measures", "type" : "article-journal", "volume" : "30" }, "uris" : [ "http://www.mendeley.com/documents/?uuid=11690b9a-aef6-408d-81b8-56fc47de4ec9" ] } ], "mendeley" : { "formattedCitation" : "[15]", "plainTextFormattedCitation" : "[15]", "previouslyFormattedCitation" : "[15]" }, "properties" : { "noteIndex" : 0 }, "schema" : "https://github.com/citation-style-language/schema/raw/master/csl-citation.json" }</w:instrText>
      </w:r>
      <w:r w:rsidR="00FA4FCA" w:rsidRPr="001912F1">
        <w:rPr>
          <w:rFonts w:ascii="Times New Roman" w:hAnsi="Times New Roman" w:cs="Times New Roman"/>
        </w:rPr>
        <w:fldChar w:fldCharType="separate"/>
      </w:r>
      <w:r w:rsidR="00A172E2" w:rsidRPr="00A172E2">
        <w:rPr>
          <w:rFonts w:ascii="Times New Roman" w:hAnsi="Times New Roman" w:cs="Times New Roman"/>
          <w:noProof/>
        </w:rPr>
        <w:t>[15]</w:t>
      </w:r>
      <w:r w:rsidR="00FA4FCA" w:rsidRPr="001912F1">
        <w:rPr>
          <w:rFonts w:ascii="Times New Roman" w:hAnsi="Times New Roman" w:cs="Times New Roman"/>
        </w:rPr>
        <w:fldChar w:fldCharType="end"/>
      </w:r>
      <w:r w:rsidR="005C3F0C" w:rsidRPr="001912F1">
        <w:rPr>
          <w:rFonts w:ascii="Times New Roman" w:hAnsi="Times New Roman" w:cs="Times New Roman"/>
        </w:rPr>
        <w:t>.</w:t>
      </w:r>
    </w:p>
    <w:p w14:paraId="012E3F70" w14:textId="7DEF9B4F" w:rsidR="00BF626E" w:rsidRPr="001912F1" w:rsidRDefault="00E22D8A" w:rsidP="00702660">
      <w:pPr>
        <w:spacing w:line="480" w:lineRule="auto"/>
        <w:jc w:val="both"/>
        <w:rPr>
          <w:rFonts w:ascii="Times New Roman" w:hAnsi="Times New Roman" w:cs="Times New Roman"/>
        </w:rPr>
      </w:pPr>
      <w:r w:rsidRPr="001912F1">
        <w:rPr>
          <w:rFonts w:ascii="Times New Roman" w:hAnsi="Times New Roman" w:cs="Times New Roman"/>
          <w:b/>
          <w:bCs/>
          <w:i/>
          <w:iCs/>
        </w:rPr>
        <w:t>Regulatory risks</w:t>
      </w:r>
      <w:r w:rsidRPr="001912F1">
        <w:rPr>
          <w:rFonts w:ascii="Times New Roman" w:hAnsi="Times New Roman" w:cs="Times New Roman"/>
        </w:rPr>
        <w:t xml:space="preserve">: Fig. </w:t>
      </w:r>
      <w:r w:rsidR="00D01F7E" w:rsidRPr="001912F1">
        <w:rPr>
          <w:rFonts w:ascii="Times New Roman" w:hAnsi="Times New Roman" w:cs="Times New Roman"/>
        </w:rPr>
        <w:t xml:space="preserve">6 (e) </w:t>
      </w:r>
      <w:r w:rsidR="00F26C4B" w:rsidRPr="001912F1">
        <w:rPr>
          <w:rFonts w:ascii="Times New Roman" w:hAnsi="Times New Roman" w:cs="Times New Roman"/>
        </w:rPr>
        <w:t xml:space="preserve">shows nine (9) regulatory risks in GB projects. The vital regulatory risk factors for GB projects include </w:t>
      </w:r>
      <w:r w:rsidR="00702660" w:rsidRPr="001912F1">
        <w:rPr>
          <w:rFonts w:ascii="Times New Roman" w:hAnsi="Times New Roman" w:cs="Times New Roman"/>
        </w:rPr>
        <w:t xml:space="preserve">complex and complicated approval procedures, codes, and regulations for green buildings (RR1), changes in government regulations, taxes, incentives, and policies (RR2), difficulty in obtaining green certification and documentation upon completion (RR3), lack of government support and incentives (RR4), </w:t>
      </w:r>
      <w:r w:rsidR="00E929A6" w:rsidRPr="001912F1">
        <w:rPr>
          <w:rFonts w:ascii="Times New Roman" w:hAnsi="Times New Roman" w:cs="Times New Roman"/>
        </w:rPr>
        <w:t xml:space="preserve">and </w:t>
      </w:r>
      <w:r w:rsidR="00702660" w:rsidRPr="001912F1">
        <w:rPr>
          <w:rFonts w:ascii="Times New Roman" w:hAnsi="Times New Roman" w:cs="Times New Roman"/>
        </w:rPr>
        <w:t>uncertainty and delays in obtaining approval and permitting for green buildings (RR5).</w:t>
      </w:r>
    </w:p>
    <w:p w14:paraId="388BF3B9" w14:textId="5497BB30" w:rsidR="00D01F7E" w:rsidRPr="001912F1" w:rsidRDefault="005873CF" w:rsidP="00FA4FCA">
      <w:pPr>
        <w:spacing w:line="480" w:lineRule="auto"/>
        <w:jc w:val="both"/>
        <w:rPr>
          <w:rFonts w:ascii="Times New Roman" w:hAnsi="Times New Roman" w:cs="Times New Roman"/>
        </w:rPr>
      </w:pPr>
      <w:r w:rsidRPr="001912F1">
        <w:rPr>
          <w:rFonts w:ascii="Times New Roman" w:hAnsi="Times New Roman" w:cs="Times New Roman"/>
        </w:rPr>
        <w:t xml:space="preserve">While building regulations can be drivers of GB projects, they can </w:t>
      </w:r>
      <w:r w:rsidR="00446113" w:rsidRPr="001912F1">
        <w:rPr>
          <w:rFonts w:ascii="Times New Roman" w:hAnsi="Times New Roman" w:cs="Times New Roman"/>
        </w:rPr>
        <w:t xml:space="preserve">also </w:t>
      </w:r>
      <w:r w:rsidRPr="001912F1">
        <w:rPr>
          <w:rFonts w:ascii="Times New Roman" w:hAnsi="Times New Roman" w:cs="Times New Roman"/>
        </w:rPr>
        <w:t xml:space="preserve">create significant disincentives, difficulties, and risks </w:t>
      </w:r>
      <w:r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"10.1016/j.techsoc.2005.10.017", "ISSN" : "0160791X", "abstract" : "In the spring of 2002, recognizing that New York City was proving to be a difficult arena in which to do 'high performance building' and that this might have serious negative implications for the city's global position, the non-profit Center for Economic and Environmental Partnership, Inc. (CEEP), undertook the High Performance Building Initiative. Its premise was that if high performance building - an approach to construction aimed at, among other things, reduced environmental impact, improved public health, better security, and more flexible space - was to become mainstream in New York City, the high performance path would need to be perceived as reasonably predictable, posing only manageable risks and uncertainties. The purpose of the Initiative was to identify the barriers to high performance building in the city and to propose ways in which they could be reduced or eliminated. To accomplish this, CEEP convened interested and/or knowled geable individuals from the full range of relevant specializations and stakeholder perspectives. A final report [1], summarized herein, aggregated the participants' findings. The Initiative was both an important model of collaborative policy research and a valuable catalyst for change in both the public and private sectors. \u00a9 2005 Published by Elsevier Ltd.", "author" : [ { "dropping-particle" : "", "family" : "Zerkin", "given" : "Allen J.", "non-dropping-particle" : "", "parse-names" : false, "suffix" : "" } ], "container-title" : "Technology in Society", "id" : "ITEM-1", "issue" : "1-2", "issued" : { "date-parts" : [ [ "2006" ] ] }, "page" : "137-155", "title" : "Mainstreaming high performance building in New York City: A comprehensive roadmap for removing the barriers", "type" : "article-journal", "volume" : "28" }, "uris" : [ "http://www.mendeley.com/documents/?uuid=daae5acb-cfbf-471c-bf05-9f7553097991" ] } ], "mendeley" : { "formattedCitation" : "[25]", "plainTextFormattedCitation" : "[25]", "previouslyFormattedCitation" : "[25]" }, "properties" : { "noteIndex" : 0 }, "schema" : "https://github.com/citation-style-language/schema/raw/master/csl-citation.json" }</w:instrText>
      </w:r>
      <w:r w:rsidRPr="001912F1">
        <w:rPr>
          <w:rFonts w:ascii="Times New Roman" w:hAnsi="Times New Roman" w:cs="Times New Roman"/>
        </w:rPr>
        <w:fldChar w:fldCharType="separate"/>
      </w:r>
      <w:r w:rsidR="00A172E2" w:rsidRPr="00A172E2">
        <w:rPr>
          <w:rFonts w:ascii="Times New Roman" w:hAnsi="Times New Roman" w:cs="Times New Roman"/>
          <w:noProof/>
        </w:rPr>
        <w:t>[25]</w:t>
      </w:r>
      <w:r w:rsidRPr="001912F1">
        <w:rPr>
          <w:rFonts w:ascii="Times New Roman" w:hAnsi="Times New Roman" w:cs="Times New Roman"/>
        </w:rPr>
        <w:fldChar w:fldCharType="end"/>
      </w:r>
      <w:r w:rsidRPr="001912F1">
        <w:rPr>
          <w:rFonts w:ascii="Times New Roman" w:hAnsi="Times New Roman" w:cs="Times New Roman"/>
        </w:rPr>
        <w:t xml:space="preserve">. </w:t>
      </w:r>
      <w:r w:rsidR="00224040" w:rsidRPr="001912F1">
        <w:rPr>
          <w:rFonts w:ascii="Times New Roman" w:hAnsi="Times New Roman" w:cs="Times New Roman"/>
        </w:rPr>
        <w:t xml:space="preserve">It is common for existing building codes </w:t>
      </w:r>
      <w:r w:rsidR="00C12B3E" w:rsidRPr="001912F1">
        <w:rPr>
          <w:rFonts w:ascii="Times New Roman" w:hAnsi="Times New Roman" w:cs="Times New Roman"/>
        </w:rPr>
        <w:t xml:space="preserve">to </w:t>
      </w:r>
      <w:r w:rsidR="00224040" w:rsidRPr="001912F1">
        <w:rPr>
          <w:rFonts w:ascii="Times New Roman" w:hAnsi="Times New Roman" w:cs="Times New Roman"/>
        </w:rPr>
        <w:t>preclude high</w:t>
      </w:r>
      <w:r w:rsidR="00C12B3E" w:rsidRPr="001912F1">
        <w:rPr>
          <w:rFonts w:ascii="Times New Roman" w:hAnsi="Times New Roman" w:cs="Times New Roman"/>
        </w:rPr>
        <w:t>-</w:t>
      </w:r>
      <w:r w:rsidR="00224040" w:rsidRPr="001912F1">
        <w:rPr>
          <w:rFonts w:ascii="Times New Roman" w:hAnsi="Times New Roman" w:cs="Times New Roman"/>
        </w:rPr>
        <w:t>performance materials and green technologies.</w:t>
      </w:r>
      <w:r w:rsidR="00B7464F" w:rsidRPr="001912F1">
        <w:rPr>
          <w:rFonts w:ascii="Times New Roman" w:hAnsi="Times New Roman" w:cs="Times New Roman"/>
        </w:rPr>
        <w:t xml:space="preserve"> Consequently, there are </w:t>
      </w:r>
      <w:r w:rsidR="00224040" w:rsidRPr="001912F1">
        <w:rPr>
          <w:rFonts w:ascii="Times New Roman" w:hAnsi="Times New Roman" w:cs="Times New Roman"/>
        </w:rPr>
        <w:t>complex and complicated approval procedures, codes, and regulations for green buildings</w:t>
      </w:r>
      <w:r w:rsidR="00C83D0E" w:rsidRPr="001912F1">
        <w:rPr>
          <w:rFonts w:ascii="Times New Roman" w:hAnsi="Times New Roman" w:cs="Times New Roman"/>
        </w:rPr>
        <w:t xml:space="preserve"> </w:t>
      </w:r>
      <w:r w:rsidR="00C83D0E"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"10.1080/17452007.2012.659507", "ISSN" : "17527589", "abstract" : "The call for green building development provides the construction supply chain with new business opportunities. However, there are significant risks associated with such opportunities. This research aims at understanding the major risks and their distributions in the supply chain and developing strategies to manage these risks. 250 sets of survey questionnaires were set out to selected industry professionals in Australia and 93 sets were returned with 91 sets valid. The results show that the risks in green building development vary and are unequally distributed throughout the supply chain, but there are common risks with \u2018lack of commitment in the supply chain to go green\u2019 and \u2018higher investment costs\u2019 as the most important risks overall. The results also show that considerable improvement could be made to green building performance through research and development, training and education, supply chain co-ordination, knowledge and information sharing, experience accumulation and technology application. The research finding suggests that members in the supply chain: record green-related information in a central database; utilize expertise of green building professionals; clearly communicate green building objectives and responsibilities to all supply chain members; invest in greenbuilding training and education regarding responsibilities, benefits, technology and solutions; and team up with suppliers and manufacturers for developing green-complied products and materials.", "author" : [ { "dropping-particle" : "", "family" : "Zou", "given" : "Patrick X.W.", "non-dropping-particle" : "", "parse-names" : false, "suffix" : "" }, { "dropping-particle" : "", "family" : "Couani", "given" : "Paul", "non-dropping-particle" : "", "parse-names" : false, "suffix" : "" } ], "container-title" : "Architectural Engineering and Design Management", "id" : "ITEM-1", "issue" : "2", "issued" : { "date-parts" : [ [ "2012" ] ] }, "page" : "143-158", "title" : "Managing risks in green building supply chain", "type" : "article-journal", "volume" : "8" }, "uris" : [ "http://www.mendeley.com/documents/?uuid=e69165f8-c38a-4b64-a85d-f8dd1fb12f6a" ] } ], "mendeley" : { "formattedCitation" : "[29]", "plainTextFormattedCitation" : "[29]", "previouslyFormattedCitation" : "[29]" }, "properties" : { "noteIndex" : 0 }, "schema" : "https://github.com/citation-style-language/schema/raw/master/csl-citation.json" }</w:instrText>
      </w:r>
      <w:r w:rsidR="00C83D0E" w:rsidRPr="001912F1">
        <w:rPr>
          <w:rFonts w:ascii="Times New Roman" w:hAnsi="Times New Roman" w:cs="Times New Roman"/>
        </w:rPr>
        <w:fldChar w:fldCharType="separate"/>
      </w:r>
      <w:r w:rsidR="00A172E2" w:rsidRPr="00A172E2">
        <w:rPr>
          <w:rFonts w:ascii="Times New Roman" w:hAnsi="Times New Roman" w:cs="Times New Roman"/>
          <w:noProof/>
        </w:rPr>
        <w:t>[29]</w:t>
      </w:r>
      <w:r w:rsidR="00C83D0E" w:rsidRPr="001912F1">
        <w:rPr>
          <w:rFonts w:ascii="Times New Roman" w:hAnsi="Times New Roman" w:cs="Times New Roman"/>
        </w:rPr>
        <w:fldChar w:fldCharType="end"/>
      </w:r>
      <w:r w:rsidR="00224040" w:rsidRPr="001912F1">
        <w:rPr>
          <w:rFonts w:ascii="Times New Roman" w:hAnsi="Times New Roman" w:cs="Times New Roman"/>
        </w:rPr>
        <w:t xml:space="preserve">. </w:t>
      </w:r>
      <w:r w:rsidR="00203F19" w:rsidRPr="001912F1">
        <w:rPr>
          <w:rFonts w:ascii="Times New Roman" w:hAnsi="Times New Roman" w:cs="Times New Roman"/>
        </w:rPr>
        <w:t>Local building authorities can be s</w:t>
      </w:r>
      <w:r w:rsidR="00C12B3E" w:rsidRPr="001912F1">
        <w:rPr>
          <w:rFonts w:ascii="Times New Roman" w:hAnsi="Times New Roman" w:cs="Times New Roman"/>
        </w:rPr>
        <w:t>k</w:t>
      </w:r>
      <w:r w:rsidR="00203F19" w:rsidRPr="001912F1">
        <w:rPr>
          <w:rFonts w:ascii="Times New Roman" w:hAnsi="Times New Roman" w:cs="Times New Roman"/>
        </w:rPr>
        <w:t xml:space="preserve">eptical and resistant to the use of high-performance technologies and innovative design elements associated with GB projects. </w:t>
      </w:r>
      <w:r w:rsidR="00B7464F" w:rsidRPr="001912F1">
        <w:rPr>
          <w:rFonts w:ascii="Times New Roman" w:hAnsi="Times New Roman" w:cs="Times New Roman"/>
        </w:rPr>
        <w:t xml:space="preserve">Typically, green technologies, materials, and products must undergo rigorous testing </w:t>
      </w:r>
      <w:r w:rsidR="006D4C28" w:rsidRPr="001912F1">
        <w:rPr>
          <w:rFonts w:ascii="Times New Roman" w:hAnsi="Times New Roman" w:cs="Times New Roman"/>
        </w:rPr>
        <w:t>before being</w:t>
      </w:r>
      <w:r w:rsidR="00B7464F" w:rsidRPr="001912F1">
        <w:rPr>
          <w:rFonts w:ascii="Times New Roman" w:hAnsi="Times New Roman" w:cs="Times New Roman"/>
        </w:rPr>
        <w:t xml:space="preserve"> approved for high-rise GB projects.</w:t>
      </w:r>
      <w:r w:rsidR="00A86E51" w:rsidRPr="001912F1">
        <w:rPr>
          <w:rFonts w:ascii="Times New Roman" w:hAnsi="Times New Roman" w:cs="Times New Roman"/>
        </w:rPr>
        <w:t xml:space="preserve"> </w:t>
      </w:r>
      <w:r w:rsidR="005E6CEF" w:rsidRPr="001912F1">
        <w:rPr>
          <w:rFonts w:ascii="Times New Roman" w:hAnsi="Times New Roman" w:cs="Times New Roman"/>
        </w:rPr>
        <w:t xml:space="preserve">The lengthy approval processes for new green technologies and recycled materials </w:t>
      </w:r>
      <w:r w:rsidR="00A86E51" w:rsidRPr="001912F1">
        <w:rPr>
          <w:rFonts w:ascii="Times New Roman" w:hAnsi="Times New Roman" w:cs="Times New Roman"/>
        </w:rPr>
        <w:t>require</w:t>
      </w:r>
      <w:r w:rsidR="005E6CEF" w:rsidRPr="001912F1">
        <w:rPr>
          <w:rFonts w:ascii="Times New Roman" w:hAnsi="Times New Roman" w:cs="Times New Roman"/>
        </w:rPr>
        <w:t xml:space="preserve"> additional</w:t>
      </w:r>
      <w:r w:rsidR="00A86E51" w:rsidRPr="001912F1">
        <w:rPr>
          <w:rFonts w:ascii="Times New Roman" w:hAnsi="Times New Roman" w:cs="Times New Roman"/>
        </w:rPr>
        <w:t xml:space="preserve"> time and capital resources, </w:t>
      </w:r>
      <w:r w:rsidR="00205849" w:rsidRPr="001912F1">
        <w:rPr>
          <w:rFonts w:ascii="Times New Roman" w:hAnsi="Times New Roman" w:cs="Times New Roman"/>
        </w:rPr>
        <w:t>leading to</w:t>
      </w:r>
      <w:r w:rsidR="00A86E51" w:rsidRPr="001912F1">
        <w:rPr>
          <w:rFonts w:ascii="Times New Roman" w:hAnsi="Times New Roman" w:cs="Times New Roman"/>
        </w:rPr>
        <w:t xml:space="preserve"> the overall higher costs and schedule of GB projects</w:t>
      </w:r>
      <w:r w:rsidR="005E6CEF" w:rsidRPr="001912F1">
        <w:rPr>
          <w:rFonts w:ascii="Times New Roman" w:hAnsi="Times New Roman" w:cs="Times New Roman"/>
        </w:rPr>
        <w:t xml:space="preserve"> </w:t>
      </w:r>
      <w:r w:rsidR="005E6CEF"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"10.1016/j.ijproman.2012.05.004", "ISSN" : "02637863", "abstract" : "A competent project manager is vital to project success. While many studies have examined competency of project managers, few have done so in the context of green construction. Therefore, this study aims to identify challenges faced by project managers who execute green construction projects and to determine the critical knowledge areas and skills that are necessary to respond to such challenges. Through literature review, surveys and interviews with project managers, this study will help establish a knowledge base for project managers to be competitive and to effectively execute sustainable projects. \u00a9 2012 Association for Project Management and the International Project Management Association and Elsevier Ltd.", "author" : [ { "dropping-particle" : "", "family" : "Hwang", "given" : "Bon Gang", "non-dropping-particle" : "", "parse-names" : false, "suffix" : "" }, { "dropping-particle" : "", "family" : "Ng", "given" : "Wei Jian", "non-dropping-particle" : "", "parse-names" : false, "suffix" : "" } ], "container-title" : "International Journal of Project Management", "id" : "ITEM-1", "issue" : "2", "issued" : { "date-parts" : [ [ "2013" ] ] }, "page" : "272-284", "publisher" : "Association for Project Management and the International Project Management Association and Elsevier Ltd", "title" : "Project management knowledge and skills for green construction: Overcoming challenges", "type" : "article-journal", "volume" : "31" }, "uris" : [ "http://www.mendeley.com/documents/?uuid=e9264a44-f2e1-4df4-a845-ef1a6396a1de" ] } ], "mendeley" : { "formattedCitation" : "[42]", "plainTextFormattedCitation" : "[42]", "previouslyFormattedCitation" : "[42]" }, "properties" : { "noteIndex" : 0 }, "schema" : "https://github.com/citation-style-language/schema/raw/master/csl-citation.json" }</w:instrText>
      </w:r>
      <w:r w:rsidR="005E6CEF" w:rsidRPr="001912F1">
        <w:rPr>
          <w:rFonts w:ascii="Times New Roman" w:hAnsi="Times New Roman" w:cs="Times New Roman"/>
        </w:rPr>
        <w:fldChar w:fldCharType="separate"/>
      </w:r>
      <w:r w:rsidR="00A172E2" w:rsidRPr="00A172E2">
        <w:rPr>
          <w:rFonts w:ascii="Times New Roman" w:hAnsi="Times New Roman" w:cs="Times New Roman"/>
          <w:noProof/>
        </w:rPr>
        <w:t>[42]</w:t>
      </w:r>
      <w:r w:rsidR="005E6CEF" w:rsidRPr="001912F1">
        <w:rPr>
          <w:rFonts w:ascii="Times New Roman" w:hAnsi="Times New Roman" w:cs="Times New Roman"/>
        </w:rPr>
        <w:fldChar w:fldCharType="end"/>
      </w:r>
      <w:r w:rsidR="00A86E51" w:rsidRPr="001912F1">
        <w:rPr>
          <w:rFonts w:ascii="Times New Roman" w:hAnsi="Times New Roman" w:cs="Times New Roman"/>
        </w:rPr>
        <w:t>.</w:t>
      </w:r>
      <w:r w:rsidR="005E6CEF" w:rsidRPr="001912F1">
        <w:rPr>
          <w:rFonts w:ascii="Times New Roman" w:hAnsi="Times New Roman" w:cs="Times New Roman"/>
        </w:rPr>
        <w:t xml:space="preserve"> </w:t>
      </w:r>
    </w:p>
    <w:p w14:paraId="0503633B" w14:textId="61476F04" w:rsidR="00D01F7E" w:rsidRPr="001912F1" w:rsidRDefault="00FA4FCA" w:rsidP="00631F3C">
      <w:pPr>
        <w:spacing w:line="480" w:lineRule="auto"/>
        <w:jc w:val="both"/>
        <w:rPr>
          <w:rFonts w:ascii="Times New Roman" w:hAnsi="Times New Roman" w:cs="Times New Roman"/>
        </w:rPr>
      </w:pPr>
      <w:r w:rsidRPr="001912F1">
        <w:rPr>
          <w:rFonts w:ascii="Times New Roman" w:hAnsi="Times New Roman" w:cs="Times New Roman"/>
        </w:rPr>
        <w:t>Similarly, changes in government regulations, taxes, incentives, and policies can adversely affect the requirements, continuity, and costs of GB projects</w:t>
      </w:r>
      <w:r w:rsidR="00205849" w:rsidRPr="001912F1">
        <w:rPr>
          <w:rFonts w:ascii="Times New Roman" w:hAnsi="Times New Roman" w:cs="Times New Roman"/>
        </w:rPr>
        <w:t xml:space="preserve"> as well</w:t>
      </w:r>
      <w:r w:rsidRPr="001912F1">
        <w:rPr>
          <w:rFonts w:ascii="Times New Roman" w:hAnsi="Times New Roman" w:cs="Times New Roman"/>
        </w:rPr>
        <w:t xml:space="preserve"> </w:t>
      </w:r>
      <w:r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"10.1016/j.ijproman.2007.07.004", "ISBN" : "0263-7863", "ISSN" : "02637863", "abstract" : "This study identifies and assesses the significant risks in the UAE construction industry and addresses their proper allocation. Data were collected through a questionnaire distributed to construction experts. The study reveals that economic risks such as inflation and sudden changes in prices, shortage in material and labor supply are significant. Other significant risks include owner risks such as unrealistic construction schedule, improper intervention and changes in design. Political, social and cultural risks are found to be insignificant. Local and international experts are in agreement as to the ranking of construction risks in the UAE. More risks are allocated to contractors or shared between contractors and owners with only two risks allocated directly to the owners. \u00a9 2007 Elsevier Ltd and IPMA.", "author" : [ { "dropping-particle" : "", "family" : "El-Sayegh", "given" : "Sameh Monir", "non-dropping-particle" : "", "parse-names" : false, "suffix" : "" } ], "container-title" : "International Journal of Project Management", "id" : "ITEM-1", "issue" : "4", "issued" : { "date-parts" : [ [ "2008" ] ] }, "page" : "431-438", "title" : "Risk assessment and allocation in the UAE construction industry", "type" : "article-journal", "volume" : "26" }, "uris" : [ "http://www.mendeley.com/documents/?uuid=b66f1fd6-e31d-42e6-ad14-b557f5e45891" ] } ], "mendeley" : { "formattedCitation" : "[69]", "plainTextFormattedCitation" : "[69]", "previouslyFormattedCitation" : "[69]" }, "properties" : { "noteIndex" : 0 }, "schema" : "https://github.com/citation-style-language/schema/raw/master/csl-citation.json" }</w:instrText>
      </w:r>
      <w:r w:rsidRPr="001912F1">
        <w:rPr>
          <w:rFonts w:ascii="Times New Roman" w:hAnsi="Times New Roman" w:cs="Times New Roman"/>
        </w:rPr>
        <w:fldChar w:fldCharType="separate"/>
      </w:r>
      <w:r w:rsidR="00A172E2" w:rsidRPr="00A172E2">
        <w:rPr>
          <w:rFonts w:ascii="Times New Roman" w:hAnsi="Times New Roman" w:cs="Times New Roman"/>
          <w:noProof/>
        </w:rPr>
        <w:t>[69]</w:t>
      </w:r>
      <w:r w:rsidRPr="001912F1">
        <w:rPr>
          <w:rFonts w:ascii="Times New Roman" w:hAnsi="Times New Roman" w:cs="Times New Roman"/>
        </w:rPr>
        <w:fldChar w:fldCharType="end"/>
      </w:r>
      <w:r w:rsidRPr="001912F1">
        <w:rPr>
          <w:rFonts w:ascii="Times New Roman" w:hAnsi="Times New Roman" w:cs="Times New Roman"/>
        </w:rPr>
        <w:t xml:space="preserve">. For instance, laws that stop general construction works in the summer due to heat strokes can significantly affect </w:t>
      </w:r>
      <w:r w:rsidRPr="001912F1">
        <w:rPr>
          <w:rFonts w:ascii="Times New Roman" w:hAnsi="Times New Roman" w:cs="Times New Roman"/>
        </w:rPr>
        <w:lastRenderedPageBreak/>
        <w:t xml:space="preserve">the schedules of </w:t>
      </w:r>
      <w:r w:rsidR="00205849" w:rsidRPr="001912F1">
        <w:rPr>
          <w:rFonts w:ascii="Times New Roman" w:hAnsi="Times New Roman" w:cs="Times New Roman"/>
        </w:rPr>
        <w:t>GB</w:t>
      </w:r>
      <w:r w:rsidRPr="001912F1">
        <w:rPr>
          <w:rFonts w:ascii="Times New Roman" w:hAnsi="Times New Roman" w:cs="Times New Roman"/>
        </w:rPr>
        <w:t xml:space="preserve"> projects.</w:t>
      </w:r>
      <w:r w:rsidR="00631F3C" w:rsidRPr="001912F1">
        <w:rPr>
          <w:rFonts w:ascii="Times New Roman" w:hAnsi="Times New Roman" w:cs="Times New Roman"/>
        </w:rPr>
        <w:t xml:space="preserve"> </w:t>
      </w:r>
      <w:r w:rsidRPr="001912F1">
        <w:rPr>
          <w:rFonts w:ascii="Times New Roman" w:hAnsi="Times New Roman" w:cs="Times New Roman"/>
        </w:rPr>
        <w:t xml:space="preserve">There is no </w:t>
      </w:r>
      <w:r w:rsidR="00205849" w:rsidRPr="001912F1">
        <w:rPr>
          <w:rFonts w:ascii="Times New Roman" w:hAnsi="Times New Roman" w:cs="Times New Roman"/>
        </w:rPr>
        <w:t>certain</w:t>
      </w:r>
      <w:r w:rsidRPr="001912F1">
        <w:rPr>
          <w:rFonts w:ascii="Times New Roman" w:hAnsi="Times New Roman" w:cs="Times New Roman"/>
        </w:rPr>
        <w:t xml:space="preserve"> time required to obtain approval and permit</w:t>
      </w:r>
      <w:r w:rsidR="00205849" w:rsidRPr="001912F1">
        <w:rPr>
          <w:rFonts w:ascii="Times New Roman" w:hAnsi="Times New Roman" w:cs="Times New Roman"/>
        </w:rPr>
        <w:t>s</w:t>
      </w:r>
      <w:r w:rsidRPr="001912F1">
        <w:rPr>
          <w:rFonts w:ascii="Times New Roman" w:hAnsi="Times New Roman" w:cs="Times New Roman"/>
        </w:rPr>
        <w:t xml:space="preserve"> for green buildings in some countries. These uncertainties arise from limited recognition of GBs in building codes and </w:t>
      </w:r>
      <w:r w:rsidR="00205849" w:rsidRPr="001912F1">
        <w:rPr>
          <w:rFonts w:ascii="Times New Roman" w:hAnsi="Times New Roman" w:cs="Times New Roman"/>
        </w:rPr>
        <w:t>long-standing</w:t>
      </w:r>
      <w:r w:rsidRPr="001912F1">
        <w:rPr>
          <w:rFonts w:ascii="Times New Roman" w:hAnsi="Times New Roman" w:cs="Times New Roman"/>
        </w:rPr>
        <w:t xml:space="preserve"> reluctance to approve some green materials due to unproven quality and unfamiliarity to </w:t>
      </w:r>
      <w:r w:rsidR="00205849" w:rsidRPr="001912F1">
        <w:rPr>
          <w:rFonts w:ascii="Times New Roman" w:hAnsi="Times New Roman" w:cs="Times New Roman"/>
        </w:rPr>
        <w:t xml:space="preserve">relevant </w:t>
      </w:r>
      <w:r w:rsidRPr="001912F1">
        <w:rPr>
          <w:rFonts w:ascii="Times New Roman" w:hAnsi="Times New Roman" w:cs="Times New Roman"/>
        </w:rPr>
        <w:t xml:space="preserve">building authorities, limiting accurate scheduling of GB projects at early stages. There is also a difficulty in obtaining green certification and documentation upon completion in some contexts, depriving stakeholders </w:t>
      </w:r>
      <w:r w:rsidR="00C12B3E" w:rsidRPr="001912F1">
        <w:rPr>
          <w:rFonts w:ascii="Times New Roman" w:hAnsi="Times New Roman" w:cs="Times New Roman"/>
        </w:rPr>
        <w:t xml:space="preserve">of </w:t>
      </w:r>
      <w:r w:rsidRPr="001912F1">
        <w:rPr>
          <w:rFonts w:ascii="Times New Roman" w:hAnsi="Times New Roman" w:cs="Times New Roman"/>
        </w:rPr>
        <w:t xml:space="preserve">financial savings and added market value of GB projects </w:t>
      </w:r>
      <w:r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"10.1080/09613218.2011.561948", "ISSN" : "09613218", "abstract" : "What are the actual barriers and drivers for sustainable building? A literature review, interviews and case studies are presented to address this question. Sustainable building is not hindered by a lack of technologies and assessment methods, but is instead beset with organizational and procedural difficulties entailed by the adoption of new methods. New technologies are resisted because they require process changes entailing risks and unforeseen costs. These hindrances can be reduced by learning what kind of decision-making phases, new tasks, actors, roles and ways of networking are needed. The barriers are outlined as steering mechanisms, economics, a lack of client understanding, process (procurement and tendering, timing, cooperation and networking), and underpinning knowledge (knowledge and common language, the availability of methods and tools, innovation). The most important actions to promote sustainable building are the development of the awareness of clients about the benefits of sustainable building, the development and adoption of methods for sustainable building requirement management, the mobilization of sustainable building tools, the development of designers' competence and team working, and the development of new concepts and services. The interviews and case studies were carried out in Finland, but the results may be applicable or interesting to other countries as well. \u00a9 2011 Taylor &amp; Francis.", "author" : [ { "dropping-particle" : "", "family" : "H\u00e4kkinen", "given" : "Tarja", "non-dropping-particle" : "", "parse-names" : false, "suffix" : "" }, { "dropping-particle" : "", "family" : "Belloni", "given" : "Kaisa", "non-dropping-particle" : "", "parse-names" : false, "suffix" : "" } ], "container-title" : "Building Research and Information", "id" : "ITEM-1", "issue" : "3", "issued" : { "date-parts" : [ [ "2011" ] ] }, "page" : "239-255", "title" : "Barriers and drivers for sustainable building", "type" : "article-journal", "volume" : "39" }, "uris" : [ "http://www.mendeley.com/documents/?uuid=7fa56671-0397-479e-aec7-708637a215d1" ] } ], "mendeley" : { "formattedCitation" : "[13]", "plainTextFormattedCitation" : "[13]", "previouslyFormattedCitation" : "[13]" }, "properties" : { "noteIndex" : 0 }, "schema" : "https://github.com/citation-style-language/schema/raw/master/csl-citation.json" }</w:instrText>
      </w:r>
      <w:r w:rsidRPr="001912F1">
        <w:rPr>
          <w:rFonts w:ascii="Times New Roman" w:hAnsi="Times New Roman" w:cs="Times New Roman"/>
        </w:rPr>
        <w:fldChar w:fldCharType="separate"/>
      </w:r>
      <w:r w:rsidR="00A172E2" w:rsidRPr="00A172E2">
        <w:rPr>
          <w:rFonts w:ascii="Times New Roman" w:hAnsi="Times New Roman" w:cs="Times New Roman"/>
          <w:noProof/>
        </w:rPr>
        <w:t>[13]</w:t>
      </w:r>
      <w:r w:rsidRPr="001912F1">
        <w:rPr>
          <w:rFonts w:ascii="Times New Roman" w:hAnsi="Times New Roman" w:cs="Times New Roman"/>
        </w:rPr>
        <w:fldChar w:fldCharType="end"/>
      </w:r>
      <w:r w:rsidRPr="001912F1">
        <w:rPr>
          <w:rFonts w:ascii="Times New Roman" w:hAnsi="Times New Roman" w:cs="Times New Roman"/>
        </w:rPr>
        <w:t xml:space="preserve">. </w:t>
      </w:r>
    </w:p>
    <w:p w14:paraId="3827B1FA" w14:textId="2EFDD72E" w:rsidR="009D63F9" w:rsidRPr="001912F1" w:rsidRDefault="00FA4FCA" w:rsidP="00D01F7E">
      <w:pPr>
        <w:spacing w:line="480" w:lineRule="auto"/>
        <w:jc w:val="both"/>
        <w:rPr>
          <w:rFonts w:ascii="Times New Roman" w:hAnsi="Times New Roman" w:cs="Times New Roman"/>
        </w:rPr>
      </w:pPr>
      <w:r w:rsidRPr="001912F1">
        <w:rPr>
          <w:rFonts w:ascii="Times New Roman" w:hAnsi="Times New Roman" w:cs="Times New Roman"/>
        </w:rPr>
        <w:t>Lastly, g</w:t>
      </w:r>
      <w:r w:rsidR="00E75225" w:rsidRPr="001912F1">
        <w:rPr>
          <w:rFonts w:ascii="Times New Roman" w:hAnsi="Times New Roman" w:cs="Times New Roman"/>
        </w:rPr>
        <w:t>overnment commitment through appropriate steering mechanisms, such as normative regulatory instruments (e.g., GB building codes), informative regulatory instruments (e.g., mandatory labeling), economic and market-based instruments (e.g., certificate schemes), fiscal instruments, and incentives (e.g., tax relief and financial support) can improve the economic viability of GB projects</w:t>
      </w:r>
      <w:r w:rsidR="003462E4" w:rsidRPr="001912F1">
        <w:rPr>
          <w:rFonts w:ascii="Times New Roman" w:hAnsi="Times New Roman" w:cs="Times New Roman"/>
        </w:rPr>
        <w:t xml:space="preserve"> </w:t>
      </w:r>
      <w:r w:rsidR="003462E4"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"10.1080/09613218.2011.561948", "ISSN" : "09613218", "abstract" : "What are the actual barriers and drivers for sustainable building? A literature review, interviews and case studies are presented to address this question. Sustainable building is not hindered by a lack of technologies and assessment methods, but is instead beset with organizational and procedural difficulties entailed by the adoption of new methods. New technologies are resisted because they require process changes entailing risks and unforeseen costs. These hindrances can be reduced by learning what kind of decision-making phases, new tasks, actors, roles and ways of networking are needed. The barriers are outlined as steering mechanisms, economics, a lack of client understanding, process (procurement and tendering, timing, cooperation and networking), and underpinning knowledge (knowledge and common language, the availability of methods and tools, innovation). The most important actions to promote sustainable building are the development of the awareness of clients about the benefits of sustainable building, the development and adoption of methods for sustainable building requirement management, the mobilization of sustainable building tools, the development of designers' competence and team working, and the development of new concepts and services. The interviews and case studies were carried out in Finland, but the results may be applicable or interesting to other countries as well. \u00a9 2011 Taylor &amp; Francis.", "author" : [ { "dropping-particle" : "", "family" : "H\u00e4kkinen", "given" : "Tarja", "non-dropping-particle" : "", "parse-names" : false, "suffix" : "" }, { "dropping-particle" : "", "family" : "Belloni", "given" : "Kaisa", "non-dropping-particle" : "", "parse-names" : false, "suffix" : "" } ], "container-title" : "Building Research and Information", "id" : "ITEM-1", "issue" : "3", "issued" : { "date-parts" : [ [ "2011" ] ] }, "page" : "239-255", "title" : "Barriers and drivers for sustainable building", "type" : "article-journal", "volume" : "39" }, "uris" : [ "http://www.mendeley.com/documents/?uuid=7fa56671-0397-479e-aec7-708637a215d1" ] } ], "mendeley" : { "formattedCitation" : "[13]", "plainTextFormattedCitation" : "[13]", "previouslyFormattedCitation" : "[13]" }, "properties" : { "noteIndex" : 0 }, "schema" : "https://github.com/citation-style-language/schema/raw/master/csl-citation.json" }</w:instrText>
      </w:r>
      <w:r w:rsidR="003462E4" w:rsidRPr="001912F1">
        <w:rPr>
          <w:rFonts w:ascii="Times New Roman" w:hAnsi="Times New Roman" w:cs="Times New Roman"/>
        </w:rPr>
        <w:fldChar w:fldCharType="separate"/>
      </w:r>
      <w:r w:rsidR="00A172E2" w:rsidRPr="00A172E2">
        <w:rPr>
          <w:rFonts w:ascii="Times New Roman" w:hAnsi="Times New Roman" w:cs="Times New Roman"/>
          <w:noProof/>
        </w:rPr>
        <w:t>[13]</w:t>
      </w:r>
      <w:r w:rsidR="003462E4" w:rsidRPr="001912F1">
        <w:rPr>
          <w:rFonts w:ascii="Times New Roman" w:hAnsi="Times New Roman" w:cs="Times New Roman"/>
        </w:rPr>
        <w:fldChar w:fldCharType="end"/>
      </w:r>
      <w:r w:rsidR="00E75225" w:rsidRPr="001912F1">
        <w:rPr>
          <w:rFonts w:ascii="Times New Roman" w:hAnsi="Times New Roman" w:cs="Times New Roman"/>
        </w:rPr>
        <w:t>.</w:t>
      </w:r>
      <w:r w:rsidR="003462E4" w:rsidRPr="001912F1">
        <w:rPr>
          <w:rFonts w:ascii="Times New Roman" w:hAnsi="Times New Roman" w:cs="Times New Roman"/>
        </w:rPr>
        <w:t xml:space="preserve"> </w:t>
      </w:r>
      <w:r w:rsidR="00205849" w:rsidRPr="001912F1">
        <w:rPr>
          <w:rFonts w:ascii="Times New Roman" w:hAnsi="Times New Roman" w:cs="Times New Roman"/>
        </w:rPr>
        <w:t>A l</w:t>
      </w:r>
      <w:r w:rsidR="003462E4" w:rsidRPr="001912F1">
        <w:rPr>
          <w:rFonts w:ascii="Times New Roman" w:hAnsi="Times New Roman" w:cs="Times New Roman"/>
        </w:rPr>
        <w:t>ack of government support and incentives create</w:t>
      </w:r>
      <w:r w:rsidR="00C12B3E" w:rsidRPr="001912F1">
        <w:rPr>
          <w:rFonts w:ascii="Times New Roman" w:hAnsi="Times New Roman" w:cs="Times New Roman"/>
        </w:rPr>
        <w:t>s</w:t>
      </w:r>
      <w:r w:rsidR="003462E4" w:rsidRPr="001912F1">
        <w:rPr>
          <w:rFonts w:ascii="Times New Roman" w:hAnsi="Times New Roman" w:cs="Times New Roman"/>
        </w:rPr>
        <w:t xml:space="preserve"> additional layers of regulatory uncertainties, complexities, and challenges </w:t>
      </w:r>
      <w:r w:rsidR="00205849" w:rsidRPr="001912F1">
        <w:rPr>
          <w:rFonts w:ascii="Times New Roman" w:hAnsi="Times New Roman" w:cs="Times New Roman"/>
        </w:rPr>
        <w:t>for</w:t>
      </w:r>
      <w:r w:rsidR="003462E4" w:rsidRPr="001912F1">
        <w:rPr>
          <w:rFonts w:ascii="Times New Roman" w:hAnsi="Times New Roman" w:cs="Times New Roman"/>
        </w:rPr>
        <w:t xml:space="preserve"> GB projects. </w:t>
      </w:r>
    </w:p>
    <w:p w14:paraId="5DD8BE7B" w14:textId="2144E57D" w:rsidR="00E400D8" w:rsidRPr="001912F1" w:rsidRDefault="00E22D8A" w:rsidP="009D63F9">
      <w:pPr>
        <w:spacing w:line="480" w:lineRule="auto"/>
        <w:rPr>
          <w:rFonts w:ascii="Times New Roman" w:hAnsi="Times New Roman" w:cs="Times New Roman"/>
          <w:b/>
          <w:bCs/>
          <w:i/>
          <w:iCs/>
        </w:rPr>
      </w:pPr>
      <w:r w:rsidRPr="001912F1">
        <w:rPr>
          <w:rFonts w:ascii="Times New Roman" w:hAnsi="Times New Roman" w:cs="Times New Roman"/>
          <w:b/>
          <w:bCs/>
          <w:i/>
          <w:iCs/>
        </w:rPr>
        <w:t>Conceptual map of the vital critical risk factors for green building projects</w:t>
      </w:r>
    </w:p>
    <w:p w14:paraId="0FFF5E35" w14:textId="77777777" w:rsidR="00D01F7E" w:rsidRPr="001912F1" w:rsidRDefault="009D63F9" w:rsidP="00D01F7E">
      <w:pPr>
        <w:autoSpaceDE w:val="0"/>
        <w:autoSpaceDN w:val="0"/>
        <w:adjustRightInd w:val="0"/>
        <w:spacing w:line="480" w:lineRule="auto"/>
        <w:jc w:val="both"/>
        <w:rPr>
          <w:rFonts w:ascii="Times New Roman" w:hAnsi="Times New Roman" w:cs="Times New Roman"/>
        </w:rPr>
      </w:pPr>
      <w:r w:rsidRPr="001912F1">
        <w:rPr>
          <w:rFonts w:ascii="Times New Roman" w:hAnsi="Times New Roman" w:cs="Times New Roman"/>
        </w:rPr>
        <w:t xml:space="preserve">Fig. </w:t>
      </w:r>
      <w:r w:rsidR="00D01F7E" w:rsidRPr="001912F1">
        <w:rPr>
          <w:rFonts w:ascii="Times New Roman" w:hAnsi="Times New Roman" w:cs="Times New Roman"/>
        </w:rPr>
        <w:t>7</w:t>
      </w:r>
      <w:r w:rsidRPr="001912F1">
        <w:rPr>
          <w:rFonts w:ascii="Times New Roman" w:hAnsi="Times New Roman" w:cs="Times New Roman"/>
        </w:rPr>
        <w:t xml:space="preserve"> shows a conceptual map of </w:t>
      </w:r>
      <w:r w:rsidR="00205849" w:rsidRPr="001912F1">
        <w:rPr>
          <w:rFonts w:ascii="Times New Roman" w:hAnsi="Times New Roman" w:cs="Times New Roman"/>
        </w:rPr>
        <w:t xml:space="preserve">various </w:t>
      </w:r>
      <w:r w:rsidRPr="001912F1">
        <w:rPr>
          <w:rFonts w:ascii="Times New Roman" w:hAnsi="Times New Roman" w:cs="Times New Roman"/>
        </w:rPr>
        <w:t xml:space="preserve">vital CRFs </w:t>
      </w:r>
      <w:r w:rsidR="00205849" w:rsidRPr="001912F1">
        <w:rPr>
          <w:rFonts w:ascii="Times New Roman" w:hAnsi="Times New Roman" w:cs="Times New Roman"/>
        </w:rPr>
        <w:t xml:space="preserve">subordinate to different categories </w:t>
      </w:r>
      <w:r w:rsidRPr="001912F1">
        <w:rPr>
          <w:rFonts w:ascii="Times New Roman" w:hAnsi="Times New Roman" w:cs="Times New Roman"/>
        </w:rPr>
        <w:t xml:space="preserve">for GB projects, providing a more structured framework to examine various risks in GB projects. </w:t>
      </w:r>
      <w:r w:rsidR="00D01F7E" w:rsidRPr="001912F1">
        <w:rPr>
          <w:rFonts w:ascii="Times New Roman" w:hAnsi="Times New Roman" w:cs="Times New Roman"/>
        </w:rPr>
        <w:t>The Pareto analysis has revealed sixty vital CRFs for GB projects, comprising 4 design, 6 material and equipment, 9 financial, 9 technical, 12 management, 8 stakeholder, 3 environmental, 4 legal, and 5 regulatory risks. The framework shows that material and equipment, management, stakeholder, financial, technical, and regulatory risks constitute the dominant categories of risks in GB projects.</w:t>
      </w:r>
    </w:p>
    <w:p w14:paraId="26E49343" w14:textId="4903D221" w:rsidR="009D63F9" w:rsidRPr="001912F1" w:rsidRDefault="009D63F9" w:rsidP="009D63F9">
      <w:pPr>
        <w:autoSpaceDE w:val="0"/>
        <w:autoSpaceDN w:val="0"/>
        <w:adjustRightInd w:val="0"/>
        <w:spacing w:line="480" w:lineRule="auto"/>
        <w:jc w:val="both"/>
        <w:rPr>
          <w:rFonts w:ascii="Times New Roman" w:hAnsi="Times New Roman" w:cs="Times New Roman"/>
        </w:rPr>
      </w:pPr>
    </w:p>
    <w:p w14:paraId="4782F583" w14:textId="0FF857FF" w:rsidR="009D63F9" w:rsidRPr="001912F1" w:rsidRDefault="009D63F9" w:rsidP="009D63F9">
      <w:pPr>
        <w:spacing w:line="276" w:lineRule="auto"/>
        <w:rPr>
          <w:rFonts w:ascii="Times New Roman" w:hAnsi="Times New Roman" w:cs="Times New Roman"/>
        </w:rPr>
      </w:pPr>
      <w:r w:rsidRPr="001912F1">
        <w:object w:dxaOrig="11136" w:dyaOrig="15852" w14:anchorId="06D57F58">
          <v:shape id="_x0000_i1026" type="#_x0000_t75" style="width:450.75pt;height:589.5pt" o:ole="">
            <v:imagedata r:id="rId22" o:title=""/>
          </v:shape>
          <o:OLEObject Type="Embed" ProgID="Visio.Drawing.15" ShapeID="_x0000_i1026" DrawAspect="Content" ObjectID="_1737956496" r:id="rId23"/>
        </w:object>
      </w:r>
    </w:p>
    <w:p w14:paraId="06117251" w14:textId="3EFD129C" w:rsidR="009D63F9" w:rsidRPr="001912F1" w:rsidRDefault="009D63F9" w:rsidP="009D63F9">
      <w:pPr>
        <w:spacing w:line="480" w:lineRule="auto"/>
        <w:rPr>
          <w:rFonts w:ascii="Times New Roman" w:hAnsi="Times New Roman" w:cs="Times New Roman"/>
        </w:rPr>
      </w:pPr>
      <w:r w:rsidRPr="001912F1">
        <w:rPr>
          <w:rFonts w:ascii="Times New Roman" w:hAnsi="Times New Roman" w:cs="Times New Roman"/>
          <w:b/>
          <w:bCs/>
        </w:rPr>
        <w:t xml:space="preserve">Fig. </w:t>
      </w:r>
      <w:r w:rsidR="00D841B7" w:rsidRPr="001912F1">
        <w:rPr>
          <w:rFonts w:ascii="Times New Roman" w:hAnsi="Times New Roman" w:cs="Times New Roman"/>
          <w:b/>
          <w:bCs/>
        </w:rPr>
        <w:t>7</w:t>
      </w:r>
      <w:r w:rsidRPr="001912F1">
        <w:rPr>
          <w:rFonts w:ascii="Times New Roman" w:hAnsi="Times New Roman" w:cs="Times New Roman"/>
        </w:rPr>
        <w:t>. Conceptual map of the vital critical risk factors for green building projects</w:t>
      </w:r>
    </w:p>
    <w:p w14:paraId="57BF998E" w14:textId="0BAA8FFF" w:rsidR="00094F57" w:rsidRPr="001912F1" w:rsidRDefault="00094F57" w:rsidP="00DA4EFA">
      <w:pPr>
        <w:spacing w:line="480" w:lineRule="auto"/>
        <w:rPr>
          <w:rFonts w:ascii="Times New Roman" w:hAnsi="Times New Roman" w:cs="Times New Roman"/>
          <w:b/>
          <w:bCs/>
          <w:i/>
          <w:iCs/>
        </w:rPr>
      </w:pPr>
      <w:r w:rsidRPr="001912F1">
        <w:rPr>
          <w:rFonts w:ascii="Times New Roman" w:hAnsi="Times New Roman" w:cs="Times New Roman"/>
          <w:b/>
          <w:bCs/>
          <w:i/>
          <w:iCs/>
        </w:rPr>
        <w:t xml:space="preserve">Theorizing the path dependencies of risks in green building projects </w:t>
      </w:r>
    </w:p>
    <w:p w14:paraId="67EDB010" w14:textId="430A5CB8" w:rsidR="00A678B5" w:rsidRPr="001912F1" w:rsidRDefault="00DA4EFA" w:rsidP="00DA4EFA">
      <w:pPr>
        <w:spacing w:line="480" w:lineRule="auto"/>
        <w:jc w:val="both"/>
        <w:rPr>
          <w:rFonts w:ascii="Times New Roman" w:hAnsi="Times New Roman" w:cs="Times New Roman"/>
        </w:rPr>
      </w:pPr>
      <w:r w:rsidRPr="001912F1">
        <w:rPr>
          <w:rFonts w:ascii="Times New Roman" w:hAnsi="Times New Roman" w:cs="Times New Roman"/>
        </w:rPr>
        <w:t>The review studies established that probability of occurrence and severity of impact of the various risks are dynamic, dependent, and interlinked</w:t>
      </w:r>
      <w:r w:rsidR="009B46E0" w:rsidRPr="001912F1">
        <w:rPr>
          <w:rFonts w:ascii="Times New Roman" w:hAnsi="Times New Roman" w:cs="Times New Roman"/>
        </w:rPr>
        <w:t xml:space="preserve"> </w:t>
      </w:r>
      <w:r w:rsidR="009B46E0"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"10.1016/j.jclepro.2020.120372", "ISSN" : "09596526", "abstract" : "Green building (GB) projects have attracted wide attention in the construction industry in recent years owing to numerous benefits of green practices for sustainable development. However, existing research efforts on GB project risk management are very limited, and no prior in-depth research has focused on studying the risk interdependencies in GB projects from the perspectives of both the project life cycle and multiple project risks. This paper begins by identifying and distinguishing GB project constraints from multiple GB project risks using a systematic literature review and then investigates, based on the Interpretive Structural Modeling (ISM) method, the risk interdependencies taking into account the identified 16 constraint factors, 22 risk factors and 11 objectives throughout a GB project life cycle. The importance of constraints and risk factors associated with GB project objectives was calculated based on the influence transmission through network paths in the established ISM-based model. In addition, the Matrice d'Impacts Crois\u00e9s Multiplication Appliqu\u00e9e \u00e1 un Classement (MICMAC) approach was used to analyze the drive and dependence powers of risk interdependency elements. Critical constraints and risk factors in the implementation of GB projects can be obtained from the proposed risk analysis model, which contributes to an in-depth risk perception of GB projects for industry practitioners and facilitates GB project risk management in a more effective way.", "author" : [ { "dropping-particle" : "", "family" : "Guan", "given" : "Li", "non-dropping-particle" : "", "parse-names" : false, "suffix" : "" }, { "dropping-particle" : "", "family" : "Abbasi", "given" : "Alireza", "non-dropping-particle" : "", "parse-names" : false, "suffix" : "" }, { "dropping-particle" : "", "family" : "Ryan", "given" : "Michael J.", "non-dropping-particle" : "", "parse-names" : false, "suffix" : "" } ], "container-title" : "Journal of Cleaner Production", "id" : "ITEM-1", "issued" : { "date-parts" : [ [ "2020" ] ] }, "page" : "120372", "publisher" : "Elsevier Ltd", "title" : "Analyzing green building project risk interdependencies using Interpretive Structural Modeling", "type" : "article-journal", "volume" : "256" }, "uris" : [ "http://www.mendeley.com/documents/?uuid=3854a353-7b8f-45e1-9792-e38e70e1c73c" ] } ], "mendeley" : { "formattedCitation" : "[19]", "plainTextFormattedCitation" : "[19]", "previouslyFormattedCitation" : "[19]" }, "properties" : { "noteIndex" : 0 }, "schema" : "https://github.com/citation-style-language/schema/raw/master/csl-citation.json" }</w:instrText>
      </w:r>
      <w:r w:rsidR="009B46E0" w:rsidRPr="001912F1">
        <w:rPr>
          <w:rFonts w:ascii="Times New Roman" w:hAnsi="Times New Roman" w:cs="Times New Roman"/>
        </w:rPr>
        <w:fldChar w:fldCharType="separate"/>
      </w:r>
      <w:r w:rsidR="00A172E2" w:rsidRPr="00A172E2">
        <w:rPr>
          <w:rFonts w:ascii="Times New Roman" w:hAnsi="Times New Roman" w:cs="Times New Roman"/>
          <w:noProof/>
        </w:rPr>
        <w:t>[19]</w:t>
      </w:r>
      <w:r w:rsidR="009B46E0" w:rsidRPr="001912F1">
        <w:rPr>
          <w:rFonts w:ascii="Times New Roman" w:hAnsi="Times New Roman" w:cs="Times New Roman"/>
        </w:rPr>
        <w:fldChar w:fldCharType="end"/>
      </w:r>
      <w:r w:rsidRPr="001912F1">
        <w:rPr>
          <w:rFonts w:ascii="Times New Roman" w:hAnsi="Times New Roman" w:cs="Times New Roman"/>
        </w:rPr>
        <w:t xml:space="preserve">. </w:t>
      </w:r>
      <w:r w:rsidR="009B46E0" w:rsidRPr="001912F1">
        <w:rPr>
          <w:rFonts w:ascii="Times New Roman" w:hAnsi="Times New Roman" w:cs="Times New Roman"/>
        </w:rPr>
        <w:t xml:space="preserve">The theoretical positions of the </w:t>
      </w:r>
      <w:r w:rsidR="009B46E0" w:rsidRPr="001912F1">
        <w:rPr>
          <w:rFonts w:ascii="Times New Roman" w:hAnsi="Times New Roman" w:cs="Times New Roman"/>
        </w:rPr>
        <w:lastRenderedPageBreak/>
        <w:t xml:space="preserve">chain reactions and path dependencies of various risks in GB projects have been well-established in the literature. For instance, </w:t>
      </w:r>
      <w:r w:rsidR="00CA4774" w:rsidRPr="001912F1">
        <w:rPr>
          <w:rFonts w:ascii="Times New Roman" w:hAnsi="Times New Roman" w:cs="Times New Roman"/>
        </w:rPr>
        <w:t xml:space="preserve">Guan et al. </w:t>
      </w:r>
      <w:r w:rsidR="00CA4774"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"10.1016/j.jclepro.2020.120372", "ISSN" : "09596526", "abstract" : "Green building (GB) projects have attracted wide attention in the construction industry in recent years owing to numerous benefits of green practices for sustainable development. However, existing research efforts on GB project risk management are very limited, and no prior in-depth research has focused on studying the risk interdependencies in GB projects from the perspectives of both the project life cycle and multiple project risks. This paper begins by identifying and distinguishing GB project constraints from multiple GB project risks using a systematic literature review and then investigates, based on the Interpretive Structural Modeling (ISM) method, the risk interdependencies taking into account the identified 16 constraint factors, 22 risk factors and 11 objectives throughout a GB project life cycle. The importance of constraints and risk factors associated with GB project objectives was calculated based on the influence transmission through network paths in the established ISM-based model. In addition, the Matrice d'Impacts Crois\u00e9s Multiplication Appliqu\u00e9e \u00e1 un Classement (MICMAC) approach was used to analyze the drive and dependence powers of risk interdependency elements. Critical constraints and risk factors in the implementation of GB projects can be obtained from the proposed risk analysis model, which contributes to an in-depth risk perception of GB projects for industry practitioners and facilitates GB project risk management in a more effective way.", "author" : [ { "dropping-particle" : "", "family" : "Guan", "given" : "Li", "non-dropping-particle" : "", "parse-names" : false, "suffix" : "" }, { "dropping-particle" : "", "family" : "Abbasi", "given" : "Alireza", "non-dropping-particle" : "", "parse-names" : false, "suffix" : "" }, { "dropping-particle" : "", "family" : "Ryan", "given" : "Michael J.", "non-dropping-particle" : "", "parse-names" : false, "suffix" : "" } ], "container-title" : "Journal of Cleaner Production", "id" : "ITEM-1", "issued" : { "date-parts" : [ [ "2020" ] ] }, "page" : "120372", "publisher" : "Elsevier Ltd", "title" : "Analyzing green building project risk interdependencies using Interpretive Structural Modeling", "type" : "article-journal", "volume" : "256" }, "uris" : [ "http://www.mendeley.com/documents/?uuid=3854a353-7b8f-45e1-9792-e38e70e1c73c" ] } ], "mendeley" : { "formattedCitation" : "[19]", "plainTextFormattedCitation" : "[19]", "previouslyFormattedCitation" : "[19]" }, "properties" : { "noteIndex" : 0 }, "schema" : "https://github.com/citation-style-language/schema/raw/master/csl-citation.json" }</w:instrText>
      </w:r>
      <w:r w:rsidR="00CA4774" w:rsidRPr="001912F1">
        <w:rPr>
          <w:rFonts w:ascii="Times New Roman" w:hAnsi="Times New Roman" w:cs="Times New Roman"/>
        </w:rPr>
        <w:fldChar w:fldCharType="separate"/>
      </w:r>
      <w:r w:rsidR="00A172E2" w:rsidRPr="00A172E2">
        <w:rPr>
          <w:rFonts w:ascii="Times New Roman" w:hAnsi="Times New Roman" w:cs="Times New Roman"/>
          <w:noProof/>
        </w:rPr>
        <w:t>[19]</w:t>
      </w:r>
      <w:r w:rsidR="00CA4774" w:rsidRPr="001912F1">
        <w:rPr>
          <w:rFonts w:ascii="Times New Roman" w:hAnsi="Times New Roman" w:cs="Times New Roman"/>
        </w:rPr>
        <w:fldChar w:fldCharType="end"/>
      </w:r>
      <w:r w:rsidR="009B46E0" w:rsidRPr="001912F1">
        <w:rPr>
          <w:rFonts w:ascii="Times New Roman" w:hAnsi="Times New Roman" w:cs="Times New Roman"/>
        </w:rPr>
        <w:t xml:space="preserve"> established that </w:t>
      </w:r>
      <w:r w:rsidRPr="001912F1">
        <w:rPr>
          <w:rFonts w:ascii="Times New Roman" w:hAnsi="Times New Roman" w:cs="Times New Roman"/>
        </w:rPr>
        <w:t>lack of competent and experienced GB project team</w:t>
      </w:r>
      <w:r w:rsidR="009B46E0" w:rsidRPr="001912F1">
        <w:rPr>
          <w:rFonts w:ascii="Times New Roman" w:hAnsi="Times New Roman" w:cs="Times New Roman"/>
        </w:rPr>
        <w:t xml:space="preserve"> (</w:t>
      </w:r>
      <w:r w:rsidR="009B46E0" w:rsidRPr="001912F1">
        <w:rPr>
          <w:rFonts w:ascii="Times New Roman" w:hAnsi="Times New Roman" w:cs="Times New Roman"/>
          <w:i/>
          <w:iCs/>
        </w:rPr>
        <w:t>technical risk</w:t>
      </w:r>
      <w:r w:rsidRPr="001912F1">
        <w:rPr>
          <w:rFonts w:ascii="Times New Roman" w:hAnsi="Times New Roman" w:cs="Times New Roman"/>
        </w:rPr>
        <w:t xml:space="preserve">) can </w:t>
      </w:r>
      <w:r w:rsidRPr="001912F1">
        <w:rPr>
          <w:rFonts w:ascii="Times New Roman" w:hAnsi="Times New Roman" w:cs="Times New Roman"/>
          <w:lang w:eastAsia="zh-CN"/>
        </w:rPr>
        <w:t xml:space="preserve">reinforce </w:t>
      </w:r>
      <w:r w:rsidRPr="001912F1">
        <w:rPr>
          <w:rFonts w:ascii="Times New Roman" w:hAnsi="Times New Roman" w:cs="Times New Roman"/>
        </w:rPr>
        <w:t xml:space="preserve">the </w:t>
      </w:r>
      <w:r w:rsidR="009B46E0" w:rsidRPr="001912F1">
        <w:rPr>
          <w:rFonts w:ascii="Times New Roman" w:hAnsi="Times New Roman" w:cs="Times New Roman"/>
        </w:rPr>
        <w:t xml:space="preserve">probability and </w:t>
      </w:r>
      <w:r w:rsidRPr="001912F1">
        <w:rPr>
          <w:rFonts w:ascii="Times New Roman" w:hAnsi="Times New Roman" w:cs="Times New Roman"/>
        </w:rPr>
        <w:t>impact of management risks</w:t>
      </w:r>
      <w:r w:rsidR="009B46E0" w:rsidRPr="001912F1">
        <w:rPr>
          <w:rFonts w:ascii="Times New Roman" w:hAnsi="Times New Roman" w:cs="Times New Roman"/>
        </w:rPr>
        <w:t xml:space="preserve">, such as </w:t>
      </w:r>
      <w:r w:rsidRPr="001912F1">
        <w:rPr>
          <w:rFonts w:ascii="Times New Roman" w:hAnsi="Times New Roman" w:cs="Times New Roman"/>
        </w:rPr>
        <w:t xml:space="preserve">inadequate supervision of a project manager with limited technical expertise and skills in GB. </w:t>
      </w:r>
      <w:r w:rsidR="00CA4774" w:rsidRPr="001912F1">
        <w:rPr>
          <w:rFonts w:ascii="Times New Roman" w:hAnsi="Times New Roman" w:cs="Times New Roman"/>
        </w:rPr>
        <w:t xml:space="preserve">Mohammadi and </w:t>
      </w:r>
      <w:proofErr w:type="spellStart"/>
      <w:r w:rsidR="00CA4774" w:rsidRPr="001912F1">
        <w:rPr>
          <w:rFonts w:ascii="Times New Roman" w:hAnsi="Times New Roman" w:cs="Times New Roman"/>
        </w:rPr>
        <w:t>Birgonul</w:t>
      </w:r>
      <w:proofErr w:type="spellEnd"/>
      <w:r w:rsidR="00CA4774" w:rsidRPr="001912F1">
        <w:rPr>
          <w:rFonts w:ascii="Times New Roman" w:hAnsi="Times New Roman" w:cs="Times New Roman"/>
        </w:rPr>
        <w:t xml:space="preserve"> </w:t>
      </w:r>
      <w:r w:rsidR="00CA4774"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"10.1016/j.jclepro.2016.08.153", "ISSN" : "09596526", "abstract" : "Construction sector has a great potential to reduce total energy consumption through the techniques applied in sustainable projects. All over the world, policy makers have already realized the potential and begun setting some governmental goals. Since new regulations for achieving sustainability have been recently set to change the conventionally practiced administrative patterns in construction sector, the number of claims related to sustainability features of the construction projects has been growing ever since. Construction contracts are playing a critical role in preventing these types of legal and administrative risks that can lead to claims. As a result, these changes have caused a need for some alterations in industry's contractual practices. Since the alterations are new to the field, one can, however, find only a limited number of researches on studying and analyzing the possible regulatory risks associated with green projects and their consequent probable legal claims. As a result, the present research intends to fill this gap in the literature, not only by identifying such risk factors which may lead to claims in sustainable construction, but also by assessing the criticality of each factor on the basis of the opinions of industry professionals and analyzing these factors with the relative importance index method. The findings of this study aim to increase the level of awareness of construction professionals about such probable risks. By revealing the possible legal risks of sustainable projects, the study shall also assist various parties of a contract in drafting particular conditions accordingly, in order to prevent probable future claims.", "author" : [ { "dropping-particle" : "", "family" : "Mohammadi", "given" : "Sahra", "non-dropping-particle" : "", "parse-names" : false, "suffix" : "" }, { "dropping-particle" : "", "family" : "Birgonul", "given" : "M. Talat", "non-dropping-particle" : "", "parse-names" : false, "suffix" : "" } ], "container-title" : "Journal of Cleaner Production", "id" : "ITEM-1", "issued" : { "date-parts" : [ [ "2016" ] ] }, "page" : "1078-1084", "publisher" : "Elsevier Ltd", "title" : "Preventing claims in green construction projects through investigating the components of contractual and legal risks", "type" : "article-journal", "volume" : "139" }, "uris" : [ "http://www.mendeley.com/documents/?uuid=29b4df05-ab3e-4c9f-96ab-9caf243e358f" ] } ], "mendeley" : { "formattedCitation" : "[59]", "plainTextFormattedCitation" : "[59]", "previouslyFormattedCitation" : "[59]" }, "properties" : { "noteIndex" : 0 }, "schema" : "https://github.com/citation-style-language/schema/raw/master/csl-citation.json" }</w:instrText>
      </w:r>
      <w:r w:rsidR="00CA4774" w:rsidRPr="001912F1">
        <w:rPr>
          <w:rFonts w:ascii="Times New Roman" w:hAnsi="Times New Roman" w:cs="Times New Roman"/>
        </w:rPr>
        <w:fldChar w:fldCharType="separate"/>
      </w:r>
      <w:r w:rsidR="00A172E2" w:rsidRPr="00A172E2">
        <w:rPr>
          <w:rFonts w:ascii="Times New Roman" w:hAnsi="Times New Roman" w:cs="Times New Roman"/>
          <w:noProof/>
        </w:rPr>
        <w:t>[59]</w:t>
      </w:r>
      <w:r w:rsidR="00CA4774" w:rsidRPr="001912F1">
        <w:rPr>
          <w:rFonts w:ascii="Times New Roman" w:hAnsi="Times New Roman" w:cs="Times New Roman"/>
        </w:rPr>
        <w:fldChar w:fldCharType="end"/>
      </w:r>
      <w:r w:rsidR="009B46E0" w:rsidRPr="001912F1">
        <w:rPr>
          <w:rFonts w:ascii="Times New Roman" w:hAnsi="Times New Roman" w:cs="Times New Roman"/>
        </w:rPr>
        <w:t xml:space="preserve"> showed that </w:t>
      </w:r>
      <w:r w:rsidRPr="001912F1">
        <w:rPr>
          <w:rFonts w:ascii="Times New Roman" w:hAnsi="Times New Roman" w:cs="Times New Roman"/>
        </w:rPr>
        <w:t>unclear contract clauses and conditions for GBs</w:t>
      </w:r>
      <w:r w:rsidR="009B46E0" w:rsidRPr="001912F1">
        <w:rPr>
          <w:rFonts w:ascii="Times New Roman" w:hAnsi="Times New Roman" w:cs="Times New Roman"/>
        </w:rPr>
        <w:t xml:space="preserve"> (</w:t>
      </w:r>
      <w:r w:rsidR="00A678B5" w:rsidRPr="001912F1">
        <w:rPr>
          <w:rFonts w:ascii="Times New Roman" w:hAnsi="Times New Roman" w:cs="Times New Roman"/>
          <w:i/>
          <w:iCs/>
        </w:rPr>
        <w:t>l</w:t>
      </w:r>
      <w:r w:rsidR="009B46E0" w:rsidRPr="001912F1">
        <w:rPr>
          <w:rFonts w:ascii="Times New Roman" w:hAnsi="Times New Roman" w:cs="Times New Roman"/>
          <w:i/>
          <w:iCs/>
        </w:rPr>
        <w:t>egal risk</w:t>
      </w:r>
      <w:r w:rsidRPr="001912F1">
        <w:rPr>
          <w:rFonts w:ascii="Times New Roman" w:hAnsi="Times New Roman" w:cs="Times New Roman"/>
        </w:rPr>
        <w:t>) can reinforce the adverse impact of management risks</w:t>
      </w:r>
      <w:r w:rsidR="009B46E0" w:rsidRPr="001912F1">
        <w:rPr>
          <w:rFonts w:ascii="Times New Roman" w:hAnsi="Times New Roman" w:cs="Times New Roman"/>
        </w:rPr>
        <w:t xml:space="preserve">, such as </w:t>
      </w:r>
      <w:r w:rsidRPr="001912F1">
        <w:rPr>
          <w:rFonts w:ascii="Times New Roman" w:hAnsi="Times New Roman" w:cs="Times New Roman"/>
        </w:rPr>
        <w:t xml:space="preserve">unclear assignment of roles to the project team members in GB projects. </w:t>
      </w:r>
      <w:r w:rsidR="00A678B5" w:rsidRPr="001912F1">
        <w:rPr>
          <w:rFonts w:ascii="Times New Roman" w:hAnsi="Times New Roman" w:cs="Times New Roman"/>
        </w:rPr>
        <w:t xml:space="preserve">Also, the </w:t>
      </w:r>
      <w:r w:rsidRPr="001912F1">
        <w:rPr>
          <w:rFonts w:ascii="Times New Roman" w:hAnsi="Times New Roman" w:cs="Times New Roman"/>
        </w:rPr>
        <w:t>complex and complicated approval procedures, codes, and regulations for GBs</w:t>
      </w:r>
      <w:r w:rsidR="00A678B5" w:rsidRPr="001912F1">
        <w:rPr>
          <w:rFonts w:ascii="Times New Roman" w:hAnsi="Times New Roman" w:cs="Times New Roman"/>
        </w:rPr>
        <w:t xml:space="preserve"> (</w:t>
      </w:r>
      <w:r w:rsidR="00A678B5" w:rsidRPr="001912F1">
        <w:rPr>
          <w:rFonts w:ascii="Times New Roman" w:hAnsi="Times New Roman" w:cs="Times New Roman"/>
          <w:i/>
          <w:iCs/>
        </w:rPr>
        <w:t>regulatory risk</w:t>
      </w:r>
      <w:r w:rsidRPr="001912F1">
        <w:rPr>
          <w:rFonts w:ascii="Times New Roman" w:hAnsi="Times New Roman" w:cs="Times New Roman"/>
        </w:rPr>
        <w:t xml:space="preserve">) can amplify </w:t>
      </w:r>
      <w:r w:rsidR="00A678B5" w:rsidRPr="001912F1">
        <w:rPr>
          <w:rFonts w:ascii="Times New Roman" w:hAnsi="Times New Roman" w:cs="Times New Roman"/>
        </w:rPr>
        <w:t xml:space="preserve">probability and </w:t>
      </w:r>
      <w:r w:rsidRPr="001912F1">
        <w:rPr>
          <w:rFonts w:ascii="Times New Roman" w:hAnsi="Times New Roman" w:cs="Times New Roman"/>
        </w:rPr>
        <w:t>adverse impact of management risks</w:t>
      </w:r>
      <w:r w:rsidR="00A678B5" w:rsidRPr="001912F1">
        <w:rPr>
          <w:rFonts w:ascii="Times New Roman" w:hAnsi="Times New Roman" w:cs="Times New Roman"/>
        </w:rPr>
        <w:t xml:space="preserve">, such as </w:t>
      </w:r>
      <w:r w:rsidRPr="001912F1">
        <w:rPr>
          <w:rFonts w:ascii="Times New Roman" w:hAnsi="Times New Roman" w:cs="Times New Roman"/>
        </w:rPr>
        <w:t>organizational and procedural difficulties in GB projects</w:t>
      </w:r>
      <w:r w:rsidR="00A678B5" w:rsidRPr="001912F1">
        <w:rPr>
          <w:rFonts w:ascii="Times New Roman" w:hAnsi="Times New Roman" w:cs="Times New Roman"/>
        </w:rPr>
        <w:t xml:space="preserve"> (</w:t>
      </w:r>
      <w:r w:rsidR="00A678B5"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"10.3390/su9071116", "ISSN" : "20711050", "abstract" : "Recently, an increasing number of green residential buildings have been developed worldwide owing to active promotion from the authorities and increasing interest from customers. However, in the same way as traditional residential buildings, the construction of green residential buildings faces various risks. The aims of this study are to identify and assess the diverse risks in green residential building construction projects, compare their risk criticalities with those in traditional counterparts, and propose helpful risk mitigation measures. To achieve these goals, a comprehensive literature review was first conducted, and a questionnaire was then administered to 30 construction companies in Singapore. Survey results showed that \"complex procedures to obtain approvals\", \"overlooked high initial cost\", \"unclear requirements of owners\", \"employment constraint\", and \"lack of availability of green materials and equipment\" were the top five critical risks in green residential building construction projects. Survey results also showed that green residential building projects were facing risks at a more critical level than those traditional residential building projects. Additionally, this study proposed fourteen risk mitigation measures to tackle the risks in green residential building construction projects. This study has contributed to the body of knowledge by identifying and evaluating the critical risks and mitigation measures in green residential building construction projects. Meanwhile, the findings from this study can also provide an in-depth understanding of risk management in green residential building construction projects to practitioners and thus benefit the practice.", "author" : [ { "dropping-particle" : "", "family" : "Hwang", "given" : "Bon Gang", "non-dropping-particle" : "", "parse-names" : false, "suffix" : "" }, { "dropping-particle" : "", "family" : "Shan", "given" : "Ming", "non-dropping-particle" : "", "parse-names" : false, "suffix" : "" }, { "dropping-particle" : "", "family" : "Phua", "given" : "Helena", "non-dropping-particle" : "", "parse-names" : false, "suffix" : "" }, { "dropping-particle" : "", "family" : "Chi", "given" : "Seokho", "non-dropping-particle" : "", "parse-names" : false, "suffix" : "" } ], "container-title" : "Sustainability (Switzerland)", "id" : "ITEM-1", "issue" : "7", "issued" : { "date-parts" : [ [ "2017" ] ] }, "page" : "9-11", "title" : "An exploratory analysis of risks in green residential building construction projects: The case of Singapore", "type" : "article-journal", "volume" : "9" }, "uris" : [ "http://www.mendeley.com/documents/?uuid=0c9c78d7-49e3-45f0-8a05-1258acddcbeb" ] } ], "mendeley" : { "formattedCitation" : "[45]", "plainTextFormattedCitation" : "[45]", "previouslyFormattedCitation" : "[45]" }, "properties" : { "noteIndex" : 0 }, "schema" : "https://github.com/citation-style-language/schema/raw/master/csl-citation.json" }</w:instrText>
      </w:r>
      <w:r w:rsidR="00A678B5" w:rsidRPr="001912F1">
        <w:rPr>
          <w:rFonts w:ascii="Times New Roman" w:hAnsi="Times New Roman" w:cs="Times New Roman"/>
        </w:rPr>
        <w:fldChar w:fldCharType="separate"/>
      </w:r>
      <w:r w:rsidR="00A172E2" w:rsidRPr="00A172E2">
        <w:rPr>
          <w:rFonts w:ascii="Times New Roman" w:hAnsi="Times New Roman" w:cs="Times New Roman"/>
          <w:noProof/>
        </w:rPr>
        <w:t>[45]</w:t>
      </w:r>
      <w:r w:rsidR="00A678B5" w:rsidRPr="001912F1">
        <w:rPr>
          <w:rFonts w:ascii="Times New Roman" w:hAnsi="Times New Roman" w:cs="Times New Roman"/>
        </w:rPr>
        <w:fldChar w:fldCharType="end"/>
      </w:r>
      <w:r w:rsidRPr="001912F1">
        <w:rPr>
          <w:rFonts w:ascii="Times New Roman" w:hAnsi="Times New Roman" w:cs="Times New Roman"/>
        </w:rPr>
        <w:t>.</w:t>
      </w:r>
    </w:p>
    <w:p w14:paraId="67FF95DD" w14:textId="40B9C7C6" w:rsidR="008855EC" w:rsidRPr="001912F1" w:rsidRDefault="00DA4EFA" w:rsidP="00DA4EFA">
      <w:pPr>
        <w:spacing w:line="480" w:lineRule="auto"/>
        <w:jc w:val="both"/>
        <w:rPr>
          <w:rFonts w:ascii="Times New Roman" w:hAnsi="Times New Roman" w:cs="Times New Roman"/>
        </w:rPr>
      </w:pPr>
      <w:r w:rsidRPr="001912F1">
        <w:rPr>
          <w:rFonts w:ascii="Times New Roman" w:hAnsi="Times New Roman" w:cs="Times New Roman"/>
        </w:rPr>
        <w:t>Understanding the</w:t>
      </w:r>
      <w:r w:rsidR="00A678B5" w:rsidRPr="001912F1">
        <w:rPr>
          <w:rFonts w:ascii="Times New Roman" w:hAnsi="Times New Roman" w:cs="Times New Roman"/>
        </w:rPr>
        <w:t>se</w:t>
      </w:r>
      <w:r w:rsidRPr="001912F1">
        <w:rPr>
          <w:rFonts w:ascii="Times New Roman" w:hAnsi="Times New Roman" w:cs="Times New Roman"/>
        </w:rPr>
        <w:t xml:space="preserve"> chain reactions and push effects </w:t>
      </w:r>
      <w:r w:rsidR="00A678B5" w:rsidRPr="001912F1">
        <w:rPr>
          <w:rFonts w:ascii="Times New Roman" w:hAnsi="Times New Roman" w:cs="Times New Roman"/>
        </w:rPr>
        <w:t xml:space="preserve">of the various </w:t>
      </w:r>
      <w:r w:rsidRPr="001912F1">
        <w:rPr>
          <w:rFonts w:ascii="Times New Roman" w:hAnsi="Times New Roman" w:cs="Times New Roman"/>
        </w:rPr>
        <w:t>can form a basis for developing targeted</w:t>
      </w:r>
      <w:r w:rsidR="00A678B5" w:rsidRPr="001912F1">
        <w:rPr>
          <w:rFonts w:ascii="Times New Roman" w:hAnsi="Times New Roman" w:cs="Times New Roman"/>
        </w:rPr>
        <w:t xml:space="preserve"> </w:t>
      </w:r>
      <w:r w:rsidRPr="001912F1">
        <w:rPr>
          <w:rFonts w:ascii="Times New Roman" w:hAnsi="Times New Roman" w:cs="Times New Roman"/>
        </w:rPr>
        <w:t>response mechanisms</w:t>
      </w:r>
      <w:r w:rsidR="00A678B5" w:rsidRPr="001912F1">
        <w:rPr>
          <w:rFonts w:ascii="Times New Roman" w:hAnsi="Times New Roman" w:cs="Times New Roman"/>
        </w:rPr>
        <w:t xml:space="preserve"> and strategies </w:t>
      </w:r>
      <w:r w:rsidRPr="001912F1">
        <w:rPr>
          <w:rFonts w:ascii="Times New Roman" w:hAnsi="Times New Roman" w:cs="Times New Roman"/>
        </w:rPr>
        <w:t>to break the chain and minimize the systematic impact of various risks in GB projects.</w:t>
      </w:r>
      <w:r w:rsidR="00A678B5" w:rsidRPr="001912F1">
        <w:rPr>
          <w:rFonts w:ascii="Times New Roman" w:hAnsi="Times New Roman" w:cs="Times New Roman"/>
        </w:rPr>
        <w:t xml:space="preserve"> However, there is no successful attempt at theorizing the path dependencies, chain reactions and hierarchical structure of the various taxonomies of risks in GB projects.</w:t>
      </w:r>
      <w:r w:rsidR="00D73FB9" w:rsidRPr="001912F1">
        <w:rPr>
          <w:rFonts w:ascii="Times New Roman" w:hAnsi="Times New Roman" w:cs="Times New Roman"/>
        </w:rPr>
        <w:t xml:space="preserve"> This study compiled the documented evidences of the various multiple reactions among the risk factors to generate an interpretive logic knowledge-base</w:t>
      </w:r>
      <w:r w:rsidR="009746AE" w:rsidRPr="001912F1">
        <w:rPr>
          <w:rFonts w:ascii="Times New Roman" w:hAnsi="Times New Roman" w:cs="Times New Roman"/>
        </w:rPr>
        <w:t xml:space="preserve"> </w:t>
      </w:r>
      <w:r w:rsidR="009746AE" w:rsidRPr="001912F1">
        <w:rPr>
          <w:rFonts w:ascii="Times New Roman" w:hAnsi="Times New Roman" w:cs="Times New Roman"/>
        </w:rPr>
        <w:fldChar w:fldCharType="begin" w:fldLock="1"/>
      </w:r>
      <w:r w:rsidR="00792D4F">
        <w:rPr>
          <w:rFonts w:ascii="Times New Roman" w:hAnsi="Times New Roman" w:cs="Times New Roman"/>
        </w:rPr>
        <w:instrText>ADDIN CSL_CITATION { "citationItems" : [ { "id" : "ITEM-1", "itemData" : { "DOI" : "10.1007/s10479-016-2312-3", "ISSN" : "15729338", "abstract" : "\u00a9 2016 Springer Science+Business Media New York Interpretive structural modelling (ISM) has been further interpreted in the form of total interpretive structural modelling (TISM). These are graphical models that represent the hierarchical relationships and help in better and precise conceptualization and theory building. ISM only interprets the nodes in a digraph, but TISM interprets both nodes and links. The errors observed in applications of ISM and TISM reported in past have acted as motivation for this paper to provide checks and guidelines for correctness of total interpretive structural models. The paper first gives an overview of past applications of TISM. The process of TISM is first outlined and then the guidelines and thumb rules are provided to check the correctness of TISM at each step. Some typical errors in TISM models and their modifications are discussed to help future modellers to translate their ill-structured mental models into sound theoretical models. A discussion on usefulness of TISM for big data analytics for theory building is provided and future directions of research are outlined.", "author" : [ { "dropping-particle" : "", "family" : "Sushil", "given" : "Singh", "non-dropping-particle" : "", "parse-names" : false, "suffix" : "" } ], "container-title" : "Annals of Operations Research", "id" : "ITEM-1", "issue" : "1-2", "issued" : { "date-parts" : [ [ "2018" ] ] }, "page" : "473-487", "publisher" : "Springer US", "title" : "How to check correctness of total interpretive structural models?", "type" : "article-journal", "volume" : "270" }, "uris" : [ "http://www.mendeley.com/documents/?uuid=d6ed8b84-12b8-4f8f-b789-51b64822f911" ] } ], "mendeley" : { "formattedCitation" : "[81]", "plainTextFormattedCitation" : "[81]", "previouslyFormattedCitation" : "[81]" }, "properties" : { "noteIndex" : 0 }, "schema" : "https://github.com/citation-style-language/schema/raw/master/csl-citation.json" }</w:instrText>
      </w:r>
      <w:r w:rsidR="009746AE" w:rsidRPr="001912F1">
        <w:rPr>
          <w:rFonts w:ascii="Times New Roman" w:hAnsi="Times New Roman" w:cs="Times New Roman"/>
        </w:rPr>
        <w:fldChar w:fldCharType="separate"/>
      </w:r>
      <w:r w:rsidR="00A172E2" w:rsidRPr="00A172E2">
        <w:rPr>
          <w:rFonts w:ascii="Times New Roman" w:hAnsi="Times New Roman" w:cs="Times New Roman"/>
          <w:noProof/>
        </w:rPr>
        <w:t>[81]</w:t>
      </w:r>
      <w:r w:rsidR="009746AE" w:rsidRPr="001912F1">
        <w:rPr>
          <w:rFonts w:ascii="Times New Roman" w:hAnsi="Times New Roman" w:cs="Times New Roman"/>
        </w:rPr>
        <w:fldChar w:fldCharType="end"/>
      </w:r>
      <w:r w:rsidR="00D73FB9" w:rsidRPr="001912F1">
        <w:rPr>
          <w:rFonts w:ascii="Times New Roman" w:hAnsi="Times New Roman" w:cs="Times New Roman"/>
        </w:rPr>
        <w:t>, providing adequate information to theorize the multidimensional risk factors in GB projects.</w:t>
      </w:r>
      <w:r w:rsidR="00D841B7" w:rsidRPr="001912F1">
        <w:rPr>
          <w:rFonts w:ascii="Times New Roman" w:hAnsi="Times New Roman" w:cs="Times New Roman"/>
        </w:rPr>
        <w:t xml:space="preserve"> Fig. 8 shows a theoretical model of the risks in GB projects.</w:t>
      </w:r>
    </w:p>
    <w:p w14:paraId="2962D8D8" w14:textId="52849A3B" w:rsidR="00DA4EFA" w:rsidRPr="001912F1" w:rsidRDefault="008855EC" w:rsidP="008111F5">
      <w:pPr>
        <w:spacing w:line="480" w:lineRule="auto"/>
        <w:jc w:val="both"/>
        <w:rPr>
          <w:rFonts w:ascii="Times New Roman" w:hAnsi="Times New Roman" w:cs="Times New Roman"/>
        </w:rPr>
      </w:pPr>
      <w:r w:rsidRPr="001912F1">
        <w:rPr>
          <w:rFonts w:ascii="Times New Roman" w:hAnsi="Times New Roman" w:cs="Times New Roman"/>
        </w:rPr>
        <w:t>The theoretical model has four level</w:t>
      </w:r>
      <w:r w:rsidR="0053775D" w:rsidRPr="001912F1">
        <w:rPr>
          <w:rFonts w:ascii="Times New Roman" w:hAnsi="Times New Roman" w:cs="Times New Roman"/>
        </w:rPr>
        <w:t>s.</w:t>
      </w:r>
      <w:r w:rsidR="00C14800" w:rsidRPr="001912F1">
        <w:rPr>
          <w:rFonts w:ascii="Times New Roman" w:hAnsi="Times New Roman" w:cs="Times New Roman"/>
        </w:rPr>
        <w:t xml:space="preserve"> Level 1 comprises financial and material &amp; equipment risks.</w:t>
      </w:r>
      <w:r w:rsidR="00BA6261" w:rsidRPr="001912F1">
        <w:rPr>
          <w:rFonts w:ascii="Times New Roman" w:hAnsi="Times New Roman" w:cs="Times New Roman"/>
        </w:rPr>
        <w:t xml:space="preserve"> Level 2 comprises stakeholder, design, and management risks.</w:t>
      </w:r>
      <w:r w:rsidR="00397611" w:rsidRPr="001912F1">
        <w:rPr>
          <w:rFonts w:ascii="Times New Roman" w:hAnsi="Times New Roman" w:cs="Times New Roman"/>
        </w:rPr>
        <w:t xml:space="preserve"> Level 3 includes legal risks. Level 4 comprises environmental, technical, and regulatory risks</w:t>
      </w:r>
      <w:r w:rsidR="008111F5" w:rsidRPr="001912F1">
        <w:rPr>
          <w:rFonts w:ascii="Times New Roman" w:hAnsi="Times New Roman" w:cs="Times New Roman"/>
        </w:rPr>
        <w:t xml:space="preserve">. The model contains </w:t>
      </w:r>
      <w:r w:rsidRPr="001912F1">
        <w:rPr>
          <w:rFonts w:ascii="Times New Roman" w:hAnsi="Times New Roman" w:cs="Times New Roman"/>
        </w:rPr>
        <w:t>two types of lines used to indicate the direction of influence between two dimensions of the risk factors. The regular line depict</w:t>
      </w:r>
      <w:r w:rsidR="008111F5" w:rsidRPr="001912F1">
        <w:rPr>
          <w:rFonts w:ascii="Times New Roman" w:hAnsi="Times New Roman" w:cs="Times New Roman"/>
        </w:rPr>
        <w:t>s</w:t>
      </w:r>
      <w:r w:rsidRPr="001912F1">
        <w:rPr>
          <w:rFonts w:ascii="Times New Roman" w:hAnsi="Times New Roman" w:cs="Times New Roman"/>
        </w:rPr>
        <w:t xml:space="preserve"> </w:t>
      </w:r>
      <w:r w:rsidR="008111F5" w:rsidRPr="001912F1">
        <w:rPr>
          <w:rFonts w:ascii="Times New Roman" w:hAnsi="Times New Roman" w:cs="Times New Roman"/>
        </w:rPr>
        <w:t xml:space="preserve">the direction of </w:t>
      </w:r>
      <w:r w:rsidRPr="001912F1">
        <w:rPr>
          <w:rFonts w:ascii="Times New Roman" w:hAnsi="Times New Roman" w:cs="Times New Roman"/>
        </w:rPr>
        <w:t xml:space="preserve">influence of one risk factor on probability of occurrence and severity of impact of another risk factors at </w:t>
      </w:r>
      <w:r w:rsidR="008111F5" w:rsidRPr="001912F1">
        <w:rPr>
          <w:rFonts w:ascii="Times New Roman" w:hAnsi="Times New Roman" w:cs="Times New Roman"/>
        </w:rPr>
        <w:t xml:space="preserve">the same level or </w:t>
      </w:r>
      <w:r w:rsidRPr="001912F1">
        <w:rPr>
          <w:rFonts w:ascii="Times New Roman" w:hAnsi="Times New Roman" w:cs="Times New Roman"/>
        </w:rPr>
        <w:t xml:space="preserve">two successive </w:t>
      </w:r>
      <w:r w:rsidRPr="001912F1">
        <w:rPr>
          <w:rFonts w:ascii="Times New Roman" w:hAnsi="Times New Roman" w:cs="Times New Roman"/>
        </w:rPr>
        <w:lastRenderedPageBreak/>
        <w:t>levels</w:t>
      </w:r>
      <w:r w:rsidR="00932F69" w:rsidRPr="001912F1">
        <w:rPr>
          <w:rFonts w:ascii="Times New Roman" w:hAnsi="Times New Roman" w:cs="Times New Roman"/>
        </w:rPr>
        <w:t xml:space="preserve"> (e.g., level</w:t>
      </w:r>
      <w:r w:rsidR="00682AEE" w:rsidRPr="001912F1">
        <w:rPr>
          <w:rFonts w:ascii="Times New Roman" w:hAnsi="Times New Roman" w:cs="Times New Roman"/>
        </w:rPr>
        <w:t>s</w:t>
      </w:r>
      <w:r w:rsidR="00932F69" w:rsidRPr="001912F1">
        <w:rPr>
          <w:rFonts w:ascii="Times New Roman" w:hAnsi="Times New Roman" w:cs="Times New Roman"/>
        </w:rPr>
        <w:t xml:space="preserve"> 1 and 2, level</w:t>
      </w:r>
      <w:r w:rsidR="00682AEE" w:rsidRPr="001912F1">
        <w:rPr>
          <w:rFonts w:ascii="Times New Roman" w:hAnsi="Times New Roman" w:cs="Times New Roman"/>
        </w:rPr>
        <w:t>s</w:t>
      </w:r>
      <w:r w:rsidR="00932F69" w:rsidRPr="001912F1">
        <w:rPr>
          <w:rFonts w:ascii="Times New Roman" w:hAnsi="Times New Roman" w:cs="Times New Roman"/>
        </w:rPr>
        <w:t xml:space="preserve"> 2 and 3</w:t>
      </w:r>
      <w:r w:rsidR="00682AEE" w:rsidRPr="001912F1">
        <w:rPr>
          <w:rFonts w:ascii="Times New Roman" w:hAnsi="Times New Roman" w:cs="Times New Roman"/>
        </w:rPr>
        <w:t>)</w:t>
      </w:r>
      <w:r w:rsidRPr="001912F1">
        <w:rPr>
          <w:rFonts w:ascii="Times New Roman" w:hAnsi="Times New Roman" w:cs="Times New Roman"/>
        </w:rPr>
        <w:t>. The dotted line depict</w:t>
      </w:r>
      <w:r w:rsidR="008111F5" w:rsidRPr="001912F1">
        <w:rPr>
          <w:rFonts w:ascii="Times New Roman" w:hAnsi="Times New Roman" w:cs="Times New Roman"/>
        </w:rPr>
        <w:t>s</w:t>
      </w:r>
      <w:r w:rsidRPr="001912F1">
        <w:rPr>
          <w:rFonts w:ascii="Times New Roman" w:hAnsi="Times New Roman" w:cs="Times New Roman"/>
        </w:rPr>
        <w:t xml:space="preserve"> the direction of influence between </w:t>
      </w:r>
      <w:r w:rsidR="008111F5" w:rsidRPr="001912F1">
        <w:rPr>
          <w:rFonts w:ascii="Times New Roman" w:hAnsi="Times New Roman" w:cs="Times New Roman"/>
        </w:rPr>
        <w:t xml:space="preserve">two </w:t>
      </w:r>
      <w:r w:rsidRPr="001912F1">
        <w:rPr>
          <w:rFonts w:ascii="Times New Roman" w:hAnsi="Times New Roman" w:cs="Times New Roman"/>
        </w:rPr>
        <w:t>risk factors at extended levels</w:t>
      </w:r>
      <w:r w:rsidR="00682AEE" w:rsidRPr="001912F1">
        <w:rPr>
          <w:rFonts w:ascii="Times New Roman" w:hAnsi="Times New Roman" w:cs="Times New Roman"/>
        </w:rPr>
        <w:t xml:space="preserve"> (e.g., levels 1 and 3).</w:t>
      </w:r>
      <w:r w:rsidR="008111F5" w:rsidRPr="001912F1">
        <w:rPr>
          <w:rFonts w:ascii="Times New Roman" w:hAnsi="Times New Roman" w:cs="Times New Roman"/>
        </w:rPr>
        <w:t xml:space="preserve"> </w:t>
      </w:r>
    </w:p>
    <w:p w14:paraId="17B55C9B" w14:textId="614D30D7" w:rsidR="009D63F9" w:rsidRPr="001912F1" w:rsidRDefault="00E33425" w:rsidP="00682AEE">
      <w:pPr>
        <w:rPr>
          <w:rFonts w:ascii="Times New Roman" w:hAnsi="Times New Roman" w:cs="Times New Roman"/>
          <w:b/>
          <w:bCs/>
        </w:rPr>
      </w:pPr>
      <w:r w:rsidRPr="001912F1">
        <w:rPr>
          <w:b/>
          <w:bCs/>
          <w:noProof/>
        </w:rPr>
        <w:drawing>
          <wp:inline distT="0" distB="0" distL="0" distR="0" wp14:anchorId="610AC8F3" wp14:editId="5DA714FA">
            <wp:extent cx="5731510" cy="5975460"/>
            <wp:effectExtent l="0" t="0" r="0" b="0"/>
            <wp:docPr id="4" name="Picture 4" descr="C:\Users\ibrahim.wuni\AppData\Local\Microsoft\Windows\INetCache\Content.MSO\AB9202B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brahim.wuni\AppData\Local\Microsoft\Windows\INetCache\Content.MSO\AB9202B0.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5975460"/>
                    </a:xfrm>
                    <a:prstGeom prst="rect">
                      <a:avLst/>
                    </a:prstGeom>
                    <a:noFill/>
                    <a:ln>
                      <a:noFill/>
                    </a:ln>
                  </pic:spPr>
                </pic:pic>
              </a:graphicData>
            </a:graphic>
          </wp:inline>
        </w:drawing>
      </w:r>
    </w:p>
    <w:p w14:paraId="6957A276" w14:textId="441DB16F" w:rsidR="004E53A3" w:rsidRPr="001912F1" w:rsidRDefault="004E53A3" w:rsidP="009D63F9">
      <w:pPr>
        <w:spacing w:line="480" w:lineRule="auto"/>
        <w:rPr>
          <w:rFonts w:ascii="Times New Roman" w:hAnsi="Times New Roman" w:cs="Times New Roman"/>
        </w:rPr>
      </w:pPr>
      <w:r w:rsidRPr="001912F1">
        <w:rPr>
          <w:rFonts w:ascii="Times New Roman" w:hAnsi="Times New Roman" w:cs="Times New Roman"/>
          <w:b/>
          <w:bCs/>
        </w:rPr>
        <w:t>Fig</w:t>
      </w:r>
      <w:r w:rsidR="00682AEE" w:rsidRPr="001912F1">
        <w:rPr>
          <w:rFonts w:ascii="Times New Roman" w:hAnsi="Times New Roman" w:cs="Times New Roman"/>
          <w:b/>
          <w:bCs/>
        </w:rPr>
        <w:t xml:space="preserve">. </w:t>
      </w:r>
      <w:r w:rsidRPr="001912F1">
        <w:rPr>
          <w:rFonts w:ascii="Times New Roman" w:hAnsi="Times New Roman" w:cs="Times New Roman"/>
          <w:b/>
          <w:bCs/>
        </w:rPr>
        <w:t>8.</w:t>
      </w:r>
      <w:r w:rsidRPr="001912F1">
        <w:rPr>
          <w:rFonts w:ascii="Times New Roman" w:hAnsi="Times New Roman" w:cs="Times New Roman"/>
        </w:rPr>
        <w:t xml:space="preserve"> Path dependencies and hierarchical structure of risks in green building projects</w:t>
      </w:r>
    </w:p>
    <w:p w14:paraId="422CCDA9" w14:textId="2C4296C1" w:rsidR="007C114A" w:rsidRPr="001912F1" w:rsidRDefault="007C114A" w:rsidP="00FE2934">
      <w:pPr>
        <w:spacing w:line="480" w:lineRule="auto"/>
        <w:jc w:val="both"/>
        <w:rPr>
          <w:rFonts w:ascii="Times New Roman" w:hAnsi="Times New Roman" w:cs="Times New Roman"/>
        </w:rPr>
      </w:pPr>
      <w:r w:rsidRPr="001912F1">
        <w:rPr>
          <w:rFonts w:ascii="Times New Roman" w:hAnsi="Times New Roman" w:cs="Times New Roman"/>
        </w:rPr>
        <w:t xml:space="preserve">The text on each line explains how a dimension influences another dimension. In order, it explains the source of the influence. For instance, </w:t>
      </w:r>
      <w:r w:rsidR="00FE2934" w:rsidRPr="001912F1">
        <w:rPr>
          <w:rFonts w:ascii="Times New Roman" w:hAnsi="Times New Roman" w:cs="Times New Roman"/>
        </w:rPr>
        <w:t xml:space="preserve">regulatory risks such as inadequate GB code and regulations can induce and influence the probability of occurrence and impact of </w:t>
      </w:r>
      <w:r w:rsidRPr="001912F1">
        <w:rPr>
          <w:rFonts w:ascii="Times New Roman" w:hAnsi="Times New Roman" w:cs="Times New Roman"/>
        </w:rPr>
        <w:t>design risks such as inadequate specification of green construction materials and technologies</w:t>
      </w:r>
      <w:r w:rsidR="00FE2934" w:rsidRPr="001912F1">
        <w:rPr>
          <w:rFonts w:ascii="Times New Roman" w:hAnsi="Times New Roman" w:cs="Times New Roman"/>
        </w:rPr>
        <w:t>.</w:t>
      </w:r>
    </w:p>
    <w:p w14:paraId="6668761B" w14:textId="77777777" w:rsidR="00520B81" w:rsidRPr="001912F1" w:rsidRDefault="00D675D1" w:rsidP="003972AC">
      <w:pPr>
        <w:spacing w:line="480" w:lineRule="auto"/>
        <w:jc w:val="both"/>
        <w:rPr>
          <w:rFonts w:ascii="Times New Roman" w:hAnsi="Times New Roman" w:cs="Times New Roman"/>
        </w:rPr>
      </w:pPr>
      <w:r w:rsidRPr="001912F1">
        <w:rPr>
          <w:rFonts w:ascii="Times New Roman" w:hAnsi="Times New Roman" w:cs="Times New Roman"/>
        </w:rPr>
        <w:lastRenderedPageBreak/>
        <w:t>The constructs of the model at level 1 (financial and material &amp; equipment risks) are considered dependent variables. These constructs have the highest dependencies and the lowest driving powers. The associated risks influence each other and dependent on other risks, but do not significant drive or influence the probability of occurrence of risks in the lower levels.</w:t>
      </w:r>
      <w:r w:rsidR="00413050" w:rsidRPr="001912F1">
        <w:rPr>
          <w:rFonts w:ascii="Times New Roman" w:hAnsi="Times New Roman" w:cs="Times New Roman"/>
        </w:rPr>
        <w:t xml:space="preserve"> They are most likely present in any GB project because several risks can trigger them.</w:t>
      </w:r>
      <w:r w:rsidR="003972AC" w:rsidRPr="001912F1">
        <w:rPr>
          <w:rFonts w:ascii="Times New Roman" w:hAnsi="Times New Roman" w:cs="Times New Roman"/>
        </w:rPr>
        <w:t xml:space="preserve"> </w:t>
      </w:r>
    </w:p>
    <w:p w14:paraId="05EA8C24" w14:textId="77777777" w:rsidR="00520B81" w:rsidRPr="001912F1" w:rsidRDefault="003972AC" w:rsidP="003972AC">
      <w:pPr>
        <w:spacing w:line="480" w:lineRule="auto"/>
        <w:jc w:val="both"/>
        <w:rPr>
          <w:rFonts w:ascii="Times New Roman" w:hAnsi="Times New Roman" w:cs="Times New Roman"/>
        </w:rPr>
      </w:pPr>
      <w:r w:rsidRPr="001912F1">
        <w:rPr>
          <w:rFonts w:ascii="Times New Roman" w:hAnsi="Times New Roman" w:cs="Times New Roman"/>
        </w:rPr>
        <w:t>The constructs at levels 2 (stakeholder, design, and management risks) and 3 (legal risks) of the model are considered linkage variables.</w:t>
      </w:r>
      <w:r w:rsidR="00886A86" w:rsidRPr="001912F1">
        <w:rPr>
          <w:rFonts w:ascii="Times New Roman" w:hAnsi="Times New Roman" w:cs="Times New Roman"/>
        </w:rPr>
        <w:t xml:space="preserve"> </w:t>
      </w:r>
      <w:r w:rsidRPr="001912F1">
        <w:rPr>
          <w:rFonts w:ascii="Times New Roman" w:hAnsi="Times New Roman" w:cs="Times New Roman"/>
        </w:rPr>
        <w:t xml:space="preserve">These constructs have </w:t>
      </w:r>
      <w:r w:rsidR="00886A86" w:rsidRPr="001912F1">
        <w:rPr>
          <w:rFonts w:ascii="Times New Roman" w:hAnsi="Times New Roman" w:cs="Times New Roman"/>
        </w:rPr>
        <w:t xml:space="preserve">both </w:t>
      </w:r>
      <w:r w:rsidRPr="001912F1">
        <w:rPr>
          <w:rFonts w:ascii="Times New Roman" w:hAnsi="Times New Roman" w:cs="Times New Roman"/>
        </w:rPr>
        <w:t>strong depen</w:t>
      </w:r>
      <w:r w:rsidR="00886A86" w:rsidRPr="001912F1">
        <w:rPr>
          <w:rFonts w:ascii="Times New Roman" w:hAnsi="Times New Roman" w:cs="Times New Roman"/>
        </w:rPr>
        <w:t>dencies and strong driving powers</w:t>
      </w:r>
      <w:r w:rsidRPr="001912F1">
        <w:rPr>
          <w:rFonts w:ascii="Times New Roman" w:hAnsi="Times New Roman" w:cs="Times New Roman"/>
        </w:rPr>
        <w:t>.</w:t>
      </w:r>
      <w:r w:rsidR="00886A86" w:rsidRPr="001912F1">
        <w:rPr>
          <w:rFonts w:ascii="Times New Roman" w:hAnsi="Times New Roman" w:cs="Times New Roman"/>
        </w:rPr>
        <w:t xml:space="preserve"> They influence each, influence other risks, and are influenced by other risks. </w:t>
      </w:r>
      <w:r w:rsidR="00AD5391" w:rsidRPr="001912F1">
        <w:rPr>
          <w:rFonts w:ascii="Times New Roman" w:hAnsi="Times New Roman" w:cs="Times New Roman"/>
        </w:rPr>
        <w:t>They mediate the influence between the lowest (4) and highest (1) construct. The linkage risk constructs are extremely sensitive and can significantly influence the performance of GB projects.</w:t>
      </w:r>
      <w:r w:rsidR="00520B81" w:rsidRPr="001912F1">
        <w:rPr>
          <w:rFonts w:ascii="Times New Roman" w:hAnsi="Times New Roman" w:cs="Times New Roman"/>
        </w:rPr>
        <w:t xml:space="preserve"> </w:t>
      </w:r>
      <w:r w:rsidR="00AD5391" w:rsidRPr="001912F1">
        <w:rPr>
          <w:rFonts w:ascii="Times New Roman" w:hAnsi="Times New Roman" w:cs="Times New Roman"/>
        </w:rPr>
        <w:t xml:space="preserve"> </w:t>
      </w:r>
    </w:p>
    <w:p w14:paraId="29B6C597" w14:textId="257178CA" w:rsidR="007C114A" w:rsidRPr="001912F1" w:rsidRDefault="00520B81" w:rsidP="003972AC">
      <w:pPr>
        <w:spacing w:line="480" w:lineRule="auto"/>
        <w:jc w:val="both"/>
        <w:rPr>
          <w:rFonts w:ascii="Times New Roman" w:hAnsi="Times New Roman" w:cs="Times New Roman"/>
        </w:rPr>
      </w:pPr>
      <w:r w:rsidRPr="001912F1">
        <w:rPr>
          <w:rFonts w:ascii="Times New Roman" w:hAnsi="Times New Roman" w:cs="Times New Roman"/>
        </w:rPr>
        <w:t xml:space="preserve">The constructs at </w:t>
      </w:r>
      <w:r w:rsidR="00B96BB1" w:rsidRPr="001912F1">
        <w:rPr>
          <w:rFonts w:ascii="Times New Roman" w:hAnsi="Times New Roman" w:cs="Times New Roman"/>
        </w:rPr>
        <w:t>l</w:t>
      </w:r>
      <w:r w:rsidR="003972AC" w:rsidRPr="001912F1">
        <w:rPr>
          <w:rFonts w:ascii="Times New Roman" w:hAnsi="Times New Roman" w:cs="Times New Roman"/>
        </w:rPr>
        <w:t>evel 4</w:t>
      </w:r>
      <w:r w:rsidRPr="001912F1">
        <w:rPr>
          <w:rFonts w:ascii="Times New Roman" w:hAnsi="Times New Roman" w:cs="Times New Roman"/>
        </w:rPr>
        <w:t xml:space="preserve"> (</w:t>
      </w:r>
      <w:r w:rsidR="003972AC" w:rsidRPr="001912F1">
        <w:rPr>
          <w:rFonts w:ascii="Times New Roman" w:hAnsi="Times New Roman" w:cs="Times New Roman"/>
        </w:rPr>
        <w:t>environmental, technical, and regulatory risks</w:t>
      </w:r>
      <w:r w:rsidRPr="001912F1">
        <w:rPr>
          <w:rFonts w:ascii="Times New Roman" w:hAnsi="Times New Roman" w:cs="Times New Roman"/>
        </w:rPr>
        <w:t>) of the model are considered independent variables, containing strong driving power but weak dependence power.</w:t>
      </w:r>
      <w:r w:rsidR="009366D4" w:rsidRPr="001912F1">
        <w:rPr>
          <w:rFonts w:ascii="Times New Roman" w:hAnsi="Times New Roman" w:cs="Times New Roman"/>
        </w:rPr>
        <w:t xml:space="preserve"> Risk factors at this level influence each other</w:t>
      </w:r>
      <w:r w:rsidR="000A67FE" w:rsidRPr="001912F1">
        <w:rPr>
          <w:rFonts w:ascii="Times New Roman" w:hAnsi="Times New Roman" w:cs="Times New Roman"/>
        </w:rPr>
        <w:t xml:space="preserve"> and </w:t>
      </w:r>
      <w:r w:rsidR="009366D4" w:rsidRPr="001912F1">
        <w:rPr>
          <w:rFonts w:ascii="Times New Roman" w:hAnsi="Times New Roman" w:cs="Times New Roman"/>
        </w:rPr>
        <w:t>strongly influence other risks,</w:t>
      </w:r>
      <w:r w:rsidR="000A67FE" w:rsidRPr="001912F1">
        <w:rPr>
          <w:rFonts w:ascii="Times New Roman" w:hAnsi="Times New Roman" w:cs="Times New Roman"/>
        </w:rPr>
        <w:t xml:space="preserve"> but are not influenced by other risks.</w:t>
      </w:r>
      <w:r w:rsidR="003722E9" w:rsidRPr="001912F1">
        <w:rPr>
          <w:rFonts w:ascii="Times New Roman" w:hAnsi="Times New Roman" w:cs="Times New Roman"/>
        </w:rPr>
        <w:t xml:space="preserve"> These constructs have extremely high reachability in the model because they can influence risks at all other levels, translating them into a major concern in risk management. Thus, project managers can regulate the cumulative probabilities and impacts of risks in GB projects, if they can control and mitigate the independent and linkage risk constructs.</w:t>
      </w:r>
    </w:p>
    <w:p w14:paraId="36EA38A2" w14:textId="24C43F19" w:rsidR="00543C2C" w:rsidRPr="001912F1" w:rsidRDefault="00543C2C" w:rsidP="009D63F9">
      <w:pPr>
        <w:spacing w:line="480" w:lineRule="auto"/>
        <w:rPr>
          <w:rFonts w:ascii="Times New Roman" w:hAnsi="Times New Roman" w:cs="Times New Roman"/>
          <w:b/>
          <w:bCs/>
        </w:rPr>
      </w:pPr>
      <w:r w:rsidRPr="001912F1">
        <w:rPr>
          <w:rFonts w:ascii="Times New Roman" w:hAnsi="Times New Roman" w:cs="Times New Roman"/>
          <w:b/>
          <w:bCs/>
        </w:rPr>
        <w:t xml:space="preserve">Discussions </w:t>
      </w:r>
    </w:p>
    <w:p w14:paraId="5CCC3A0D" w14:textId="6584A9C8" w:rsidR="00A62B4B" w:rsidRPr="00A62B4B" w:rsidRDefault="00564102" w:rsidP="00A62B4B">
      <w:pPr>
        <w:pStyle w:val="ListParagraph"/>
        <w:spacing w:line="480" w:lineRule="auto"/>
        <w:ind w:left="0"/>
        <w:jc w:val="both"/>
        <w:rPr>
          <w:rFonts w:ascii="Times New Roman" w:hAnsi="Times New Roman" w:cs="Times New Roman"/>
          <w:color w:val="C00000"/>
        </w:rPr>
      </w:pPr>
      <w:r w:rsidRPr="00A62B4B">
        <w:rPr>
          <w:rFonts w:ascii="Times New Roman" w:hAnsi="Times New Roman" w:cs="Times New Roman"/>
          <w:color w:val="C00000"/>
        </w:rPr>
        <w:t>The review established multidimensional risks in GB projects, including design,</w:t>
      </w:r>
      <w:r w:rsidR="006C5BF2" w:rsidRPr="00A62B4B">
        <w:rPr>
          <w:rFonts w:ascii="Times New Roman" w:hAnsi="Times New Roman" w:cs="Times New Roman"/>
          <w:color w:val="C00000"/>
        </w:rPr>
        <w:t xml:space="preserve"> </w:t>
      </w:r>
      <w:r w:rsidRPr="00A62B4B">
        <w:rPr>
          <w:rFonts w:ascii="Times New Roman" w:hAnsi="Times New Roman" w:cs="Times New Roman"/>
          <w:color w:val="C00000"/>
        </w:rPr>
        <w:t>material and equipment, financial, technical, management, stakeholder, environmental,</w:t>
      </w:r>
      <w:r w:rsidR="006C5BF2" w:rsidRPr="00A62B4B">
        <w:rPr>
          <w:rFonts w:ascii="Times New Roman" w:hAnsi="Times New Roman" w:cs="Times New Roman"/>
          <w:color w:val="C00000"/>
        </w:rPr>
        <w:t xml:space="preserve"> </w:t>
      </w:r>
      <w:r w:rsidRPr="00A62B4B">
        <w:rPr>
          <w:rFonts w:ascii="Times New Roman" w:hAnsi="Times New Roman" w:cs="Times New Roman"/>
          <w:color w:val="C00000"/>
        </w:rPr>
        <w:t>legal, and regulatory risks</w:t>
      </w:r>
      <w:r w:rsidR="006C5BF2" w:rsidRPr="00A62B4B">
        <w:rPr>
          <w:rFonts w:ascii="Times New Roman" w:hAnsi="Times New Roman" w:cs="Times New Roman"/>
          <w:color w:val="C00000"/>
        </w:rPr>
        <w:t>.</w:t>
      </w:r>
      <w:r w:rsidR="00F3449B" w:rsidRPr="00A62B4B">
        <w:rPr>
          <w:rFonts w:ascii="Times New Roman" w:hAnsi="Times New Roman" w:cs="Times New Roman"/>
          <w:color w:val="C00000"/>
        </w:rPr>
        <w:t xml:space="preserve"> </w:t>
      </w:r>
      <w:r w:rsidR="00C0573C" w:rsidRPr="00A62B4B">
        <w:rPr>
          <w:rFonts w:ascii="Times New Roman" w:hAnsi="Times New Roman" w:cs="Times New Roman"/>
          <w:color w:val="C00000"/>
        </w:rPr>
        <w:t xml:space="preserve">This classification framework extends the risk constructs </w:t>
      </w:r>
      <w:r w:rsidR="00A172E2" w:rsidRPr="00A62B4B">
        <w:rPr>
          <w:rFonts w:ascii="Times New Roman" w:hAnsi="Times New Roman" w:cs="Times New Roman"/>
          <w:color w:val="C00000"/>
        </w:rPr>
        <w:t xml:space="preserve">established in previous studies </w:t>
      </w:r>
      <w:r w:rsidR="00A172E2" w:rsidRPr="00A62B4B">
        <w:rPr>
          <w:rFonts w:ascii="Times New Roman" w:hAnsi="Times New Roman" w:cs="Times New Roman"/>
          <w:color w:val="C00000"/>
        </w:rPr>
        <w:fldChar w:fldCharType="begin" w:fldLock="1"/>
      </w:r>
      <w:r w:rsidR="00792D4F" w:rsidRPr="00A62B4B">
        <w:rPr>
          <w:rFonts w:ascii="Times New Roman" w:hAnsi="Times New Roman" w:cs="Times New Roman"/>
          <w:color w:val="C00000"/>
        </w:rPr>
        <w:instrText>ADDIN CSL_CITATION { "citationItems" : [ { "id" : "ITEM-1", "itemData" : { "DOI" : "10.1080/15623599.2018.1536963", "ISSN" : "15623599", "abstract" : "There is a big shift towards sustainable construction projects in the United Arab Emirates (UAE). Sustainable construction projects are riskier than traditional projects. The purpose of this paper is to identify and assess the risks in sustainable construction projects in the UAE. This will help project participants to properly manage these risks in their projects. A list of thirty risks was identified based on literature review. These risks were grouped into five categories: management, technical, green team, green materials and regulatory/economic. A survey was then developed and sent to professionals from the UAE. The respondents evaluated each risk in terms of its probability of occurrence and potential impact. Forty-four responses were collected. The thirty risks were ranked based on the risk severity (probability multiplied by impact). The top five risks are shortage of clients\u2019 funding, insufficient or incorrect sustainable design information, design changes, unreasonably tight schedule for sustainable construction and poor scope definition in sustainable construction. Risk identification and assessment are important part of project risk management. This allows for appropriate risk response planning and control.", "author" : [ { "dropping-particle" : "", "family" : "El-Sayegh", "given" : "Sameh M.", "non-dropping-particle" : "", "parse-names" : false, "suffix" : "" }, { "dropping-particle" : "", "family" : "Manjikian", "given" : "Solair", "non-dropping-particle" : "", "parse-names" : false, "suffix" : "" }, { "dropping-particle" : "", "family" : "Ibrahim", "given" : "Ahmed", "non-dropping-particle" : "", "parse-names" : false, "suffix" : "" }, { "dropping-particle" : "", "family" : "Abouelyousr", "given" : "Ahmed", "non-dropping-particle" : "", "parse-names" : false, "suffix" : "" }, { "dropping-particle" : "", "family" : "Jabbour", "given" : "Raed", "non-dropping-particle" : "", "parse-names" : false, "suffix" : "" } ], "container-title" : "International Journal of Construction Management", "id" : "ITEM-1", "issue" : "4", "issued" : { "date-parts" : [ [ "2021" ] ] }, "page" : "327-336", "publisher" : "Taylor &amp; Francis", "title" : "Risk identification and assessment in sustainable construction projects in the UAE", "type" : "article-journal", "volume" : "21" }, "uris" : [ "http://www.mendeley.com/documents/?uuid=233d8ceb-657d-4fd5-99b0-028e6bc56e4e" ] }, { "id" : "ITEM-2", "itemData" : { "DOI" : "10.1016/j.jclepro.2015.11.042", "ISSN" : "09596526", "abstract" : "In recent years, green building has attracted wide attention from both academia and industry. As green building projects are inevitably plagued with risks, this study attempted to assess the risks in green building projects in Singapore. Categorizing a list of 28 risk factors into 11 groups, the study performed a questionnaire survey and received 31 responses from project managers in Singapore. A risk assessment model was developed using the fuzzy synthetic evaluation approach. Using the proposed model, the likelihood of occurrence, magnitude of impact and risk criticality of each risk factor, group and the overall risk were calculated. \"Inaccurate cost estimation\" was the top risk factor, and \"cost overrun risk\" was the most critical risk group. The overall risk criticality was high, implying risk management was still necessary for green construction in Singapore. The proposed risk assessment model is reliable and practical for professionals in the green building industry, and can be applied in risk assessment in other countries. As few studies focused on risks in green projects, this study expands the knowledge and literature.", "author" : [ { "dropping-particle" : "", "family" : "Zhao", "given" : "Xianbo", "non-dropping-particle" : "", "parse-names" : false, "suffix" : "" }, { "dropping-particle" : "", "family" : "Hwang", "given" : "Bon Gang", "non-dropping-particle" : "", "parse-names" : false, "suffix" : "" }, { "dropping-particle" : "", "family" : "Gao", "given" : "Yan", "non-dropping-particle" : "", "parse-names" : false, "suffix" : "" } ], "container-title" : "Journal of Cleaner Production", "id" : "ITEM-2", "issue" : "January 2005", "issued" : { "date-parts" : [ [ "2016" ] ] }, "page" : "203-213", "publisher" : "Elsevier Ltd", "title" : "A fuzzy synthetic evaluation approach for risk assessment: A case of Singapore's green projects", "type" : "article-journal", "volume" : "115" }, "uris" : [ "http://www.mendeley.com/documents/?uuid=015d2286-c186-41ff-abe3-429a51c68795" ] } ], "mendeley" : { "formattedCitation" : "[17,30]", "plainTextFormattedCitation" : "[17,30]", "previouslyFormattedCitation" : "[17,30]" }, "properties" : { "noteIndex" : 0 }, "schema" : "https://github.com/citation-style-language/schema/raw/master/csl-citation.json" }</w:instrText>
      </w:r>
      <w:r w:rsidR="00A172E2" w:rsidRPr="00A62B4B">
        <w:rPr>
          <w:rFonts w:ascii="Times New Roman" w:hAnsi="Times New Roman" w:cs="Times New Roman"/>
          <w:color w:val="C00000"/>
        </w:rPr>
        <w:fldChar w:fldCharType="separate"/>
      </w:r>
      <w:r w:rsidR="00A172E2" w:rsidRPr="00A62B4B">
        <w:rPr>
          <w:rFonts w:ascii="Times New Roman" w:hAnsi="Times New Roman" w:cs="Times New Roman"/>
          <w:noProof/>
          <w:color w:val="C00000"/>
        </w:rPr>
        <w:t>[17,30]</w:t>
      </w:r>
      <w:r w:rsidR="00A172E2" w:rsidRPr="00A62B4B">
        <w:rPr>
          <w:rFonts w:ascii="Times New Roman" w:hAnsi="Times New Roman" w:cs="Times New Roman"/>
          <w:color w:val="C00000"/>
        </w:rPr>
        <w:fldChar w:fldCharType="end"/>
      </w:r>
      <w:r w:rsidR="00A172E2" w:rsidRPr="00A62B4B">
        <w:rPr>
          <w:rFonts w:ascii="Times New Roman" w:hAnsi="Times New Roman" w:cs="Times New Roman"/>
          <w:color w:val="C00000"/>
        </w:rPr>
        <w:t xml:space="preserve">. The findings </w:t>
      </w:r>
      <w:r w:rsidR="00792D4F" w:rsidRPr="00A62B4B">
        <w:rPr>
          <w:rFonts w:ascii="Times New Roman" w:hAnsi="Times New Roman" w:cs="Times New Roman"/>
          <w:color w:val="C00000"/>
        </w:rPr>
        <w:t>reveal</w:t>
      </w:r>
      <w:r w:rsidR="00A172E2" w:rsidRPr="00A62B4B">
        <w:rPr>
          <w:rFonts w:ascii="Times New Roman" w:hAnsi="Times New Roman" w:cs="Times New Roman"/>
          <w:color w:val="C00000"/>
        </w:rPr>
        <w:t xml:space="preserve"> the inadequacy of relying on a single published study to spot the dimensions of risks in GB projects.</w:t>
      </w:r>
      <w:r w:rsidR="00792D4F" w:rsidRPr="00A62B4B">
        <w:rPr>
          <w:rFonts w:ascii="Times New Roman" w:hAnsi="Times New Roman" w:cs="Times New Roman"/>
          <w:color w:val="C00000"/>
        </w:rPr>
        <w:t xml:space="preserve"> For instance, the dimensions of GB risks in Zhao et al. </w:t>
      </w:r>
      <w:r w:rsidR="00792D4F" w:rsidRPr="00A62B4B">
        <w:rPr>
          <w:rFonts w:ascii="Times New Roman" w:hAnsi="Times New Roman" w:cs="Times New Roman"/>
          <w:color w:val="C00000"/>
        </w:rPr>
        <w:fldChar w:fldCharType="begin" w:fldLock="1"/>
      </w:r>
      <w:r w:rsidR="00121131" w:rsidRPr="00A62B4B">
        <w:rPr>
          <w:rFonts w:ascii="Times New Roman" w:hAnsi="Times New Roman" w:cs="Times New Roman"/>
          <w:color w:val="C00000"/>
        </w:rPr>
        <w:instrText>ADDIN CSL_CITATION { "citationItems" : [ { "id" : "ITEM-1", "itemData" : { "DOI" : "10.1016/j.jclepro.2015.11.042", "ISSN" : "09596526", "abstract" : "In recent years, green building has attracted wide attention from both academia and industry. As green building projects are inevitably plagued with risks, this study attempted to assess the risks in green building projects in Singapore. Categorizing a list of 28 risk factors into 11 groups, the study performed a questionnaire survey and received 31 responses from project managers in Singapore. A risk assessment model was developed using the fuzzy synthetic evaluation approach. Using the proposed model, the likelihood of occurrence, magnitude of impact and risk criticality of each risk factor, group and the overall risk were calculated. \"Inaccurate cost estimation\" was the top risk factor, and \"cost overrun risk\" was the most critical risk group. The overall risk criticality was high, implying risk management was still necessary for green construction in Singapore. The proposed risk assessment model is reliable and practical for professionals in the green building industry, and can be applied in risk assessment in other countries. As few studies focused on risks in green projects, this study expands the knowledge and literature.", "author" : [ { "dropping-particle" : "", "family" : "Zhao", "given" : "Xianbo", "non-dropping-particle" : "", "parse-names" : false, "suffix" : "" }, { "dropping-particle" : "", "family" : "Hwang", "given" : "Bon Gang", "non-dropping-particle" : "", "parse-names" : false, "suffix" : "" }, { "dropping-particle" : "", "family" : "Gao", "given" : "Yan", "non-dropping-particle" : "", "parse-names" : false, "suffix" : "" } ], "container-title" : "Journal of Cleaner Production", "id" : "ITEM-1", "issue" : "January 2005", "issued" : { "date-parts" : [ [ "2016" ] ] }, "page" : "203-213", "publisher" : "Elsevier Ltd", "title" : "A fuzzy synthetic evaluation approach for risk assessment: A case of Singapore's green projects", "type" : "article-journal", "volume" : "115" }, "uris" : [ "http://www.mendeley.com/documents/?uuid=015d2286-c186-41ff-abe3-429a51c68795" ] } ], "mendeley" : { "formattedCitation" : "[17]", "plainTextFormattedCitation" : "[17]", "previouslyFormattedCitation" : "[17]" }, "properties" : { "noteIndex" : 0 }, "schema" : "https://github.com/citation-style-language/schema/raw/master/csl-citation.json" }</w:instrText>
      </w:r>
      <w:r w:rsidR="00792D4F" w:rsidRPr="00A62B4B">
        <w:rPr>
          <w:rFonts w:ascii="Times New Roman" w:hAnsi="Times New Roman" w:cs="Times New Roman"/>
          <w:color w:val="C00000"/>
        </w:rPr>
        <w:fldChar w:fldCharType="separate"/>
      </w:r>
      <w:r w:rsidR="00792D4F" w:rsidRPr="00A62B4B">
        <w:rPr>
          <w:rFonts w:ascii="Times New Roman" w:hAnsi="Times New Roman" w:cs="Times New Roman"/>
          <w:noProof/>
          <w:color w:val="C00000"/>
        </w:rPr>
        <w:t>[17]</w:t>
      </w:r>
      <w:r w:rsidR="00792D4F" w:rsidRPr="00A62B4B">
        <w:rPr>
          <w:rFonts w:ascii="Times New Roman" w:hAnsi="Times New Roman" w:cs="Times New Roman"/>
          <w:color w:val="C00000"/>
        </w:rPr>
        <w:fldChar w:fldCharType="end"/>
      </w:r>
      <w:r w:rsidR="00792D4F" w:rsidRPr="00A62B4B">
        <w:rPr>
          <w:rFonts w:ascii="Times New Roman" w:hAnsi="Times New Roman" w:cs="Times New Roman"/>
          <w:color w:val="C00000"/>
        </w:rPr>
        <w:t xml:space="preserve"> </w:t>
      </w:r>
      <w:r w:rsidR="00792D4F" w:rsidRPr="00A62B4B">
        <w:rPr>
          <w:rFonts w:ascii="Times New Roman" w:hAnsi="Times New Roman" w:cs="Times New Roman"/>
          <w:color w:val="C00000"/>
        </w:rPr>
        <w:lastRenderedPageBreak/>
        <w:t>failed to acknowledge legal and regulatory risks.</w:t>
      </w:r>
      <w:r w:rsidR="00121131" w:rsidRPr="00A62B4B">
        <w:rPr>
          <w:rFonts w:ascii="Times New Roman" w:hAnsi="Times New Roman" w:cs="Times New Roman"/>
          <w:color w:val="C00000"/>
        </w:rPr>
        <w:t xml:space="preserve"> Though El-Sayegh et al. </w:t>
      </w:r>
      <w:r w:rsidR="00121131" w:rsidRPr="00A62B4B">
        <w:rPr>
          <w:rFonts w:ascii="Times New Roman" w:hAnsi="Times New Roman" w:cs="Times New Roman"/>
          <w:color w:val="C00000"/>
        </w:rPr>
        <w:fldChar w:fldCharType="begin" w:fldLock="1"/>
      </w:r>
      <w:r w:rsidR="00121131" w:rsidRPr="00A62B4B">
        <w:rPr>
          <w:rFonts w:ascii="Times New Roman" w:hAnsi="Times New Roman" w:cs="Times New Roman"/>
          <w:color w:val="C00000"/>
        </w:rPr>
        <w:instrText>ADDIN CSL_CITATION { "citationItems" : [ { "id" : "ITEM-1", "itemData" : { "DOI" : "10.1080/15623599.2018.1536963", "ISSN" : "15623599", "abstract" : "There is a big shift towards sustainable construction projects in the United Arab Emirates (UAE). Sustainable construction projects are riskier than traditional projects. The purpose of this paper is to identify and assess the risks in sustainable construction projects in the UAE. This will help project participants to properly manage these risks in their projects. A list of thirty risks was identified based on literature review. These risks were grouped into five categories: management, technical, green team, green materials and regulatory/economic. A survey was then developed and sent to professionals from the UAE. The respondents evaluated each risk in terms of its probability of occurrence and potential impact. Forty-four responses were collected. The thirty risks were ranked based on the risk severity (probability multiplied by impact). The top five risks are shortage of clients\u2019 funding, insufficient or incorrect sustainable design information, design changes, unreasonably tight schedule for sustainable construction and poor scope definition in sustainable construction. Risk identification and assessment are important part of project risk management. This allows for appropriate risk response planning and control.", "author" : [ { "dropping-particle" : "", "family" : "El-Sayegh", "given" : "Sameh M.", "non-dropping-particle" : "", "parse-names" : false, "suffix" : "" }, { "dropping-particle" : "", "family" : "Manjikian", "given" : "Solair", "non-dropping-particle" : "", "parse-names" : false, "suffix" : "" }, { "dropping-particle" : "", "family" : "Ibrahim", "given" : "Ahmed", "non-dropping-particle" : "", "parse-names" : false, "suffix" : "" }, { "dropping-particle" : "", "family" : "Abouelyousr", "given" : "Ahmed", "non-dropping-particle" : "", "parse-names" : false, "suffix" : "" }, { "dropping-particle" : "", "family" : "Jabbour", "given" : "Raed", "non-dropping-particle" : "", "parse-names" : false, "suffix" : "" } ], "container-title" : "International Journal of Construction Management", "id" : "ITEM-1", "issue" : "4", "issued" : { "date-parts" : [ [ "2021" ] ] }, "page" : "327-336", "publisher" : "Taylor &amp; Francis", "title" : "Risk identification and assessment in sustainable construction projects in the UAE", "type" : "article-journal", "volume" : "21" }, "uris" : [ "http://www.mendeley.com/documents/?uuid=233d8ceb-657d-4fd5-99b0-028e6bc56e4e" ] } ], "mendeley" : { "formattedCitation" : "[30]", "plainTextFormattedCitation" : "[30]", "previouslyFormattedCitation" : "[30]" }, "properties" : { "noteIndex" : 0 }, "schema" : "https://github.com/citation-style-language/schema/raw/master/csl-citation.json" }</w:instrText>
      </w:r>
      <w:r w:rsidR="00121131" w:rsidRPr="00A62B4B">
        <w:rPr>
          <w:rFonts w:ascii="Times New Roman" w:hAnsi="Times New Roman" w:cs="Times New Roman"/>
          <w:color w:val="C00000"/>
        </w:rPr>
        <w:fldChar w:fldCharType="separate"/>
      </w:r>
      <w:r w:rsidR="00121131" w:rsidRPr="00A62B4B">
        <w:rPr>
          <w:rFonts w:ascii="Times New Roman" w:hAnsi="Times New Roman" w:cs="Times New Roman"/>
          <w:noProof/>
          <w:color w:val="C00000"/>
        </w:rPr>
        <w:t>[30]</w:t>
      </w:r>
      <w:r w:rsidR="00121131" w:rsidRPr="00A62B4B">
        <w:rPr>
          <w:rFonts w:ascii="Times New Roman" w:hAnsi="Times New Roman" w:cs="Times New Roman"/>
          <w:color w:val="C00000"/>
        </w:rPr>
        <w:fldChar w:fldCharType="end"/>
      </w:r>
      <w:r w:rsidR="00121131" w:rsidRPr="00A62B4B">
        <w:rPr>
          <w:rFonts w:ascii="Times New Roman" w:hAnsi="Times New Roman" w:cs="Times New Roman"/>
          <w:color w:val="C00000"/>
        </w:rPr>
        <w:t xml:space="preserve"> and Qazi et al. </w:t>
      </w:r>
      <w:r w:rsidR="00121131" w:rsidRPr="00A62B4B">
        <w:rPr>
          <w:rFonts w:ascii="Times New Roman" w:hAnsi="Times New Roman" w:cs="Times New Roman"/>
          <w:color w:val="C00000"/>
        </w:rPr>
        <w:fldChar w:fldCharType="begin" w:fldLock="1"/>
      </w:r>
      <w:r w:rsidR="002A7ADE" w:rsidRPr="00A62B4B">
        <w:rPr>
          <w:rFonts w:ascii="Times New Roman" w:hAnsi="Times New Roman" w:cs="Times New Roman"/>
          <w:color w:val="C00000"/>
        </w:rPr>
        <w:instrText>ADDIN CSL_CITATION { "citationItems" : [ { "id" : "ITEM-1", "itemData" : { "DOI" : "10.1016/j.scs.2020.102576", "ISSN" : "22106707", "abstract" : "Sustainability-related risks and risk management frameworks have been introduced in the literature to help project managers identify and manage critical risks influencing project sustainability. Theoretically grounded in the framework of Monte Carlo Simulation, this paper introduces and operationalizes a new process for prioritizing sustainability-related project risks using risk matrix data. Sustainability-related construction project risks have never been assessed relative to different confidence levels across the risk matrix-based exposure zones. The application of the proposed process on construction projects completed in the United Arab Emirates reveals that the conventional risk prioritization scheme undermines the importance of tail risks (unexpected events), whereas such risks are captured in the proposed process. In contrast to the most critical risks identified using the conventional scheme such as shortage of client's funding, insufficient or incorrect sustainable design operation, and design changes, the proposed process prioritizes risks such as poor productivity of labor and equipment in sustainable construction, unreasonable tight schedule for sustainable construction, and poor scope definition of sustainable construction. The proposed process is generalizable to prioritizing risks influencing sustainability in international construction projects and beneficial for enhancing project sustainability as there is a huge uncertainty associated with sustainability-related risks.", "author" : [ { "dropping-particle" : "", "family" : "Qazi", "given" : "Abroon", "non-dropping-particle" : "", "parse-names" : false, "suffix" : "" }, { "dropping-particle" : "", "family" : "Shamayleh", "given" : "Abdulrahim", "non-dropping-particle" : "", "parse-names" : false, "suffix" : "" }, { "dropping-particle" : "", "family" : "El-Sayegh", "given" : "Sameh", "non-dropping-particle" : "", "parse-names" : false, "suffix" : "" }, { "dropping-particle" : "", "family" : "Formaneck", "given" : "Steven", "non-dropping-particle" : "", "parse-names" : false, "suffix" : "" } ], "container-title" : "Sustainable Cities and Society", "id" : "ITEM-1", "issue" : "October 2020", "issued" : { "date-parts" : [ [ "2021" ] ] }, "page" : "102576", "publisher" : "Elsevier Ltd", "title" : "Prioritizing risks in sustainable construction projects using a risk matrix-based Monte Carlo Simulation approach", "type" : "article-journal", "volume" : "65" }, "uris" : [ "http://www.mendeley.com/documents/?uuid=d343b87e-3e9d-492e-94c0-a48649785ed7" ] } ], "mendeley" : { "formattedCitation" : "[14]", "plainTextFormattedCitation" : "[14]", "previouslyFormattedCitation" : "[14]" }, "properties" : { "noteIndex" : 0 }, "schema" : "https://github.com/citation-style-language/schema/raw/master/csl-citation.json" }</w:instrText>
      </w:r>
      <w:r w:rsidR="00121131" w:rsidRPr="00A62B4B">
        <w:rPr>
          <w:rFonts w:ascii="Times New Roman" w:hAnsi="Times New Roman" w:cs="Times New Roman"/>
          <w:color w:val="C00000"/>
        </w:rPr>
        <w:fldChar w:fldCharType="separate"/>
      </w:r>
      <w:r w:rsidR="00121131" w:rsidRPr="00A62B4B">
        <w:rPr>
          <w:rFonts w:ascii="Times New Roman" w:hAnsi="Times New Roman" w:cs="Times New Roman"/>
          <w:noProof/>
          <w:color w:val="C00000"/>
        </w:rPr>
        <w:t>[14]</w:t>
      </w:r>
      <w:r w:rsidR="00121131" w:rsidRPr="00A62B4B">
        <w:rPr>
          <w:rFonts w:ascii="Times New Roman" w:hAnsi="Times New Roman" w:cs="Times New Roman"/>
          <w:color w:val="C00000"/>
        </w:rPr>
        <w:fldChar w:fldCharType="end"/>
      </w:r>
      <w:r w:rsidR="00121131" w:rsidRPr="00A62B4B">
        <w:rPr>
          <w:rFonts w:ascii="Times New Roman" w:hAnsi="Times New Roman" w:cs="Times New Roman"/>
          <w:color w:val="C00000"/>
        </w:rPr>
        <w:t xml:space="preserve"> offer a comprehensive framework, these studies excluded environmental risks in GB projects.</w:t>
      </w:r>
      <w:r w:rsidR="003D6120" w:rsidRPr="00A62B4B">
        <w:rPr>
          <w:rFonts w:ascii="Times New Roman" w:hAnsi="Times New Roman" w:cs="Times New Roman"/>
          <w:color w:val="C00000"/>
        </w:rPr>
        <w:t xml:space="preserve"> While the stakeholder-oriented classifications of GB risks in Zou</w:t>
      </w:r>
      <w:r w:rsidR="002A7ADE" w:rsidRPr="00A62B4B">
        <w:rPr>
          <w:rFonts w:ascii="Times New Roman" w:hAnsi="Times New Roman" w:cs="Times New Roman"/>
          <w:color w:val="C00000"/>
        </w:rPr>
        <w:t xml:space="preserve"> and </w:t>
      </w:r>
      <w:proofErr w:type="spellStart"/>
      <w:r w:rsidR="002A7ADE" w:rsidRPr="00A62B4B">
        <w:rPr>
          <w:rFonts w:ascii="Times New Roman" w:hAnsi="Times New Roman" w:cs="Times New Roman"/>
          <w:color w:val="C00000"/>
        </w:rPr>
        <w:t>C</w:t>
      </w:r>
      <w:r w:rsidR="003D6120" w:rsidRPr="00A62B4B">
        <w:rPr>
          <w:rFonts w:ascii="Times New Roman" w:hAnsi="Times New Roman" w:cs="Times New Roman"/>
          <w:color w:val="C00000"/>
        </w:rPr>
        <w:t>ouani</w:t>
      </w:r>
      <w:proofErr w:type="spellEnd"/>
      <w:r w:rsidR="002A7ADE" w:rsidRPr="00A62B4B">
        <w:rPr>
          <w:rFonts w:ascii="Times New Roman" w:hAnsi="Times New Roman" w:cs="Times New Roman"/>
          <w:color w:val="C00000"/>
        </w:rPr>
        <w:t xml:space="preserve"> </w:t>
      </w:r>
      <w:r w:rsidR="002A7ADE" w:rsidRPr="00A62B4B">
        <w:rPr>
          <w:rFonts w:ascii="Times New Roman" w:hAnsi="Times New Roman" w:cs="Times New Roman"/>
          <w:color w:val="C00000"/>
        </w:rPr>
        <w:fldChar w:fldCharType="begin" w:fldLock="1"/>
      </w:r>
      <w:r w:rsidR="00167423">
        <w:rPr>
          <w:rFonts w:ascii="Times New Roman" w:hAnsi="Times New Roman" w:cs="Times New Roman"/>
          <w:color w:val="C00000"/>
        </w:rPr>
        <w:instrText>ADDIN CSL_CITATION { "citationItems" : [ { "id" : "ITEM-1", "itemData" : { "DOI" : "10.1080/17452007.2012.659507", "ISSN" : "17527589", "abstract" : "The call for green building development provides the construction supply chain with new business opportunities. However, there are significant risks associated with such opportunities. This research aims at understanding the major risks and their distributions in the supply chain and developing strategies to manage these risks. 250 sets of survey questionnaires were set out to selected industry professionals in Australia and 93 sets were returned with 91 sets valid. The results show that the risks in green building development vary and are unequally distributed throughout the supply chain, but there are common risks with \u2018lack of commitment in the supply chain to go green\u2019 and \u2018higher investment costs\u2019 as the most important risks overall. The results also show that considerable improvement could be made to green building performance through research and development, training and education, supply chain co-ordination, knowledge and information sharing, experience accumulation and technology application. The research finding suggests that members in the supply chain: record green-related information in a central database; utilize expertise of green building professionals; clearly communicate green building objectives and responsibilities to all supply chain members; invest in greenbuilding training and education regarding responsibilities, benefits, technology and solutions; and team up with suppliers and manufacturers for developing green-complied products and materials.", "author" : [ { "dropping-particle" : "", "family" : "Zou", "given" : "Patrick X.W.", "non-dropping-particle" : "", "parse-names" : false, "suffix" : "" }, { "dropping-particle" : "", "family" : "Couani", "given" : "Paul", "non-dropping-particle" : "", "parse-names" : false, "suffix" : "" } ], "container-title" : "Architectural Engineering and Design Management", "id" : "ITEM-1", "issue" : "2", "issued" : { "date-parts" : [ [ "2012" ] ] }, "page" : "143-158", "title" : "Managing risks in green building supply chain", "type" : "article-journal", "volume" : "8" }, "uris" : [ "http://www.mendeley.com/documents/?uuid=e69165f8-c38a-4b64-a85d-f8dd1fb12f6a" ] } ], "mendeley" : { "formattedCitation" : "[29]", "plainTextFormattedCitation" : "[29]", "previouslyFormattedCitation" : "[29]" }, "properties" : { "noteIndex" : 0 }, "schema" : "https://github.com/citation-style-language/schema/raw/master/csl-citation.json" }</w:instrText>
      </w:r>
      <w:r w:rsidR="002A7ADE" w:rsidRPr="00A62B4B">
        <w:rPr>
          <w:rFonts w:ascii="Times New Roman" w:hAnsi="Times New Roman" w:cs="Times New Roman"/>
          <w:color w:val="C00000"/>
        </w:rPr>
        <w:fldChar w:fldCharType="separate"/>
      </w:r>
      <w:r w:rsidR="002A7ADE" w:rsidRPr="00A62B4B">
        <w:rPr>
          <w:rFonts w:ascii="Times New Roman" w:hAnsi="Times New Roman" w:cs="Times New Roman"/>
          <w:noProof/>
          <w:color w:val="C00000"/>
        </w:rPr>
        <w:t>[29]</w:t>
      </w:r>
      <w:r w:rsidR="002A7ADE" w:rsidRPr="00A62B4B">
        <w:rPr>
          <w:rFonts w:ascii="Times New Roman" w:hAnsi="Times New Roman" w:cs="Times New Roman"/>
          <w:color w:val="C00000"/>
        </w:rPr>
        <w:fldChar w:fldCharType="end"/>
      </w:r>
      <w:r w:rsidR="002A7ADE" w:rsidRPr="00A62B4B">
        <w:rPr>
          <w:rFonts w:ascii="Times New Roman" w:hAnsi="Times New Roman" w:cs="Times New Roman"/>
          <w:color w:val="C00000"/>
        </w:rPr>
        <w:t xml:space="preserve"> facilitates risk allocation, it discourages integrated risk management in GB projects. Thus, this study offers the most comprehensive dimensions of risks in GB projects.</w:t>
      </w:r>
      <w:r w:rsidR="00A62B4B" w:rsidRPr="00A62B4B">
        <w:rPr>
          <w:rFonts w:ascii="Times New Roman" w:hAnsi="Times New Roman" w:cs="Times New Roman"/>
          <w:color w:val="C00000"/>
        </w:rPr>
        <w:t xml:space="preserve"> The clustering and labels of the risk dimensions can be treated as discrete categories instead of mere conceptual guides because they were informed by existing typologies.</w:t>
      </w:r>
    </w:p>
    <w:p w14:paraId="3F0F3F2B" w14:textId="5B752A04" w:rsidR="003722E9" w:rsidRPr="003F317E" w:rsidRDefault="00A62B4B" w:rsidP="003F317E">
      <w:pPr>
        <w:pStyle w:val="ListParagraph"/>
        <w:spacing w:line="480" w:lineRule="auto"/>
        <w:ind w:left="0"/>
        <w:jc w:val="both"/>
        <w:rPr>
          <w:rFonts w:ascii="Times New Roman" w:hAnsi="Times New Roman" w:cs="Times New Roman"/>
          <w:color w:val="C00000"/>
        </w:rPr>
      </w:pPr>
      <w:r w:rsidRPr="003F317E">
        <w:rPr>
          <w:rFonts w:ascii="Times New Roman" w:hAnsi="Times New Roman" w:cs="Times New Roman"/>
          <w:color w:val="C00000"/>
        </w:rPr>
        <w:t>Moreover, the review exposed the inadequacy of previous attempts to model the interdependencies among the various risks.</w:t>
      </w:r>
      <w:r w:rsidR="00167423" w:rsidRPr="003F317E">
        <w:rPr>
          <w:rFonts w:ascii="Times New Roman" w:hAnsi="Times New Roman" w:cs="Times New Roman"/>
          <w:color w:val="C00000"/>
        </w:rPr>
        <w:t xml:space="preserve"> The structural risk-path model for sustainable housing in </w:t>
      </w:r>
      <w:proofErr w:type="spellStart"/>
      <w:r w:rsidR="00167423" w:rsidRPr="003F317E">
        <w:rPr>
          <w:rFonts w:ascii="Times New Roman" w:hAnsi="Times New Roman" w:cs="Times New Roman"/>
          <w:color w:val="C00000"/>
        </w:rPr>
        <w:t>Adabre</w:t>
      </w:r>
      <w:proofErr w:type="spellEnd"/>
      <w:r w:rsidR="00167423" w:rsidRPr="003F317E">
        <w:rPr>
          <w:rFonts w:ascii="Times New Roman" w:hAnsi="Times New Roman" w:cs="Times New Roman"/>
          <w:color w:val="C00000"/>
        </w:rPr>
        <w:t xml:space="preserve"> et al.</w:t>
      </w:r>
      <w:r w:rsidR="00167423" w:rsidRPr="003F317E">
        <w:rPr>
          <w:rFonts w:ascii="Times New Roman" w:hAnsi="Times New Roman" w:cs="Times New Roman"/>
          <w:color w:val="C00000"/>
        </w:rPr>
        <w:fldChar w:fldCharType="begin" w:fldLock="1"/>
      </w:r>
      <w:r w:rsidR="00373498" w:rsidRPr="003F317E">
        <w:rPr>
          <w:rFonts w:ascii="Times New Roman" w:hAnsi="Times New Roman" w:cs="Times New Roman"/>
          <w:color w:val="C00000"/>
        </w:rPr>
        <w:instrText>ADDIN CSL_CITATION { "citationItems" : [ { "id" : "ITEM-1", "itemData" : { "DOI" : "10.1016/j.jobe.2021.102385", "ISSN" : "23527102", "abstract" : "Ensuring safe, affordable and energy efficient housing facilities to members of the general public by 2030 are prominent objectives delineated within the United Nation's (UN) Sustainable Development Goals (SDGs). However, attaining these goals has been negatively influenced by various risk factors. This study explores linear relationships among clusters of these risk factors and the sustainable development goals in the Ghanaian housing market. Specifically, 21 risk factors, established through a comprehensive literature review, were categorized into four main clusters/constructs, namely: 1) political and procurement risks; 2) financial-related risks; 3) design and construction risks and 4) operation and maintenance risks. A questionnaire survey was conducted with respondents mostly in the formal/regulated/controlled sector of the Ghanaian housing market. Partial least square structural equation modelling (PLS-SEM) on the data revealed causal relationships among constructs of risks that could influence the SDGs. Results revealed that only \u2018political and procurement risks\u2019 have a significant impact (t-value of 2.321) on the SDGs. Besides, this risk category has significant impacts on all the other risk categories with the highest impact (t-value of 4.538) on \u2018design and construction risks\u2019. The study contributes to the scientific literature by providing a novel investigation of the influence of risk constructs on the SDGs in housing. The study's findings may be used to influence research informed local policymakers and supranational organizations who seek to develop interventions/policies for reducing the housing crisis in most cities in Ghana and other sub-Saharan African countries.", "author" : [ { "dropping-particle" : "", "family" : "Adabre", "given" : "Michael Atafo", "non-dropping-particle" : "", "parse-names" : false, "suffix" : "" }, { "dropping-particle" : "", "family" : "Chan", "given" : "Albert P.C.", "non-dropping-particle" : "", "parse-names" : false, "suffix" : "" }, { "dropping-particle" : "", "family" : "Edwards", "given" : "David J.", "non-dropping-particle" : "", "parse-names" : false, "suffix" : "" }, { "dropping-particle" : "", "family" : "Adinyira", "given" : "Emmanuel", "non-dropping-particle" : "", "parse-names" : false, "suffix" : "" } ], "container-title" : "Journal of Building Engineering", "id" : "ITEM-1", "issue" : "March", "issued" : { "date-parts" : [ [ "2021" ] ] }, "page" : "102385", "publisher" : "Elsevier Ltd", "title" : "Assessing critical risk factors (CRFs) to sustainable housing: The perspective of a sub-Saharan African country", "type" : "article-journal", "volume" : "41" }, "uris" : [ "http://www.mendeley.com/documents/?uuid=d994fc39-f939-42c5-816d-2bca2a87b880" ] } ], "mendeley" : { "formattedCitation" : "[32]", "plainTextFormattedCitation" : "[32]", "previouslyFormattedCitation" : "[32]" }, "properties" : { "noteIndex" : 0 }, "schema" : "https://github.com/citation-style-language/schema/raw/master/csl-citation.json" }</w:instrText>
      </w:r>
      <w:r w:rsidR="00167423" w:rsidRPr="003F317E">
        <w:rPr>
          <w:rFonts w:ascii="Times New Roman" w:hAnsi="Times New Roman" w:cs="Times New Roman"/>
          <w:color w:val="C00000"/>
        </w:rPr>
        <w:fldChar w:fldCharType="separate"/>
      </w:r>
      <w:r w:rsidR="00167423" w:rsidRPr="003F317E">
        <w:rPr>
          <w:rFonts w:ascii="Times New Roman" w:hAnsi="Times New Roman" w:cs="Times New Roman"/>
          <w:noProof/>
          <w:color w:val="C00000"/>
        </w:rPr>
        <w:t>[32]</w:t>
      </w:r>
      <w:r w:rsidR="00167423" w:rsidRPr="003F317E">
        <w:rPr>
          <w:rFonts w:ascii="Times New Roman" w:hAnsi="Times New Roman" w:cs="Times New Roman"/>
          <w:color w:val="C00000"/>
        </w:rPr>
        <w:fldChar w:fldCharType="end"/>
      </w:r>
      <w:r w:rsidR="00167423" w:rsidRPr="003F317E">
        <w:rPr>
          <w:rFonts w:ascii="Times New Roman" w:hAnsi="Times New Roman" w:cs="Times New Roman"/>
          <w:color w:val="C00000"/>
        </w:rPr>
        <w:t xml:space="preserve"> attempted to explore the causal relationships of design, construction, financial, procurement, political, operational, and maintenance risks in sustainable housing. While relevant, </w:t>
      </w:r>
      <w:r w:rsidR="00BC6D5E" w:rsidRPr="003F317E">
        <w:rPr>
          <w:rFonts w:ascii="Times New Roman" w:hAnsi="Times New Roman" w:cs="Times New Roman"/>
          <w:color w:val="C00000"/>
        </w:rPr>
        <w:t xml:space="preserve">the model was based on a small sample size and also </w:t>
      </w:r>
      <w:r w:rsidR="00167423" w:rsidRPr="003F317E">
        <w:rPr>
          <w:rFonts w:ascii="Times New Roman" w:hAnsi="Times New Roman" w:cs="Times New Roman"/>
          <w:color w:val="C00000"/>
        </w:rPr>
        <w:t>failed to consider the hierarchical structure</w:t>
      </w:r>
      <w:r w:rsidR="00BC6D5E" w:rsidRPr="003F317E">
        <w:rPr>
          <w:rFonts w:ascii="Times New Roman" w:hAnsi="Times New Roman" w:cs="Times New Roman"/>
          <w:color w:val="C00000"/>
        </w:rPr>
        <w:t xml:space="preserve"> of risks in GB projects.</w:t>
      </w:r>
      <w:r w:rsidR="00373498" w:rsidRPr="003F317E">
        <w:rPr>
          <w:rFonts w:ascii="Times New Roman" w:hAnsi="Times New Roman" w:cs="Times New Roman"/>
          <w:color w:val="C00000"/>
        </w:rPr>
        <w:t xml:space="preserve"> </w:t>
      </w:r>
      <w:r w:rsidR="003F317E" w:rsidRPr="003F317E">
        <w:rPr>
          <w:rFonts w:ascii="Times New Roman" w:hAnsi="Times New Roman" w:cs="Times New Roman"/>
          <w:color w:val="C00000"/>
        </w:rPr>
        <w:t xml:space="preserve">The interpretive structural model of risks in GB projects in </w:t>
      </w:r>
      <w:r w:rsidR="003F317E" w:rsidRPr="003F317E">
        <w:rPr>
          <w:rFonts w:ascii="Times New Roman" w:hAnsi="Times New Roman" w:cs="Times New Roman"/>
          <w:color w:val="C00000"/>
        </w:rPr>
        <w:fldChar w:fldCharType="begin" w:fldLock="1"/>
      </w:r>
      <w:r w:rsidR="003F317E" w:rsidRPr="003F317E">
        <w:rPr>
          <w:rFonts w:ascii="Times New Roman" w:hAnsi="Times New Roman" w:cs="Times New Roman"/>
          <w:color w:val="C00000"/>
        </w:rPr>
        <w:instrText>ADDIN CSL_CITATION { "citationItems" : [ { "id" : "ITEM-1", "itemData" : { "DOI" : "10.1016/j.jclepro.2020.120372", "ISSN" : "09596526", "abstract" : "Green building (GB) projects have attracted wide attention in the construction industry in recent years owing to numerous benefits of green practices for sustainable development. However, existing research efforts on GB project risk management are very limited, and no prior in-depth research has focused on studying the risk interdependencies in GB projects from the perspectives of both the project life cycle and multiple project risks. This paper begins by identifying and distinguishing GB project constraints from multiple GB project risks using a systematic literature review and then investigates, based on the Interpretive Structural Modeling (ISM) method, the risk interdependencies taking into account the identified 16 constraint factors, 22 risk factors and 11 objectives throughout a GB project life cycle. The importance of constraints and risk factors associated with GB project objectives was calculated based on the influence transmission through network paths in the established ISM-based model. In addition, the Matrice d'Impacts Crois\u00e9s Multiplication Appliqu\u00e9e \u00e1 un Classement (MICMAC) approach was used to analyze the drive and dependence powers of risk interdependency elements. Critical constraints and risk factors in the implementation of GB projects can be obtained from the proposed risk analysis model, which contributes to an in-depth risk perception of GB projects for industry practitioners and facilitates GB project risk management in a more effective way.", "author" : [ { "dropping-particle" : "", "family" : "Guan", "given" : "Li", "non-dropping-particle" : "", "parse-names" : false, "suffix" : "" }, { "dropping-particle" : "", "family" : "Abbasi", "given" : "Alireza", "non-dropping-particle" : "", "parse-names" : false, "suffix" : "" }, { "dropping-particle" : "", "family" : "Ryan", "given" : "Michael J.", "non-dropping-particle" : "", "parse-names" : false, "suffix" : "" } ], "container-title" : "Journal of Cleaner Production", "id" : "ITEM-1", "issued" : { "date-parts" : [ [ "2020" ] ] }, "page" : "120372", "publisher" : "Elsevier Ltd", "title" : "Analyzing green building project risk interdependencies using Interpretive Structural Modeling", "type" : "article-journal", "volume" : "256" }, "uris" : [ "http://www.mendeley.com/documents/?uuid=3854a353-7b8f-45e1-9792-e38e70e1c73c" ] } ], "mendeley" : { "formattedCitation" : "[19]", "plainTextFormattedCitation" : "[19]" }, "properties" : { "noteIndex" : 0 }, "schema" : "https://github.com/citation-style-language/schema/raw/master/csl-citation.json" }</w:instrText>
      </w:r>
      <w:r w:rsidR="003F317E" w:rsidRPr="003F317E">
        <w:rPr>
          <w:rFonts w:ascii="Times New Roman" w:hAnsi="Times New Roman" w:cs="Times New Roman"/>
          <w:color w:val="C00000"/>
        </w:rPr>
        <w:fldChar w:fldCharType="separate"/>
      </w:r>
      <w:r w:rsidR="003F317E" w:rsidRPr="003F317E">
        <w:rPr>
          <w:rFonts w:ascii="Times New Roman" w:hAnsi="Times New Roman" w:cs="Times New Roman"/>
          <w:noProof/>
          <w:color w:val="C00000"/>
        </w:rPr>
        <w:t>[19]</w:t>
      </w:r>
      <w:r w:rsidR="003F317E" w:rsidRPr="003F317E">
        <w:rPr>
          <w:rFonts w:ascii="Times New Roman" w:hAnsi="Times New Roman" w:cs="Times New Roman"/>
          <w:color w:val="C00000"/>
        </w:rPr>
        <w:fldChar w:fldCharType="end"/>
      </w:r>
      <w:r w:rsidR="003F317E" w:rsidRPr="003F317E">
        <w:rPr>
          <w:rFonts w:ascii="Times New Roman" w:hAnsi="Times New Roman" w:cs="Times New Roman"/>
          <w:color w:val="C00000"/>
        </w:rPr>
        <w:t xml:space="preserve"> addressed hierarchical limitations of the structural model of </w:t>
      </w:r>
      <w:proofErr w:type="spellStart"/>
      <w:r w:rsidR="003F317E" w:rsidRPr="003F317E">
        <w:rPr>
          <w:rFonts w:ascii="Times New Roman" w:hAnsi="Times New Roman" w:cs="Times New Roman"/>
          <w:color w:val="C00000"/>
        </w:rPr>
        <w:t>Adabre</w:t>
      </w:r>
      <w:proofErr w:type="spellEnd"/>
      <w:r w:rsidR="003F317E" w:rsidRPr="003F317E">
        <w:rPr>
          <w:rFonts w:ascii="Times New Roman" w:hAnsi="Times New Roman" w:cs="Times New Roman"/>
          <w:color w:val="C00000"/>
        </w:rPr>
        <w:t xml:space="preserve"> et al.</w:t>
      </w:r>
      <w:r w:rsidR="003F317E" w:rsidRPr="003F317E">
        <w:rPr>
          <w:rFonts w:ascii="Times New Roman" w:hAnsi="Times New Roman" w:cs="Times New Roman"/>
          <w:color w:val="C00000"/>
        </w:rPr>
        <w:fldChar w:fldCharType="begin" w:fldLock="1"/>
      </w:r>
      <w:r w:rsidR="003F317E" w:rsidRPr="003F317E">
        <w:rPr>
          <w:rFonts w:ascii="Times New Roman" w:hAnsi="Times New Roman" w:cs="Times New Roman"/>
          <w:color w:val="C00000"/>
        </w:rPr>
        <w:instrText>ADDIN CSL_CITATION { "citationItems" : [ { "id" : "ITEM-1", "itemData" : { "DOI" : "10.1016/j.jobe.2021.102385", "ISSN" : "23527102", "abstract" : "Ensuring safe, affordable and energy efficient housing facilities to members of the general public by 2030 are prominent objectives delineated within the United Nation's (UN) Sustainable Development Goals (SDGs). However, attaining these goals has been negatively influenced by various risk factors. This study explores linear relationships among clusters of these risk factors and the sustainable development goals in the Ghanaian housing market. Specifically, 21 risk factors, established through a comprehensive literature review, were categorized into four main clusters/constructs, namely: 1) political and procurement risks; 2) financial-related risks; 3) design and construction risks and 4) operation and maintenance risks. A questionnaire survey was conducted with respondents mostly in the formal/regulated/controlled sector of the Ghanaian housing market. Partial least square structural equation modelling (PLS-SEM) on the data revealed causal relationships among constructs of risks that could influence the SDGs. Results revealed that only \u2018political and procurement risks\u2019 have a significant impact (t-value of 2.321) on the SDGs. Besides, this risk category has significant impacts on all the other risk categories with the highest impact (t-value of 4.538) on \u2018design and construction risks\u2019. The study contributes to the scientific literature by providing a novel investigation of the influence of risk constructs on the SDGs in housing. The study's findings may be used to influence research informed local policymakers and supranational organizations who seek to develop interventions/policies for reducing the housing crisis in most cities in Ghana and other sub-Saharan African countries.", "author" : [ { "dropping-particle" : "", "family" : "Adabre", "given" : "Michael Atafo", "non-dropping-particle" : "", "parse-names" : false, "suffix" : "" }, { "dropping-particle" : "", "family" : "Chan", "given" : "Albert P.C.", "non-dropping-particle" : "", "parse-names" : false, "suffix" : "" }, { "dropping-particle" : "", "family" : "Edwards", "given" : "David J.", "non-dropping-particle" : "", "parse-names" : false, "suffix" : "" }, { "dropping-particle" : "", "family" : "Adinyira", "given" : "Emmanuel", "non-dropping-particle" : "", "parse-names" : false, "suffix" : "" } ], "container-title" : "Journal of Building Engineering", "id" : "ITEM-1", "issue" : "March", "issued" : { "date-parts" : [ [ "2021" ] ] }, "page" : "102385", "publisher" : "Elsevier Ltd", "title" : "Assessing critical risk factors (CRFs) to sustainable housing: The perspective of a sub-Saharan African country", "type" : "article-journal", "volume" : "41" }, "uris" : [ "http://www.mendeley.com/documents/?uuid=d994fc39-f939-42c5-816d-2bca2a87b880" ] } ], "mendeley" : { "formattedCitation" : "[32]", "plainTextFormattedCitation" : "[32]", "previouslyFormattedCitation" : "[32]" }, "properties" : { "noteIndex" : 0 }, "schema" : "https://github.com/citation-style-language/schema/raw/master/csl-citation.json" }</w:instrText>
      </w:r>
      <w:r w:rsidR="003F317E" w:rsidRPr="003F317E">
        <w:rPr>
          <w:rFonts w:ascii="Times New Roman" w:hAnsi="Times New Roman" w:cs="Times New Roman"/>
          <w:color w:val="C00000"/>
        </w:rPr>
        <w:fldChar w:fldCharType="separate"/>
      </w:r>
      <w:r w:rsidR="003F317E" w:rsidRPr="003F317E">
        <w:rPr>
          <w:rFonts w:ascii="Times New Roman" w:hAnsi="Times New Roman" w:cs="Times New Roman"/>
          <w:noProof/>
          <w:color w:val="C00000"/>
        </w:rPr>
        <w:t>[32]</w:t>
      </w:r>
      <w:r w:rsidR="003F317E" w:rsidRPr="003F317E">
        <w:rPr>
          <w:rFonts w:ascii="Times New Roman" w:hAnsi="Times New Roman" w:cs="Times New Roman"/>
          <w:color w:val="C00000"/>
        </w:rPr>
        <w:fldChar w:fldCharType="end"/>
      </w:r>
      <w:r w:rsidR="003F317E" w:rsidRPr="003F317E">
        <w:rPr>
          <w:rFonts w:ascii="Times New Roman" w:hAnsi="Times New Roman" w:cs="Times New Roman"/>
          <w:color w:val="C00000"/>
        </w:rPr>
        <w:t xml:space="preserve">, but considered fewer unit risks and failed to theorize the relationships at the construct level. </w:t>
      </w:r>
      <w:r w:rsidR="00373498" w:rsidRPr="003F317E">
        <w:rPr>
          <w:rFonts w:ascii="Times New Roman" w:hAnsi="Times New Roman" w:cs="Times New Roman"/>
          <w:color w:val="C00000"/>
        </w:rPr>
        <w:t xml:space="preserve">The social network model of stakeholder risks in GB projects in Yang et al. </w:t>
      </w:r>
      <w:r w:rsidR="00373498" w:rsidRPr="003F317E">
        <w:rPr>
          <w:rFonts w:ascii="Times New Roman" w:hAnsi="Times New Roman" w:cs="Times New Roman"/>
          <w:color w:val="C00000"/>
        </w:rPr>
        <w:fldChar w:fldCharType="begin" w:fldLock="1"/>
      </w:r>
      <w:r w:rsidR="00373498" w:rsidRPr="003F317E">
        <w:rPr>
          <w:rFonts w:ascii="Times New Roman" w:hAnsi="Times New Roman" w:cs="Times New Roman"/>
          <w:color w:val="C00000"/>
        </w:rPr>
        <w:instrText>ADDIN CSL_CITATION { "citationItems" : [ { "id" : "ITEM-1", "itemData" : { "DOI" : "10.1016/j.buildenv.2013.12.014", "ISSN" : "03601323", "abstract" : "Previous research on risks in complex green building projects has been mainly focused on what the risks are and how they may impact on project objectives. Such studies have tended toward an inward looking perspective that treats risks in isolation from one another. In reality, most risks are interrelated and associated with internal or external project stakeholders. To address this research gap, this current research developed a Social Network Analysis (SNA) based stakeholder-associated risk analysis method to assess and analyse the risks and their interactions in complex green building projects. A case study was conducted to highlight the green-specific risks and their profiles, together with the proposed mitigation actions. The research results presented in this paper may broaden researchers and construction professionals' awareness of influential risks in green building projects and enhance their ability to perceive, understand, assess, and mitigate the risks in an effective and efficient way; thereby achieving higher performance in strategic risk management and stakeholder communication in green building project management. \u00a9 2014 Elsevier Ltd.", "author" : [ { "dropping-particle" : "", "family" : "Yang", "given" : "Rebecca J.", "non-dropping-particle" : "", "parse-names" : false, "suffix" : "" }, { "dropping-particle" : "", "family" : "Zou", "given" : "Patrick X.W.", "non-dropping-particle" : "", "parse-names" : false, "suffix" : "" } ], "container-title" : "Building and Environment", "id" : "ITEM-1", "issued" : { "date-parts" : [ [ "2014" ] ] }, "page" : "208-222", "publisher" : "Elsevier Ltd", "title" : "Stakeholder-associated risks and their interactions in complex green building projects: A social network model", "type" : "article-journal", "volume" : "73" }, "uris" : [ "http://www.mendeley.com/documents/?uuid=2a467501-9a6d-4028-977b-4bd633842700" ] } ], "mendeley" : { "formattedCitation" : "[75]", "plainTextFormattedCitation" : "[75]", "previouslyFormattedCitation" : "[75]" }, "properties" : { "noteIndex" : 0 }, "schema" : "https://github.com/citation-style-language/schema/raw/master/csl-citation.json" }</w:instrText>
      </w:r>
      <w:r w:rsidR="00373498" w:rsidRPr="003F317E">
        <w:rPr>
          <w:rFonts w:ascii="Times New Roman" w:hAnsi="Times New Roman" w:cs="Times New Roman"/>
          <w:color w:val="C00000"/>
        </w:rPr>
        <w:fldChar w:fldCharType="separate"/>
      </w:r>
      <w:r w:rsidR="00373498" w:rsidRPr="003F317E">
        <w:rPr>
          <w:rFonts w:ascii="Times New Roman" w:hAnsi="Times New Roman" w:cs="Times New Roman"/>
          <w:noProof/>
          <w:color w:val="C00000"/>
        </w:rPr>
        <w:t>[75]</w:t>
      </w:r>
      <w:r w:rsidR="00373498" w:rsidRPr="003F317E">
        <w:rPr>
          <w:rFonts w:ascii="Times New Roman" w:hAnsi="Times New Roman" w:cs="Times New Roman"/>
          <w:color w:val="C00000"/>
        </w:rPr>
        <w:fldChar w:fldCharType="end"/>
      </w:r>
      <w:r w:rsidR="00373498" w:rsidRPr="003F317E">
        <w:rPr>
          <w:rFonts w:ascii="Times New Roman" w:hAnsi="Times New Roman" w:cs="Times New Roman"/>
          <w:color w:val="C00000"/>
        </w:rPr>
        <w:t xml:space="preserve"> and Yang et al. </w:t>
      </w:r>
      <w:r w:rsidR="00373498" w:rsidRPr="003F317E">
        <w:rPr>
          <w:rFonts w:ascii="Times New Roman" w:hAnsi="Times New Roman" w:cs="Times New Roman"/>
          <w:color w:val="C00000"/>
        </w:rPr>
        <w:fldChar w:fldCharType="begin" w:fldLock="1"/>
      </w:r>
      <w:r w:rsidR="003F317E" w:rsidRPr="003F317E">
        <w:rPr>
          <w:rFonts w:ascii="Times New Roman" w:hAnsi="Times New Roman" w:cs="Times New Roman"/>
          <w:color w:val="C00000"/>
        </w:rPr>
        <w:instrText>ADDIN CSL_CITATION { "citationItems" : [ { "id" : "ITEM-1", "itemData" : { "DOI" : "10.1016/j.ijproman.2015.09.010", "ISSN" : "02637863", "abstract" : "This research aims to model the interactive networks of the risks associated with different stakeholders in green building projects and to gain an understanding of the key risk networks. Case studies of green star accredited office building projects were undertaken in China and Australia. Case data were collected through focused group workshops, face-to-face interviews and desktop studies, and analysed by using social network analysis methods. The results show that while reputation risk is important in both countries, the ethical risk of 'assessment experience and fairness' has been highlighted as crucial in the Chinese context. The results further show that government plays an important role in improving the societies' knowledge and awareness on green technology uptake in China. The social network analysis method in this research improves the effectiveness and accuracy of stakeholder and risk analysis by demystifying the social complexity which is usually overlooked in traditional linear risk impact analysis.", "author" : [ { "dropping-particle" : "", "family" : "Yang", "given" : "Rebecca J.", "non-dropping-particle" : "", "parse-names" : false, "suffix" : "" }, { "dropping-particle" : "", "family" : "Zou", "given" : "Patrick X.W.", "non-dropping-particle" : "", "parse-names" : false, "suffix" : "" }, { "dropping-particle" : "", "family" : "Wang", "given" : "Jiayuan", "non-dropping-particle" : "", "parse-names" : false, "suffix" : "" } ], "container-title" : "International Journal of Project Management", "id" : "ITEM-1", "issue" : "1", "issued" : { "date-parts" : [ [ "2016" ] ] }, "page" : "66-81", "publisher" : "Elsevier Ltd and Association for Project Management and the International Project Management Association", "title" : "Modelling stakeholder-associated risk networks in green building projects", "type" : "article-journal", "volume" : "34" }, "uris" : [ "http://www.mendeley.com/documents/?uuid=e4394327-f90b-449f-80db-aa0e37071fda" ] } ], "mendeley" : { "formattedCitation" : "[89]", "plainTextFormattedCitation" : "[89]", "previouslyFormattedCitation" : "[89]" }, "properties" : { "noteIndex" : 0 }, "schema" : "https://github.com/citation-style-language/schema/raw/master/csl-citation.json" }</w:instrText>
      </w:r>
      <w:r w:rsidR="00373498" w:rsidRPr="003F317E">
        <w:rPr>
          <w:rFonts w:ascii="Times New Roman" w:hAnsi="Times New Roman" w:cs="Times New Roman"/>
          <w:color w:val="C00000"/>
        </w:rPr>
        <w:fldChar w:fldCharType="separate"/>
      </w:r>
      <w:r w:rsidR="00373498" w:rsidRPr="003F317E">
        <w:rPr>
          <w:rFonts w:ascii="Times New Roman" w:hAnsi="Times New Roman" w:cs="Times New Roman"/>
          <w:noProof/>
          <w:color w:val="C00000"/>
        </w:rPr>
        <w:t>[89]</w:t>
      </w:r>
      <w:r w:rsidR="00373498" w:rsidRPr="003F317E">
        <w:rPr>
          <w:rFonts w:ascii="Times New Roman" w:hAnsi="Times New Roman" w:cs="Times New Roman"/>
          <w:color w:val="C00000"/>
        </w:rPr>
        <w:fldChar w:fldCharType="end"/>
      </w:r>
      <w:r w:rsidR="00373498" w:rsidRPr="003F317E">
        <w:rPr>
          <w:rFonts w:ascii="Times New Roman" w:hAnsi="Times New Roman" w:cs="Times New Roman"/>
          <w:color w:val="C00000"/>
        </w:rPr>
        <w:t xml:space="preserve"> failed to capture the multidimensional risks in GB projects.</w:t>
      </w:r>
      <w:r w:rsidR="003F317E" w:rsidRPr="003F317E">
        <w:rPr>
          <w:rFonts w:ascii="Times New Roman" w:hAnsi="Times New Roman" w:cs="Times New Roman"/>
          <w:color w:val="C00000"/>
        </w:rPr>
        <w:t xml:space="preserve"> The theoretical model developed in this study addressed the documented limitations of the existing studies. </w:t>
      </w:r>
      <w:r w:rsidR="003722E9" w:rsidRPr="003F317E">
        <w:rPr>
          <w:rFonts w:ascii="Times New Roman" w:hAnsi="Times New Roman" w:cs="Times New Roman"/>
          <w:color w:val="C00000"/>
        </w:rPr>
        <w:t xml:space="preserve">The theoretical model explaining the path dependencies, chain reactions, and hierarchical structure of the various risks in GB projects offers important theoretical, managerial, and policy implications. </w:t>
      </w:r>
    </w:p>
    <w:p w14:paraId="3891BE1D" w14:textId="431BB0D1" w:rsidR="00050A24" w:rsidRPr="0071169D" w:rsidRDefault="00B70D9A" w:rsidP="00B70D9A">
      <w:pPr>
        <w:spacing w:line="480" w:lineRule="auto"/>
        <w:jc w:val="both"/>
        <w:rPr>
          <w:rFonts w:ascii="Times New Roman" w:hAnsi="Times New Roman" w:cs="Times New Roman"/>
          <w:color w:val="0070C0"/>
        </w:rPr>
      </w:pPr>
      <w:r w:rsidRPr="0071169D">
        <w:rPr>
          <w:rFonts w:ascii="Times New Roman" w:hAnsi="Times New Roman" w:cs="Times New Roman"/>
          <w:color w:val="0070C0"/>
        </w:rPr>
        <w:t xml:space="preserve">Theoretically, the study identified, harmonized, and consolidated the CRFs for GB projects. Thus, it contributes to the theoretical checklist of risk factors associated with green and sustainable construction projects. The study further developed and documented the chain reactions and push effects among the discrete taxonomies of the CRFs for GB projects. The </w:t>
      </w:r>
      <w:r w:rsidRPr="0071169D">
        <w:rPr>
          <w:rFonts w:ascii="Times New Roman" w:hAnsi="Times New Roman" w:cs="Times New Roman"/>
          <w:color w:val="0070C0"/>
        </w:rPr>
        <w:lastRenderedPageBreak/>
        <w:t xml:space="preserve">developed theoretical model captures the “what”, “how”, and “why” aspects of theory building in terms of highlighting the interactions and influence among the various risks in GB projects. The hierarchical structure embodied in the theoretical model </w:t>
      </w:r>
      <w:r w:rsidR="00050A24" w:rsidRPr="0071169D">
        <w:rPr>
          <w:rFonts w:ascii="Times New Roman" w:hAnsi="Times New Roman" w:cs="Times New Roman"/>
          <w:color w:val="0070C0"/>
        </w:rPr>
        <w:t xml:space="preserve">established </w:t>
      </w:r>
      <w:r w:rsidRPr="0071169D">
        <w:rPr>
          <w:rFonts w:ascii="Times New Roman" w:hAnsi="Times New Roman" w:cs="Times New Roman"/>
          <w:color w:val="0070C0"/>
        </w:rPr>
        <w:t xml:space="preserve">the leading and lagging relationships between different </w:t>
      </w:r>
      <w:r w:rsidR="00050A24" w:rsidRPr="0071169D">
        <w:rPr>
          <w:rFonts w:ascii="Times New Roman" w:hAnsi="Times New Roman" w:cs="Times New Roman"/>
          <w:color w:val="0070C0"/>
        </w:rPr>
        <w:t>constructs of risks in GB projects and provide</w:t>
      </w:r>
      <w:r w:rsidRPr="0071169D">
        <w:rPr>
          <w:rFonts w:ascii="Times New Roman" w:hAnsi="Times New Roman" w:cs="Times New Roman"/>
          <w:color w:val="0070C0"/>
        </w:rPr>
        <w:t>s</w:t>
      </w:r>
      <w:r w:rsidR="00050A24" w:rsidRPr="0071169D">
        <w:rPr>
          <w:rFonts w:ascii="Times New Roman" w:hAnsi="Times New Roman" w:cs="Times New Roman"/>
          <w:color w:val="0070C0"/>
        </w:rPr>
        <w:t xml:space="preserve"> a deeper theoretical understanding of the various risks. </w:t>
      </w:r>
    </w:p>
    <w:p w14:paraId="66FF7EF0" w14:textId="77777777" w:rsidR="004B2B18" w:rsidRPr="0071169D" w:rsidRDefault="00B70D9A" w:rsidP="004B2B18">
      <w:pPr>
        <w:spacing w:line="480" w:lineRule="auto"/>
        <w:jc w:val="both"/>
        <w:rPr>
          <w:rFonts w:ascii="Times New Roman" w:hAnsi="Times New Roman" w:cs="Times New Roman"/>
          <w:color w:val="ED7D31" w:themeColor="accent2"/>
        </w:rPr>
      </w:pPr>
      <w:r w:rsidRPr="0071169D">
        <w:rPr>
          <w:rFonts w:ascii="Times New Roman" w:hAnsi="Times New Roman" w:cs="Times New Roman"/>
          <w:color w:val="ED7D31" w:themeColor="accent2"/>
        </w:rPr>
        <w:t xml:space="preserve">For project managers, the study established a more relevant checklists for a risk register in GB projects. The prioritized and vital CRFs can inform project managers of resource allocation for risk management in GB projects. </w:t>
      </w:r>
      <w:r w:rsidR="00050A24" w:rsidRPr="0071169D">
        <w:rPr>
          <w:rFonts w:ascii="Times New Roman" w:hAnsi="Times New Roman" w:cs="Times New Roman"/>
          <w:color w:val="ED7D31" w:themeColor="accent2"/>
        </w:rPr>
        <w:t xml:space="preserve">The practical relevance of the hierarchical model for developing targeted risk management strategies cannot be overemphasized. </w:t>
      </w:r>
      <w:r w:rsidR="002E6A18" w:rsidRPr="0071169D">
        <w:rPr>
          <w:rFonts w:ascii="Times New Roman" w:hAnsi="Times New Roman" w:cs="Times New Roman"/>
          <w:color w:val="ED7D31" w:themeColor="accent2"/>
        </w:rPr>
        <w:t>Specifically, t</w:t>
      </w:r>
      <w:r w:rsidR="00050A24" w:rsidRPr="0071169D">
        <w:rPr>
          <w:rFonts w:ascii="Times New Roman" w:hAnsi="Times New Roman" w:cs="Times New Roman"/>
          <w:color w:val="ED7D31" w:themeColor="accent2"/>
        </w:rPr>
        <w:t>he model informs project managers that environmental, technical, regulatory, legal, stakeholder, management, and design risks have the greatest negative push effects on performance of GB projects.</w:t>
      </w:r>
      <w:r w:rsidR="002E6A18" w:rsidRPr="0071169D">
        <w:rPr>
          <w:rFonts w:ascii="Times New Roman" w:hAnsi="Times New Roman" w:cs="Times New Roman"/>
          <w:color w:val="ED7D31" w:themeColor="accent2"/>
        </w:rPr>
        <w:t xml:space="preserve"> For instance, design risks can propagate throughout the delivery chain and compromise the success of subsequent lifecycle stages of GB projects. For example, a poor design can hatch expensive reworks, dysfunctional defects, and inefficiencies in the construction phase. Decisions and specifications at the design stage have the greatest influence on the lifecycle impacts of construction materials and products in GB projects.</w:t>
      </w:r>
      <w:r w:rsidR="004B2B18" w:rsidRPr="0071169D">
        <w:rPr>
          <w:rFonts w:ascii="Times New Roman" w:hAnsi="Times New Roman" w:cs="Times New Roman"/>
          <w:color w:val="ED7D31" w:themeColor="accent2"/>
        </w:rPr>
        <w:t xml:space="preserve"> </w:t>
      </w:r>
    </w:p>
    <w:p w14:paraId="31516399" w14:textId="6F6DEBE4" w:rsidR="004B2B18" w:rsidRPr="001912F1" w:rsidRDefault="004B2B18" w:rsidP="004B2B18">
      <w:pPr>
        <w:spacing w:line="480" w:lineRule="auto"/>
        <w:jc w:val="both"/>
        <w:rPr>
          <w:rFonts w:ascii="Times New Roman" w:hAnsi="Times New Roman" w:cs="Times New Roman"/>
        </w:rPr>
      </w:pPr>
      <w:r w:rsidRPr="001912F1">
        <w:rPr>
          <w:rFonts w:ascii="Times New Roman" w:hAnsi="Times New Roman" w:cs="Times New Roman"/>
        </w:rPr>
        <w:t>It is evident that vital CRFs can be allocated across various lifecycle stages of GB projects. Thus, more effective management of risks would be possible if the risks are managed from the perspective of a project lifecycle. Hence, identifying the possible occurrence of risks in each stage and making appropriate arrangements to cope with various significant risks are recommended. Noticeably, many identified risks may occur in more than one phase and hence they need to be considered at multiple phases.</w:t>
      </w:r>
    </w:p>
    <w:p w14:paraId="75B15347" w14:textId="11A2B97C" w:rsidR="00B70D9A" w:rsidRPr="001912F1" w:rsidRDefault="00B70D9A" w:rsidP="00B70D9A">
      <w:pPr>
        <w:spacing w:line="480" w:lineRule="auto"/>
        <w:jc w:val="both"/>
        <w:rPr>
          <w:rFonts w:ascii="Times New Roman" w:hAnsi="Times New Roman" w:cs="Times New Roman"/>
        </w:rPr>
      </w:pPr>
      <w:r w:rsidRPr="001912F1">
        <w:rPr>
          <w:rFonts w:ascii="Times New Roman" w:hAnsi="Times New Roman" w:cs="Times New Roman"/>
        </w:rPr>
        <w:t xml:space="preserve">For policy implications, the findings established </w:t>
      </w:r>
      <w:r w:rsidR="004B2B18" w:rsidRPr="001912F1">
        <w:rPr>
          <w:rFonts w:ascii="Times New Roman" w:hAnsi="Times New Roman" w:cs="Times New Roman"/>
        </w:rPr>
        <w:t xml:space="preserve">consolidated the </w:t>
      </w:r>
      <w:r w:rsidRPr="001912F1">
        <w:rPr>
          <w:rFonts w:ascii="Times New Roman" w:hAnsi="Times New Roman" w:cs="Times New Roman"/>
        </w:rPr>
        <w:t>regulatory risks in GB projects. It demonstrates the roles of the government, building authorities, and regulation-</w:t>
      </w:r>
      <w:r w:rsidRPr="001912F1">
        <w:rPr>
          <w:rFonts w:ascii="Times New Roman" w:hAnsi="Times New Roman" w:cs="Times New Roman"/>
        </w:rPr>
        <w:lastRenderedPageBreak/>
        <w:t>making departments in mitigating the risks of GB projects. The study showed that government support and simplified approval procedures can minimize the regulatory risks of GB projects.</w:t>
      </w:r>
    </w:p>
    <w:p w14:paraId="7D31FD61" w14:textId="1847AF95" w:rsidR="00A40440" w:rsidRPr="001912F1" w:rsidRDefault="00A315D8" w:rsidP="00A40440">
      <w:pPr>
        <w:spacing w:line="480" w:lineRule="auto"/>
        <w:jc w:val="both"/>
        <w:rPr>
          <w:rFonts w:ascii="Times New Roman" w:hAnsi="Times New Roman" w:cs="Times New Roman"/>
        </w:rPr>
      </w:pPr>
      <w:r w:rsidRPr="001912F1">
        <w:rPr>
          <w:rFonts w:ascii="Times New Roman" w:hAnsi="Times New Roman" w:cs="Times New Roman"/>
        </w:rPr>
        <w:t xml:space="preserve"> </w:t>
      </w:r>
    </w:p>
    <w:p w14:paraId="56B38F8A" w14:textId="418B142C" w:rsidR="00543C2C" w:rsidRPr="001912F1" w:rsidRDefault="00543C2C" w:rsidP="009D63F9">
      <w:pPr>
        <w:spacing w:line="480" w:lineRule="auto"/>
        <w:rPr>
          <w:rFonts w:ascii="Times New Roman" w:hAnsi="Times New Roman" w:cs="Times New Roman"/>
          <w:b/>
          <w:bCs/>
        </w:rPr>
      </w:pPr>
      <w:r w:rsidRPr="001912F1">
        <w:rPr>
          <w:rFonts w:ascii="Times New Roman" w:hAnsi="Times New Roman" w:cs="Times New Roman"/>
          <w:b/>
          <w:bCs/>
        </w:rPr>
        <w:t>Conclusion</w:t>
      </w:r>
    </w:p>
    <w:p w14:paraId="6FF2A771" w14:textId="77777777" w:rsidR="006E39A2" w:rsidRPr="001912F1" w:rsidRDefault="00275A61" w:rsidP="006E39A2">
      <w:pPr>
        <w:autoSpaceDE w:val="0"/>
        <w:autoSpaceDN w:val="0"/>
        <w:adjustRightInd w:val="0"/>
        <w:spacing w:line="480" w:lineRule="auto"/>
        <w:jc w:val="both"/>
        <w:rPr>
          <w:rFonts w:ascii="Times New Roman" w:hAnsi="Times New Roman" w:cs="Times New Roman"/>
        </w:rPr>
      </w:pPr>
      <w:r w:rsidRPr="001912F1">
        <w:rPr>
          <w:rFonts w:ascii="Times New Roman" w:hAnsi="Times New Roman" w:cs="Times New Roman"/>
        </w:rPr>
        <w:t>Green buildings reinvent the relationships between construction methods and associated risks.</w:t>
      </w:r>
      <w:r w:rsidR="003416A5" w:rsidRPr="001912F1">
        <w:rPr>
          <w:rFonts w:ascii="Times New Roman" w:hAnsi="Times New Roman" w:cs="Times New Roman"/>
        </w:rPr>
        <w:t xml:space="preserve"> The added sustainab</w:t>
      </w:r>
      <w:r w:rsidR="00A315D8" w:rsidRPr="001912F1">
        <w:rPr>
          <w:rFonts w:ascii="Times New Roman" w:hAnsi="Times New Roman" w:cs="Times New Roman"/>
        </w:rPr>
        <w:t>ility</w:t>
      </w:r>
      <w:r w:rsidR="003416A5" w:rsidRPr="001912F1">
        <w:rPr>
          <w:rFonts w:ascii="Times New Roman" w:hAnsi="Times New Roman" w:cs="Times New Roman"/>
        </w:rPr>
        <w:t xml:space="preserve"> objectives expose GB projects to </w:t>
      </w:r>
      <w:r w:rsidR="00BE721B" w:rsidRPr="001912F1">
        <w:rPr>
          <w:rFonts w:ascii="Times New Roman" w:hAnsi="Times New Roman" w:cs="Times New Roman"/>
        </w:rPr>
        <w:t xml:space="preserve">enormous </w:t>
      </w:r>
      <w:r w:rsidR="003416A5" w:rsidRPr="001912F1">
        <w:rPr>
          <w:rFonts w:ascii="Times New Roman" w:hAnsi="Times New Roman" w:cs="Times New Roman"/>
        </w:rPr>
        <w:t>risks, challenges</w:t>
      </w:r>
      <w:r w:rsidR="0007002F" w:rsidRPr="001912F1">
        <w:rPr>
          <w:rFonts w:ascii="Times New Roman" w:hAnsi="Times New Roman" w:cs="Times New Roman"/>
        </w:rPr>
        <w:t>,</w:t>
      </w:r>
      <w:r w:rsidR="003416A5" w:rsidRPr="001912F1">
        <w:rPr>
          <w:rFonts w:ascii="Times New Roman" w:hAnsi="Times New Roman" w:cs="Times New Roman"/>
        </w:rPr>
        <w:t xml:space="preserve"> and requirements.</w:t>
      </w:r>
      <w:r w:rsidR="0007002F" w:rsidRPr="001912F1">
        <w:rPr>
          <w:rFonts w:ascii="Times New Roman" w:hAnsi="Times New Roman" w:cs="Times New Roman"/>
        </w:rPr>
        <w:t xml:space="preserve"> Managing risks in GB projects has been recognized as a very important process to </w:t>
      </w:r>
      <w:r w:rsidR="00BE721B" w:rsidRPr="001912F1">
        <w:rPr>
          <w:rFonts w:ascii="Times New Roman" w:hAnsi="Times New Roman" w:cs="Times New Roman"/>
        </w:rPr>
        <w:t xml:space="preserve">more feasibly </w:t>
      </w:r>
      <w:r w:rsidR="0007002F" w:rsidRPr="001912F1">
        <w:rPr>
          <w:rFonts w:ascii="Times New Roman" w:hAnsi="Times New Roman" w:cs="Times New Roman"/>
        </w:rPr>
        <w:t>achieve the objectives of GB project</w:t>
      </w:r>
      <w:r w:rsidR="00BE721B" w:rsidRPr="001912F1">
        <w:rPr>
          <w:rFonts w:ascii="Times New Roman" w:hAnsi="Times New Roman" w:cs="Times New Roman"/>
        </w:rPr>
        <w:t>s</w:t>
      </w:r>
      <w:r w:rsidR="0007002F" w:rsidRPr="001912F1">
        <w:rPr>
          <w:rFonts w:ascii="Times New Roman" w:hAnsi="Times New Roman" w:cs="Times New Roman"/>
        </w:rPr>
        <w:t xml:space="preserve"> in terms of energy efficiency, minimal environmental impact, time, cost, quality, productivity, and safety performance. This paper conducted a systematic literature review to identify, consolidate, prioritize, categorize </w:t>
      </w:r>
      <w:r w:rsidR="007A6D2D" w:rsidRPr="001912F1">
        <w:rPr>
          <w:rFonts w:ascii="Times New Roman" w:hAnsi="Times New Roman" w:cs="Times New Roman"/>
        </w:rPr>
        <w:t>and theorize th</w:t>
      </w:r>
      <w:r w:rsidR="0007002F" w:rsidRPr="001912F1">
        <w:rPr>
          <w:rFonts w:ascii="Times New Roman" w:hAnsi="Times New Roman" w:cs="Times New Roman"/>
        </w:rPr>
        <w:t xml:space="preserve">e </w:t>
      </w:r>
      <w:r w:rsidR="00D314A2" w:rsidRPr="001912F1">
        <w:rPr>
          <w:rFonts w:ascii="Times New Roman" w:hAnsi="Times New Roman" w:cs="Times New Roman"/>
        </w:rPr>
        <w:t>CRFs</w:t>
      </w:r>
      <w:r w:rsidR="0007002F" w:rsidRPr="001912F1">
        <w:rPr>
          <w:rFonts w:ascii="Times New Roman" w:hAnsi="Times New Roman" w:cs="Times New Roman"/>
        </w:rPr>
        <w:t xml:space="preserve"> for GB projects</w:t>
      </w:r>
      <w:r w:rsidR="00D314A2" w:rsidRPr="001912F1">
        <w:rPr>
          <w:rFonts w:ascii="Times New Roman" w:hAnsi="Times New Roman" w:cs="Times New Roman"/>
        </w:rPr>
        <w:t>.</w:t>
      </w:r>
      <w:r w:rsidR="008F0560" w:rsidRPr="001912F1">
        <w:rPr>
          <w:rFonts w:ascii="Times New Roman" w:hAnsi="Times New Roman" w:cs="Times New Roman"/>
        </w:rPr>
        <w:t xml:space="preserve"> The analysis revealed </w:t>
      </w:r>
      <w:r w:rsidR="00D60A60" w:rsidRPr="001912F1">
        <w:rPr>
          <w:rFonts w:ascii="Times New Roman" w:hAnsi="Times New Roman" w:cs="Times New Roman"/>
        </w:rPr>
        <w:t>a</w:t>
      </w:r>
      <w:r w:rsidR="008F0560" w:rsidRPr="001912F1">
        <w:rPr>
          <w:rFonts w:ascii="Times New Roman" w:hAnsi="Times New Roman" w:cs="Times New Roman"/>
        </w:rPr>
        <w:t xml:space="preserve"> growing scholarly interest in the management risks in GB projects from 2006 to 2022.</w:t>
      </w:r>
      <w:r w:rsidR="00D60A60" w:rsidRPr="001912F1">
        <w:rPr>
          <w:rFonts w:ascii="Times New Roman" w:hAnsi="Times New Roman" w:cs="Times New Roman"/>
        </w:rPr>
        <w:t xml:space="preserve"> The review further established most of the existing studies largely favored deterministic and network techniques rather than probabilistic techniques in the assessment of risks in GB projects. This outcome suggests existing studies have mostly failed to consider the distributions and profiles of various risks and the significance of tail risks in GB projects, resulting in suboptimal decision support for risk management in GB projects.</w:t>
      </w:r>
      <w:r w:rsidR="003F308A" w:rsidRPr="001912F1">
        <w:rPr>
          <w:rFonts w:ascii="Times New Roman" w:hAnsi="Times New Roman" w:cs="Times New Roman"/>
        </w:rPr>
        <w:t xml:space="preserve"> Of n</w:t>
      </w:r>
      <w:r w:rsidR="00060C61" w:rsidRPr="001912F1">
        <w:rPr>
          <w:rFonts w:ascii="Times New Roman" w:hAnsi="Times New Roman" w:cs="Times New Roman"/>
        </w:rPr>
        <w:t xml:space="preserve">inety-six (96) </w:t>
      </w:r>
      <w:r w:rsidR="007A6D2D" w:rsidRPr="001912F1">
        <w:rPr>
          <w:rFonts w:ascii="Times New Roman" w:hAnsi="Times New Roman" w:cs="Times New Roman"/>
        </w:rPr>
        <w:t>CRFs</w:t>
      </w:r>
      <w:r w:rsidR="00060C61" w:rsidRPr="001912F1">
        <w:rPr>
          <w:rFonts w:ascii="Times New Roman" w:hAnsi="Times New Roman" w:cs="Times New Roman"/>
        </w:rPr>
        <w:t xml:space="preserve"> for GB projects</w:t>
      </w:r>
      <w:r w:rsidR="003F308A" w:rsidRPr="001912F1">
        <w:rPr>
          <w:rFonts w:ascii="Times New Roman" w:hAnsi="Times New Roman" w:cs="Times New Roman"/>
        </w:rPr>
        <w:t xml:space="preserve"> extracted from the reviewed literature, t</w:t>
      </w:r>
      <w:r w:rsidR="00060C61" w:rsidRPr="001912F1">
        <w:rPr>
          <w:rFonts w:ascii="Times New Roman" w:hAnsi="Times New Roman" w:cs="Times New Roman"/>
        </w:rPr>
        <w:t>he top five most-cited CRFs for GB projects</w:t>
      </w:r>
      <w:r w:rsidR="003F308A" w:rsidRPr="001912F1">
        <w:rPr>
          <w:rFonts w:ascii="Times New Roman" w:hAnsi="Times New Roman" w:cs="Times New Roman"/>
        </w:rPr>
        <w:t xml:space="preserve"> are linked to </w:t>
      </w:r>
      <w:r w:rsidR="00060C61" w:rsidRPr="001912F1">
        <w:rPr>
          <w:rFonts w:ascii="Times New Roman" w:hAnsi="Times New Roman" w:cs="Times New Roman"/>
        </w:rPr>
        <w:t>shortage of funding and resources</w:t>
      </w:r>
      <w:r w:rsidR="003F308A" w:rsidRPr="001912F1">
        <w:rPr>
          <w:rFonts w:ascii="Times New Roman" w:hAnsi="Times New Roman" w:cs="Times New Roman"/>
        </w:rPr>
        <w:t xml:space="preserve">; </w:t>
      </w:r>
      <w:r w:rsidR="00060C61" w:rsidRPr="001912F1">
        <w:rPr>
          <w:rFonts w:ascii="Times New Roman" w:hAnsi="Times New Roman" w:cs="Times New Roman"/>
        </w:rPr>
        <w:t>unavailability and shortage of approved green materials and technologies</w:t>
      </w:r>
      <w:r w:rsidR="003F308A" w:rsidRPr="001912F1">
        <w:rPr>
          <w:rFonts w:ascii="Times New Roman" w:hAnsi="Times New Roman" w:cs="Times New Roman"/>
        </w:rPr>
        <w:t xml:space="preserve">; </w:t>
      </w:r>
      <w:r w:rsidR="00060C61" w:rsidRPr="001912F1">
        <w:rPr>
          <w:rFonts w:ascii="Times New Roman" w:hAnsi="Times New Roman" w:cs="Times New Roman"/>
        </w:rPr>
        <w:t>poor communication</w:t>
      </w:r>
      <w:r w:rsidR="003F308A" w:rsidRPr="001912F1">
        <w:rPr>
          <w:rFonts w:ascii="Times New Roman" w:hAnsi="Times New Roman" w:cs="Times New Roman"/>
        </w:rPr>
        <w:t xml:space="preserve"> </w:t>
      </w:r>
      <w:r w:rsidR="00060C61" w:rsidRPr="001912F1">
        <w:rPr>
          <w:rFonts w:ascii="Times New Roman" w:hAnsi="Times New Roman" w:cs="Times New Roman"/>
        </w:rPr>
        <w:t>and information sharing between the project team members</w:t>
      </w:r>
      <w:r w:rsidR="003F308A" w:rsidRPr="001912F1">
        <w:rPr>
          <w:rFonts w:ascii="Times New Roman" w:hAnsi="Times New Roman" w:cs="Times New Roman"/>
        </w:rPr>
        <w:t xml:space="preserve">; </w:t>
      </w:r>
      <w:r w:rsidR="00060C61" w:rsidRPr="001912F1">
        <w:rPr>
          <w:rFonts w:ascii="Times New Roman" w:hAnsi="Times New Roman" w:cs="Times New Roman"/>
        </w:rPr>
        <w:t>inadequate professional knowledge and expertise in efficient green building methods, technologies, and eco-products; and inflation and changes in prices of green construction materials.</w:t>
      </w:r>
      <w:r w:rsidR="00107F6E" w:rsidRPr="001912F1">
        <w:rPr>
          <w:rFonts w:ascii="Times New Roman" w:hAnsi="Times New Roman" w:cs="Times New Roman"/>
        </w:rPr>
        <w:t xml:space="preserve"> </w:t>
      </w:r>
      <w:r w:rsidR="003F308A" w:rsidRPr="001912F1">
        <w:rPr>
          <w:rFonts w:ascii="Times New Roman" w:hAnsi="Times New Roman" w:cs="Times New Roman"/>
        </w:rPr>
        <w:t>The review derived nine (9) broad constructs of the identified risks for GB projects,</w:t>
      </w:r>
      <w:r w:rsidR="00107F6E" w:rsidRPr="001912F1">
        <w:rPr>
          <w:rFonts w:ascii="Times New Roman" w:hAnsi="Times New Roman" w:cs="Times New Roman"/>
        </w:rPr>
        <w:t xml:space="preserve"> </w:t>
      </w:r>
      <w:r w:rsidR="00060C61" w:rsidRPr="001912F1">
        <w:rPr>
          <w:rFonts w:ascii="Times New Roman" w:hAnsi="Times New Roman" w:cs="Times New Roman"/>
        </w:rPr>
        <w:t>including financial, material and equipment</w:t>
      </w:r>
      <w:r w:rsidR="007A6D2D" w:rsidRPr="001912F1">
        <w:rPr>
          <w:rFonts w:ascii="Times New Roman" w:hAnsi="Times New Roman" w:cs="Times New Roman"/>
        </w:rPr>
        <w:t>,</w:t>
      </w:r>
      <w:r w:rsidR="00060C61" w:rsidRPr="001912F1">
        <w:rPr>
          <w:rFonts w:ascii="Times New Roman" w:hAnsi="Times New Roman" w:cs="Times New Roman"/>
        </w:rPr>
        <w:t xml:space="preserve"> design, technical, stakeholder, management, environmental, legal</w:t>
      </w:r>
      <w:r w:rsidR="007A6D2D" w:rsidRPr="001912F1">
        <w:rPr>
          <w:rFonts w:ascii="Times New Roman" w:hAnsi="Times New Roman" w:cs="Times New Roman"/>
        </w:rPr>
        <w:t>,</w:t>
      </w:r>
      <w:r w:rsidR="00060C61" w:rsidRPr="001912F1">
        <w:rPr>
          <w:rFonts w:ascii="Times New Roman" w:hAnsi="Times New Roman" w:cs="Times New Roman"/>
        </w:rPr>
        <w:t xml:space="preserve"> and regulatory</w:t>
      </w:r>
      <w:r w:rsidR="00107F6E" w:rsidRPr="001912F1">
        <w:rPr>
          <w:rFonts w:ascii="Times New Roman" w:hAnsi="Times New Roman" w:cs="Times New Roman"/>
        </w:rPr>
        <w:t xml:space="preserve"> </w:t>
      </w:r>
      <w:r w:rsidR="00060C61" w:rsidRPr="001912F1">
        <w:rPr>
          <w:rFonts w:ascii="Times New Roman" w:hAnsi="Times New Roman" w:cs="Times New Roman"/>
        </w:rPr>
        <w:t>risks.</w:t>
      </w:r>
      <w:r w:rsidR="00107F6E" w:rsidRPr="001912F1">
        <w:rPr>
          <w:rFonts w:ascii="Times New Roman" w:hAnsi="Times New Roman" w:cs="Times New Roman"/>
        </w:rPr>
        <w:t xml:space="preserve"> </w:t>
      </w:r>
      <w:r w:rsidR="003F308A" w:rsidRPr="001912F1">
        <w:rPr>
          <w:rFonts w:ascii="Times New Roman" w:hAnsi="Times New Roman" w:cs="Times New Roman"/>
        </w:rPr>
        <w:t xml:space="preserve">Of these, the most persistent </w:t>
      </w:r>
      <w:r w:rsidR="006E39A2" w:rsidRPr="001912F1">
        <w:rPr>
          <w:rFonts w:ascii="Times New Roman" w:hAnsi="Times New Roman" w:cs="Times New Roman"/>
        </w:rPr>
        <w:t xml:space="preserve">risk constructs for GB </w:t>
      </w:r>
      <w:r w:rsidR="006E39A2" w:rsidRPr="001912F1">
        <w:rPr>
          <w:rFonts w:ascii="Times New Roman" w:hAnsi="Times New Roman" w:cs="Times New Roman"/>
        </w:rPr>
        <w:lastRenderedPageBreak/>
        <w:t xml:space="preserve">projects, in terms of citation frequencies include </w:t>
      </w:r>
      <w:r w:rsidR="00060C61" w:rsidRPr="001912F1">
        <w:rPr>
          <w:rFonts w:ascii="Times New Roman" w:hAnsi="Times New Roman" w:cs="Times New Roman"/>
        </w:rPr>
        <w:t>design, regulator</w:t>
      </w:r>
      <w:r w:rsidR="007A6D2D" w:rsidRPr="001912F1">
        <w:rPr>
          <w:rFonts w:ascii="Times New Roman" w:hAnsi="Times New Roman" w:cs="Times New Roman"/>
        </w:rPr>
        <w:t>y</w:t>
      </w:r>
      <w:r w:rsidR="00060C61" w:rsidRPr="001912F1">
        <w:rPr>
          <w:rFonts w:ascii="Times New Roman" w:hAnsi="Times New Roman" w:cs="Times New Roman"/>
        </w:rPr>
        <w:t>, material and equipment, financial, and technical risks.</w:t>
      </w:r>
      <w:r w:rsidR="00107F6E" w:rsidRPr="001912F1">
        <w:rPr>
          <w:rFonts w:ascii="Times New Roman" w:hAnsi="Times New Roman" w:cs="Times New Roman"/>
        </w:rPr>
        <w:t xml:space="preserve"> </w:t>
      </w:r>
      <w:r w:rsidR="007A6D2D" w:rsidRPr="001912F1">
        <w:rPr>
          <w:rFonts w:ascii="Times New Roman" w:hAnsi="Times New Roman" w:cs="Times New Roman"/>
        </w:rPr>
        <w:t xml:space="preserve">A </w:t>
      </w:r>
      <w:r w:rsidR="00705E73" w:rsidRPr="001912F1">
        <w:rPr>
          <w:rFonts w:ascii="Times New Roman" w:hAnsi="Times New Roman" w:cs="Times New Roman"/>
        </w:rPr>
        <w:t xml:space="preserve">Pareto analysis revealed </w:t>
      </w:r>
      <w:r w:rsidR="00BE721B" w:rsidRPr="001912F1">
        <w:rPr>
          <w:rFonts w:ascii="Times New Roman" w:hAnsi="Times New Roman" w:cs="Times New Roman"/>
        </w:rPr>
        <w:t xml:space="preserve">a total of </w:t>
      </w:r>
      <w:r w:rsidR="00705E73" w:rsidRPr="001912F1">
        <w:rPr>
          <w:rFonts w:ascii="Times New Roman" w:hAnsi="Times New Roman" w:cs="Times New Roman"/>
        </w:rPr>
        <w:t xml:space="preserve">sixty (60) </w:t>
      </w:r>
      <w:r w:rsidR="006E39A2" w:rsidRPr="001912F1">
        <w:rPr>
          <w:rFonts w:ascii="Times New Roman" w:hAnsi="Times New Roman" w:cs="Times New Roman"/>
        </w:rPr>
        <w:t xml:space="preserve">risk factors considered the “vital few” within the heuristic of the “80/20” principle. </w:t>
      </w:r>
    </w:p>
    <w:p w14:paraId="0D2D1106" w14:textId="5A4C2078" w:rsidR="00F67E30" w:rsidRPr="001912F1" w:rsidRDefault="006E39A2" w:rsidP="006E39A2">
      <w:pPr>
        <w:autoSpaceDE w:val="0"/>
        <w:autoSpaceDN w:val="0"/>
        <w:adjustRightInd w:val="0"/>
        <w:spacing w:line="480" w:lineRule="auto"/>
        <w:jc w:val="both"/>
        <w:rPr>
          <w:rFonts w:ascii="Times New Roman" w:hAnsi="Times New Roman" w:cs="Times New Roman"/>
        </w:rPr>
      </w:pPr>
      <w:r w:rsidRPr="001912F1">
        <w:rPr>
          <w:rFonts w:ascii="Times New Roman" w:hAnsi="Times New Roman" w:cs="Times New Roman"/>
        </w:rPr>
        <w:t>Therefore, t</w:t>
      </w:r>
      <w:r w:rsidR="0055498C" w:rsidRPr="001912F1">
        <w:rPr>
          <w:rFonts w:ascii="Times New Roman" w:hAnsi="Times New Roman" w:cs="Times New Roman"/>
        </w:rPr>
        <w:t>his study develop</w:t>
      </w:r>
      <w:r w:rsidR="000239C8" w:rsidRPr="001912F1">
        <w:rPr>
          <w:rFonts w:ascii="Times New Roman" w:hAnsi="Times New Roman" w:cs="Times New Roman"/>
        </w:rPr>
        <w:t>ed</w:t>
      </w:r>
      <w:r w:rsidR="0055498C" w:rsidRPr="001912F1">
        <w:rPr>
          <w:rFonts w:ascii="Times New Roman" w:hAnsi="Times New Roman" w:cs="Times New Roman"/>
        </w:rPr>
        <w:t xml:space="preserve"> the most comprehensive register of </w:t>
      </w:r>
      <w:r w:rsidR="00BE721B" w:rsidRPr="001912F1">
        <w:rPr>
          <w:rFonts w:ascii="Times New Roman" w:hAnsi="Times New Roman" w:cs="Times New Roman"/>
        </w:rPr>
        <w:t xml:space="preserve">a diverse range of </w:t>
      </w:r>
      <w:r w:rsidR="0055498C" w:rsidRPr="001912F1">
        <w:rPr>
          <w:rFonts w:ascii="Times New Roman" w:hAnsi="Times New Roman" w:cs="Times New Roman"/>
        </w:rPr>
        <w:t xml:space="preserve">CRFs for GB projects. The prioritized checklist of the CRFs can inform </w:t>
      </w:r>
      <w:r w:rsidR="00BE721B" w:rsidRPr="001912F1">
        <w:rPr>
          <w:rFonts w:ascii="Times New Roman" w:hAnsi="Times New Roman" w:cs="Times New Roman"/>
        </w:rPr>
        <w:t xml:space="preserve">more targeted </w:t>
      </w:r>
      <w:r w:rsidR="0055498C" w:rsidRPr="001912F1">
        <w:rPr>
          <w:rFonts w:ascii="Times New Roman" w:hAnsi="Times New Roman" w:cs="Times New Roman"/>
        </w:rPr>
        <w:t xml:space="preserve">resource allocation for risk management in GB projects. The study categorized and </w:t>
      </w:r>
      <w:r w:rsidR="007A6D2D" w:rsidRPr="001912F1">
        <w:rPr>
          <w:rFonts w:ascii="Times New Roman" w:hAnsi="Times New Roman" w:cs="Times New Roman"/>
        </w:rPr>
        <w:t>theorized</w:t>
      </w:r>
      <w:r w:rsidR="0055498C" w:rsidRPr="001912F1">
        <w:rPr>
          <w:rFonts w:ascii="Times New Roman" w:hAnsi="Times New Roman" w:cs="Times New Roman"/>
        </w:rPr>
        <w:t xml:space="preserve"> the chain reactions of the CRFs, </w:t>
      </w:r>
      <w:r w:rsidR="007A6D2D" w:rsidRPr="001912F1">
        <w:rPr>
          <w:rFonts w:ascii="Times New Roman" w:hAnsi="Times New Roman" w:cs="Times New Roman"/>
        </w:rPr>
        <w:t>explaining the various relationships among</w:t>
      </w:r>
      <w:r w:rsidR="0055498C" w:rsidRPr="001912F1">
        <w:rPr>
          <w:rFonts w:ascii="Times New Roman" w:hAnsi="Times New Roman" w:cs="Times New Roman"/>
        </w:rPr>
        <w:t xml:space="preserve"> the risks of GB projects. The findings further established that legal advice and government support can</w:t>
      </w:r>
      <w:r w:rsidR="00BE721B" w:rsidRPr="001912F1">
        <w:rPr>
          <w:rFonts w:ascii="Times New Roman" w:hAnsi="Times New Roman" w:cs="Times New Roman"/>
        </w:rPr>
        <w:t xml:space="preserve"> be of great help to</w:t>
      </w:r>
      <w:r w:rsidR="0055498C" w:rsidRPr="001912F1">
        <w:rPr>
          <w:rFonts w:ascii="Times New Roman" w:hAnsi="Times New Roman" w:cs="Times New Roman"/>
        </w:rPr>
        <w:t xml:space="preserve"> reduce the impact of legal and regulatory risks of GB projects.</w:t>
      </w:r>
    </w:p>
    <w:p w14:paraId="5933951B" w14:textId="2269D52F" w:rsidR="007A6D2D" w:rsidRPr="001912F1" w:rsidRDefault="005F7244" w:rsidP="00976E82">
      <w:pPr>
        <w:autoSpaceDE w:val="0"/>
        <w:autoSpaceDN w:val="0"/>
        <w:adjustRightInd w:val="0"/>
        <w:spacing w:line="480" w:lineRule="auto"/>
        <w:jc w:val="both"/>
        <w:rPr>
          <w:rFonts w:ascii="Times New Roman" w:hAnsi="Times New Roman" w:cs="Times New Roman"/>
        </w:rPr>
      </w:pPr>
      <w:r w:rsidRPr="001912F1">
        <w:rPr>
          <w:rFonts w:ascii="Times New Roman" w:hAnsi="Times New Roman" w:cs="Times New Roman"/>
        </w:rPr>
        <w:t xml:space="preserve">Despite </w:t>
      </w:r>
      <w:r w:rsidR="00BE721B" w:rsidRPr="001912F1">
        <w:rPr>
          <w:rFonts w:ascii="Times New Roman" w:hAnsi="Times New Roman" w:cs="Times New Roman"/>
        </w:rPr>
        <w:t xml:space="preserve">the accomplishment of </w:t>
      </w:r>
      <w:r w:rsidRPr="001912F1">
        <w:rPr>
          <w:rFonts w:ascii="Times New Roman" w:hAnsi="Times New Roman" w:cs="Times New Roman"/>
        </w:rPr>
        <w:t xml:space="preserve">the objectives </w:t>
      </w:r>
      <w:r w:rsidR="00BE721B" w:rsidRPr="001912F1">
        <w:rPr>
          <w:rFonts w:ascii="Times New Roman" w:hAnsi="Times New Roman" w:cs="Times New Roman"/>
        </w:rPr>
        <w:t xml:space="preserve">in </w:t>
      </w:r>
      <w:r w:rsidRPr="001912F1">
        <w:rPr>
          <w:rFonts w:ascii="Times New Roman" w:hAnsi="Times New Roman" w:cs="Times New Roman"/>
        </w:rPr>
        <w:t>the study, there are three noteworthy limitations</w:t>
      </w:r>
      <w:r w:rsidR="00BE721B" w:rsidRPr="001912F1">
        <w:rPr>
          <w:rFonts w:ascii="Times New Roman" w:hAnsi="Times New Roman" w:cs="Times New Roman"/>
        </w:rPr>
        <w:t>, demanding further improvements in future studies</w:t>
      </w:r>
      <w:r w:rsidRPr="001912F1">
        <w:rPr>
          <w:rFonts w:ascii="Times New Roman" w:hAnsi="Times New Roman" w:cs="Times New Roman"/>
        </w:rPr>
        <w:t>. First, the review was limited to articles and reviews only. By excluding other document types, the study might have missed other relevant studies addressing the risks of GB projects.</w:t>
      </w:r>
      <w:r w:rsidR="005E5881" w:rsidRPr="001912F1">
        <w:rPr>
          <w:rFonts w:ascii="Times New Roman" w:hAnsi="Times New Roman" w:cs="Times New Roman"/>
        </w:rPr>
        <w:t xml:space="preserve"> Consequently, the identified sets of CRFs for GB projects may not be exhaustive. </w:t>
      </w:r>
      <w:r w:rsidR="003239D4" w:rsidRPr="001912F1">
        <w:rPr>
          <w:rFonts w:ascii="Times New Roman" w:hAnsi="Times New Roman" w:cs="Times New Roman"/>
        </w:rPr>
        <w:t>Second, the CRFs for GB projects were prioritized and ranked using citation frequencies. Therefore, their criticalities may vary based on project contexts. Nonetheless, the identified CRFs offer a guiding frame for critical risk identification in GB projects in future research</w:t>
      </w:r>
      <w:r w:rsidR="005E5881" w:rsidRPr="001912F1">
        <w:rPr>
          <w:rFonts w:ascii="Times New Roman" w:hAnsi="Times New Roman" w:cs="Times New Roman"/>
        </w:rPr>
        <w:t>.</w:t>
      </w:r>
      <w:r w:rsidR="001E1255" w:rsidRPr="001912F1">
        <w:rPr>
          <w:rFonts w:ascii="Times New Roman" w:hAnsi="Times New Roman" w:cs="Times New Roman"/>
        </w:rPr>
        <w:t xml:space="preserve"> Third, the taxonomies of the CRFs were derived intuitively using </w:t>
      </w:r>
      <w:r w:rsidR="006D5D1F" w:rsidRPr="001912F1">
        <w:rPr>
          <w:rFonts w:ascii="Times New Roman" w:hAnsi="Times New Roman" w:cs="Times New Roman"/>
        </w:rPr>
        <w:t xml:space="preserve">a </w:t>
      </w:r>
      <w:r w:rsidR="001E1255" w:rsidRPr="001912F1">
        <w:rPr>
          <w:rFonts w:ascii="Times New Roman" w:hAnsi="Times New Roman" w:cs="Times New Roman"/>
        </w:rPr>
        <w:t>cluster analysis.</w:t>
      </w:r>
      <w:r w:rsidR="0057162B" w:rsidRPr="001912F1">
        <w:rPr>
          <w:rFonts w:ascii="Times New Roman" w:hAnsi="Times New Roman" w:cs="Times New Roman"/>
        </w:rPr>
        <w:t xml:space="preserve"> Consequently, there could be overlapping and inappropriate assignment</w:t>
      </w:r>
      <w:r w:rsidR="00BA7710" w:rsidRPr="001912F1">
        <w:rPr>
          <w:rFonts w:ascii="Times New Roman" w:hAnsi="Times New Roman" w:cs="Times New Roman"/>
        </w:rPr>
        <w:t>s</w:t>
      </w:r>
      <w:r w:rsidR="0057162B" w:rsidRPr="001912F1">
        <w:rPr>
          <w:rFonts w:ascii="Times New Roman" w:hAnsi="Times New Roman" w:cs="Times New Roman"/>
        </w:rPr>
        <w:t xml:space="preserve"> of the CRFs in various taxonomies. </w:t>
      </w:r>
      <w:r w:rsidR="006E39A2" w:rsidRPr="001912F1">
        <w:rPr>
          <w:rFonts w:ascii="Times New Roman" w:hAnsi="Times New Roman" w:cs="Times New Roman"/>
        </w:rPr>
        <w:t>Future studies would focus on developing risk management strategies and best practices for implementing GB projects.</w:t>
      </w:r>
    </w:p>
    <w:p w14:paraId="3D7CCC52" w14:textId="5B11472B" w:rsidR="007A6D2D" w:rsidRDefault="007A6D2D" w:rsidP="00564102">
      <w:pPr>
        <w:spacing w:line="480" w:lineRule="auto"/>
        <w:jc w:val="both"/>
        <w:rPr>
          <w:rFonts w:ascii="Times New Roman" w:hAnsi="Times New Roman" w:cs="Times New Roman"/>
        </w:rPr>
      </w:pPr>
    </w:p>
    <w:p w14:paraId="0F91A531" w14:textId="2A8E7249" w:rsidR="00543C2C" w:rsidRPr="001912F1" w:rsidRDefault="00543C2C" w:rsidP="00DB2193">
      <w:pPr>
        <w:spacing w:line="480" w:lineRule="auto"/>
        <w:rPr>
          <w:rFonts w:ascii="Times New Roman" w:hAnsi="Times New Roman" w:cs="Times New Roman"/>
          <w:b/>
          <w:bCs/>
        </w:rPr>
      </w:pPr>
      <w:r w:rsidRPr="001912F1">
        <w:rPr>
          <w:rFonts w:ascii="Times New Roman" w:hAnsi="Times New Roman" w:cs="Times New Roman"/>
          <w:b/>
          <w:bCs/>
        </w:rPr>
        <w:t>References</w:t>
      </w:r>
    </w:p>
    <w:p w14:paraId="349AB421" w14:textId="33B2C950" w:rsidR="003F317E" w:rsidRPr="003F317E" w:rsidRDefault="0087096A"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1912F1">
        <w:rPr>
          <w:rFonts w:ascii="Times New Roman" w:hAnsi="Times New Roman" w:cs="Times New Roman"/>
        </w:rPr>
        <w:fldChar w:fldCharType="begin" w:fldLock="1"/>
      </w:r>
      <w:r w:rsidRPr="001912F1">
        <w:rPr>
          <w:rFonts w:ascii="Times New Roman" w:hAnsi="Times New Roman" w:cs="Times New Roman"/>
        </w:rPr>
        <w:instrText xml:space="preserve">ADDIN Mendeley Bibliography CSL_BIBLIOGRAPHY </w:instrText>
      </w:r>
      <w:r w:rsidRPr="001912F1">
        <w:rPr>
          <w:rFonts w:ascii="Times New Roman" w:hAnsi="Times New Roman" w:cs="Times New Roman"/>
        </w:rPr>
        <w:fldChar w:fldCharType="separate"/>
      </w:r>
      <w:r w:rsidR="003F317E" w:rsidRPr="003F317E">
        <w:rPr>
          <w:rFonts w:ascii="Times New Roman" w:hAnsi="Times New Roman" w:cs="Times New Roman"/>
          <w:noProof/>
        </w:rPr>
        <w:t>[1]</w:t>
      </w:r>
      <w:r w:rsidR="003F317E" w:rsidRPr="003F317E">
        <w:rPr>
          <w:rFonts w:ascii="Times New Roman" w:hAnsi="Times New Roman" w:cs="Times New Roman"/>
          <w:noProof/>
        </w:rPr>
        <w:tab/>
        <w:t>World Green Building Council, The Business Case for Green Building: A Review of the Costs and Benefits for Developers Investors and Occupants, United States, 2013. http://www.worldgbc.org/sites/default/files/Business_Case_For_Green_Building_Report_WEB_2013-04-11-2.pdf.</w:t>
      </w:r>
    </w:p>
    <w:p w14:paraId="2DFD239E"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[2]</w:t>
      </w:r>
      <w:r w:rsidRPr="003F317E">
        <w:rPr>
          <w:rFonts w:ascii="Times New Roman" w:hAnsi="Times New Roman" w:cs="Times New Roman"/>
          <w:noProof/>
        </w:rPr>
        <w:tab/>
        <w:t xml:space="preserve">I.Y. Wuni, G.Q. Shen, R. Osei-Kyei, Scientometric review of global research trends on </w:t>
      </w:r>
      <w:r w:rsidRPr="003F317E">
        <w:rPr>
          <w:rFonts w:ascii="Times New Roman" w:hAnsi="Times New Roman" w:cs="Times New Roman"/>
          <w:noProof/>
        </w:rPr>
        <w:lastRenderedPageBreak/>
        <w:t>green buildings in construction journals from 1992 to 2018, Energy Build. 190 (2019) 69–85. https://doi.org/10.1016/j.enbuild.2019.02.010.</w:t>
      </w:r>
    </w:p>
    <w:p w14:paraId="634C1EC4"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[3]</w:t>
      </w:r>
      <w:r w:rsidRPr="003F317E">
        <w:rPr>
          <w:rFonts w:ascii="Times New Roman" w:hAnsi="Times New Roman" w:cs="Times New Roman"/>
          <w:noProof/>
        </w:rPr>
        <w:tab/>
        <w:t>X. Cao, X. Li, Y. Zhu, Z. Zhang, A comparative study of environmental performance between prefabricated and traditional residential buildings in China, J. Clean. Prod. 109 (2015) 131–143. https://doi.org/10.1016/j.jclepro.2015.04.120.</w:t>
      </w:r>
    </w:p>
    <w:p w14:paraId="7A453225"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[4]</w:t>
      </w:r>
      <w:r w:rsidRPr="003F317E">
        <w:rPr>
          <w:rFonts w:ascii="Times New Roman" w:hAnsi="Times New Roman" w:cs="Times New Roman"/>
          <w:noProof/>
        </w:rPr>
        <w:tab/>
        <w:t>J. Monahan, J.C. Powell, An embodied carbon and energy analysis of modern methods of construction in housing: A case study using a lifecycle assessment framework, Energy Build. 43 (2011) 179–188. https://doi.org/10.1016/j.enbuild.2010.09.005.</w:t>
      </w:r>
    </w:p>
    <w:p w14:paraId="4BA1B9B1"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[5]</w:t>
      </w:r>
      <w:r w:rsidRPr="003F317E">
        <w:rPr>
          <w:rFonts w:ascii="Times New Roman" w:hAnsi="Times New Roman" w:cs="Times New Roman"/>
          <w:noProof/>
        </w:rPr>
        <w:tab/>
        <w:t>M. Glaumann, T. Malm, J. Larsson, Evaluation of green buildings in Sweden, Build. Res. Inf. 27 (1999) 276–285. https://doi.org/10.1080/096132199369381.</w:t>
      </w:r>
    </w:p>
    <w:p w14:paraId="165D85B5"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[6]</w:t>
      </w:r>
      <w:r w:rsidRPr="003F317E">
        <w:rPr>
          <w:rFonts w:ascii="Times New Roman" w:hAnsi="Times New Roman" w:cs="Times New Roman"/>
          <w:noProof/>
        </w:rPr>
        <w:tab/>
        <w:t>J. Zuo, S. Pullen, R. Rameezdeen, H. Bennetts, Y. Wang, G. Mao, Z. Zhou, H. Du, H. Duan, Green building evaluation from a life-cycle perspective in Australia: A critical review, Renew. Sustain. Energy Rev. 70 (2017) 358–368. https://doi.org/10.1016/j.rser.2016.11.251.</w:t>
      </w:r>
    </w:p>
    <w:p w14:paraId="1CDF3265"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[7]</w:t>
      </w:r>
      <w:r w:rsidRPr="003F317E">
        <w:rPr>
          <w:rFonts w:ascii="Times New Roman" w:hAnsi="Times New Roman" w:cs="Times New Roman"/>
          <w:noProof/>
        </w:rPr>
        <w:tab/>
        <w:t>Office of the Federal Environmental Executive, The Federal Commitment to Green Building: Experiences and Expectations, CreateSpace Publishing, Washington, DC, 2014. https://www.barnesandnoble.com/w/the-federal-commitment-to-green-building-the-office-of-the-federal-environmental/1120789211.</w:t>
      </w:r>
    </w:p>
    <w:p w14:paraId="399D04AA"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[8]</w:t>
      </w:r>
      <w:r w:rsidRPr="003F317E">
        <w:rPr>
          <w:rFonts w:ascii="Times New Roman" w:hAnsi="Times New Roman" w:cs="Times New Roman"/>
          <w:noProof/>
        </w:rPr>
        <w:tab/>
        <w:t>R. Ranaweera, R.H. Crawford, Using early-stage assessment to reduce the financial risks and perceived barriers of sustainable buildings, J. Green Build. 5 (2010) 129–146. https://doi.org/10.3992/jgb.5.2.129.</w:t>
      </w:r>
    </w:p>
    <w:p w14:paraId="57C8BB88"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[9]</w:t>
      </w:r>
      <w:r w:rsidRPr="003F317E">
        <w:rPr>
          <w:rFonts w:ascii="Times New Roman" w:hAnsi="Times New Roman" w:cs="Times New Roman"/>
          <w:noProof/>
        </w:rPr>
        <w:tab/>
        <w:t>B. Aktas, B. Ozorhon, Green Building Certification Process of Existing Buildings in Developing Countries: Cases from Turkey, J. Manag. Eng. 31 (2015) 05015002. https://doi.org/10.1061/(asce)me.1943-5479.0000358.</w:t>
      </w:r>
    </w:p>
    <w:p w14:paraId="4ACF3F13"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[10]</w:t>
      </w:r>
      <w:r w:rsidRPr="003F317E">
        <w:rPr>
          <w:rFonts w:ascii="Times New Roman" w:hAnsi="Times New Roman" w:cs="Times New Roman"/>
          <w:noProof/>
        </w:rPr>
        <w:tab/>
        <w:t>D.W. McNamara, B. Birkenfeld, P. Brown, N. Kresse, J. Sullivan, P. Thiam, Quantifying the Hidden Benefits of High-Performance Building, Washington, D.C., 2011.</w:t>
      </w:r>
    </w:p>
    <w:p w14:paraId="0BB3A09C"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[11]</w:t>
      </w:r>
      <w:r w:rsidRPr="003F317E">
        <w:rPr>
          <w:rFonts w:ascii="Times New Roman" w:hAnsi="Times New Roman" w:cs="Times New Roman"/>
          <w:noProof/>
        </w:rPr>
        <w:tab/>
        <w:t>W. Eisenstein, G. Fuertes, S. Kaam, K. Seigel, E. Arens, L. Mozingo, Climate co-benefits of green building standards: water, waste and transportation, Build. Res. Inf. 45 (2017) 828–844. https://doi.org/10.1080/09613218.2016.1204519.</w:t>
      </w:r>
    </w:p>
    <w:p w14:paraId="052538F2"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[12]</w:t>
      </w:r>
      <w:r w:rsidRPr="003F317E">
        <w:rPr>
          <w:rFonts w:ascii="Times New Roman" w:hAnsi="Times New Roman" w:cs="Times New Roman"/>
          <w:noProof/>
        </w:rPr>
        <w:tab/>
        <w:t>C. Kreiss, N. Nasr, R. Kashmanian, Making the Business Case for Sustainability: How to Account for Intangible Benefits—A Case Study Approach, Environ. Qual. Manag. 26 (2016) 5–24. https://doi.org/10.1002/tqem.21478.</w:t>
      </w:r>
    </w:p>
    <w:p w14:paraId="00065F34"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[13]</w:t>
      </w:r>
      <w:r w:rsidRPr="003F317E">
        <w:rPr>
          <w:rFonts w:ascii="Times New Roman" w:hAnsi="Times New Roman" w:cs="Times New Roman"/>
          <w:noProof/>
        </w:rPr>
        <w:tab/>
        <w:t>T. Häkkinen, K. Belloni, Barriers and drivers for sustainable building, Build. Res. Inf. 39 (2011) 239–255. https://doi.org/10.1080/09613218.2011.561948.</w:t>
      </w:r>
    </w:p>
    <w:p w14:paraId="0F7F05B7"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[14]</w:t>
      </w:r>
      <w:r w:rsidRPr="003F317E">
        <w:rPr>
          <w:rFonts w:ascii="Times New Roman" w:hAnsi="Times New Roman" w:cs="Times New Roman"/>
          <w:noProof/>
        </w:rPr>
        <w:tab/>
        <w:t>A. Qazi, A. Shamayleh, S. El-Sayegh, S. Formaneck, Prioritizing risks in sustainable construction projects using a risk matrix-based Monte Carlo Simulation approach, Sustain. Cities Soc. 65 (2021) 102576. https://doi.org/10.1016/j.scs.2020.102576.</w:t>
      </w:r>
    </w:p>
    <w:p w14:paraId="170AFD53"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[15]</w:t>
      </w:r>
      <w:r w:rsidRPr="003F317E">
        <w:rPr>
          <w:rFonts w:ascii="Times New Roman" w:hAnsi="Times New Roman" w:cs="Times New Roman"/>
          <w:noProof/>
        </w:rPr>
        <w:tab/>
        <w:t>B. gang Hwang, M. Shan, N.N.B. Supa’at, Green commercial building projects in Singapore: Critical risk factors and mitigation measures, Sustain. Cities Soc. 30 (2017) 237–247. https://doi.org/10.1016/j.scs.2017.01.020.</w:t>
      </w:r>
    </w:p>
    <w:p w14:paraId="1BA510FF"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[16]</w:t>
      </w:r>
      <w:r w:rsidRPr="003F317E">
        <w:rPr>
          <w:rFonts w:ascii="Times New Roman" w:hAnsi="Times New Roman" w:cs="Times New Roman"/>
          <w:noProof/>
        </w:rPr>
        <w:tab/>
        <w:t>X. Qin, Y. Mo, L. Jing, Risk perceptions of the life-cycle of green buildings in China, J. Clean. Prod. 126 (2016) 148–158. https://doi.org/10.1016/j.jclepro.2016.03.103.</w:t>
      </w:r>
    </w:p>
    <w:p w14:paraId="2689BEA1"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[17]</w:t>
      </w:r>
      <w:r w:rsidRPr="003F317E">
        <w:rPr>
          <w:rFonts w:ascii="Times New Roman" w:hAnsi="Times New Roman" w:cs="Times New Roman"/>
          <w:noProof/>
        </w:rPr>
        <w:tab/>
        <w:t xml:space="preserve">X. Zhao, B.G. Hwang, Y. Gao, A fuzzy synthetic evaluation approach for risk </w:t>
      </w:r>
      <w:r w:rsidRPr="003F317E">
        <w:rPr>
          <w:rFonts w:ascii="Times New Roman" w:hAnsi="Times New Roman" w:cs="Times New Roman"/>
          <w:noProof/>
        </w:rPr>
        <w:lastRenderedPageBreak/>
        <w:t>assessment: A case of Singapore’s green projects, J. Clean. Prod. 115 (2016) 203–213. https://doi.org/10.1016/j.jclepro.2015.11.042.</w:t>
      </w:r>
    </w:p>
    <w:p w14:paraId="0D62EC66"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[18]</w:t>
      </w:r>
      <w:r w:rsidRPr="003F317E">
        <w:rPr>
          <w:rFonts w:ascii="Times New Roman" w:hAnsi="Times New Roman" w:cs="Times New Roman"/>
          <w:noProof/>
        </w:rPr>
        <w:tab/>
        <w:t>L. Chen, A.P.C. Chan, E.K. Owusu, A. Darko, X. Gao, Critical success factors for green building promotion: A systematic review and meta-analysis, Build. Environ. 207 (2022) 108452. https://doi.org/10.1016/j.buildenv.2021.108452.</w:t>
      </w:r>
    </w:p>
    <w:p w14:paraId="2713CA97"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[19]</w:t>
      </w:r>
      <w:r w:rsidRPr="003F317E">
        <w:rPr>
          <w:rFonts w:ascii="Times New Roman" w:hAnsi="Times New Roman" w:cs="Times New Roman"/>
          <w:noProof/>
        </w:rPr>
        <w:tab/>
        <w:t>L. Guan, A. Abbasi, M.J. Ryan, Analyzing green building project risk interdependencies using Interpretive Structural Modeling, J. Clean. Prod. 256 (2020) 120372. https://doi.org/10.1016/j.jclepro.2020.120372.</w:t>
      </w:r>
    </w:p>
    <w:p w14:paraId="3D4FCBE9"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[20]</w:t>
      </w:r>
      <w:r w:rsidRPr="003F317E">
        <w:rPr>
          <w:rFonts w:ascii="Times New Roman" w:hAnsi="Times New Roman" w:cs="Times New Roman"/>
          <w:noProof/>
        </w:rPr>
        <w:tab/>
        <w:t>M.J. Grant, A. Booth, A typology of reviews: an analysis of 14 review types and associated methodologies, Health Info. Libr. J. 26 (2009) 91–108. https://doi.org/10.1111/j.1471-1842.2009.00848.x.</w:t>
      </w:r>
    </w:p>
    <w:p w14:paraId="394E874E"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[21]</w:t>
      </w:r>
      <w:r w:rsidRPr="003F317E">
        <w:rPr>
          <w:rFonts w:ascii="Times New Roman" w:hAnsi="Times New Roman" w:cs="Times New Roman"/>
          <w:noProof/>
        </w:rPr>
        <w:tab/>
        <w:t>D. Tranfield, D. Denyer, P. Smart, Towards a Methodology for Developing Evidence-Informed Management Knowledge by Means of Systematic Review, Br. J. Manag. 14 (2003) 207–222. https://doi.org/10.1111/1467-8551.00375.</w:t>
      </w:r>
    </w:p>
    <w:p w14:paraId="14A99720"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[22]</w:t>
      </w:r>
      <w:r w:rsidRPr="003F317E">
        <w:rPr>
          <w:rFonts w:ascii="Times New Roman" w:hAnsi="Times New Roman" w:cs="Times New Roman"/>
          <w:noProof/>
        </w:rPr>
        <w:tab/>
        <w:t>E. Papadonikolaki, I. Krystallis, B. Morgan, Digital Technologies in Built Environment Projects: Review and Future Directions, Proj. Manag. J. (2022) 1–19. https://doi.org/10.1177/87569728211070225.</w:t>
      </w:r>
    </w:p>
    <w:p w14:paraId="49176DA8"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[23]</w:t>
      </w:r>
      <w:r w:rsidRPr="003F317E">
        <w:rPr>
          <w:rFonts w:ascii="Times New Roman" w:hAnsi="Times New Roman" w:cs="Times New Roman"/>
          <w:noProof/>
        </w:rPr>
        <w:tab/>
        <w:t>J.P.T. Higgins, J. Thomas, J. Chandler, M. Cumpston, T. Li, M.J. Page, V.A. Welch, Cochrane Handbook for Systematic Reviews of Interventions, Second Edi, The Cochrane Collaboration and John Wiley &amp; Sons Ltd, 2019.</w:t>
      </w:r>
    </w:p>
    <w:p w14:paraId="22D6A75D"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[24]</w:t>
      </w:r>
      <w:r w:rsidRPr="003F317E">
        <w:rPr>
          <w:rFonts w:ascii="Times New Roman" w:hAnsi="Times New Roman" w:cs="Times New Roman"/>
          <w:noProof/>
        </w:rPr>
        <w:tab/>
        <w:t>C. Wohlin, Guidelines for snowballing in systematic literature studies and a replication in software engineering, in: Proc. 18th Int. Conf. Eval. Assess. Softw. Eng. - EASE ’14, Association for Computing Machinery (ACM), London, England, United Kingdom, 2014: pp. 1–10. https://doi.org/10.1145/2601248.2601268.</w:t>
      </w:r>
    </w:p>
    <w:p w14:paraId="1FDF72C1"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[25]</w:t>
      </w:r>
      <w:r w:rsidRPr="003F317E">
        <w:rPr>
          <w:rFonts w:ascii="Times New Roman" w:hAnsi="Times New Roman" w:cs="Times New Roman"/>
          <w:noProof/>
        </w:rPr>
        <w:tab/>
        <w:t>A.J. Zerkin, Mainstreaming high performance building in New York City: A comprehensive roadmap for removing the barriers, Technol. Soc. 28 (2006) 137–155. https://doi.org/10.1016/j.techsoc.2005.10.017.</w:t>
      </w:r>
    </w:p>
    <w:p w14:paraId="5A421307"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[26]</w:t>
      </w:r>
      <w:r w:rsidRPr="003F317E">
        <w:rPr>
          <w:rFonts w:ascii="Times New Roman" w:hAnsi="Times New Roman" w:cs="Times New Roman"/>
          <w:noProof/>
        </w:rPr>
        <w:tab/>
        <w:t>M. Pitt, M. Tucker, M. Riley, J. Longden, Towards sustainable construction: Promotion and best practices, Constr. Innov. 9 (2009) 201–224. https://doi.org/10.1108/14714170910950830.</w:t>
      </w:r>
    </w:p>
    <w:p w14:paraId="33E0E73C"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[27]</w:t>
      </w:r>
      <w:r w:rsidRPr="003F317E">
        <w:rPr>
          <w:rFonts w:ascii="Times New Roman" w:hAnsi="Times New Roman" w:cs="Times New Roman"/>
          <w:noProof/>
        </w:rPr>
        <w:tab/>
        <w:t>X. An, G. Pivo, Green Buildings in Commercial Mortgage-Backed Securities: The Effects of LEED and Energy Star Certification on Default Risk and Loan Terms, Real Estate Econ. 48 (2020) 7–42. https://doi.org/10.1111/1540-6229.12228.</w:t>
      </w:r>
    </w:p>
    <w:p w14:paraId="5613ADA8"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[28]</w:t>
      </w:r>
      <w:r w:rsidRPr="003F317E">
        <w:rPr>
          <w:rFonts w:ascii="Times New Roman" w:hAnsi="Times New Roman" w:cs="Times New Roman"/>
          <w:noProof/>
        </w:rPr>
        <w:tab/>
        <w:t>B. Hwang, J.S. Tan, Green Building Project Management: Obstacles and Solutions for Sustainable Development, Sustain. Dev. 349 (2012) 335–349. https://doi.org/10.1002/sd.492.</w:t>
      </w:r>
    </w:p>
    <w:p w14:paraId="4BF9DD19"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[29]</w:t>
      </w:r>
      <w:r w:rsidRPr="003F317E">
        <w:rPr>
          <w:rFonts w:ascii="Times New Roman" w:hAnsi="Times New Roman" w:cs="Times New Roman"/>
          <w:noProof/>
        </w:rPr>
        <w:tab/>
        <w:t>P.X.W. Zou, P. Couani, Managing risks in green building supply chain, Archit. Eng. Des. Manag. 8 (2012) 143–158. https://doi.org/10.1080/17452007.2012.659507.</w:t>
      </w:r>
    </w:p>
    <w:p w14:paraId="4BA3E478"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[30]</w:t>
      </w:r>
      <w:r w:rsidRPr="003F317E">
        <w:rPr>
          <w:rFonts w:ascii="Times New Roman" w:hAnsi="Times New Roman" w:cs="Times New Roman"/>
          <w:noProof/>
        </w:rPr>
        <w:tab/>
        <w:t>S.M. El-Sayegh, S. Manjikian, A. Ibrahim, A. Abouelyousr, R. Jabbour, Risk identification and assessment in sustainable construction projects in the UAE, Int. J. Constr. Manag. 21 (2021) 327–336. https://doi.org/10.1080/15623599.2018.1536963.</w:t>
      </w:r>
    </w:p>
    <w:p w14:paraId="6980A802"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[31]</w:t>
      </w:r>
      <w:r w:rsidRPr="003F317E">
        <w:rPr>
          <w:rFonts w:ascii="Times New Roman" w:hAnsi="Times New Roman" w:cs="Times New Roman"/>
          <w:noProof/>
        </w:rPr>
        <w:tab/>
        <w:t>Q. Shi, J. Zuo, R. Huang, J. Huang, S. Pullen, Identifying the critical factors for green construction - An empirical study in China, Habitat Int. 40 (2013) 1–8. https://doi.org/10.1016/j.habitatint.2013.01.003.</w:t>
      </w:r>
    </w:p>
    <w:p w14:paraId="07BA3B75"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lastRenderedPageBreak/>
        <w:t>[32]</w:t>
      </w:r>
      <w:r w:rsidRPr="003F317E">
        <w:rPr>
          <w:rFonts w:ascii="Times New Roman" w:hAnsi="Times New Roman" w:cs="Times New Roman"/>
          <w:noProof/>
        </w:rPr>
        <w:tab/>
        <w:t>M.A. Adabre, A.P.C. Chan, D.J. Edwards, E. Adinyira, Assessing critical risk factors (CRFs) to sustainable housing: The perspective of a sub-Saharan African country, J. Build. Eng. 41 (2021) 102385. https://doi.org/10.1016/j.jobe.2021.102385.</w:t>
      </w:r>
    </w:p>
    <w:p w14:paraId="0E87AC1B"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[33]</w:t>
      </w:r>
      <w:r w:rsidRPr="003F317E">
        <w:rPr>
          <w:rFonts w:ascii="Times New Roman" w:hAnsi="Times New Roman" w:cs="Times New Roman"/>
          <w:noProof/>
        </w:rPr>
        <w:tab/>
        <w:t>N. Kasai, C.J.C. Jabbour, Barriers to green buildings at two Brazilian Engineering Schools, Int. J. Sustain. Built Environ. 3 (2014) 87–95. https://doi.org/10.1016/j.ijsbe.2014.05.004.</w:t>
      </w:r>
    </w:p>
    <w:p w14:paraId="05E24EEB"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[34]</w:t>
      </w:r>
      <w:r w:rsidRPr="003F317E">
        <w:rPr>
          <w:rFonts w:ascii="Times New Roman" w:hAnsi="Times New Roman" w:cs="Times New Roman"/>
          <w:noProof/>
        </w:rPr>
        <w:tab/>
        <w:t>M. Liu, H.-Y. Chong, P.-C. Liao, T. Ganbat, Risk-Based Metanetwork Modeling for Sustainable Project Performance in International Construction, J. Infrastruct. Syst. 27 (2021) 04021020. https://doi.org/10.1061/(asce)is.1943-555x.0000617.</w:t>
      </w:r>
    </w:p>
    <w:p w14:paraId="55FA4F4F"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[35]</w:t>
      </w:r>
      <w:r w:rsidRPr="003F317E">
        <w:rPr>
          <w:rFonts w:ascii="Times New Roman" w:hAnsi="Times New Roman" w:cs="Times New Roman"/>
          <w:noProof/>
        </w:rPr>
        <w:tab/>
        <w:t>B.G. Hwang, X. Zhao, Y.L. See, Y. Zhong, Addressing Risks in Green Retrofit Projects: The Case of Singapore, Proj. Manag. J. 46 (2015) 76–89. https://doi.org/10.1002/pmj.21512.</w:t>
      </w:r>
    </w:p>
    <w:p w14:paraId="7EC15D8A"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[36]</w:t>
      </w:r>
      <w:r w:rsidRPr="003F317E">
        <w:rPr>
          <w:rFonts w:ascii="Times New Roman" w:hAnsi="Times New Roman" w:cs="Times New Roman"/>
          <w:noProof/>
        </w:rPr>
        <w:tab/>
        <w:t>P.E.D. Love, M. Niedzweicki, P.A. Bullen, D.J. Edwards, Achieving the Green Building Council of Australia’s World Leadership Rating in an Office Building in Perth, J. Constr. Eng. Manag. 138 (2012) 652–660. https://doi.org/10.1061/(asce)co.1943-7862.0000461.</w:t>
      </w:r>
    </w:p>
    <w:p w14:paraId="5B2E8126"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[37]</w:t>
      </w:r>
      <w:r w:rsidRPr="003F317E">
        <w:rPr>
          <w:rFonts w:ascii="Times New Roman" w:hAnsi="Times New Roman" w:cs="Times New Roman"/>
          <w:noProof/>
        </w:rPr>
        <w:tab/>
        <w:t>X. Gan, J. Zuo, K. Ye, M. Skitmore, B. Xiong, Why sustainable construction? Why not? An owner’s perspective, Habitat Int. 47 (2015) 61–68. https://doi.org/10.1016/j.habitatint.2015.01.005.</w:t>
      </w:r>
    </w:p>
    <w:p w14:paraId="221D7F20"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[38]</w:t>
      </w:r>
      <w:r w:rsidRPr="003F317E">
        <w:rPr>
          <w:rFonts w:ascii="Times New Roman" w:hAnsi="Times New Roman" w:cs="Times New Roman"/>
          <w:noProof/>
        </w:rPr>
        <w:tab/>
        <w:t>K.S. Dewlaney, M.R. Hallowell, B.R. Fortunato, Safety Risk Quantification for High Performance Sustainable Building Construction, J. Constr. Eng. Manag. 138 (2012) 964–971. https://doi.org/10.1061/(asce)co.1943-7862.0000504.</w:t>
      </w:r>
    </w:p>
    <w:p w14:paraId="60A2ACD0"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[39]</w:t>
      </w:r>
      <w:r w:rsidRPr="003F317E">
        <w:rPr>
          <w:rFonts w:ascii="Times New Roman" w:hAnsi="Times New Roman" w:cs="Times New Roman"/>
          <w:noProof/>
        </w:rPr>
        <w:tab/>
        <w:t>R.J. Yang, P.X.W. Zou, J. Wang, Modelling stakeholder-associated risk networks in green building projects, Int. J. Proj. Manag. 34 (2016) 66–81. https://doi.org/10.1016/j.ijproman.2015.09.010.</w:t>
      </w:r>
    </w:p>
    <w:p w14:paraId="5BCC9E9F"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[40]</w:t>
      </w:r>
      <w:r w:rsidRPr="003F317E">
        <w:rPr>
          <w:rFonts w:ascii="Times New Roman" w:hAnsi="Times New Roman" w:cs="Times New Roman"/>
          <w:noProof/>
        </w:rPr>
        <w:tab/>
        <w:t>C.L. Del Puerto, A. Crowson, Green construction and energy training program for at-risk individuals: A case study, J. Employ. Couns. 50 (2013) 59–70. https://doi.org/10.1002/j.2161-1920.2013.00025.x.</w:t>
      </w:r>
    </w:p>
    <w:p w14:paraId="53EE2BA7"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[41]</w:t>
      </w:r>
      <w:r w:rsidRPr="003F317E">
        <w:rPr>
          <w:rFonts w:ascii="Times New Roman" w:hAnsi="Times New Roman" w:cs="Times New Roman"/>
          <w:noProof/>
        </w:rPr>
        <w:tab/>
        <w:t>S. Azeem, M.A. Naeem, A. Waheed, M.J. Thaheem, Examining barriers and measures to promote the adoption of green building practices in Pakistan, Smart Sustain. Built Environ. 6 (2017) 86–100. https://doi.org/10.1108/SASBE-06-2017-0023.</w:t>
      </w:r>
    </w:p>
    <w:p w14:paraId="730D831A"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[42]</w:t>
      </w:r>
      <w:r w:rsidRPr="003F317E">
        <w:rPr>
          <w:rFonts w:ascii="Times New Roman" w:hAnsi="Times New Roman" w:cs="Times New Roman"/>
          <w:noProof/>
        </w:rPr>
        <w:tab/>
        <w:t>B.G. Hwang, W.J. Ng, Project management knowledge and skills for green construction: Overcoming challenges, Int. J. Proj. Manag. 31 (2013) 272–284. https://doi.org/10.1016/j.ijproman.2012.05.004.</w:t>
      </w:r>
    </w:p>
    <w:p w14:paraId="686B69B0"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[43]</w:t>
      </w:r>
      <w:r w:rsidRPr="003F317E">
        <w:rPr>
          <w:rFonts w:ascii="Times New Roman" w:hAnsi="Times New Roman" w:cs="Times New Roman"/>
          <w:noProof/>
        </w:rPr>
        <w:tab/>
        <w:t>H.T. Nguyen, M. Skitmore, M. Gray, X. Zhang, A.O. Olanipekun, Will green building development take off? An exploratory study of barriers to green building in Vietnam, Resour. Conserv. Recycl. 127 (2017) 8–20. https://doi.org/10.1016/j.resconrec.2017.08.012.</w:t>
      </w:r>
    </w:p>
    <w:p w14:paraId="7BC27ED8"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[44]</w:t>
      </w:r>
      <w:r w:rsidRPr="003F317E">
        <w:rPr>
          <w:rFonts w:ascii="Times New Roman" w:hAnsi="Times New Roman" w:cs="Times New Roman"/>
          <w:noProof/>
        </w:rPr>
        <w:tab/>
        <w:t>L. Shen, Z. Zhang, Z. Long, Significant barriers to green procurement in real estate development, Resour. Conserv. Recycl. 116 (2017) 160–168. https://doi.org/10.1016/j.resconrec.2016.10.004.</w:t>
      </w:r>
    </w:p>
    <w:p w14:paraId="6F89129C"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[45]</w:t>
      </w:r>
      <w:r w:rsidRPr="003F317E">
        <w:rPr>
          <w:rFonts w:ascii="Times New Roman" w:hAnsi="Times New Roman" w:cs="Times New Roman"/>
          <w:noProof/>
        </w:rPr>
        <w:tab/>
        <w:t>B.G. Hwang, M. Shan, H. Phua, S. Chi, An exploratory analysis of risks in green residential building construction projects: The case of Singapore, Sustain. 9 (2017) 9–11. https://doi.org/10.3390/su9071116.</w:t>
      </w:r>
    </w:p>
    <w:p w14:paraId="789BEB78"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lastRenderedPageBreak/>
        <w:t>[46]</w:t>
      </w:r>
      <w:r w:rsidRPr="003F317E">
        <w:rPr>
          <w:rFonts w:ascii="Times New Roman" w:hAnsi="Times New Roman" w:cs="Times New Roman"/>
          <w:noProof/>
        </w:rPr>
        <w:tab/>
        <w:t>B.G. Hwang, X. Zhao, L.L.G. Tan, Green building projects: Schedule performance, influential factors and solutions, Eng. Constr. Archit. Manag. 22 (2015) 327–346. https://doi.org/10.1108/ECAM-07-2014-0095.</w:t>
      </w:r>
    </w:p>
    <w:p w14:paraId="10A56417"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[47]</w:t>
      </w:r>
      <w:r w:rsidRPr="003F317E">
        <w:rPr>
          <w:rFonts w:ascii="Times New Roman" w:hAnsi="Times New Roman" w:cs="Times New Roman"/>
          <w:noProof/>
        </w:rPr>
        <w:tab/>
        <w:t>A.P.C. Chan, A. Darko, A.O. Olanipekun, E.E. Ameyaw, Critical barriers to green building technologies adoption in developing countries: The case of Ghana, J. Clean. Prod. 172 (2018) 1067–1079. https://doi.org/10.1016/j.jclepro.2017.10.235.</w:t>
      </w:r>
    </w:p>
    <w:p w14:paraId="33FD85D2"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[48]</w:t>
      </w:r>
      <w:r w:rsidRPr="003F317E">
        <w:rPr>
          <w:rFonts w:ascii="Times New Roman" w:hAnsi="Times New Roman" w:cs="Times New Roman"/>
          <w:noProof/>
        </w:rPr>
        <w:tab/>
        <w:t>G. Polat, H. Turkoglu, A.P. Gurgun, Identification of Material-related Risks in Green Buildings, Procedia Eng. 196 (2017) 956–963. https://doi.org/10.1016/j.proeng.2017.08.036.</w:t>
      </w:r>
    </w:p>
    <w:p w14:paraId="20039D5C"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[49]</w:t>
      </w:r>
      <w:r w:rsidRPr="003F317E">
        <w:rPr>
          <w:rFonts w:ascii="Times New Roman" w:hAnsi="Times New Roman" w:cs="Times New Roman"/>
          <w:noProof/>
        </w:rPr>
        <w:tab/>
        <w:t>D. Ismael, T. Shealy, Sustainable construction risk perceptions in the Kuwaiti construction industry, Sustain. 10 (2018). https://doi.org/10.3390/su10061854.</w:t>
      </w:r>
    </w:p>
    <w:p w14:paraId="45B8A49E"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[50]</w:t>
      </w:r>
      <w:r w:rsidRPr="003F317E">
        <w:rPr>
          <w:rFonts w:ascii="Times New Roman" w:hAnsi="Times New Roman" w:cs="Times New Roman"/>
          <w:noProof/>
        </w:rPr>
        <w:tab/>
        <w:t>A.M. Alamdari, Y. Jabarzadeh, D. Samson, N. Sanoubar, Supply chain risk factors in green construction of residential mega projects – interactions and categorization, Eng. Constr. Archit. Manag. Ahead-of-p (2021) 1–30. https://doi.org/10.1108/ECAM-07-2021-0663.</w:t>
      </w:r>
    </w:p>
    <w:p w14:paraId="57902534"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[51]</w:t>
      </w:r>
      <w:r w:rsidRPr="003F317E">
        <w:rPr>
          <w:rFonts w:ascii="Times New Roman" w:hAnsi="Times New Roman" w:cs="Times New Roman"/>
          <w:noProof/>
        </w:rPr>
        <w:tab/>
        <w:t>I. Ranawaka, H. Mallawaarachchi, A risk-responsive framework for green retrofit projects in Sri Lanka, Built Environ. Proj. Asset Manag. 8 (2018) 477–490. https://doi.org/10.1108/BEPAM-10-2017-0088.</w:t>
      </w:r>
    </w:p>
    <w:p w14:paraId="4FF013A2"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[52]</w:t>
      </w:r>
      <w:r w:rsidRPr="003F317E">
        <w:rPr>
          <w:rFonts w:ascii="Times New Roman" w:hAnsi="Times New Roman" w:cs="Times New Roman"/>
          <w:noProof/>
        </w:rPr>
        <w:tab/>
        <w:t>A.A.E. Othman, N.M.A. Abdelwahab, Achieving sustainability through integrating risk management into the architectural design process, J. Eng. Des. Technol. 16 (2018) 25–43. https://doi.org/10.1108/JEDT-09-2017-0087.</w:t>
      </w:r>
    </w:p>
    <w:p w14:paraId="482DFC3A"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[53]</w:t>
      </w:r>
      <w:r w:rsidRPr="003F317E">
        <w:rPr>
          <w:rFonts w:ascii="Times New Roman" w:hAnsi="Times New Roman" w:cs="Times New Roman"/>
          <w:noProof/>
        </w:rPr>
        <w:tab/>
        <w:t>N. Javed, M.J. Thaheem, B. Bakhtawar, A.R. Nasir, K.I.A. Khan, H.F. Gabriel, Managing risk in green building projects: toward a dedicated framework, Smart Sustain. Built Environ. 9 (2020) 156–173. https://doi.org/10.1108/SASBE-11-2018-0060.</w:t>
      </w:r>
    </w:p>
    <w:p w14:paraId="273216C3"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[54]</w:t>
      </w:r>
      <w:r w:rsidRPr="003F317E">
        <w:rPr>
          <w:rFonts w:ascii="Times New Roman" w:hAnsi="Times New Roman" w:cs="Times New Roman"/>
          <w:noProof/>
        </w:rPr>
        <w:tab/>
        <w:t>C. Zhang, J. Zhang, P. Jiang, Assessing the risk of green building materials certification using the back-propagation neural network, Environ. Dev. Sustain. (2021). https://doi.org/10.1007/s10668-021-01734-0.</w:t>
      </w:r>
    </w:p>
    <w:p w14:paraId="479FFA93"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[55]</w:t>
      </w:r>
      <w:r w:rsidRPr="003F317E">
        <w:rPr>
          <w:rFonts w:ascii="Times New Roman" w:hAnsi="Times New Roman" w:cs="Times New Roman"/>
          <w:noProof/>
        </w:rPr>
        <w:tab/>
        <w:t>E.R. Andal, J.B.P. Juanzon, Identifying risks in implementing sustainable building materials in condominium fit-out projects using analytic hierarchy process, Civ. Eng. Archit. 8 (2020) 1266–1276. https://doi.org/10.13189/cea.2020.080610.</w:t>
      </w:r>
    </w:p>
    <w:p w14:paraId="5F5CBB08"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[56]</w:t>
      </w:r>
      <w:r w:rsidRPr="003F317E">
        <w:rPr>
          <w:rFonts w:ascii="Times New Roman" w:hAnsi="Times New Roman" w:cs="Times New Roman"/>
          <w:noProof/>
        </w:rPr>
        <w:tab/>
        <w:t>L. Xiao, L. Bie, X. Bai, Controlling the schedule risk in green building projects: Buffer management framework with activity dependence, J. Clean. Prod. 278 (2021) 123852. https://doi.org/10.1016/j.jclepro.2020.123852.</w:t>
      </w:r>
    </w:p>
    <w:p w14:paraId="038015C0"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[57]</w:t>
      </w:r>
      <w:r w:rsidRPr="003F317E">
        <w:rPr>
          <w:rFonts w:ascii="Times New Roman" w:hAnsi="Times New Roman" w:cs="Times New Roman"/>
          <w:noProof/>
        </w:rPr>
        <w:tab/>
        <w:t>P.X.W. Zou, G. Zhang, J. Wang, Understanding the key risks in construction projects in China, Int. J. Proj. Manag. 25 (2007) 601–614. https://doi.org/10.1016/j.ijproman.2007.03.001.</w:t>
      </w:r>
    </w:p>
    <w:p w14:paraId="63CF132E"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[58]</w:t>
      </w:r>
      <w:r w:rsidRPr="003F317E">
        <w:rPr>
          <w:rFonts w:ascii="Times New Roman" w:hAnsi="Times New Roman" w:cs="Times New Roman"/>
          <w:noProof/>
        </w:rPr>
        <w:tab/>
        <w:t>R. Assaad, I.H. El-adaway, K. Baxmeyer, M. Harman, L. Job, H. Lashley, Allocation of Risks and Responsibilities in Green and Sustainable Buildings, J. Archit. Eng. 27 (2021) 04021002. https://doi.org/10.1061/(asce)ae.1943-5568.0000458.</w:t>
      </w:r>
    </w:p>
    <w:p w14:paraId="1A1FC0E7"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[59]</w:t>
      </w:r>
      <w:r w:rsidRPr="003F317E">
        <w:rPr>
          <w:rFonts w:ascii="Times New Roman" w:hAnsi="Times New Roman" w:cs="Times New Roman"/>
          <w:noProof/>
        </w:rPr>
        <w:tab/>
        <w:t>S. Mohammadi, M.T. Birgonul, Preventing claims in green construction projects through investigating the components of contractual and legal risks, J. Clean. Prod. 139 (2016) 1078–1084. https://doi.org/10.1016/j.jclepro.2016.08.153.</w:t>
      </w:r>
    </w:p>
    <w:p w14:paraId="4F3814B1"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[60]</w:t>
      </w:r>
      <w:r w:rsidRPr="003F317E">
        <w:rPr>
          <w:rFonts w:ascii="Times New Roman" w:hAnsi="Times New Roman" w:cs="Times New Roman"/>
          <w:noProof/>
        </w:rPr>
        <w:tab/>
        <w:t>H.M. Tollin, Green building risks: It’s not easy being green, Environ. Claims J. 23 (2011) 199–213. https://doi.org/10.1080/10406026.2011.593442.</w:t>
      </w:r>
    </w:p>
    <w:p w14:paraId="357E9BAD"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lastRenderedPageBreak/>
        <w:t>[61]</w:t>
      </w:r>
      <w:r w:rsidRPr="003F317E">
        <w:rPr>
          <w:rFonts w:ascii="Times New Roman" w:hAnsi="Times New Roman" w:cs="Times New Roman"/>
          <w:noProof/>
        </w:rPr>
        <w:tab/>
        <w:t>M.S. Ghazvini, V. Ghezavati, S. Raissi, A. Makui, An integrated efficiency-risk approach in sustainable project control, Sustain. 9 (2017) 1–20. https://doi.org/10.3390/su9091575.</w:t>
      </w:r>
    </w:p>
    <w:p w14:paraId="5526F95D"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[62]</w:t>
      </w:r>
      <w:r w:rsidRPr="003F317E">
        <w:rPr>
          <w:rFonts w:ascii="Times New Roman" w:hAnsi="Times New Roman" w:cs="Times New Roman"/>
          <w:noProof/>
        </w:rPr>
        <w:tab/>
        <w:t>J. Górecki, M. Díaz-Madroñero, Who risks and wins?-Simulated cost variance in sustainable construction projects, Sustain. 12 (2020) 1–31. https://doi.org/10.3390/SU12083370.</w:t>
      </w:r>
    </w:p>
    <w:p w14:paraId="5339437E"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[63]</w:t>
      </w:r>
      <w:r w:rsidRPr="003F317E">
        <w:rPr>
          <w:rFonts w:ascii="Times New Roman" w:hAnsi="Times New Roman" w:cs="Times New Roman"/>
          <w:noProof/>
        </w:rPr>
        <w:tab/>
        <w:t>W. Alattyih, H. Haider, H. Boussabaine, Risk factors impacting the project value created by green buildings in Saudi Arabia, Appl. Sci. 10 (2020) 1–32. https://doi.org/10.3390/app10217388.</w:t>
      </w:r>
    </w:p>
    <w:p w14:paraId="56DF2964"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[64]</w:t>
      </w:r>
      <w:r w:rsidRPr="003F317E">
        <w:rPr>
          <w:rFonts w:ascii="Times New Roman" w:hAnsi="Times New Roman" w:cs="Times New Roman"/>
          <w:noProof/>
        </w:rPr>
        <w:tab/>
        <w:t>J. Wadu Mesthrige, H.Y. Kwong, Criteria and barriers for the application of green building features in Hong Kong, Smart Sustain. Built Environ. 7 (2018) 251–276. https://doi.org/10.1108/SASBE-02-2018-0004.</w:t>
      </w:r>
    </w:p>
    <w:p w14:paraId="4A43BB64"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[65]</w:t>
      </w:r>
      <w:r w:rsidRPr="003F317E">
        <w:rPr>
          <w:rFonts w:ascii="Times New Roman" w:hAnsi="Times New Roman" w:cs="Times New Roman"/>
          <w:noProof/>
        </w:rPr>
        <w:tab/>
        <w:t>H.D. Nguyen, Q.N.H. Do, L. Macchion, Influence of practitioners’ characteristics on risk assessment in Green Building projects in emerging economies: a case of Vietnam, Eng. Constr. Archit. Manag. ahead-of-p (2021). https://doi.org/10.1108/ecam-05-2021-0436.</w:t>
      </w:r>
    </w:p>
    <w:p w14:paraId="2378D1E8"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[66]</w:t>
      </w:r>
      <w:r w:rsidRPr="003F317E">
        <w:rPr>
          <w:rFonts w:ascii="Times New Roman" w:hAnsi="Times New Roman" w:cs="Times New Roman"/>
          <w:noProof/>
        </w:rPr>
        <w:tab/>
        <w:t>A.A. Karakhan, J.A. Gambatese, Identification, Quantification, and Classification of Potential Safety Risk for Sustainable Construction in the United States, J. Constr. Eng. Manag. 143 (2017) 04017018. https://doi.org/10.1061/(asce)co.1943-7862.0001302.</w:t>
      </w:r>
    </w:p>
    <w:p w14:paraId="6D197E4E"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[67]</w:t>
      </w:r>
      <w:r w:rsidRPr="003F317E">
        <w:rPr>
          <w:rFonts w:ascii="Times New Roman" w:hAnsi="Times New Roman" w:cs="Times New Roman"/>
          <w:noProof/>
        </w:rPr>
        <w:tab/>
        <w:t>A.F. Mirhosseini, K. Pitera, J. Odeck, M. Welde, Sustainable Project Management: Reducing the Risk of Cost Inaccuracy Using a PLS-SEM Approach, Sustain. 14 (2022) 1–20. https://doi.org/10.3390/su14020960.</w:t>
      </w:r>
    </w:p>
    <w:p w14:paraId="060F6C0D"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[68]</w:t>
      </w:r>
      <w:r w:rsidRPr="003F317E">
        <w:rPr>
          <w:rFonts w:ascii="Times New Roman" w:hAnsi="Times New Roman" w:cs="Times New Roman"/>
          <w:noProof/>
        </w:rPr>
        <w:tab/>
        <w:t>B.R. Fortunato, M.R. Hallowell, M. Behm, K. Dewlaney, Identification of Safety Risks for High-Performance Sustainable Construction Projects, J. Constr. Eng. Manag. 138 (2012) 499–508. https://doi.org/10.1061/(asce)co.1943-7862.0000446.</w:t>
      </w:r>
    </w:p>
    <w:p w14:paraId="18B0EFFD"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[69]</w:t>
      </w:r>
      <w:r w:rsidRPr="003F317E">
        <w:rPr>
          <w:rFonts w:ascii="Times New Roman" w:hAnsi="Times New Roman" w:cs="Times New Roman"/>
          <w:noProof/>
        </w:rPr>
        <w:tab/>
        <w:t>S.M. El-Sayegh, Risk assessment and allocation in the UAE construction industry, Int. J. Proj. Manag. 26 (2008) 431–438. https://doi.org/10.1016/j.ijproman.2007.07.004.</w:t>
      </w:r>
    </w:p>
    <w:p w14:paraId="56F37867"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[70]</w:t>
      </w:r>
      <w:r w:rsidRPr="003F317E">
        <w:rPr>
          <w:rFonts w:ascii="Times New Roman" w:hAnsi="Times New Roman" w:cs="Times New Roman"/>
          <w:noProof/>
        </w:rPr>
        <w:tab/>
        <w:t>L.V. Rosa, A.N. Haddad, P.V.R. de Carvalho, Assessing risk in sustainable construction using the Functional Resonance Analysis Method (FRAM), Cogn. Technol. Work. 17 (2015) 559–573. https://doi.org/10.1007/s10111-015-0337-z.</w:t>
      </w:r>
    </w:p>
    <w:p w14:paraId="555EE9CC"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[71]</w:t>
      </w:r>
      <w:r w:rsidRPr="003F317E">
        <w:rPr>
          <w:rFonts w:ascii="Times New Roman" w:hAnsi="Times New Roman" w:cs="Times New Roman"/>
          <w:noProof/>
        </w:rPr>
        <w:tab/>
        <w:t>N. Winston, Regeneration for sustainable communities? Barriers to implementing sustainable housing in urban areas, Sustain. Dev. 18 (2010) 319–330. https://doi.org/10.1002/sd.399.</w:t>
      </w:r>
    </w:p>
    <w:p w14:paraId="353C23E8"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[72]</w:t>
      </w:r>
      <w:r w:rsidRPr="003F317E">
        <w:rPr>
          <w:rFonts w:ascii="Times New Roman" w:hAnsi="Times New Roman" w:cs="Times New Roman"/>
          <w:noProof/>
        </w:rPr>
        <w:tab/>
        <w:t>X. Zhang, S.R. Mohandes, Occupational Health and Safety in green building construction projects: A holistic Z-numbers-based risk management framework, J. Clean. Prod. 275 (2020) 122788. https://doi.org/10.1016/j.jclepro.2020.122788.</w:t>
      </w:r>
    </w:p>
    <w:p w14:paraId="5F3A4B3A"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[73]</w:t>
      </w:r>
      <w:r w:rsidRPr="003F317E">
        <w:rPr>
          <w:rFonts w:ascii="Times New Roman" w:hAnsi="Times New Roman" w:cs="Times New Roman"/>
          <w:noProof/>
        </w:rPr>
        <w:tab/>
        <w:t>A.D. Rafindadi, M. Mikić, I. Kovačić, Z. Cekić, Global Perception of Sustainable Construction Project Risks, Procedia - Soc. Behav. Sci. 119 (2014) 456–465. https://doi.org/10.1016/j.sbspro.2014.03.051.</w:t>
      </w:r>
    </w:p>
    <w:p w14:paraId="5A64E901"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[74]</w:t>
      </w:r>
      <w:r w:rsidRPr="003F317E">
        <w:rPr>
          <w:rFonts w:ascii="Times New Roman" w:hAnsi="Times New Roman" w:cs="Times New Roman"/>
          <w:noProof/>
        </w:rPr>
        <w:tab/>
        <w:t>C. González-Gaya, J.L. Fuentes-Bargues, F. Brocal-Fernández, A. Sánchez-Lite, M.A. Sebastián-Pérez, Approach to identification and characterization of the new and emerging risks associated with Industrial Green Building, Procedia Manuf. 13 (2017) 1365–1372. https://doi.org/10.1016/j.promfg.2017.09.123.</w:t>
      </w:r>
    </w:p>
    <w:p w14:paraId="6C4BABA5"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[75]</w:t>
      </w:r>
      <w:r w:rsidRPr="003F317E">
        <w:rPr>
          <w:rFonts w:ascii="Times New Roman" w:hAnsi="Times New Roman" w:cs="Times New Roman"/>
          <w:noProof/>
        </w:rPr>
        <w:tab/>
        <w:t xml:space="preserve">R.J. Yang, P.X.W. Zou, Stakeholder-associated risks and their interactions in complex </w:t>
      </w:r>
      <w:r w:rsidRPr="003F317E">
        <w:rPr>
          <w:rFonts w:ascii="Times New Roman" w:hAnsi="Times New Roman" w:cs="Times New Roman"/>
          <w:noProof/>
        </w:rPr>
        <w:lastRenderedPageBreak/>
        <w:t>green building projects: A social network model, Build. Environ. 73 (2014) 208–222. https://doi.org/10.1016/j.buildenv.2013.12.014.</w:t>
      </w:r>
    </w:p>
    <w:p w14:paraId="2E04C271"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[76]</w:t>
      </w:r>
      <w:r w:rsidRPr="003F317E">
        <w:rPr>
          <w:rFonts w:ascii="Times New Roman" w:hAnsi="Times New Roman" w:cs="Times New Roman"/>
          <w:noProof/>
        </w:rPr>
        <w:tab/>
        <w:t>S.R. Mohandes, X. Zhang, Developing a Holistic Occupational Health and Safety risk assessment model: An application to a case of sustainable construction project, J. Clean. Prod. 291 (2021) 125934. https://doi.org/10.1016/j.jclepro.2021.125934.</w:t>
      </w:r>
    </w:p>
    <w:p w14:paraId="07A4394E"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[77]</w:t>
      </w:r>
      <w:r w:rsidRPr="003F317E">
        <w:rPr>
          <w:rFonts w:ascii="Times New Roman" w:hAnsi="Times New Roman" w:cs="Times New Roman"/>
          <w:noProof/>
        </w:rPr>
        <w:tab/>
        <w:t>I.Y. Wuni, A systematic review of the critical success factors for implementing circular economy in construction projects, Sustain. Dev. (2022) 1–19. https://doi.org/10.1002/sd.2449.</w:t>
      </w:r>
    </w:p>
    <w:p w14:paraId="4237070E"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[78]</w:t>
      </w:r>
      <w:r w:rsidRPr="003F317E">
        <w:rPr>
          <w:rFonts w:ascii="Times New Roman" w:hAnsi="Times New Roman" w:cs="Times New Roman"/>
          <w:noProof/>
        </w:rPr>
        <w:tab/>
        <w:t>I.Y. Wuni, Burden of proof beyond the triple bottom line: Mapping the benefits of circular construction, Sustain. Prod. Consum. 34 (2022) 528–540. https://doi.org/10.1016/j.spc.2022.10.006.</w:t>
      </w:r>
    </w:p>
    <w:p w14:paraId="541673E2"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[79]</w:t>
      </w:r>
      <w:r w:rsidRPr="003F317E">
        <w:rPr>
          <w:rFonts w:ascii="Times New Roman" w:hAnsi="Times New Roman" w:cs="Times New Roman"/>
          <w:noProof/>
        </w:rPr>
        <w:tab/>
        <w:t>J. Kaur, R. Sidhu, A. Awasthi, S.K. Srivastava, A Pareto investigation on critical barriers in green supply chain management, Int. J. Manag. Sci. Eng. Manag. 14 (2019) 113–123. https://doi.org/10.1080/17509653.2018.1504237.</w:t>
      </w:r>
    </w:p>
    <w:p w14:paraId="7C689019"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[80]</w:t>
      </w:r>
      <w:r w:rsidRPr="003F317E">
        <w:rPr>
          <w:rFonts w:ascii="Times New Roman" w:hAnsi="Times New Roman" w:cs="Times New Roman"/>
          <w:noProof/>
        </w:rPr>
        <w:tab/>
        <w:t>I.Y. Wuni, Mapping the barriers to circular economy adoption in the construction industry: A systematic review, Pareto analysis, and mitigation strategy map, Build. Environ. 223 (2022). https://doi.org/10.1016/j.buildenv.2022.109453.</w:t>
      </w:r>
    </w:p>
    <w:p w14:paraId="526CF79B"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[81]</w:t>
      </w:r>
      <w:r w:rsidRPr="003F317E">
        <w:rPr>
          <w:rFonts w:ascii="Times New Roman" w:hAnsi="Times New Roman" w:cs="Times New Roman"/>
          <w:noProof/>
        </w:rPr>
        <w:tab/>
        <w:t>S. Sushil, How to check correctness of total interpretive structural models?, Ann. Oper. Res. 270 (2018) 473–487. https://doi.org/10.1007/s10479-016-2312-3.</w:t>
      </w:r>
    </w:p>
    <w:p w14:paraId="3963DE22"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[82]</w:t>
      </w:r>
      <w:r w:rsidRPr="003F317E">
        <w:rPr>
          <w:rFonts w:ascii="Times New Roman" w:hAnsi="Times New Roman" w:cs="Times New Roman"/>
          <w:noProof/>
        </w:rPr>
        <w:tab/>
        <w:t>Construction Industry Institute, Applying Probabilistic Risk Management in Design and Construction Projects, Austin, TX, 2013.</w:t>
      </w:r>
    </w:p>
    <w:p w14:paraId="474D9C9C"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[83]</w:t>
      </w:r>
      <w:r w:rsidRPr="003F317E">
        <w:rPr>
          <w:rFonts w:ascii="Times New Roman" w:hAnsi="Times New Roman" w:cs="Times New Roman"/>
          <w:noProof/>
        </w:rPr>
        <w:tab/>
        <w:t>B.G. Hwang, J.S. Tan, Green building project management: Obstacles and solutions for sustainable development, Sustain. Dev. 20 (2012) 335–349. https://doi.org/10.1002/sd.492.</w:t>
      </w:r>
    </w:p>
    <w:p w14:paraId="077DF9D9"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[84]</w:t>
      </w:r>
      <w:r w:rsidRPr="003F317E">
        <w:rPr>
          <w:rFonts w:ascii="Times New Roman" w:hAnsi="Times New Roman" w:cs="Times New Roman"/>
          <w:noProof/>
        </w:rPr>
        <w:tab/>
        <w:t>H.I. Kroeger, S.P. Simonovic, Development of a risk measure as a sustainable project selection criterion, Int. J. Sustain. Dev. World Ecol. 4 (1997) 274–285. https://doi.org/10.1080/13504509709469962.</w:t>
      </w:r>
    </w:p>
    <w:p w14:paraId="06E69FE6"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[85]</w:t>
      </w:r>
      <w:r w:rsidRPr="003F317E">
        <w:rPr>
          <w:rFonts w:ascii="Times New Roman" w:hAnsi="Times New Roman" w:cs="Times New Roman"/>
          <w:noProof/>
        </w:rPr>
        <w:tab/>
        <w:t>I.Y. Wuni, G.Q. Shen, Stakeholder management in prefabricated prefinished volumetric construction projects: benchmarking the key result areas, Built Environ. Proj. Asset Manag. 10 (2020) 407–421. https://doi.org/10.1108/BEPAM-02-2020-0025.</w:t>
      </w:r>
    </w:p>
    <w:p w14:paraId="5890F885"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[86]</w:t>
      </w:r>
      <w:r w:rsidRPr="003F317E">
        <w:rPr>
          <w:rFonts w:ascii="Times New Roman" w:hAnsi="Times New Roman" w:cs="Times New Roman"/>
          <w:noProof/>
        </w:rPr>
        <w:tab/>
        <w:t>R.J. Yang, P.X.W. Zou, Stakeholder-associated risks and their interactions in complex green building projects: A social network model, Build. Environ. 73 (2014) 208–222. https://doi.org/10.1016/j.buildenv.2013.12.014.</w:t>
      </w:r>
    </w:p>
    <w:p w14:paraId="4C9AE879"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[87]</w:t>
      </w:r>
      <w:r w:rsidRPr="003F317E">
        <w:rPr>
          <w:rFonts w:ascii="Times New Roman" w:hAnsi="Times New Roman" w:cs="Times New Roman"/>
          <w:noProof/>
        </w:rPr>
        <w:tab/>
        <w:t>H. Li, S.T. Ng, M. Skitmore, Stakeholder impact analysis during post-occupancy evaluation of green buildings – A Chinese context, Build. Environ. 128 (2018) 89–95. https://doi.org/10.1016/j.buildenv.2017.11.014.</w:t>
      </w:r>
    </w:p>
    <w:p w14:paraId="6DD541D8"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[88]</w:t>
      </w:r>
      <w:r w:rsidRPr="003F317E">
        <w:rPr>
          <w:rFonts w:ascii="Times New Roman" w:hAnsi="Times New Roman" w:cs="Times New Roman"/>
          <w:noProof/>
        </w:rPr>
        <w:tab/>
        <w:t>I.Y. Wuni, G.Q. Shen, Critical success factors for management of the early stages of prefabricated prefinished volumetric construction project life cycle, Eng. Constr. Archit. Manag. 27 (2020) 2315–2333. https://doi.org/10.1108/ECAM-10-2019-0534.</w:t>
      </w:r>
    </w:p>
    <w:p w14:paraId="294BFE25" w14:textId="77777777" w:rsidR="003F317E" w:rsidRPr="003F317E" w:rsidRDefault="003F317E" w:rsidP="00496140">
      <w:pPr>
        <w:widowControl w:val="0"/>
        <w:autoSpaceDE w:val="0"/>
        <w:autoSpaceDN w:val="0"/>
        <w:adjustRightInd w:val="0"/>
        <w:spacing w:line="276" w:lineRule="auto"/>
        <w:ind w:left="640" w:hanging="640"/>
        <w:jc w:val="both"/>
        <w:rPr>
          <w:rFonts w:ascii="Times New Roman" w:hAnsi="Times New Roman" w:cs="Times New Roman"/>
          <w:noProof/>
        </w:rPr>
      </w:pPr>
      <w:r w:rsidRPr="003F317E">
        <w:rPr>
          <w:rFonts w:ascii="Times New Roman" w:hAnsi="Times New Roman" w:cs="Times New Roman"/>
          <w:noProof/>
        </w:rPr>
        <w:t>[89]</w:t>
      </w:r>
      <w:r w:rsidRPr="003F317E">
        <w:rPr>
          <w:rFonts w:ascii="Times New Roman" w:hAnsi="Times New Roman" w:cs="Times New Roman"/>
          <w:noProof/>
        </w:rPr>
        <w:tab/>
        <w:t>R.J. Yang, P.X.W. Zou, J. Wang, Modelling stakeholder-associated risk networks in green building projects, Int. J. Proj. Manag. 34 (2016) 66–81. https://doi.org/10.1016/j.ijproman.2015.09.010.</w:t>
      </w:r>
    </w:p>
    <w:p w14:paraId="7A56B9B3" w14:textId="5ED85754" w:rsidR="00543C2C" w:rsidRPr="001912F1" w:rsidRDefault="0087096A" w:rsidP="007A6D2D">
      <w:pPr>
        <w:widowControl w:val="0"/>
        <w:autoSpaceDE w:val="0"/>
        <w:autoSpaceDN w:val="0"/>
        <w:adjustRightInd w:val="0"/>
        <w:spacing w:line="360" w:lineRule="auto"/>
        <w:ind w:left="480" w:hanging="480"/>
        <w:jc w:val="both"/>
        <w:rPr>
          <w:rFonts w:ascii="Times New Roman" w:hAnsi="Times New Roman" w:cs="Times New Roman"/>
        </w:rPr>
      </w:pPr>
      <w:r w:rsidRPr="001912F1">
        <w:rPr>
          <w:rFonts w:ascii="Times New Roman" w:hAnsi="Times New Roman" w:cs="Times New Roman"/>
        </w:rPr>
        <w:fldChar w:fldCharType="end"/>
      </w:r>
    </w:p>
    <w:sectPr w:rsidR="00543C2C" w:rsidRPr="001912F1" w:rsidSect="00FD5957">
      <w:footerReference w:type="default" r:id="rId2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EACAF" w14:textId="77777777" w:rsidR="001570BD" w:rsidRDefault="001570BD" w:rsidP="00A65E73">
      <w:r>
        <w:separator/>
      </w:r>
    </w:p>
  </w:endnote>
  <w:endnote w:type="continuationSeparator" w:id="0">
    <w:p w14:paraId="1E8D89FD" w14:textId="77777777" w:rsidR="001570BD" w:rsidRDefault="001570BD" w:rsidP="00A65E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9768921"/>
      <w:docPartObj>
        <w:docPartGallery w:val="Page Numbers (Bottom of Page)"/>
        <w:docPartUnique/>
      </w:docPartObj>
    </w:sdtPr>
    <w:sdtEndPr>
      <w:rPr>
        <w:noProof/>
      </w:rPr>
    </w:sdtEndPr>
    <w:sdtContent>
      <w:p w14:paraId="60F912BB" w14:textId="7F1615AA" w:rsidR="003D6120" w:rsidRDefault="003D612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58A9665" w14:textId="77777777" w:rsidR="003D6120" w:rsidRDefault="003D61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778EB" w14:textId="77777777" w:rsidR="001570BD" w:rsidRDefault="001570BD" w:rsidP="00A65E73">
      <w:r>
        <w:separator/>
      </w:r>
    </w:p>
  </w:footnote>
  <w:footnote w:type="continuationSeparator" w:id="0">
    <w:p w14:paraId="5F7E5690" w14:textId="77777777" w:rsidR="001570BD" w:rsidRDefault="001570BD" w:rsidP="00A65E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43893"/>
    <w:multiLevelType w:val="hybridMultilevel"/>
    <w:tmpl w:val="22C088E2"/>
    <w:lvl w:ilvl="0" w:tplc="04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1" w15:restartNumberingAfterBreak="0">
    <w:nsid w:val="118A1FF1"/>
    <w:multiLevelType w:val="multilevel"/>
    <w:tmpl w:val="AFB8A6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2D44FC9"/>
    <w:multiLevelType w:val="hybridMultilevel"/>
    <w:tmpl w:val="1E4A49AE"/>
    <w:lvl w:ilvl="0" w:tplc="04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3" w15:restartNumberingAfterBreak="0">
    <w:nsid w:val="4AD9218D"/>
    <w:multiLevelType w:val="hybridMultilevel"/>
    <w:tmpl w:val="4EEC3A42"/>
    <w:lvl w:ilvl="0" w:tplc="04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4" w15:restartNumberingAfterBreak="0">
    <w:nsid w:val="4E6E1191"/>
    <w:multiLevelType w:val="hybridMultilevel"/>
    <w:tmpl w:val="AF6AF6F6"/>
    <w:lvl w:ilvl="0" w:tplc="3D7406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BFA5C5A"/>
    <w:multiLevelType w:val="hybridMultilevel"/>
    <w:tmpl w:val="F684E67E"/>
    <w:lvl w:ilvl="0" w:tplc="088094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81317335">
    <w:abstractNumId w:val="1"/>
  </w:num>
  <w:num w:numId="2" w16cid:durableId="102775059">
    <w:abstractNumId w:val="0"/>
  </w:num>
  <w:num w:numId="3" w16cid:durableId="1559248320">
    <w:abstractNumId w:val="2"/>
  </w:num>
  <w:num w:numId="4" w16cid:durableId="517931253">
    <w:abstractNumId w:val="3"/>
  </w:num>
  <w:num w:numId="5" w16cid:durableId="1340620889">
    <w:abstractNumId w:val="5"/>
  </w:num>
  <w:num w:numId="6" w16cid:durableId="20977477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QyMDYxNbEwNbU0NzVV0lEKTi0uzszPAykwrQUAMI9vbiwAAAA="/>
  </w:docVars>
  <w:rsids>
    <w:rsidRoot w:val="00543C2C"/>
    <w:rsid w:val="00003BBE"/>
    <w:rsid w:val="00003D1F"/>
    <w:rsid w:val="000054D3"/>
    <w:rsid w:val="00020016"/>
    <w:rsid w:val="000235C9"/>
    <w:rsid w:val="000239C8"/>
    <w:rsid w:val="00035212"/>
    <w:rsid w:val="00036371"/>
    <w:rsid w:val="00041F50"/>
    <w:rsid w:val="000469A9"/>
    <w:rsid w:val="00050A24"/>
    <w:rsid w:val="00051395"/>
    <w:rsid w:val="00051852"/>
    <w:rsid w:val="00060C61"/>
    <w:rsid w:val="00061E11"/>
    <w:rsid w:val="00065A6D"/>
    <w:rsid w:val="00067B3A"/>
    <w:rsid w:val="0007002F"/>
    <w:rsid w:val="00072369"/>
    <w:rsid w:val="0009172D"/>
    <w:rsid w:val="00091F5F"/>
    <w:rsid w:val="000927B5"/>
    <w:rsid w:val="00093057"/>
    <w:rsid w:val="00093CE0"/>
    <w:rsid w:val="00094F57"/>
    <w:rsid w:val="00095593"/>
    <w:rsid w:val="00096FE5"/>
    <w:rsid w:val="000A1D28"/>
    <w:rsid w:val="000A67FE"/>
    <w:rsid w:val="000B19D1"/>
    <w:rsid w:val="000B4A97"/>
    <w:rsid w:val="000B69AD"/>
    <w:rsid w:val="000D116D"/>
    <w:rsid w:val="000E0CE2"/>
    <w:rsid w:val="000E4660"/>
    <w:rsid w:val="000E4710"/>
    <w:rsid w:val="000F08DB"/>
    <w:rsid w:val="000F199C"/>
    <w:rsid w:val="000F1F02"/>
    <w:rsid w:val="0010279A"/>
    <w:rsid w:val="00107F6E"/>
    <w:rsid w:val="00110501"/>
    <w:rsid w:val="0011313E"/>
    <w:rsid w:val="00113882"/>
    <w:rsid w:val="00121131"/>
    <w:rsid w:val="001217A5"/>
    <w:rsid w:val="00124830"/>
    <w:rsid w:val="00124C9D"/>
    <w:rsid w:val="00124E3C"/>
    <w:rsid w:val="0012715D"/>
    <w:rsid w:val="001343D4"/>
    <w:rsid w:val="00142F5A"/>
    <w:rsid w:val="00147AB7"/>
    <w:rsid w:val="00152505"/>
    <w:rsid w:val="001570BD"/>
    <w:rsid w:val="00161C46"/>
    <w:rsid w:val="00162130"/>
    <w:rsid w:val="00167423"/>
    <w:rsid w:val="0017125C"/>
    <w:rsid w:val="001832F3"/>
    <w:rsid w:val="001912F1"/>
    <w:rsid w:val="001917CA"/>
    <w:rsid w:val="001A57F7"/>
    <w:rsid w:val="001A6E5C"/>
    <w:rsid w:val="001A7990"/>
    <w:rsid w:val="001B0E10"/>
    <w:rsid w:val="001B1329"/>
    <w:rsid w:val="001B654F"/>
    <w:rsid w:val="001C231D"/>
    <w:rsid w:val="001C4A9B"/>
    <w:rsid w:val="001D1B0A"/>
    <w:rsid w:val="001D64A9"/>
    <w:rsid w:val="001D7CCC"/>
    <w:rsid w:val="001E1034"/>
    <w:rsid w:val="001E1255"/>
    <w:rsid w:val="001E31A3"/>
    <w:rsid w:val="001E3B93"/>
    <w:rsid w:val="001F0302"/>
    <w:rsid w:val="001F6B86"/>
    <w:rsid w:val="00200205"/>
    <w:rsid w:val="002039F2"/>
    <w:rsid w:val="00203F19"/>
    <w:rsid w:val="002054F3"/>
    <w:rsid w:val="00205849"/>
    <w:rsid w:val="002073ED"/>
    <w:rsid w:val="0021216C"/>
    <w:rsid w:val="0021259B"/>
    <w:rsid w:val="00221F99"/>
    <w:rsid w:val="00224040"/>
    <w:rsid w:val="00232BBD"/>
    <w:rsid w:val="00244E80"/>
    <w:rsid w:val="00246076"/>
    <w:rsid w:val="00254355"/>
    <w:rsid w:val="0025686E"/>
    <w:rsid w:val="00257826"/>
    <w:rsid w:val="002678B9"/>
    <w:rsid w:val="00270C64"/>
    <w:rsid w:val="0027352C"/>
    <w:rsid w:val="00275A61"/>
    <w:rsid w:val="00280093"/>
    <w:rsid w:val="0028044C"/>
    <w:rsid w:val="00280A9F"/>
    <w:rsid w:val="00283499"/>
    <w:rsid w:val="0028352F"/>
    <w:rsid w:val="00283FB0"/>
    <w:rsid w:val="002A0D5C"/>
    <w:rsid w:val="002A30B1"/>
    <w:rsid w:val="002A7ADE"/>
    <w:rsid w:val="002C35B4"/>
    <w:rsid w:val="002C4F84"/>
    <w:rsid w:val="002C5384"/>
    <w:rsid w:val="002C7B70"/>
    <w:rsid w:val="002D5062"/>
    <w:rsid w:val="002E5BB0"/>
    <w:rsid w:val="002E6A18"/>
    <w:rsid w:val="002F6A2F"/>
    <w:rsid w:val="00305565"/>
    <w:rsid w:val="00305A83"/>
    <w:rsid w:val="00310B75"/>
    <w:rsid w:val="00315758"/>
    <w:rsid w:val="00316A7A"/>
    <w:rsid w:val="003239D4"/>
    <w:rsid w:val="00323A10"/>
    <w:rsid w:val="00324F19"/>
    <w:rsid w:val="00325A97"/>
    <w:rsid w:val="003416A5"/>
    <w:rsid w:val="003423BC"/>
    <w:rsid w:val="00342579"/>
    <w:rsid w:val="00345C20"/>
    <w:rsid w:val="003462E4"/>
    <w:rsid w:val="0035303C"/>
    <w:rsid w:val="003543B6"/>
    <w:rsid w:val="0035502C"/>
    <w:rsid w:val="00355BD9"/>
    <w:rsid w:val="003562AA"/>
    <w:rsid w:val="00361425"/>
    <w:rsid w:val="00361C4F"/>
    <w:rsid w:val="00363554"/>
    <w:rsid w:val="003678AD"/>
    <w:rsid w:val="003722E9"/>
    <w:rsid w:val="00373498"/>
    <w:rsid w:val="003806C6"/>
    <w:rsid w:val="003827F5"/>
    <w:rsid w:val="003972AC"/>
    <w:rsid w:val="00397611"/>
    <w:rsid w:val="003A465D"/>
    <w:rsid w:val="003A6D08"/>
    <w:rsid w:val="003A70E9"/>
    <w:rsid w:val="003B095B"/>
    <w:rsid w:val="003B326A"/>
    <w:rsid w:val="003B387D"/>
    <w:rsid w:val="003B58A1"/>
    <w:rsid w:val="003C1C14"/>
    <w:rsid w:val="003C1D22"/>
    <w:rsid w:val="003C2141"/>
    <w:rsid w:val="003C3DED"/>
    <w:rsid w:val="003D15D2"/>
    <w:rsid w:val="003D6120"/>
    <w:rsid w:val="003F07A7"/>
    <w:rsid w:val="003F308A"/>
    <w:rsid w:val="003F317E"/>
    <w:rsid w:val="003F5309"/>
    <w:rsid w:val="003F6D3D"/>
    <w:rsid w:val="00400BEA"/>
    <w:rsid w:val="00403BFB"/>
    <w:rsid w:val="00413050"/>
    <w:rsid w:val="00417B19"/>
    <w:rsid w:val="00420612"/>
    <w:rsid w:val="00421282"/>
    <w:rsid w:val="004329C1"/>
    <w:rsid w:val="00434FB2"/>
    <w:rsid w:val="00437E0B"/>
    <w:rsid w:val="004419CE"/>
    <w:rsid w:val="004427DF"/>
    <w:rsid w:val="00442B26"/>
    <w:rsid w:val="00445151"/>
    <w:rsid w:val="00446113"/>
    <w:rsid w:val="00451231"/>
    <w:rsid w:val="00456140"/>
    <w:rsid w:val="00456255"/>
    <w:rsid w:val="00463120"/>
    <w:rsid w:val="0046554C"/>
    <w:rsid w:val="004672D8"/>
    <w:rsid w:val="00467373"/>
    <w:rsid w:val="004717CE"/>
    <w:rsid w:val="004739A3"/>
    <w:rsid w:val="00487BC7"/>
    <w:rsid w:val="00496140"/>
    <w:rsid w:val="004965DC"/>
    <w:rsid w:val="004A631D"/>
    <w:rsid w:val="004B2B18"/>
    <w:rsid w:val="004B367E"/>
    <w:rsid w:val="004B6CC0"/>
    <w:rsid w:val="004C0F46"/>
    <w:rsid w:val="004C1FBD"/>
    <w:rsid w:val="004C45FF"/>
    <w:rsid w:val="004C5A16"/>
    <w:rsid w:val="004C6866"/>
    <w:rsid w:val="004C700E"/>
    <w:rsid w:val="004C70A2"/>
    <w:rsid w:val="004D2D24"/>
    <w:rsid w:val="004E02C5"/>
    <w:rsid w:val="004E2BC6"/>
    <w:rsid w:val="004E325D"/>
    <w:rsid w:val="004E4D9A"/>
    <w:rsid w:val="004E531D"/>
    <w:rsid w:val="004E53A3"/>
    <w:rsid w:val="004E5F38"/>
    <w:rsid w:val="004F5AFD"/>
    <w:rsid w:val="004F6317"/>
    <w:rsid w:val="005006D2"/>
    <w:rsid w:val="0050090C"/>
    <w:rsid w:val="00503D7D"/>
    <w:rsid w:val="005063FD"/>
    <w:rsid w:val="00507D57"/>
    <w:rsid w:val="005114E2"/>
    <w:rsid w:val="00511FE9"/>
    <w:rsid w:val="0051666B"/>
    <w:rsid w:val="00520B81"/>
    <w:rsid w:val="0052797F"/>
    <w:rsid w:val="0053775D"/>
    <w:rsid w:val="00543C2C"/>
    <w:rsid w:val="005449A4"/>
    <w:rsid w:val="0054616C"/>
    <w:rsid w:val="00546F12"/>
    <w:rsid w:val="0055498C"/>
    <w:rsid w:val="005552D5"/>
    <w:rsid w:val="00556423"/>
    <w:rsid w:val="00556D3C"/>
    <w:rsid w:val="005607A0"/>
    <w:rsid w:val="005613FF"/>
    <w:rsid w:val="00564102"/>
    <w:rsid w:val="005708F6"/>
    <w:rsid w:val="0057162B"/>
    <w:rsid w:val="00574C7B"/>
    <w:rsid w:val="00575BF1"/>
    <w:rsid w:val="0057721B"/>
    <w:rsid w:val="0058570D"/>
    <w:rsid w:val="005873CF"/>
    <w:rsid w:val="0059083D"/>
    <w:rsid w:val="00594F86"/>
    <w:rsid w:val="00594FDD"/>
    <w:rsid w:val="005A0935"/>
    <w:rsid w:val="005A1485"/>
    <w:rsid w:val="005A58B3"/>
    <w:rsid w:val="005B2E91"/>
    <w:rsid w:val="005B4651"/>
    <w:rsid w:val="005C0AEB"/>
    <w:rsid w:val="005C32DB"/>
    <w:rsid w:val="005C35B9"/>
    <w:rsid w:val="005C3F0C"/>
    <w:rsid w:val="005D08AE"/>
    <w:rsid w:val="005D10D6"/>
    <w:rsid w:val="005D3EDE"/>
    <w:rsid w:val="005E167A"/>
    <w:rsid w:val="005E197F"/>
    <w:rsid w:val="005E242A"/>
    <w:rsid w:val="005E2C0A"/>
    <w:rsid w:val="005E4002"/>
    <w:rsid w:val="005E5881"/>
    <w:rsid w:val="005E5BCF"/>
    <w:rsid w:val="005E67CF"/>
    <w:rsid w:val="005E6CEF"/>
    <w:rsid w:val="005F62FC"/>
    <w:rsid w:val="005F7244"/>
    <w:rsid w:val="006060C5"/>
    <w:rsid w:val="00623FA0"/>
    <w:rsid w:val="006241DB"/>
    <w:rsid w:val="006254FC"/>
    <w:rsid w:val="00625DA2"/>
    <w:rsid w:val="00631F3C"/>
    <w:rsid w:val="00632E00"/>
    <w:rsid w:val="0063526C"/>
    <w:rsid w:val="00640A95"/>
    <w:rsid w:val="00641021"/>
    <w:rsid w:val="006457FA"/>
    <w:rsid w:val="00651840"/>
    <w:rsid w:val="0065461C"/>
    <w:rsid w:val="00655CFA"/>
    <w:rsid w:val="00657383"/>
    <w:rsid w:val="00661246"/>
    <w:rsid w:val="00662B9C"/>
    <w:rsid w:val="00665106"/>
    <w:rsid w:val="0066690A"/>
    <w:rsid w:val="00673ADD"/>
    <w:rsid w:val="0067491F"/>
    <w:rsid w:val="00677B94"/>
    <w:rsid w:val="00682AEE"/>
    <w:rsid w:val="00683C17"/>
    <w:rsid w:val="00687D7A"/>
    <w:rsid w:val="006921D5"/>
    <w:rsid w:val="0069426B"/>
    <w:rsid w:val="00696A1F"/>
    <w:rsid w:val="006A2E97"/>
    <w:rsid w:val="006A494C"/>
    <w:rsid w:val="006A5A9D"/>
    <w:rsid w:val="006A6178"/>
    <w:rsid w:val="006C283B"/>
    <w:rsid w:val="006C2EB2"/>
    <w:rsid w:val="006C3A96"/>
    <w:rsid w:val="006C4D63"/>
    <w:rsid w:val="006C5BF2"/>
    <w:rsid w:val="006C5DED"/>
    <w:rsid w:val="006D4C28"/>
    <w:rsid w:val="006D5D1F"/>
    <w:rsid w:val="006D70EB"/>
    <w:rsid w:val="006E39A2"/>
    <w:rsid w:val="006E69CA"/>
    <w:rsid w:val="006F111A"/>
    <w:rsid w:val="006F294D"/>
    <w:rsid w:val="006F2997"/>
    <w:rsid w:val="006F2A5F"/>
    <w:rsid w:val="006F593C"/>
    <w:rsid w:val="006F7DB4"/>
    <w:rsid w:val="007002ED"/>
    <w:rsid w:val="00702660"/>
    <w:rsid w:val="00705E73"/>
    <w:rsid w:val="007073F7"/>
    <w:rsid w:val="0071169D"/>
    <w:rsid w:val="00712EBF"/>
    <w:rsid w:val="00714B09"/>
    <w:rsid w:val="0071673C"/>
    <w:rsid w:val="00720001"/>
    <w:rsid w:val="007205BE"/>
    <w:rsid w:val="00721B00"/>
    <w:rsid w:val="00737007"/>
    <w:rsid w:val="00740DF2"/>
    <w:rsid w:val="00747F1D"/>
    <w:rsid w:val="00751FF1"/>
    <w:rsid w:val="007555A6"/>
    <w:rsid w:val="00757AAE"/>
    <w:rsid w:val="007621B7"/>
    <w:rsid w:val="007642BB"/>
    <w:rsid w:val="00765B05"/>
    <w:rsid w:val="007678DB"/>
    <w:rsid w:val="00767C83"/>
    <w:rsid w:val="00773503"/>
    <w:rsid w:val="007806BB"/>
    <w:rsid w:val="00791169"/>
    <w:rsid w:val="00792D4F"/>
    <w:rsid w:val="00792E25"/>
    <w:rsid w:val="0079428E"/>
    <w:rsid w:val="00797DC8"/>
    <w:rsid w:val="007A5BD1"/>
    <w:rsid w:val="007A5E18"/>
    <w:rsid w:val="007A6D2D"/>
    <w:rsid w:val="007A72CF"/>
    <w:rsid w:val="007B2592"/>
    <w:rsid w:val="007B27EF"/>
    <w:rsid w:val="007B56EE"/>
    <w:rsid w:val="007C114A"/>
    <w:rsid w:val="007D0856"/>
    <w:rsid w:val="007E0157"/>
    <w:rsid w:val="007E19E2"/>
    <w:rsid w:val="007E2D66"/>
    <w:rsid w:val="007E3F49"/>
    <w:rsid w:val="007E5E3F"/>
    <w:rsid w:val="007E6E2C"/>
    <w:rsid w:val="0080419E"/>
    <w:rsid w:val="00804687"/>
    <w:rsid w:val="008049B7"/>
    <w:rsid w:val="00805BDF"/>
    <w:rsid w:val="00807E06"/>
    <w:rsid w:val="008111F5"/>
    <w:rsid w:val="0081467E"/>
    <w:rsid w:val="00816241"/>
    <w:rsid w:val="00825EEA"/>
    <w:rsid w:val="00831EE2"/>
    <w:rsid w:val="0083295A"/>
    <w:rsid w:val="00833D85"/>
    <w:rsid w:val="00835912"/>
    <w:rsid w:val="00836EC5"/>
    <w:rsid w:val="0083724F"/>
    <w:rsid w:val="008441FF"/>
    <w:rsid w:val="00844FED"/>
    <w:rsid w:val="00856005"/>
    <w:rsid w:val="00865CFF"/>
    <w:rsid w:val="0087096A"/>
    <w:rsid w:val="00880301"/>
    <w:rsid w:val="0088176E"/>
    <w:rsid w:val="00881F7E"/>
    <w:rsid w:val="008820ED"/>
    <w:rsid w:val="008855EC"/>
    <w:rsid w:val="008859A3"/>
    <w:rsid w:val="00886A86"/>
    <w:rsid w:val="00893564"/>
    <w:rsid w:val="008964D6"/>
    <w:rsid w:val="008A4751"/>
    <w:rsid w:val="008A647D"/>
    <w:rsid w:val="008A7773"/>
    <w:rsid w:val="008B0C6A"/>
    <w:rsid w:val="008B1DE1"/>
    <w:rsid w:val="008B6B42"/>
    <w:rsid w:val="008C3F7D"/>
    <w:rsid w:val="008C7894"/>
    <w:rsid w:val="008D536F"/>
    <w:rsid w:val="008D64E2"/>
    <w:rsid w:val="008D65A1"/>
    <w:rsid w:val="008D65CB"/>
    <w:rsid w:val="008E1F62"/>
    <w:rsid w:val="008E29C8"/>
    <w:rsid w:val="008E3028"/>
    <w:rsid w:val="008E3C98"/>
    <w:rsid w:val="008E3E33"/>
    <w:rsid w:val="008F0560"/>
    <w:rsid w:val="008F505A"/>
    <w:rsid w:val="008F7845"/>
    <w:rsid w:val="00901302"/>
    <w:rsid w:val="0090218E"/>
    <w:rsid w:val="00903D64"/>
    <w:rsid w:val="00904251"/>
    <w:rsid w:val="00914008"/>
    <w:rsid w:val="009167FA"/>
    <w:rsid w:val="0092459B"/>
    <w:rsid w:val="00927842"/>
    <w:rsid w:val="0093052C"/>
    <w:rsid w:val="009323FB"/>
    <w:rsid w:val="00932F69"/>
    <w:rsid w:val="009366D4"/>
    <w:rsid w:val="00936FD5"/>
    <w:rsid w:val="00937432"/>
    <w:rsid w:val="0094554B"/>
    <w:rsid w:val="0094663C"/>
    <w:rsid w:val="00946AFF"/>
    <w:rsid w:val="00951EED"/>
    <w:rsid w:val="00955DD8"/>
    <w:rsid w:val="00957DF9"/>
    <w:rsid w:val="0096203B"/>
    <w:rsid w:val="009631C1"/>
    <w:rsid w:val="00963E14"/>
    <w:rsid w:val="009650FC"/>
    <w:rsid w:val="009746AE"/>
    <w:rsid w:val="00976E82"/>
    <w:rsid w:val="009806E4"/>
    <w:rsid w:val="00981349"/>
    <w:rsid w:val="00984510"/>
    <w:rsid w:val="009911CE"/>
    <w:rsid w:val="00991AAE"/>
    <w:rsid w:val="00993B9D"/>
    <w:rsid w:val="00995BE0"/>
    <w:rsid w:val="009A3965"/>
    <w:rsid w:val="009A501B"/>
    <w:rsid w:val="009A7153"/>
    <w:rsid w:val="009B1F8A"/>
    <w:rsid w:val="009B46E0"/>
    <w:rsid w:val="009B7183"/>
    <w:rsid w:val="009C25A2"/>
    <w:rsid w:val="009C620C"/>
    <w:rsid w:val="009D63F9"/>
    <w:rsid w:val="009D7ADC"/>
    <w:rsid w:val="009E18DC"/>
    <w:rsid w:val="009E7529"/>
    <w:rsid w:val="00A05DBB"/>
    <w:rsid w:val="00A06958"/>
    <w:rsid w:val="00A146D9"/>
    <w:rsid w:val="00A14CA7"/>
    <w:rsid w:val="00A172E2"/>
    <w:rsid w:val="00A26AAF"/>
    <w:rsid w:val="00A275D7"/>
    <w:rsid w:val="00A315D8"/>
    <w:rsid w:val="00A33028"/>
    <w:rsid w:val="00A33111"/>
    <w:rsid w:val="00A348DE"/>
    <w:rsid w:val="00A35EB6"/>
    <w:rsid w:val="00A364AF"/>
    <w:rsid w:val="00A40440"/>
    <w:rsid w:val="00A40CEE"/>
    <w:rsid w:val="00A4388F"/>
    <w:rsid w:val="00A45382"/>
    <w:rsid w:val="00A46271"/>
    <w:rsid w:val="00A53032"/>
    <w:rsid w:val="00A608B6"/>
    <w:rsid w:val="00A614F1"/>
    <w:rsid w:val="00A62B4B"/>
    <w:rsid w:val="00A656EF"/>
    <w:rsid w:val="00A65E73"/>
    <w:rsid w:val="00A67585"/>
    <w:rsid w:val="00A678B5"/>
    <w:rsid w:val="00A726AA"/>
    <w:rsid w:val="00A734B2"/>
    <w:rsid w:val="00A832E1"/>
    <w:rsid w:val="00A8485C"/>
    <w:rsid w:val="00A86E51"/>
    <w:rsid w:val="00AA031F"/>
    <w:rsid w:val="00AA5DBD"/>
    <w:rsid w:val="00AB241E"/>
    <w:rsid w:val="00AC295D"/>
    <w:rsid w:val="00AD20B6"/>
    <w:rsid w:val="00AD5391"/>
    <w:rsid w:val="00AD69F2"/>
    <w:rsid w:val="00AD6F52"/>
    <w:rsid w:val="00AE1FB5"/>
    <w:rsid w:val="00AE740F"/>
    <w:rsid w:val="00AF1529"/>
    <w:rsid w:val="00AF28A3"/>
    <w:rsid w:val="00AF2A73"/>
    <w:rsid w:val="00AF529E"/>
    <w:rsid w:val="00B00B91"/>
    <w:rsid w:val="00B14648"/>
    <w:rsid w:val="00B16009"/>
    <w:rsid w:val="00B20F77"/>
    <w:rsid w:val="00B252B8"/>
    <w:rsid w:val="00B260F4"/>
    <w:rsid w:val="00B32CAD"/>
    <w:rsid w:val="00B3446F"/>
    <w:rsid w:val="00B354C3"/>
    <w:rsid w:val="00B40779"/>
    <w:rsid w:val="00B413F5"/>
    <w:rsid w:val="00B44DBE"/>
    <w:rsid w:val="00B45535"/>
    <w:rsid w:val="00B51CED"/>
    <w:rsid w:val="00B52E35"/>
    <w:rsid w:val="00B53547"/>
    <w:rsid w:val="00B5365A"/>
    <w:rsid w:val="00B53F9F"/>
    <w:rsid w:val="00B56174"/>
    <w:rsid w:val="00B6579D"/>
    <w:rsid w:val="00B70D9A"/>
    <w:rsid w:val="00B71B38"/>
    <w:rsid w:val="00B7464F"/>
    <w:rsid w:val="00B74C37"/>
    <w:rsid w:val="00B80293"/>
    <w:rsid w:val="00B91FAC"/>
    <w:rsid w:val="00B96BB1"/>
    <w:rsid w:val="00BA062C"/>
    <w:rsid w:val="00BA1814"/>
    <w:rsid w:val="00BA5C76"/>
    <w:rsid w:val="00BA6261"/>
    <w:rsid w:val="00BA7710"/>
    <w:rsid w:val="00BC48D8"/>
    <w:rsid w:val="00BC6D5E"/>
    <w:rsid w:val="00BC7F7E"/>
    <w:rsid w:val="00BD5845"/>
    <w:rsid w:val="00BD7429"/>
    <w:rsid w:val="00BD786B"/>
    <w:rsid w:val="00BE17AA"/>
    <w:rsid w:val="00BE6A45"/>
    <w:rsid w:val="00BE721B"/>
    <w:rsid w:val="00BF52E9"/>
    <w:rsid w:val="00BF626E"/>
    <w:rsid w:val="00BF76CD"/>
    <w:rsid w:val="00C01D78"/>
    <w:rsid w:val="00C02264"/>
    <w:rsid w:val="00C03D51"/>
    <w:rsid w:val="00C0501F"/>
    <w:rsid w:val="00C0573C"/>
    <w:rsid w:val="00C07CA9"/>
    <w:rsid w:val="00C12B3E"/>
    <w:rsid w:val="00C14800"/>
    <w:rsid w:val="00C166B0"/>
    <w:rsid w:val="00C22B52"/>
    <w:rsid w:val="00C334A4"/>
    <w:rsid w:val="00C36DBC"/>
    <w:rsid w:val="00C44D3A"/>
    <w:rsid w:val="00C47CDB"/>
    <w:rsid w:val="00C541A4"/>
    <w:rsid w:val="00C57108"/>
    <w:rsid w:val="00C6319F"/>
    <w:rsid w:val="00C739BF"/>
    <w:rsid w:val="00C808E7"/>
    <w:rsid w:val="00C823B9"/>
    <w:rsid w:val="00C83D0E"/>
    <w:rsid w:val="00C85DF6"/>
    <w:rsid w:val="00C872FF"/>
    <w:rsid w:val="00C917FF"/>
    <w:rsid w:val="00C92085"/>
    <w:rsid w:val="00C931F3"/>
    <w:rsid w:val="00C96166"/>
    <w:rsid w:val="00C979D8"/>
    <w:rsid w:val="00CA4774"/>
    <w:rsid w:val="00CA5706"/>
    <w:rsid w:val="00CA5C84"/>
    <w:rsid w:val="00CA703F"/>
    <w:rsid w:val="00CB11BE"/>
    <w:rsid w:val="00CB26EF"/>
    <w:rsid w:val="00CB2C85"/>
    <w:rsid w:val="00CB5D49"/>
    <w:rsid w:val="00CB6930"/>
    <w:rsid w:val="00CB768B"/>
    <w:rsid w:val="00CB7B8E"/>
    <w:rsid w:val="00CC0890"/>
    <w:rsid w:val="00CC59E4"/>
    <w:rsid w:val="00CC7035"/>
    <w:rsid w:val="00CD4CFE"/>
    <w:rsid w:val="00CD7F2E"/>
    <w:rsid w:val="00CE0669"/>
    <w:rsid w:val="00CE0AAF"/>
    <w:rsid w:val="00CE221B"/>
    <w:rsid w:val="00CE7718"/>
    <w:rsid w:val="00CF4783"/>
    <w:rsid w:val="00D01F7E"/>
    <w:rsid w:val="00D02060"/>
    <w:rsid w:val="00D07428"/>
    <w:rsid w:val="00D17976"/>
    <w:rsid w:val="00D20FD9"/>
    <w:rsid w:val="00D21C1B"/>
    <w:rsid w:val="00D24887"/>
    <w:rsid w:val="00D314A2"/>
    <w:rsid w:val="00D3467B"/>
    <w:rsid w:val="00D418FE"/>
    <w:rsid w:val="00D43799"/>
    <w:rsid w:val="00D50BD0"/>
    <w:rsid w:val="00D522F8"/>
    <w:rsid w:val="00D609F7"/>
    <w:rsid w:val="00D60A60"/>
    <w:rsid w:val="00D61A4F"/>
    <w:rsid w:val="00D675D1"/>
    <w:rsid w:val="00D70DC2"/>
    <w:rsid w:val="00D7207C"/>
    <w:rsid w:val="00D7271A"/>
    <w:rsid w:val="00D73FB9"/>
    <w:rsid w:val="00D841B7"/>
    <w:rsid w:val="00D86C3E"/>
    <w:rsid w:val="00D87A4B"/>
    <w:rsid w:val="00D974BF"/>
    <w:rsid w:val="00DA3822"/>
    <w:rsid w:val="00DA4359"/>
    <w:rsid w:val="00DA452C"/>
    <w:rsid w:val="00DA4EFA"/>
    <w:rsid w:val="00DB2193"/>
    <w:rsid w:val="00DB309D"/>
    <w:rsid w:val="00DB4A27"/>
    <w:rsid w:val="00DC27DD"/>
    <w:rsid w:val="00DC3F97"/>
    <w:rsid w:val="00DC4F50"/>
    <w:rsid w:val="00DD2633"/>
    <w:rsid w:val="00DD4A15"/>
    <w:rsid w:val="00DD6346"/>
    <w:rsid w:val="00DD7387"/>
    <w:rsid w:val="00DE0DA3"/>
    <w:rsid w:val="00DE10D1"/>
    <w:rsid w:val="00DE2C85"/>
    <w:rsid w:val="00DF2371"/>
    <w:rsid w:val="00E05A0A"/>
    <w:rsid w:val="00E05E61"/>
    <w:rsid w:val="00E16575"/>
    <w:rsid w:val="00E17DC2"/>
    <w:rsid w:val="00E22D8A"/>
    <w:rsid w:val="00E33425"/>
    <w:rsid w:val="00E36154"/>
    <w:rsid w:val="00E37653"/>
    <w:rsid w:val="00E400D8"/>
    <w:rsid w:val="00E4032A"/>
    <w:rsid w:val="00E474D4"/>
    <w:rsid w:val="00E51581"/>
    <w:rsid w:val="00E546D1"/>
    <w:rsid w:val="00E550BF"/>
    <w:rsid w:val="00E666BC"/>
    <w:rsid w:val="00E72B00"/>
    <w:rsid w:val="00E75225"/>
    <w:rsid w:val="00E76420"/>
    <w:rsid w:val="00E8282B"/>
    <w:rsid w:val="00E90A0E"/>
    <w:rsid w:val="00E929A6"/>
    <w:rsid w:val="00EA0769"/>
    <w:rsid w:val="00EA0E13"/>
    <w:rsid w:val="00EA4BF4"/>
    <w:rsid w:val="00EB108B"/>
    <w:rsid w:val="00EB37E8"/>
    <w:rsid w:val="00EB44BD"/>
    <w:rsid w:val="00EC637E"/>
    <w:rsid w:val="00EE09DD"/>
    <w:rsid w:val="00EE28AA"/>
    <w:rsid w:val="00EE3A8F"/>
    <w:rsid w:val="00EE4DDB"/>
    <w:rsid w:val="00EF0132"/>
    <w:rsid w:val="00EF0768"/>
    <w:rsid w:val="00EF4687"/>
    <w:rsid w:val="00EF573B"/>
    <w:rsid w:val="00EF713A"/>
    <w:rsid w:val="00F048F4"/>
    <w:rsid w:val="00F04D41"/>
    <w:rsid w:val="00F12C4D"/>
    <w:rsid w:val="00F13F9F"/>
    <w:rsid w:val="00F16D79"/>
    <w:rsid w:val="00F2069D"/>
    <w:rsid w:val="00F20E40"/>
    <w:rsid w:val="00F24545"/>
    <w:rsid w:val="00F2613C"/>
    <w:rsid w:val="00F26C4B"/>
    <w:rsid w:val="00F27ABC"/>
    <w:rsid w:val="00F306BF"/>
    <w:rsid w:val="00F3449B"/>
    <w:rsid w:val="00F349E6"/>
    <w:rsid w:val="00F435A4"/>
    <w:rsid w:val="00F44128"/>
    <w:rsid w:val="00F52967"/>
    <w:rsid w:val="00F5458E"/>
    <w:rsid w:val="00F55BE6"/>
    <w:rsid w:val="00F573A3"/>
    <w:rsid w:val="00F64972"/>
    <w:rsid w:val="00F67E30"/>
    <w:rsid w:val="00F721C2"/>
    <w:rsid w:val="00F726B7"/>
    <w:rsid w:val="00F73479"/>
    <w:rsid w:val="00F75AD1"/>
    <w:rsid w:val="00F820A6"/>
    <w:rsid w:val="00F86C05"/>
    <w:rsid w:val="00F90909"/>
    <w:rsid w:val="00FA0954"/>
    <w:rsid w:val="00FA4FCA"/>
    <w:rsid w:val="00FB1DA1"/>
    <w:rsid w:val="00FB384A"/>
    <w:rsid w:val="00FB454F"/>
    <w:rsid w:val="00FB5807"/>
    <w:rsid w:val="00FB778F"/>
    <w:rsid w:val="00FC78F8"/>
    <w:rsid w:val="00FD1543"/>
    <w:rsid w:val="00FD1797"/>
    <w:rsid w:val="00FD5957"/>
    <w:rsid w:val="00FE0A69"/>
    <w:rsid w:val="00FE2934"/>
    <w:rsid w:val="00FE3E79"/>
    <w:rsid w:val="00FE6D1C"/>
    <w:rsid w:val="00FF173E"/>
    <w:rsid w:val="00FF5656"/>
  </w:rsids>
  <m:mathPr>
    <m:mathFont m:val="Cambria Math"/>
    <m:brkBin m:val="before"/>
    <m:brkBinSub m:val="--"/>
    <m:smallFrac m:val="0"/>
    <m:dispDef/>
    <m:lMargin m:val="0"/>
    <m:rMargin m:val="0"/>
    <m:defJc m:val="centerGroup"/>
    <m:wrapIndent m:val="1440"/>
    <m:intLim m:val="subSup"/>
    <m:naryLim m:val="undOvr"/>
  </m:mathPr>
  <w:themeFontLang w:val="en-HK"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F3FB20"/>
  <w15:chartTrackingRefBased/>
  <w15:docId w15:val="{9048ED98-BA54-3540-A4B3-881AE24BE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en-H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593C"/>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3C2C"/>
    <w:pPr>
      <w:ind w:left="720"/>
      <w:contextualSpacing/>
    </w:pPr>
  </w:style>
  <w:style w:type="character" w:styleId="Hyperlink">
    <w:name w:val="Hyperlink"/>
    <w:basedOn w:val="DefaultParagraphFont"/>
    <w:uiPriority w:val="99"/>
    <w:unhideWhenUsed/>
    <w:rsid w:val="001A57F7"/>
    <w:rPr>
      <w:color w:val="0563C1" w:themeColor="hyperlink"/>
      <w:u w:val="single"/>
    </w:rPr>
  </w:style>
  <w:style w:type="character" w:styleId="UnresolvedMention">
    <w:name w:val="Unresolved Mention"/>
    <w:basedOn w:val="DefaultParagraphFont"/>
    <w:uiPriority w:val="99"/>
    <w:semiHidden/>
    <w:unhideWhenUsed/>
    <w:rsid w:val="001A57F7"/>
    <w:rPr>
      <w:color w:val="605E5C"/>
      <w:shd w:val="clear" w:color="auto" w:fill="E1DFDD"/>
    </w:rPr>
  </w:style>
  <w:style w:type="paragraph" w:styleId="Header">
    <w:name w:val="header"/>
    <w:basedOn w:val="Normal"/>
    <w:link w:val="HeaderChar"/>
    <w:uiPriority w:val="99"/>
    <w:unhideWhenUsed/>
    <w:rsid w:val="00A65E73"/>
    <w:pPr>
      <w:tabs>
        <w:tab w:val="center" w:pos="4680"/>
        <w:tab w:val="right" w:pos="9360"/>
      </w:tabs>
    </w:pPr>
  </w:style>
  <w:style w:type="character" w:customStyle="1" w:styleId="HeaderChar">
    <w:name w:val="Header Char"/>
    <w:basedOn w:val="DefaultParagraphFont"/>
    <w:link w:val="Header"/>
    <w:uiPriority w:val="99"/>
    <w:rsid w:val="00A65E73"/>
  </w:style>
  <w:style w:type="paragraph" w:styleId="Footer">
    <w:name w:val="footer"/>
    <w:basedOn w:val="Normal"/>
    <w:link w:val="FooterChar"/>
    <w:uiPriority w:val="99"/>
    <w:unhideWhenUsed/>
    <w:rsid w:val="00A65E73"/>
    <w:pPr>
      <w:tabs>
        <w:tab w:val="center" w:pos="4680"/>
        <w:tab w:val="right" w:pos="9360"/>
      </w:tabs>
    </w:pPr>
  </w:style>
  <w:style w:type="character" w:customStyle="1" w:styleId="FooterChar">
    <w:name w:val="Footer Char"/>
    <w:basedOn w:val="DefaultParagraphFont"/>
    <w:link w:val="Footer"/>
    <w:uiPriority w:val="99"/>
    <w:rsid w:val="00A65E73"/>
  </w:style>
  <w:style w:type="character" w:styleId="PlaceholderText">
    <w:name w:val="Placeholder Text"/>
    <w:basedOn w:val="DefaultParagraphFont"/>
    <w:uiPriority w:val="99"/>
    <w:semiHidden/>
    <w:rsid w:val="00DA452C"/>
    <w:rPr>
      <w:color w:val="808080"/>
    </w:rPr>
  </w:style>
  <w:style w:type="table" w:styleId="TableGrid">
    <w:name w:val="Table Grid"/>
    <w:basedOn w:val="TableNormal"/>
    <w:uiPriority w:val="39"/>
    <w:rsid w:val="00E764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05DBB"/>
  </w:style>
  <w:style w:type="table" w:customStyle="1" w:styleId="TableGrid1">
    <w:name w:val="Table Grid1"/>
    <w:basedOn w:val="TableNormal"/>
    <w:next w:val="TableGrid"/>
    <w:uiPriority w:val="39"/>
    <w:rsid w:val="00A05DBB"/>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05DBB"/>
    <w:rPr>
      <w:color w:val="954F72" w:themeColor="followedHyperlink"/>
      <w:u w:val="single"/>
    </w:rPr>
  </w:style>
  <w:style w:type="table" w:styleId="LightList-Accent3">
    <w:name w:val="Light List Accent 3"/>
    <w:basedOn w:val="TableNormal"/>
    <w:uiPriority w:val="61"/>
    <w:rsid w:val="00A05DBB"/>
    <w:rPr>
      <w:rFonts w:eastAsiaTheme="minorEastAsia"/>
      <w:sz w:val="22"/>
      <w:szCs w:val="22"/>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styleId="LineNumber">
    <w:name w:val="line number"/>
    <w:basedOn w:val="DefaultParagraphFont"/>
    <w:uiPriority w:val="99"/>
    <w:semiHidden/>
    <w:unhideWhenUsed/>
    <w:rsid w:val="00445151"/>
  </w:style>
  <w:style w:type="paragraph" w:styleId="Revision">
    <w:name w:val="Revision"/>
    <w:hidden/>
    <w:uiPriority w:val="99"/>
    <w:semiHidden/>
    <w:rsid w:val="00D24887"/>
  </w:style>
  <w:style w:type="character" w:styleId="CommentReference">
    <w:name w:val="annotation reference"/>
    <w:basedOn w:val="DefaultParagraphFont"/>
    <w:uiPriority w:val="99"/>
    <w:semiHidden/>
    <w:unhideWhenUsed/>
    <w:rsid w:val="00CA5C84"/>
    <w:rPr>
      <w:sz w:val="16"/>
      <w:szCs w:val="16"/>
    </w:rPr>
  </w:style>
  <w:style w:type="paragraph" w:styleId="CommentText">
    <w:name w:val="annotation text"/>
    <w:basedOn w:val="Normal"/>
    <w:link w:val="CommentTextChar"/>
    <w:uiPriority w:val="99"/>
    <w:unhideWhenUsed/>
    <w:rsid w:val="00CA5C84"/>
    <w:rPr>
      <w:sz w:val="20"/>
      <w:szCs w:val="20"/>
    </w:rPr>
  </w:style>
  <w:style w:type="character" w:customStyle="1" w:styleId="CommentTextChar">
    <w:name w:val="Comment Text Char"/>
    <w:basedOn w:val="DefaultParagraphFont"/>
    <w:link w:val="CommentText"/>
    <w:uiPriority w:val="99"/>
    <w:rsid w:val="00CA5C84"/>
    <w:rPr>
      <w:sz w:val="20"/>
      <w:szCs w:val="20"/>
    </w:rPr>
  </w:style>
  <w:style w:type="paragraph" w:styleId="CommentSubject">
    <w:name w:val="annotation subject"/>
    <w:basedOn w:val="CommentText"/>
    <w:next w:val="CommentText"/>
    <w:link w:val="CommentSubjectChar"/>
    <w:uiPriority w:val="99"/>
    <w:semiHidden/>
    <w:unhideWhenUsed/>
    <w:rsid w:val="00CA5C84"/>
    <w:rPr>
      <w:b/>
      <w:bCs/>
    </w:rPr>
  </w:style>
  <w:style w:type="character" w:customStyle="1" w:styleId="CommentSubjectChar">
    <w:name w:val="Comment Subject Char"/>
    <w:basedOn w:val="CommentTextChar"/>
    <w:link w:val="CommentSubject"/>
    <w:uiPriority w:val="99"/>
    <w:semiHidden/>
    <w:rsid w:val="00CA5C84"/>
    <w:rPr>
      <w:b/>
      <w:bCs/>
      <w:sz w:val="20"/>
      <w:szCs w:val="20"/>
    </w:rPr>
  </w:style>
  <w:style w:type="paragraph" w:styleId="BalloonText">
    <w:name w:val="Balloon Text"/>
    <w:basedOn w:val="Normal"/>
    <w:link w:val="BalloonTextChar"/>
    <w:uiPriority w:val="99"/>
    <w:semiHidden/>
    <w:unhideWhenUsed/>
    <w:rsid w:val="001217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17A5"/>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8433441">
      <w:bodyDiv w:val="1"/>
      <w:marLeft w:val="0"/>
      <w:marRight w:val="0"/>
      <w:marTop w:val="0"/>
      <w:marBottom w:val="0"/>
      <w:divBdr>
        <w:top w:val="none" w:sz="0" w:space="0" w:color="auto"/>
        <w:left w:val="none" w:sz="0" w:space="0" w:color="auto"/>
        <w:bottom w:val="none" w:sz="0" w:space="0" w:color="auto"/>
        <w:right w:val="none" w:sz="0" w:space="0" w:color="auto"/>
      </w:divBdr>
    </w:div>
    <w:div w:id="1168058833">
      <w:bodyDiv w:val="1"/>
      <w:marLeft w:val="0"/>
      <w:marRight w:val="0"/>
      <w:marTop w:val="0"/>
      <w:marBottom w:val="0"/>
      <w:divBdr>
        <w:top w:val="none" w:sz="0" w:space="0" w:color="auto"/>
        <w:left w:val="none" w:sz="0" w:space="0" w:color="auto"/>
        <w:bottom w:val="none" w:sz="0" w:space="0" w:color="auto"/>
        <w:right w:val="none" w:sz="0" w:space="0" w:color="auto"/>
      </w:divBdr>
    </w:div>
    <w:div w:id="1286353649">
      <w:bodyDiv w:val="1"/>
      <w:marLeft w:val="0"/>
      <w:marRight w:val="0"/>
      <w:marTop w:val="0"/>
      <w:marBottom w:val="0"/>
      <w:divBdr>
        <w:top w:val="none" w:sz="0" w:space="0" w:color="auto"/>
        <w:left w:val="none" w:sz="0" w:space="0" w:color="auto"/>
        <w:bottom w:val="none" w:sz="0" w:space="0" w:color="auto"/>
        <w:right w:val="none" w:sz="0" w:space="0" w:color="auto"/>
      </w:divBdr>
    </w:div>
    <w:div w:id="1519614003">
      <w:bodyDiv w:val="1"/>
      <w:marLeft w:val="0"/>
      <w:marRight w:val="0"/>
      <w:marTop w:val="0"/>
      <w:marBottom w:val="0"/>
      <w:divBdr>
        <w:top w:val="none" w:sz="0" w:space="0" w:color="auto"/>
        <w:left w:val="none" w:sz="0" w:space="0" w:color="auto"/>
        <w:bottom w:val="none" w:sz="0" w:space="0" w:color="auto"/>
        <w:right w:val="none" w:sz="0" w:space="0" w:color="auto"/>
      </w:divBdr>
    </w:div>
    <w:div w:id="1918199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tmp"/><Relationship Id="rId18" Type="http://schemas.openxmlformats.org/officeDocument/2006/relationships/image" Target="media/image7.tm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6.tmp"/><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package" Target="embeddings/Microsoft_Visio_Drawing13.vsdx"/><Relationship Id="rId10" Type="http://schemas.openxmlformats.org/officeDocument/2006/relationships/chart" Target="charts/chart1.xml"/><Relationship Id="rId19" Type="http://schemas.openxmlformats.org/officeDocument/2006/relationships/image" Target="media/image8.tmp"/><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image" Target="media/image3.tmp"/><Relationship Id="rId22" Type="http://schemas.openxmlformats.org/officeDocument/2006/relationships/image" Target="media/image11.emf"/><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2"/>
            </a:solidFill>
            <a:ln>
              <a:solidFill>
                <a:schemeClr val="bg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31750" cap="rnd">
                <a:solidFill>
                  <a:srgbClr val="0070C0"/>
                </a:solidFill>
                <a:prstDash val="sysDot"/>
              </a:ln>
              <a:effectLst/>
            </c:spPr>
            <c:trendlineType val="linear"/>
            <c:dispRSqr val="0"/>
            <c:dispEq val="0"/>
          </c:trendline>
          <c:cat>
            <c:numRef>
              <c:f>'Basic Information'!$A$2:$A$17</c:f>
              <c:numCache>
                <c:formatCode>General</c:formatCode>
                <c:ptCount val="16"/>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2020</c:v>
                </c:pt>
                <c:pt idx="14">
                  <c:v>2021</c:v>
                </c:pt>
                <c:pt idx="15">
                  <c:v>2022</c:v>
                </c:pt>
              </c:numCache>
            </c:numRef>
          </c:cat>
          <c:val>
            <c:numRef>
              <c:f>'Basic Information'!$B$2:$B$17</c:f>
              <c:numCache>
                <c:formatCode>General</c:formatCode>
                <c:ptCount val="16"/>
                <c:pt idx="0">
                  <c:v>1</c:v>
                </c:pt>
                <c:pt idx="1">
                  <c:v>1</c:v>
                </c:pt>
                <c:pt idx="2">
                  <c:v>1</c:v>
                </c:pt>
                <c:pt idx="3">
                  <c:v>1</c:v>
                </c:pt>
                <c:pt idx="4">
                  <c:v>2</c:v>
                </c:pt>
                <c:pt idx="5">
                  <c:v>2</c:v>
                </c:pt>
                <c:pt idx="6">
                  <c:v>5</c:v>
                </c:pt>
                <c:pt idx="7">
                  <c:v>3</c:v>
                </c:pt>
                <c:pt idx="8">
                  <c:v>3</c:v>
                </c:pt>
                <c:pt idx="9">
                  <c:v>5</c:v>
                </c:pt>
                <c:pt idx="10">
                  <c:v>4</c:v>
                </c:pt>
                <c:pt idx="11">
                  <c:v>9</c:v>
                </c:pt>
                <c:pt idx="12">
                  <c:v>5</c:v>
                </c:pt>
                <c:pt idx="13">
                  <c:v>7</c:v>
                </c:pt>
                <c:pt idx="14">
                  <c:v>10</c:v>
                </c:pt>
                <c:pt idx="15">
                  <c:v>1</c:v>
                </c:pt>
              </c:numCache>
            </c:numRef>
          </c:val>
          <c:extLst>
            <c:ext xmlns:c16="http://schemas.microsoft.com/office/drawing/2014/chart" uri="{C3380CC4-5D6E-409C-BE32-E72D297353CC}">
              <c16:uniqueId val="{00000001-CB32-4121-8B73-C0EA276F7D4C}"/>
            </c:ext>
          </c:extLst>
        </c:ser>
        <c:dLbls>
          <c:showLegendKey val="0"/>
          <c:showVal val="1"/>
          <c:showCatName val="0"/>
          <c:showSerName val="0"/>
          <c:showPercent val="0"/>
          <c:showBubbleSize val="0"/>
        </c:dLbls>
        <c:gapWidth val="180"/>
        <c:overlap val="82"/>
        <c:axId val="773037472"/>
        <c:axId val="773034192"/>
      </c:barChart>
      <c:catAx>
        <c:axId val="773037472"/>
        <c:scaling>
          <c:orientation val="minMax"/>
        </c:scaling>
        <c:delete val="0"/>
        <c:axPos val="b"/>
        <c:numFmt formatCode="General" sourceLinked="1"/>
        <c:majorTickMark val="none"/>
        <c:minorTickMark val="out"/>
        <c:tickLblPos val="nextTo"/>
        <c:spPr>
          <a:noFill/>
          <a:ln w="6350" cap="flat" cmpd="sng" algn="ctr">
            <a:solidFill>
              <a:schemeClr val="dk1"/>
            </a:solidFill>
            <a:prstDash val="solid"/>
            <a:miter lim="800000"/>
          </a:ln>
          <a:effectLst/>
        </c:spPr>
        <c:txPr>
          <a:bodyPr rot="-540000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en-US"/>
          </a:p>
        </c:txPr>
        <c:crossAx val="773034192"/>
        <c:crosses val="autoZero"/>
        <c:auto val="1"/>
        <c:lblAlgn val="ctr"/>
        <c:lblOffset val="100"/>
        <c:noMultiLvlLbl val="0"/>
      </c:catAx>
      <c:valAx>
        <c:axId val="773034192"/>
        <c:scaling>
          <c:orientation val="minMax"/>
          <c:max val="10"/>
        </c:scaling>
        <c:delete val="0"/>
        <c:axPos val="l"/>
        <c:numFmt formatCode="General" sourceLinked="1"/>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en-US"/>
          </a:p>
        </c:txPr>
        <c:crossAx val="77303747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200" baseline="0">
          <a:solidFill>
            <a:sysClr val="windowText" lastClr="000000"/>
          </a:solidFill>
          <a:latin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972560459634546"/>
          <c:y val="3.4076827757125158E-2"/>
          <c:w val="0.59371334953616062"/>
          <c:h val="0.88781527773712299"/>
        </c:manualLayout>
      </c:layout>
      <c:barChart>
        <c:barDir val="bar"/>
        <c:grouping val="clustered"/>
        <c:varyColors val="0"/>
        <c:ser>
          <c:idx val="0"/>
          <c:order val="0"/>
          <c:tx>
            <c:strRef>
              <c:f>'Basic Information'!$M$1</c:f>
              <c:strCache>
                <c:ptCount val="1"/>
                <c:pt idx="0">
                  <c:v>Freq.</c:v>
                </c:pt>
              </c:strCache>
            </c:strRef>
          </c:tx>
          <c:spPr>
            <a:solidFill>
              <a:schemeClr val="accent2"/>
            </a:solidFill>
            <a:ln>
              <a:noFill/>
            </a:ln>
            <a:effectLst/>
          </c:spPr>
          <c:invertIfNegative val="0"/>
          <c:dLbls>
            <c:dLbl>
              <c:idx val="18"/>
              <c:layout>
                <c:manualLayout>
                  <c:x val="-2.0911752404851529E-3"/>
                  <c:y val="-6.7302208324334764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086-4F5E-8398-6E160FEC72D0}"/>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'Basic Information'!$L$2:$L$20</c:f>
              <c:strCache>
                <c:ptCount val="19"/>
                <c:pt idx="0">
                  <c:v>Multiple Regression Analysis</c:v>
                </c:pt>
                <c:pt idx="1">
                  <c:v>Fuzzy Synthetic Evaluation</c:v>
                </c:pt>
                <c:pt idx="2">
                  <c:v>Risk Criticality Index</c:v>
                </c:pt>
                <c:pt idx="3">
                  <c:v>Artificial Neural Network</c:v>
                </c:pt>
                <c:pt idx="4">
                  <c:v>Fuzzy Analytic Network Process</c:v>
                </c:pt>
                <c:pt idx="5">
                  <c:v>Meta-Network Modelling</c:v>
                </c:pt>
                <c:pt idx="6">
                  <c:v>Social Network Analysis</c:v>
                </c:pt>
                <c:pt idx="7">
                  <c:v>Analytic Hierarchy Process</c:v>
                </c:pt>
                <c:pt idx="8">
                  <c:v>Severity Index</c:v>
                </c:pt>
                <c:pt idx="9">
                  <c:v>Weighted Analysis</c:v>
                </c:pt>
                <c:pt idx="10">
                  <c:v>Interpretive Structural Modelling</c:v>
                </c:pt>
                <c:pt idx="11">
                  <c:v>Structural Equation Modelling</c:v>
                </c:pt>
                <c:pt idx="12">
                  <c:v>Frequency Analysis</c:v>
                </c:pt>
                <c:pt idx="13">
                  <c:v>Monte Carlo Simulation</c:v>
                </c:pt>
                <c:pt idx="14">
                  <c:v>Relative Importance Index</c:v>
                </c:pt>
                <c:pt idx="15">
                  <c:v>Factor Analysis</c:v>
                </c:pt>
                <c:pt idx="16">
                  <c:v>Risk Significance Index</c:v>
                </c:pt>
                <c:pt idx="17">
                  <c:v>Mean Score Analysis</c:v>
                </c:pt>
                <c:pt idx="18">
                  <c:v>Thematic Content Analysis</c:v>
                </c:pt>
              </c:strCache>
            </c:strRef>
          </c:cat>
          <c:val>
            <c:numRef>
              <c:f>'Basic Information'!$M$2:$M$20</c:f>
              <c:numCache>
                <c:formatCode>General</c:formatCode>
                <c:ptCount val="19"/>
                <c:pt idx="0">
                  <c:v>1</c:v>
                </c:pt>
                <c:pt idx="1">
                  <c:v>1</c:v>
                </c:pt>
                <c:pt idx="2">
                  <c:v>1</c:v>
                </c:pt>
                <c:pt idx="3">
                  <c:v>1</c:v>
                </c:pt>
                <c:pt idx="4">
                  <c:v>1</c:v>
                </c:pt>
                <c:pt idx="5">
                  <c:v>1</c:v>
                </c:pt>
                <c:pt idx="6">
                  <c:v>2</c:v>
                </c:pt>
                <c:pt idx="7">
                  <c:v>2</c:v>
                </c:pt>
                <c:pt idx="8">
                  <c:v>2</c:v>
                </c:pt>
                <c:pt idx="9">
                  <c:v>2</c:v>
                </c:pt>
                <c:pt idx="10">
                  <c:v>2</c:v>
                </c:pt>
                <c:pt idx="11">
                  <c:v>2</c:v>
                </c:pt>
                <c:pt idx="12">
                  <c:v>3</c:v>
                </c:pt>
                <c:pt idx="13">
                  <c:v>3</c:v>
                </c:pt>
                <c:pt idx="14">
                  <c:v>4</c:v>
                </c:pt>
                <c:pt idx="15">
                  <c:v>5</c:v>
                </c:pt>
                <c:pt idx="16">
                  <c:v>7</c:v>
                </c:pt>
                <c:pt idx="17">
                  <c:v>13</c:v>
                </c:pt>
                <c:pt idx="18">
                  <c:v>17</c:v>
                </c:pt>
              </c:numCache>
            </c:numRef>
          </c:val>
          <c:extLst>
            <c:ext xmlns:c16="http://schemas.microsoft.com/office/drawing/2014/chart" uri="{C3380CC4-5D6E-409C-BE32-E72D297353CC}">
              <c16:uniqueId val="{00000001-C086-4F5E-8398-6E160FEC72D0}"/>
            </c:ext>
          </c:extLst>
        </c:ser>
        <c:dLbls>
          <c:showLegendKey val="0"/>
          <c:showVal val="1"/>
          <c:showCatName val="0"/>
          <c:showSerName val="0"/>
          <c:showPercent val="0"/>
          <c:showBubbleSize val="0"/>
        </c:dLbls>
        <c:gapWidth val="75"/>
        <c:axId val="786346952"/>
        <c:axId val="786348592"/>
      </c:barChart>
      <c:catAx>
        <c:axId val="786346952"/>
        <c:scaling>
          <c:orientation val="minMax"/>
        </c:scaling>
        <c:delete val="0"/>
        <c:axPos val="l"/>
        <c:numFmt formatCode="General" sourceLinked="1"/>
        <c:majorTickMark val="none"/>
        <c:minorTickMark val="out"/>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86348592"/>
        <c:crosses val="autoZero"/>
        <c:auto val="1"/>
        <c:lblAlgn val="ctr"/>
        <c:lblOffset val="100"/>
        <c:noMultiLvlLbl val="0"/>
      </c:catAx>
      <c:valAx>
        <c:axId val="786348592"/>
        <c:scaling>
          <c:orientation val="minMax"/>
        </c:scaling>
        <c:delete val="0"/>
        <c:axPos val="b"/>
        <c:numFmt formatCode="General" sourceLinked="1"/>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863469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'List of CRFs'!$J$1</c:f>
              <c:strCache>
                <c:ptCount val="1"/>
                <c:pt idx="0">
                  <c:v>No. of critical risk factors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 of CRFs'!$I$2:$I$10</c:f>
              <c:strCache>
                <c:ptCount val="9"/>
                <c:pt idx="0">
                  <c:v>Financial risks</c:v>
                </c:pt>
                <c:pt idx="1">
                  <c:v>Material and equipment risks </c:v>
                </c:pt>
                <c:pt idx="2">
                  <c:v>Design risks</c:v>
                </c:pt>
                <c:pt idx="3">
                  <c:v>Technical risks</c:v>
                </c:pt>
                <c:pt idx="4">
                  <c:v>Stakeholder risks</c:v>
                </c:pt>
                <c:pt idx="5">
                  <c:v>Management risks</c:v>
                </c:pt>
                <c:pt idx="6">
                  <c:v>Environmental risks</c:v>
                </c:pt>
                <c:pt idx="7">
                  <c:v>Legal risks</c:v>
                </c:pt>
                <c:pt idx="8">
                  <c:v>Regulatory risks</c:v>
                </c:pt>
              </c:strCache>
            </c:strRef>
          </c:cat>
          <c:val>
            <c:numRef>
              <c:f>'List of CRFs'!$J$2:$J$10</c:f>
              <c:numCache>
                <c:formatCode>General</c:formatCode>
                <c:ptCount val="9"/>
                <c:pt idx="0">
                  <c:v>15</c:v>
                </c:pt>
                <c:pt idx="1">
                  <c:v>9</c:v>
                </c:pt>
                <c:pt idx="2">
                  <c:v>6</c:v>
                </c:pt>
                <c:pt idx="3">
                  <c:v>15</c:v>
                </c:pt>
                <c:pt idx="4">
                  <c:v>12</c:v>
                </c:pt>
                <c:pt idx="5">
                  <c:v>20</c:v>
                </c:pt>
                <c:pt idx="6">
                  <c:v>5</c:v>
                </c:pt>
                <c:pt idx="7">
                  <c:v>5</c:v>
                </c:pt>
                <c:pt idx="8">
                  <c:v>9</c:v>
                </c:pt>
              </c:numCache>
            </c:numRef>
          </c:val>
          <c:extLst>
            <c:ext xmlns:c16="http://schemas.microsoft.com/office/drawing/2014/chart" uri="{C3380CC4-5D6E-409C-BE32-E72D297353CC}">
              <c16:uniqueId val="{00000000-AC3F-4186-BEAB-1F191C07B52C}"/>
            </c:ext>
          </c:extLst>
        </c:ser>
        <c:ser>
          <c:idx val="1"/>
          <c:order val="1"/>
          <c:tx>
            <c:strRef>
              <c:f>'List of CRFs'!$K$1</c:f>
              <c:strCache>
                <c:ptCount val="1"/>
                <c:pt idx="0">
                  <c:v>Total citation count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 of CRFs'!$I$2:$I$10</c:f>
              <c:strCache>
                <c:ptCount val="9"/>
                <c:pt idx="0">
                  <c:v>Financial risks</c:v>
                </c:pt>
                <c:pt idx="1">
                  <c:v>Material and equipment risks </c:v>
                </c:pt>
                <c:pt idx="2">
                  <c:v>Design risks</c:v>
                </c:pt>
                <c:pt idx="3">
                  <c:v>Technical risks</c:v>
                </c:pt>
                <c:pt idx="4">
                  <c:v>Stakeholder risks</c:v>
                </c:pt>
                <c:pt idx="5">
                  <c:v>Management risks</c:v>
                </c:pt>
                <c:pt idx="6">
                  <c:v>Environmental risks</c:v>
                </c:pt>
                <c:pt idx="7">
                  <c:v>Legal risks</c:v>
                </c:pt>
                <c:pt idx="8">
                  <c:v>Regulatory risks</c:v>
                </c:pt>
              </c:strCache>
            </c:strRef>
          </c:cat>
          <c:val>
            <c:numRef>
              <c:f>'List of CRFs'!$K$2:$K$10</c:f>
              <c:numCache>
                <c:formatCode>General</c:formatCode>
                <c:ptCount val="9"/>
                <c:pt idx="0">
                  <c:v>168</c:v>
                </c:pt>
                <c:pt idx="1">
                  <c:v>104</c:v>
                </c:pt>
                <c:pt idx="2">
                  <c:v>82</c:v>
                </c:pt>
                <c:pt idx="3">
                  <c:v>151</c:v>
                </c:pt>
                <c:pt idx="4">
                  <c:v>100</c:v>
                </c:pt>
                <c:pt idx="5">
                  <c:v>154</c:v>
                </c:pt>
                <c:pt idx="6">
                  <c:v>29</c:v>
                </c:pt>
                <c:pt idx="7">
                  <c:v>38</c:v>
                </c:pt>
                <c:pt idx="8">
                  <c:v>108</c:v>
                </c:pt>
              </c:numCache>
            </c:numRef>
          </c:val>
          <c:extLst>
            <c:ext xmlns:c16="http://schemas.microsoft.com/office/drawing/2014/chart" uri="{C3380CC4-5D6E-409C-BE32-E72D297353CC}">
              <c16:uniqueId val="{00000001-AC3F-4186-BEAB-1F191C07B52C}"/>
            </c:ext>
          </c:extLst>
        </c:ser>
        <c:ser>
          <c:idx val="2"/>
          <c:order val="2"/>
          <c:tx>
            <c:strRef>
              <c:f>'List of CRFs'!$L$1</c:f>
              <c:strCache>
                <c:ptCount val="1"/>
                <c:pt idx="0">
                  <c:v>Mean score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 of CRFs'!$I$2:$I$10</c:f>
              <c:strCache>
                <c:ptCount val="9"/>
                <c:pt idx="0">
                  <c:v>Financial risks</c:v>
                </c:pt>
                <c:pt idx="1">
                  <c:v>Material and equipment risks </c:v>
                </c:pt>
                <c:pt idx="2">
                  <c:v>Design risks</c:v>
                </c:pt>
                <c:pt idx="3">
                  <c:v>Technical risks</c:v>
                </c:pt>
                <c:pt idx="4">
                  <c:v>Stakeholder risks</c:v>
                </c:pt>
                <c:pt idx="5">
                  <c:v>Management risks</c:v>
                </c:pt>
                <c:pt idx="6">
                  <c:v>Environmental risks</c:v>
                </c:pt>
                <c:pt idx="7">
                  <c:v>Legal risks</c:v>
                </c:pt>
                <c:pt idx="8">
                  <c:v>Regulatory risks</c:v>
                </c:pt>
              </c:strCache>
            </c:strRef>
          </c:cat>
          <c:val>
            <c:numRef>
              <c:f>'List of CRFs'!$L$2:$L$10</c:f>
              <c:numCache>
                <c:formatCode>0.00</c:formatCode>
                <c:ptCount val="9"/>
                <c:pt idx="0">
                  <c:v>11.2</c:v>
                </c:pt>
                <c:pt idx="1">
                  <c:v>11.555555555555555</c:v>
                </c:pt>
                <c:pt idx="2">
                  <c:v>13.666666666666666</c:v>
                </c:pt>
                <c:pt idx="3">
                  <c:v>10.066666666666666</c:v>
                </c:pt>
                <c:pt idx="4">
                  <c:v>8.3333333333333339</c:v>
                </c:pt>
                <c:pt idx="5">
                  <c:v>7.7</c:v>
                </c:pt>
                <c:pt idx="6">
                  <c:v>5.8</c:v>
                </c:pt>
                <c:pt idx="7">
                  <c:v>7.6</c:v>
                </c:pt>
                <c:pt idx="8">
                  <c:v>12</c:v>
                </c:pt>
              </c:numCache>
            </c:numRef>
          </c:val>
          <c:extLst>
            <c:ext xmlns:c16="http://schemas.microsoft.com/office/drawing/2014/chart" uri="{C3380CC4-5D6E-409C-BE32-E72D297353CC}">
              <c16:uniqueId val="{00000002-AC3F-4186-BEAB-1F191C07B52C}"/>
            </c:ext>
          </c:extLst>
        </c:ser>
        <c:dLbls>
          <c:showLegendKey val="0"/>
          <c:showVal val="1"/>
          <c:showCatName val="0"/>
          <c:showSerName val="0"/>
          <c:showPercent val="0"/>
          <c:showBubbleSize val="0"/>
        </c:dLbls>
        <c:gapWidth val="75"/>
        <c:axId val="933417920"/>
        <c:axId val="933414640"/>
      </c:barChart>
      <c:catAx>
        <c:axId val="933417920"/>
        <c:scaling>
          <c:orientation val="minMax"/>
        </c:scaling>
        <c:delete val="0"/>
        <c:axPos val="l"/>
        <c:numFmt formatCode="General" sourceLinked="1"/>
        <c:majorTickMark val="none"/>
        <c:minorTickMark val="out"/>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33414640"/>
        <c:crosses val="autoZero"/>
        <c:auto val="1"/>
        <c:lblAlgn val="ctr"/>
        <c:lblOffset val="100"/>
        <c:noMultiLvlLbl val="0"/>
      </c:catAx>
      <c:valAx>
        <c:axId val="933414640"/>
        <c:scaling>
          <c:orientation val="minMax"/>
        </c:scaling>
        <c:delete val="0"/>
        <c:axPos val="b"/>
        <c:numFmt formatCode="General" sourceLinked="1"/>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33417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27B9A6-9077-4875-A132-2EFC8F19C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85550</Words>
  <Characters>487637</Characters>
  <Application>Microsoft Office Word</Application>
  <DocSecurity>0</DocSecurity>
  <Lines>4063</Lines>
  <Paragraphs>1144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WUNI, Ibrahim [Student]</dc:creator>
  <cp:keywords/>
  <dc:description/>
  <cp:lastModifiedBy>Daniel Rooney</cp:lastModifiedBy>
  <cp:revision>2</cp:revision>
  <dcterms:created xsi:type="dcterms:W3CDTF">2023-02-15T08:55:00Z</dcterms:created>
  <dcterms:modified xsi:type="dcterms:W3CDTF">2023-02-15T08:55:00Z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http://www.zotero.org/styles/automation-in-construction</vt:lpwstr>
  </property>
  <property fmtid="{D5CDD505-2E9C-101B-9397-08002B2CF9AE}" pid="3" name="Mendeley Recent Style Name 0_1">
    <vt:lpwstr>Automation in Construction</vt:lpwstr>
  </property>
  <property fmtid="{D5CDD505-2E9C-101B-9397-08002B2CF9AE}" pid="4" name="Mendeley Recent Style Id 1_1">
    <vt:lpwstr>http://www.zotero.org/styles/emerald-harvard</vt:lpwstr>
  </property>
  <property fmtid="{D5CDD505-2E9C-101B-9397-08002B2CF9AE}" pid="5" name="Mendeley Recent Style Name 1_1">
    <vt:lpwstr>Emerald - Harvard</vt:lpwstr>
  </property>
  <property fmtid="{D5CDD505-2E9C-101B-9397-08002B2CF9AE}" pid="6" name="Mendeley Recent Style Id 2_1">
    <vt:lpwstr>http://www.zotero.org/styles/harvard1</vt:lpwstr>
  </property>
  <property fmtid="{D5CDD505-2E9C-101B-9397-08002B2CF9AE}" pid="7" name="Mendeley Recent Style Name 2_1">
    <vt:lpwstr>Harvard reference format 1 (deprecated)</vt:lpwstr>
  </property>
  <property fmtid="{D5CDD505-2E9C-101B-9397-08002B2CF9AE}" pid="8" name="Mendeley Recent Style Id 3_1">
    <vt:lpwstr>http://www.zotero.org/styles/journal-of-building-engineering</vt:lpwstr>
  </property>
  <property fmtid="{D5CDD505-2E9C-101B-9397-08002B2CF9AE}" pid="9" name="Mendeley Recent Style Name 3_1">
    <vt:lpwstr>Journal of Building Engineering</vt:lpwstr>
  </property>
  <property fmtid="{D5CDD505-2E9C-101B-9397-08002B2CF9AE}" pid="10" name="Mendeley Recent Style Id 4_1">
    <vt:lpwstr>http://www.zotero.org/styles/journal-of-cleaner-production</vt:lpwstr>
  </property>
  <property fmtid="{D5CDD505-2E9C-101B-9397-08002B2CF9AE}" pid="11" name="Mendeley Recent Style Name 4_1">
    <vt:lpwstr>Journal of Cleaner Production</vt:lpwstr>
  </property>
  <property fmtid="{D5CDD505-2E9C-101B-9397-08002B2CF9AE}" pid="12" name="Mendeley Recent Style Id 5_1">
    <vt:lpwstr>http://www.zotero.org/styles/modern-language-association</vt:lpwstr>
  </property>
  <property fmtid="{D5CDD505-2E9C-101B-9397-08002B2CF9AE}" pid="13" name="Mendeley Recent Style Name 5_1">
    <vt:lpwstr>Modern Language Association 9th edition</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http://www.zotero.org/styles/renewable-and-sustainable-energy-reviews</vt:lpwstr>
  </property>
  <property fmtid="{D5CDD505-2E9C-101B-9397-08002B2CF9AE}" pid="17" name="Mendeley Recent Style Name 7_1">
    <vt:lpwstr>Renewable and Sustainable Energy Reviews</vt:lpwstr>
  </property>
  <property fmtid="{D5CDD505-2E9C-101B-9397-08002B2CF9AE}" pid="18" name="Mendeley Recent Style Id 8_1">
    <vt:lpwstr>http://www.zotero.org/styles/sustainable-production-and-consumption</vt:lpwstr>
  </property>
  <property fmtid="{D5CDD505-2E9C-101B-9397-08002B2CF9AE}" pid="19" name="Mendeley Recent Style Name 8_1">
    <vt:lpwstr>Sustainable Production and Consumption</vt:lpwstr>
  </property>
  <property fmtid="{D5CDD505-2E9C-101B-9397-08002B2CF9AE}" pid="20" name="Mendeley Recent Style Id 9_1">
    <vt:lpwstr>http://www.zotero.org/styles/taylor-and-francis-harvard-x</vt:lpwstr>
  </property>
  <property fmtid="{D5CDD505-2E9C-101B-9397-08002B2CF9AE}" pid="21" name="Mendeley Recent Style Name 9_1">
    <vt:lpwstr>Taylor &amp; Francis - Harvard X</vt:lpwstr>
  </property>
  <property fmtid="{D5CDD505-2E9C-101B-9397-08002B2CF9AE}" pid="22" name="Mendeley Document_1">
    <vt:lpwstr>True</vt:lpwstr>
  </property>
  <property fmtid="{D5CDD505-2E9C-101B-9397-08002B2CF9AE}" pid="23" name="Mendeley Unique User Id_1">
    <vt:lpwstr>c6bf2cab-52a9-395c-942f-016e03f61abd</vt:lpwstr>
  </property>
  <property fmtid="{D5CDD505-2E9C-101B-9397-08002B2CF9AE}" pid="24" name="Mendeley Citation Style_1">
    <vt:lpwstr>http://www.zotero.org/styles/journal-of-building-engineering</vt:lpwstr>
  </property>
  <property fmtid="{D5CDD505-2E9C-101B-9397-08002B2CF9AE}" pid="25" name="Mendeley User Name_1">
    <vt:lpwstr>wibrahimy@hotmail.com@www.mendeley.com</vt:lpwstr>
  </property>
</Properties>
</file>