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B1AF" w14:textId="77777777" w:rsidR="00590733" w:rsidRPr="00B61ED4" w:rsidRDefault="00590733" w:rsidP="00590733">
      <w:pPr>
        <w:pStyle w:val="Caption"/>
        <w:keepNext/>
        <w:spacing w:after="120" w:line="240" w:lineRule="auto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61ED4">
        <w:rPr>
          <w:rFonts w:ascii="Times New Roman" w:hAnsi="Times New Roman" w:cs="Times New Roman"/>
          <w:color w:val="auto"/>
          <w:sz w:val="20"/>
          <w:szCs w:val="20"/>
        </w:rPr>
        <w:t xml:space="preserve">Table </w:t>
      </w:r>
      <w:r w:rsidRPr="00B61ED4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B61ED4">
        <w:rPr>
          <w:rFonts w:ascii="Times New Roman" w:hAnsi="Times New Roman" w:cs="Times New Roman"/>
          <w:color w:val="auto"/>
          <w:sz w:val="20"/>
          <w:szCs w:val="20"/>
        </w:rPr>
        <w:instrText xml:space="preserve"> SEQ Table \* ARABIC </w:instrText>
      </w:r>
      <w:r w:rsidRPr="00B61ED4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B61ED4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Pr="00B61ED4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B61ED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B61ED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Network connectivity (</w:t>
      </w:r>
      <w:r w:rsidRPr="00486E84">
        <w:rPr>
          <w:rFonts w:ascii="Times New Roman" w:hAnsi="Times New Roman" w:cs="Times New Roman"/>
          <w:i/>
          <w:iCs/>
          <w:color w:val="auto"/>
          <w:sz w:val="20"/>
          <w:szCs w:val="20"/>
        </w:rPr>
        <w:t>NC</w:t>
      </w:r>
      <w:r w:rsidRPr="00B61ED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),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bulk </w:t>
      </w:r>
      <w:r w:rsidRPr="00B61ED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density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Bulk</m:t>
            </m:r>
          </m:sub>
        </m:sSub>
      </m:oMath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)</w:t>
      </w:r>
      <w:r w:rsidRPr="00B61ED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, molar volume (</w:t>
      </w:r>
      <m:oMath>
        <m:sSub>
          <m:sSubPr>
            <m:ctrlPr>
              <w:rPr>
                <w:rFonts w:ascii="Cambria Math" w:hAnsi="Cambria Math" w:cs="Times New Roman"/>
                <w:b w:val="0"/>
                <w:bCs w:val="0"/>
                <w:i/>
                <w:color w:val="auto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0"/>
                <w:szCs w:val="20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0"/>
                <w:szCs w:val="20"/>
              </w:rPr>
              <m:t>m</m:t>
            </m:r>
          </m:sub>
        </m:sSub>
      </m:oMath>
      <w:r w:rsidRPr="00B61ED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),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oxygen </w:t>
      </w:r>
      <w:r w:rsidRPr="00B61ED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molar volume (</w:t>
      </w:r>
      <w:r w:rsidRPr="00486E84">
        <w:rPr>
          <w:rFonts w:ascii="Times New Roman" w:hAnsi="Times New Roman" w:cs="Times New Roman"/>
          <w:i/>
          <w:iCs/>
          <w:color w:val="auto"/>
          <w:sz w:val="20"/>
          <w:szCs w:val="20"/>
        </w:rPr>
        <w:t>V</w:t>
      </w:r>
      <w:r w:rsidRPr="00486E84">
        <w:rPr>
          <w:rFonts w:ascii="Times New Roman" w:hAnsi="Times New Roman" w:cs="Times New Roman"/>
          <w:i/>
          <w:iCs/>
          <w:color w:val="auto"/>
          <w:sz w:val="20"/>
          <w:szCs w:val="20"/>
          <w:vertAlign w:val="subscript"/>
        </w:rPr>
        <w:t>O</w:t>
      </w:r>
      <w:r w:rsidRPr="00B61ED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), </w:t>
      </w:r>
      <w:r w:rsidRPr="0090446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oxygen packing density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(</w:t>
      </w:r>
      <w:r w:rsidRPr="00486E84">
        <w:rPr>
          <w:rFonts w:ascii="Times New Roman" w:hAnsi="Times New Roman" w:cs="Times New Roman"/>
          <w:i/>
          <w:iCs/>
          <w:color w:val="auto"/>
          <w:sz w:val="20"/>
          <w:szCs w:val="20"/>
        </w:rPr>
        <w:t>OPD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), </w:t>
      </w:r>
      <w:r w:rsidRPr="00B61ED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and ionicity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 w:cs="Times New Roman"/>
                <w:b w:val="0"/>
                <w:bCs w:val="0"/>
                <w:i/>
                <w:color w:val="auto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0"/>
                <w:szCs w:val="20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0"/>
                <w:szCs w:val="20"/>
              </w:rPr>
              <m:t>B</m:t>
            </m:r>
          </m:sub>
        </m:sSub>
      </m:oMath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) </w:t>
      </w:r>
      <w:r w:rsidRPr="00B61ED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of </w:t>
      </w:r>
      <w:r w:rsidRPr="0090446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SNb3 and SNb3Ga3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bioactive glass.</w:t>
      </w:r>
    </w:p>
    <w:tbl>
      <w:tblPr>
        <w:tblStyle w:val="TableNormal1"/>
        <w:tblW w:w="9351" w:type="dxa"/>
        <w:tblInd w:w="5" w:type="dxa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1417"/>
        <w:gridCol w:w="1701"/>
        <w:gridCol w:w="1701"/>
        <w:gridCol w:w="709"/>
      </w:tblGrid>
      <w:tr w:rsidR="00590733" w14:paraId="6FE46626" w14:textId="77777777" w:rsidTr="00376418">
        <w:trPr>
          <w:trHeight w:val="486"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854A7" w14:textId="77777777" w:rsidR="00590733" w:rsidRPr="00BA2112" w:rsidRDefault="00590733" w:rsidP="00376418">
            <w:pPr>
              <w:pStyle w:val="ListParagraph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112">
              <w:rPr>
                <w:rFonts w:ascii="Times New Roman" w:hAnsi="Times New Roman" w:cs="Times New Roman"/>
                <w:b/>
                <w:bCs/>
              </w:rPr>
              <w:t>Glass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4487B" w14:textId="77777777" w:rsidR="00590733" w:rsidRPr="00BA2112" w:rsidRDefault="00590733" w:rsidP="00376418">
            <w:pPr>
              <w:pStyle w:val="ListParagraph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112">
              <w:rPr>
                <w:rFonts w:ascii="Times New Roman" w:hAnsi="Times New Roman" w:cs="Times New Roman"/>
                <w:b/>
                <w:bCs/>
              </w:rPr>
              <w:t>NC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D9143" w14:textId="77777777" w:rsidR="00590733" w:rsidRPr="00977B5A" w:rsidRDefault="00000000" w:rsidP="00376418">
            <w:pPr>
              <w:pStyle w:val="ListParagraph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Bulk</m:t>
                    </m:r>
                  </m:sub>
                </m:sSub>
              </m:oMath>
            </m:oMathPara>
          </w:p>
          <w:p w14:paraId="23CABDD7" w14:textId="77777777" w:rsidR="00590733" w:rsidRPr="00977B5A" w:rsidRDefault="00590733" w:rsidP="00376418">
            <w:pPr>
              <w:pStyle w:val="ListParagraph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(g∙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cm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19661" w14:textId="77777777" w:rsidR="00590733" w:rsidRPr="00977B5A" w:rsidRDefault="00000000" w:rsidP="00376418">
            <w:pPr>
              <w:pStyle w:val="ListParagraph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vertAlign w:val="subscript"/>
                  </w:rPr>
                  <m:t xml:space="preserve"> </m:t>
                </m:r>
              </m:oMath>
            </m:oMathPara>
          </w:p>
          <w:p w14:paraId="7052E6B2" w14:textId="77777777" w:rsidR="00590733" w:rsidRPr="00BA2112" w:rsidRDefault="00590733" w:rsidP="00376418">
            <w:pPr>
              <w:pStyle w:val="ListParagraph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cm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mol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9243D" w14:textId="77777777" w:rsidR="00590733" w:rsidRPr="00977B5A" w:rsidRDefault="00000000" w:rsidP="00376418">
            <w:pPr>
              <w:pStyle w:val="ListParagraph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vertAlign w:val="subscript"/>
                  </w:rPr>
                  <m:t xml:space="preserve"> </m:t>
                </m:r>
              </m:oMath>
            </m:oMathPara>
          </w:p>
          <w:p w14:paraId="57A00F73" w14:textId="77777777" w:rsidR="00590733" w:rsidRPr="00BA2112" w:rsidRDefault="00590733" w:rsidP="00376418">
            <w:pPr>
              <w:pStyle w:val="ListParagraph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cm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mol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DA012" w14:textId="77777777" w:rsidR="00590733" w:rsidRPr="00977B5A" w:rsidRDefault="00590733" w:rsidP="00376418">
            <w:pPr>
              <w:pStyle w:val="ListParagraph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OPD </m:t>
                </m:r>
              </m:oMath>
            </m:oMathPara>
          </w:p>
          <w:p w14:paraId="18729E98" w14:textId="77777777" w:rsidR="00590733" w:rsidRDefault="00590733" w:rsidP="00376418">
            <w:pPr>
              <w:pStyle w:val="ListParagraph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(mol∙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AEEB6" w14:textId="77777777" w:rsidR="00590733" w:rsidRPr="00977B5A" w:rsidRDefault="00000000" w:rsidP="00376418">
            <w:pPr>
              <w:pStyle w:val="ListParagraph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sub>
                </m:sSub>
              </m:oMath>
            </m:oMathPara>
          </w:p>
        </w:tc>
      </w:tr>
      <w:tr w:rsidR="002B2D79" w14:paraId="13D8865A" w14:textId="77777777" w:rsidTr="00376418">
        <w:trPr>
          <w:trHeight w:val="583"/>
        </w:trPr>
        <w:tc>
          <w:tcPr>
            <w:tcW w:w="1271" w:type="dxa"/>
            <w:tcBorders>
              <w:top w:val="single" w:sz="6" w:space="0" w:color="auto"/>
            </w:tcBorders>
            <w:vAlign w:val="center"/>
          </w:tcPr>
          <w:p w14:paraId="282FBC30" w14:textId="5CDE9931" w:rsidR="002B2D79" w:rsidRPr="00BA2112" w:rsidRDefault="002B2D79" w:rsidP="002B2D79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112">
              <w:rPr>
                <w:rFonts w:ascii="Times New Roman" w:hAnsi="Times New Roman" w:cs="Times New Roman"/>
                <w:b/>
                <w:bCs/>
              </w:rPr>
              <w:t>SNb3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4A535361" w14:textId="6C188C33" w:rsidR="002B2D79" w:rsidRPr="00BA2112" w:rsidRDefault="002B2D79" w:rsidP="002B2D79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A21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B5268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9B29730" w14:textId="6AF10148" w:rsidR="002B2D79" w:rsidRPr="00BA2112" w:rsidRDefault="002B2D79" w:rsidP="002B2D79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A21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BA2112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535EFC4E" w14:textId="1ACC52F9" w:rsidR="002B2D79" w:rsidRPr="00BA2112" w:rsidRDefault="002B2D79" w:rsidP="002B2D79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A2112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.</w:t>
            </w:r>
            <w:r w:rsidRPr="00BA21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7E021D84" w14:textId="7B482A09" w:rsidR="002B2D79" w:rsidRPr="00BA2112" w:rsidRDefault="002B2D79" w:rsidP="002B2D79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5736A">
              <w:rPr>
                <w:rFonts w:ascii="Times New Roman" w:hAnsi="Times New Roman" w:cs="Times New Roman"/>
              </w:rPr>
              <w:t>45.51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32334159" w14:textId="764244A3" w:rsidR="002B2D79" w:rsidRDefault="002B2D79" w:rsidP="002B2D79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A211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Pr="00BA211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35EB87D" w14:textId="098067CA" w:rsidR="002B2D79" w:rsidRPr="00BA2112" w:rsidRDefault="002B2D79" w:rsidP="002B2D79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A21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BA2112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2B2D79" w14:paraId="49120F9B" w14:textId="77777777" w:rsidTr="00376418">
        <w:trPr>
          <w:trHeight w:val="583"/>
        </w:trPr>
        <w:tc>
          <w:tcPr>
            <w:tcW w:w="1271" w:type="dxa"/>
            <w:tcBorders>
              <w:bottom w:val="single" w:sz="6" w:space="0" w:color="auto"/>
            </w:tcBorders>
            <w:vAlign w:val="center"/>
          </w:tcPr>
          <w:p w14:paraId="74A6F6BF" w14:textId="7641D769" w:rsidR="002B2D79" w:rsidRPr="00BA2112" w:rsidRDefault="002B2D79" w:rsidP="002B2D79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112">
              <w:rPr>
                <w:rFonts w:ascii="Times New Roman" w:hAnsi="Times New Roman" w:cs="Times New Roman"/>
                <w:b/>
                <w:bCs/>
              </w:rPr>
              <w:t>SNb3Ga3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454E53D" w14:textId="70DFBC9E" w:rsidR="002B2D79" w:rsidRPr="00BA2112" w:rsidRDefault="002B2D79" w:rsidP="002B2D79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5268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07EB25B6" w14:textId="6D048608" w:rsidR="002B2D79" w:rsidRPr="00BA2112" w:rsidRDefault="002B2D79" w:rsidP="002B2D79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A21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BA2112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631274B5" w14:textId="724437FE" w:rsidR="002B2D79" w:rsidRPr="00BA2112" w:rsidRDefault="002B2D79" w:rsidP="002B2D79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A2112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.</w:t>
            </w:r>
            <w:r w:rsidRPr="00BA211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5614296E" w14:textId="29B56D01" w:rsidR="002B2D79" w:rsidRPr="00BA2112" w:rsidRDefault="002B2D79" w:rsidP="002B2D79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51.13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5E864D75" w14:textId="5D6EF774" w:rsidR="002B2D79" w:rsidRDefault="002B2D79" w:rsidP="002B2D79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A211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BA211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1565BF1" w14:textId="06140E36" w:rsidR="002B2D79" w:rsidRPr="00BA2112" w:rsidRDefault="002B2D79" w:rsidP="002B2D79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A21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BA2112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14:paraId="54ED8C18" w14:textId="7472BB94" w:rsidR="00590733" w:rsidRPr="00A94868" w:rsidRDefault="00590733" w:rsidP="00590733">
      <w:pPr>
        <w:jc w:val="both"/>
        <w:rPr>
          <w:sz w:val="20"/>
          <w:szCs w:val="20"/>
        </w:rPr>
      </w:pPr>
      <w:r w:rsidRPr="00DB1BDA">
        <w:rPr>
          <w:sz w:val="20"/>
          <w:szCs w:val="20"/>
        </w:rPr>
        <w:t>NC values were calculated for SNb3 and SNb3Ga3 compositions assuming that all phosphorus species occupy tetrahedral sites, while niobi</w:t>
      </w:r>
      <w:r>
        <w:rPr>
          <w:sz w:val="20"/>
          <w:szCs w:val="20"/>
        </w:rPr>
        <w:t>u</w:t>
      </w:r>
      <w:r w:rsidRPr="00DB1BDA">
        <w:rPr>
          <w:sz w:val="20"/>
          <w:szCs w:val="20"/>
        </w:rPr>
        <w:t>m species occupy octahedral sites</w:t>
      </w:r>
      <w:r w:rsidRPr="00360CAB">
        <w:rPr>
          <w:sz w:val="20"/>
          <w:szCs w:val="20"/>
        </w:rPr>
        <w:t xml:space="preserve">. </w:t>
      </w:r>
      <w:r>
        <w:rPr>
          <w:sz w:val="20"/>
          <w:szCs w:val="20"/>
        </w:rPr>
        <w:t>F</w:t>
      </w:r>
      <w:r w:rsidRPr="00360CAB">
        <w:rPr>
          <w:sz w:val="20"/>
          <w:szCs w:val="20"/>
        </w:rPr>
        <w:t xml:space="preserve">or the Ga species, it was assumed that </w:t>
      </w:r>
      <w:r w:rsidR="00B52687">
        <w:rPr>
          <w:sz w:val="20"/>
          <w:szCs w:val="20"/>
        </w:rPr>
        <w:t>6</w:t>
      </w:r>
      <w:r w:rsidRPr="00360CAB">
        <w:rPr>
          <w:sz w:val="20"/>
          <w:szCs w:val="20"/>
        </w:rPr>
        <w:t xml:space="preserve">0% of the Ga species are in tetrahedral sites and the remaining </w:t>
      </w:r>
      <w:r w:rsidR="00B52687">
        <w:rPr>
          <w:sz w:val="20"/>
          <w:szCs w:val="20"/>
        </w:rPr>
        <w:t>4</w:t>
      </w:r>
      <w:r w:rsidRPr="00360CAB">
        <w:rPr>
          <w:sz w:val="20"/>
          <w:szCs w:val="20"/>
        </w:rPr>
        <w:t>0% are in the octahedral form for the SNb3Ga3 glass</w:t>
      </w:r>
      <w:r>
        <w:rPr>
          <w:sz w:val="20"/>
          <w:szCs w:val="20"/>
        </w:rPr>
        <w:fldChar w:fldCharType="begin">
          <w:fldData xml:space="preserve">PEVuZE5vdGU+PENpdGU+PEF1dGhvcj5Hb21lei1DZXJlem88L0F1dGhvcj48WWVhcj4yMDE4PC9Z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</w:fldData>
        </w:fldChar>
      </w:r>
      <w:r>
        <w:rPr>
          <w:sz w:val="20"/>
          <w:szCs w:val="20"/>
        </w:rPr>
        <w:instrText xml:space="preserve"> ADDIN EN.CITE </w:instrText>
      </w:r>
      <w:r>
        <w:rPr>
          <w:sz w:val="20"/>
          <w:szCs w:val="20"/>
        </w:rPr>
        <w:fldChar w:fldCharType="begin">
          <w:fldData xml:space="preserve">PEVuZE5vdGU+PENpdGU+PEF1dGhvcj5Hb21lei1DZXJlem88L0F1dGhvcj48WWVhcj4yMDE4PC9Z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</w:fldData>
        </w:fldChar>
      </w:r>
      <w:r>
        <w:rPr>
          <w:sz w:val="20"/>
          <w:szCs w:val="20"/>
        </w:rPr>
        <w:instrText xml:space="preserve"> ADDIN EN.CITE.DATA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[49]</w:t>
      </w:r>
      <w:r>
        <w:rPr>
          <w:sz w:val="20"/>
          <w:szCs w:val="20"/>
        </w:rPr>
        <w:fldChar w:fldCharType="end"/>
      </w:r>
      <w:r w:rsidRPr="00360CA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96915">
        <w:rPr>
          <w:sz w:val="20"/>
          <w:szCs w:val="20"/>
        </w:rPr>
        <w:t xml:space="preserve">All Nb and </w:t>
      </w:r>
      <w:r w:rsidR="00EC6284">
        <w:rPr>
          <w:sz w:val="20"/>
          <w:szCs w:val="20"/>
        </w:rPr>
        <w:t>6</w:t>
      </w:r>
      <w:r>
        <w:rPr>
          <w:sz w:val="20"/>
          <w:szCs w:val="20"/>
        </w:rPr>
        <w:t xml:space="preserve">0% of </w:t>
      </w:r>
      <w:r w:rsidRPr="00496915">
        <w:rPr>
          <w:sz w:val="20"/>
          <w:szCs w:val="20"/>
        </w:rPr>
        <w:t xml:space="preserve">Ga species are participating in the vitreous network through the bonding between the Nb and Ga </w:t>
      </w:r>
      <w:proofErr w:type="spellStart"/>
      <w:r w:rsidRPr="00496915">
        <w:rPr>
          <w:sz w:val="20"/>
          <w:szCs w:val="20"/>
        </w:rPr>
        <w:t>polyhedra</w:t>
      </w:r>
      <w:proofErr w:type="spellEnd"/>
      <w:r w:rsidRPr="00496915">
        <w:rPr>
          <w:sz w:val="20"/>
          <w:szCs w:val="20"/>
        </w:rPr>
        <w:t xml:space="preserve"> with the silica tetrahedra, SiO</w:t>
      </w:r>
      <w:r w:rsidRPr="00496915">
        <w:rPr>
          <w:sz w:val="20"/>
          <w:szCs w:val="20"/>
          <w:vertAlign w:val="subscript"/>
        </w:rPr>
        <w:t>4</w:t>
      </w:r>
      <w:r w:rsidRPr="00496915">
        <w:rPr>
          <w:sz w:val="20"/>
          <w:szCs w:val="20"/>
        </w:rPr>
        <w:t xml:space="preserve">. </w:t>
      </w:r>
      <w:r w:rsidRPr="0038327C">
        <w:rPr>
          <w:sz w:val="20"/>
          <w:szCs w:val="20"/>
        </w:rPr>
        <w:t>The molar volume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</m:t>
            </m:r>
          </m:sub>
        </m:sSub>
      </m:oMath>
      <w:r w:rsidRPr="0038327C">
        <w:rPr>
          <w:sz w:val="20"/>
          <w:szCs w:val="20"/>
        </w:rPr>
        <w:t>), oxygen molar volume (</w:t>
      </w:r>
      <w:r w:rsidRPr="0038327C">
        <w:rPr>
          <w:i/>
          <w:iCs/>
          <w:sz w:val="20"/>
          <w:szCs w:val="20"/>
        </w:rPr>
        <w:t>V</w:t>
      </w:r>
      <w:r w:rsidRPr="0038327C">
        <w:rPr>
          <w:i/>
          <w:iCs/>
          <w:sz w:val="20"/>
          <w:szCs w:val="20"/>
          <w:vertAlign w:val="subscript"/>
        </w:rPr>
        <w:t>O</w:t>
      </w:r>
      <w:r w:rsidRPr="0038327C">
        <w:rPr>
          <w:sz w:val="20"/>
          <w:szCs w:val="20"/>
        </w:rPr>
        <w:t>), oxygen packing density (</w:t>
      </w:r>
      <w:r w:rsidRPr="0038327C">
        <w:rPr>
          <w:i/>
          <w:iCs/>
          <w:sz w:val="20"/>
          <w:szCs w:val="20"/>
        </w:rPr>
        <w:t>OPD</w:t>
      </w:r>
      <w:r w:rsidRPr="0038327C">
        <w:rPr>
          <w:sz w:val="20"/>
          <w:szCs w:val="20"/>
        </w:rPr>
        <w:t>), and ionicity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B</m:t>
            </m:r>
          </m:sub>
        </m:sSub>
      </m:oMath>
      <w:r w:rsidRPr="0038327C">
        <w:rPr>
          <w:sz w:val="20"/>
          <w:szCs w:val="20"/>
        </w:rPr>
        <w:t>)</w:t>
      </w:r>
      <w:r>
        <w:rPr>
          <w:sz w:val="20"/>
          <w:szCs w:val="20"/>
        </w:rPr>
        <w:t xml:space="preserve"> for</w:t>
      </w:r>
      <w:r w:rsidRPr="00B61ED4">
        <w:rPr>
          <w:sz w:val="20"/>
          <w:szCs w:val="20"/>
        </w:rPr>
        <w:t xml:space="preserve"> </w:t>
      </w:r>
      <w:r w:rsidRPr="0090446B">
        <w:rPr>
          <w:sz w:val="20"/>
          <w:szCs w:val="20"/>
        </w:rPr>
        <w:t>SNb3 and SNb3Ga3</w:t>
      </w:r>
      <w:r>
        <w:rPr>
          <w:sz w:val="20"/>
          <w:szCs w:val="20"/>
        </w:rPr>
        <w:t xml:space="preserve"> bioactive </w:t>
      </w:r>
      <w:r w:rsidRPr="0079014C">
        <w:rPr>
          <w:sz w:val="20"/>
          <w:szCs w:val="20"/>
        </w:rPr>
        <w:t xml:space="preserve">glass were calculated using the relations described by Moustafa </w:t>
      </w:r>
      <w:r w:rsidRPr="0079014C">
        <w:rPr>
          <w:i/>
          <w:iCs/>
          <w:sz w:val="20"/>
          <w:szCs w:val="20"/>
        </w:rPr>
        <w:t>et al</w:t>
      </w:r>
      <w:r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ADDIN EN.CITE &lt;EndNote&gt;&lt;Cite&gt;&lt;Author&gt;Moustafa&lt;/Author&gt;&lt;Year&gt;2014&lt;/Year&gt;&lt;RecNum&gt;1491&lt;/RecNum&gt;&lt;DisplayText&gt;[35]&lt;/DisplayText&gt;&lt;record&gt;&lt;rec-number&gt;1491&lt;/rec-number&gt;&lt;foreign-keys&gt;&lt;key app="EN" db-id="xdap05r0tz0rvze9rd75s0xtpvx9vsepw509" timestamp="1656190966"&gt;1491&lt;/key&gt;&lt;/foreign-keys&gt;&lt;ref-type name="Journal Article"&gt;17&lt;/ref-type&gt;&lt;contributors&gt;&lt;authors&gt;&lt;author&gt;Moustafa, F. A.&lt;/author&gt;&lt;author&gt;Abdel-Baki, M. &lt;/author&gt;&lt;author&gt;Fayad, A. M. &lt;/author&gt;&lt;author&gt;El-Diasty, Fouad&lt;/author&gt;&lt;/authors&gt;&lt;/contributors&gt;&lt;titles&gt;&lt;title&gt;Role of Mixed Valence Effect and Orbital Hybridization on Molar Volume of Heavy Metal Glass for Ionic Conduction Pathways Augmentation&lt;/title&gt;&lt;secondary-title&gt;American Journal of Materials Science&lt;/secondary-title&gt;&lt;/titles&gt;&lt;periodical&gt;&lt;full-title&gt;American Journal of Materials Science&lt;/full-title&gt;&lt;/periodical&gt;&lt;pages&gt;119-126&lt;/pages&gt;&lt;volume&gt;4&lt;/volume&gt;&lt;number&gt;3&lt;/number&gt;&lt;dates&gt;&lt;year&gt;2014&lt;/year&gt;&lt;/dates&gt;&lt;isbn&gt;p-ISSN: 2162-9382&amp;#xD;e-ISSN: 2162-8424&lt;/isbn&gt;&lt;urls&gt;&lt;/urls&gt;&lt;electronic-resource-num&gt;10.5923/j.materials.20140403.01&lt;/electronic-resource-num&gt;&lt;/record&gt;&lt;/Cite&gt;&lt;/EndNote&gt;</w:instrText>
      </w:r>
      <w:r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[35]</w:t>
      </w:r>
      <w:r>
        <w:rPr>
          <w:i/>
          <w:iCs/>
          <w:sz w:val="20"/>
          <w:szCs w:val="20"/>
        </w:rPr>
        <w:fldChar w:fldCharType="end"/>
      </w:r>
    </w:p>
    <w:p w14:paraId="05EBCE44" w14:textId="77777777" w:rsidR="00D27167" w:rsidRDefault="00D27167"/>
    <w:sectPr w:rsidR="00D27167" w:rsidSect="002B25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01673"/>
    <w:multiLevelType w:val="multilevel"/>
    <w:tmpl w:val="CF301E14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638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1NTG3MDIwNTeyNDNV0lEKTi0uzszPAykwrAUAWvYHjSwAAAA="/>
  </w:docVars>
  <w:rsids>
    <w:rsidRoot w:val="00686C8F"/>
    <w:rsid w:val="00004D67"/>
    <w:rsid w:val="000106DD"/>
    <w:rsid w:val="000165CE"/>
    <w:rsid w:val="00016A0A"/>
    <w:rsid w:val="00017D12"/>
    <w:rsid w:val="000234E2"/>
    <w:rsid w:val="00024CEA"/>
    <w:rsid w:val="00025EDD"/>
    <w:rsid w:val="00032948"/>
    <w:rsid w:val="00034025"/>
    <w:rsid w:val="00036D5B"/>
    <w:rsid w:val="00040280"/>
    <w:rsid w:val="00045E98"/>
    <w:rsid w:val="0005118B"/>
    <w:rsid w:val="00051E31"/>
    <w:rsid w:val="00052FAE"/>
    <w:rsid w:val="00054322"/>
    <w:rsid w:val="00055161"/>
    <w:rsid w:val="00056E12"/>
    <w:rsid w:val="00057B49"/>
    <w:rsid w:val="00060663"/>
    <w:rsid w:val="0006163D"/>
    <w:rsid w:val="0007056F"/>
    <w:rsid w:val="00072014"/>
    <w:rsid w:val="00072B4D"/>
    <w:rsid w:val="00072F1C"/>
    <w:rsid w:val="00075639"/>
    <w:rsid w:val="00075845"/>
    <w:rsid w:val="0007760F"/>
    <w:rsid w:val="00077CB4"/>
    <w:rsid w:val="000802D3"/>
    <w:rsid w:val="0008165A"/>
    <w:rsid w:val="000823A1"/>
    <w:rsid w:val="00085808"/>
    <w:rsid w:val="00095421"/>
    <w:rsid w:val="00096EE8"/>
    <w:rsid w:val="000A1AE4"/>
    <w:rsid w:val="000A7871"/>
    <w:rsid w:val="000B3173"/>
    <w:rsid w:val="000B4031"/>
    <w:rsid w:val="000C4243"/>
    <w:rsid w:val="000D396D"/>
    <w:rsid w:val="000E124F"/>
    <w:rsid w:val="000E3C24"/>
    <w:rsid w:val="000E3EC9"/>
    <w:rsid w:val="000E6F2A"/>
    <w:rsid w:val="000E7E54"/>
    <w:rsid w:val="000F314E"/>
    <w:rsid w:val="00102242"/>
    <w:rsid w:val="00104A78"/>
    <w:rsid w:val="00105EA0"/>
    <w:rsid w:val="00107707"/>
    <w:rsid w:val="0011087F"/>
    <w:rsid w:val="00111600"/>
    <w:rsid w:val="00113B70"/>
    <w:rsid w:val="00114514"/>
    <w:rsid w:val="0011523B"/>
    <w:rsid w:val="00123217"/>
    <w:rsid w:val="001244F3"/>
    <w:rsid w:val="00126199"/>
    <w:rsid w:val="00127554"/>
    <w:rsid w:val="00140F6F"/>
    <w:rsid w:val="00143BA2"/>
    <w:rsid w:val="001506B1"/>
    <w:rsid w:val="00153814"/>
    <w:rsid w:val="0015630D"/>
    <w:rsid w:val="00157A87"/>
    <w:rsid w:val="00161511"/>
    <w:rsid w:val="001648E9"/>
    <w:rsid w:val="00171564"/>
    <w:rsid w:val="0018133D"/>
    <w:rsid w:val="00184274"/>
    <w:rsid w:val="001870B5"/>
    <w:rsid w:val="00187ABB"/>
    <w:rsid w:val="00193B12"/>
    <w:rsid w:val="00195C41"/>
    <w:rsid w:val="001A061A"/>
    <w:rsid w:val="001B11AF"/>
    <w:rsid w:val="001B1709"/>
    <w:rsid w:val="001B40D0"/>
    <w:rsid w:val="001B65A9"/>
    <w:rsid w:val="001C134B"/>
    <w:rsid w:val="001C2D11"/>
    <w:rsid w:val="001C5626"/>
    <w:rsid w:val="001C7932"/>
    <w:rsid w:val="001D030A"/>
    <w:rsid w:val="001E1C91"/>
    <w:rsid w:val="001E4EA6"/>
    <w:rsid w:val="001E6223"/>
    <w:rsid w:val="001E6D41"/>
    <w:rsid w:val="001F371A"/>
    <w:rsid w:val="00200035"/>
    <w:rsid w:val="00203361"/>
    <w:rsid w:val="0020621E"/>
    <w:rsid w:val="00220D0E"/>
    <w:rsid w:val="002225B0"/>
    <w:rsid w:val="00222FB0"/>
    <w:rsid w:val="00227207"/>
    <w:rsid w:val="0023016F"/>
    <w:rsid w:val="00234D9B"/>
    <w:rsid w:val="0023643F"/>
    <w:rsid w:val="002509F9"/>
    <w:rsid w:val="002518B8"/>
    <w:rsid w:val="00254450"/>
    <w:rsid w:val="00254466"/>
    <w:rsid w:val="00260288"/>
    <w:rsid w:val="002732B4"/>
    <w:rsid w:val="00273430"/>
    <w:rsid w:val="002765F0"/>
    <w:rsid w:val="00276C2D"/>
    <w:rsid w:val="00280CCF"/>
    <w:rsid w:val="00280DCC"/>
    <w:rsid w:val="00284073"/>
    <w:rsid w:val="00284669"/>
    <w:rsid w:val="0028697F"/>
    <w:rsid w:val="00296139"/>
    <w:rsid w:val="002A2992"/>
    <w:rsid w:val="002A5235"/>
    <w:rsid w:val="002A53FA"/>
    <w:rsid w:val="002A715D"/>
    <w:rsid w:val="002B1AA4"/>
    <w:rsid w:val="002B250A"/>
    <w:rsid w:val="002B2D79"/>
    <w:rsid w:val="002B5D9F"/>
    <w:rsid w:val="002B66D4"/>
    <w:rsid w:val="002B7B03"/>
    <w:rsid w:val="002C022F"/>
    <w:rsid w:val="002C114E"/>
    <w:rsid w:val="002C2CFF"/>
    <w:rsid w:val="002C5246"/>
    <w:rsid w:val="002C65C4"/>
    <w:rsid w:val="002D0303"/>
    <w:rsid w:val="002D75E8"/>
    <w:rsid w:val="002E4362"/>
    <w:rsid w:val="002E6389"/>
    <w:rsid w:val="002F0C0F"/>
    <w:rsid w:val="002F18C3"/>
    <w:rsid w:val="002F39E3"/>
    <w:rsid w:val="002F5DA4"/>
    <w:rsid w:val="00301095"/>
    <w:rsid w:val="00301250"/>
    <w:rsid w:val="00304FEE"/>
    <w:rsid w:val="0031457B"/>
    <w:rsid w:val="00314670"/>
    <w:rsid w:val="00314861"/>
    <w:rsid w:val="00324C7E"/>
    <w:rsid w:val="00330844"/>
    <w:rsid w:val="00331930"/>
    <w:rsid w:val="00332D58"/>
    <w:rsid w:val="00334A66"/>
    <w:rsid w:val="00337A81"/>
    <w:rsid w:val="00345EDC"/>
    <w:rsid w:val="00346B13"/>
    <w:rsid w:val="00347293"/>
    <w:rsid w:val="00350518"/>
    <w:rsid w:val="003512CD"/>
    <w:rsid w:val="00352523"/>
    <w:rsid w:val="00360A28"/>
    <w:rsid w:val="00360A61"/>
    <w:rsid w:val="00363CCF"/>
    <w:rsid w:val="00364020"/>
    <w:rsid w:val="00366101"/>
    <w:rsid w:val="00367A4E"/>
    <w:rsid w:val="00372D99"/>
    <w:rsid w:val="003758A4"/>
    <w:rsid w:val="0038022A"/>
    <w:rsid w:val="00382471"/>
    <w:rsid w:val="003834DD"/>
    <w:rsid w:val="00391A69"/>
    <w:rsid w:val="00391F2C"/>
    <w:rsid w:val="00397AAB"/>
    <w:rsid w:val="003A760D"/>
    <w:rsid w:val="003B3390"/>
    <w:rsid w:val="003B35E8"/>
    <w:rsid w:val="003B3F6D"/>
    <w:rsid w:val="003B4FCB"/>
    <w:rsid w:val="003C5A2D"/>
    <w:rsid w:val="003D0970"/>
    <w:rsid w:val="003D1559"/>
    <w:rsid w:val="003D1DF3"/>
    <w:rsid w:val="003D203F"/>
    <w:rsid w:val="003D4F35"/>
    <w:rsid w:val="003E18AD"/>
    <w:rsid w:val="003E3969"/>
    <w:rsid w:val="003E5A40"/>
    <w:rsid w:val="003E5CA1"/>
    <w:rsid w:val="003E68D4"/>
    <w:rsid w:val="003F5E8A"/>
    <w:rsid w:val="00407637"/>
    <w:rsid w:val="004101AF"/>
    <w:rsid w:val="00413139"/>
    <w:rsid w:val="00413645"/>
    <w:rsid w:val="00413D4D"/>
    <w:rsid w:val="00422244"/>
    <w:rsid w:val="00422F18"/>
    <w:rsid w:val="00434543"/>
    <w:rsid w:val="004351E1"/>
    <w:rsid w:val="00435F35"/>
    <w:rsid w:val="004407CF"/>
    <w:rsid w:val="00445D79"/>
    <w:rsid w:val="00450084"/>
    <w:rsid w:val="00450659"/>
    <w:rsid w:val="00462523"/>
    <w:rsid w:val="00462DBA"/>
    <w:rsid w:val="00465533"/>
    <w:rsid w:val="00467700"/>
    <w:rsid w:val="00467D03"/>
    <w:rsid w:val="0047050C"/>
    <w:rsid w:val="0047052A"/>
    <w:rsid w:val="004705B6"/>
    <w:rsid w:val="00472334"/>
    <w:rsid w:val="00475E89"/>
    <w:rsid w:val="004821B6"/>
    <w:rsid w:val="004934FC"/>
    <w:rsid w:val="004A02A8"/>
    <w:rsid w:val="004A2806"/>
    <w:rsid w:val="004A71B4"/>
    <w:rsid w:val="004B2E04"/>
    <w:rsid w:val="004B6E4B"/>
    <w:rsid w:val="004B7663"/>
    <w:rsid w:val="004C2CE0"/>
    <w:rsid w:val="004C2FE1"/>
    <w:rsid w:val="004C3EDD"/>
    <w:rsid w:val="004C5A73"/>
    <w:rsid w:val="004C7C02"/>
    <w:rsid w:val="004D0952"/>
    <w:rsid w:val="004D1A31"/>
    <w:rsid w:val="004E0849"/>
    <w:rsid w:val="004E1177"/>
    <w:rsid w:val="004E545D"/>
    <w:rsid w:val="005014A8"/>
    <w:rsid w:val="005024F3"/>
    <w:rsid w:val="0050344C"/>
    <w:rsid w:val="005035AF"/>
    <w:rsid w:val="00515CC9"/>
    <w:rsid w:val="0051786F"/>
    <w:rsid w:val="005237C6"/>
    <w:rsid w:val="00523A1A"/>
    <w:rsid w:val="00524A2C"/>
    <w:rsid w:val="0052554D"/>
    <w:rsid w:val="00530D25"/>
    <w:rsid w:val="0053337E"/>
    <w:rsid w:val="00543C76"/>
    <w:rsid w:val="0054426D"/>
    <w:rsid w:val="005537F8"/>
    <w:rsid w:val="00557F25"/>
    <w:rsid w:val="005665E2"/>
    <w:rsid w:val="0057085A"/>
    <w:rsid w:val="0057173B"/>
    <w:rsid w:val="00572703"/>
    <w:rsid w:val="00573242"/>
    <w:rsid w:val="005735FC"/>
    <w:rsid w:val="00576889"/>
    <w:rsid w:val="00581BDC"/>
    <w:rsid w:val="0058214C"/>
    <w:rsid w:val="0058799C"/>
    <w:rsid w:val="00590733"/>
    <w:rsid w:val="005913A3"/>
    <w:rsid w:val="005A26E8"/>
    <w:rsid w:val="005A4938"/>
    <w:rsid w:val="005A4B48"/>
    <w:rsid w:val="005A5337"/>
    <w:rsid w:val="005A7AC1"/>
    <w:rsid w:val="005B01CE"/>
    <w:rsid w:val="005B7F31"/>
    <w:rsid w:val="005C004E"/>
    <w:rsid w:val="005C15A7"/>
    <w:rsid w:val="005D16C1"/>
    <w:rsid w:val="005D458D"/>
    <w:rsid w:val="005D55CB"/>
    <w:rsid w:val="005E245A"/>
    <w:rsid w:val="005E4175"/>
    <w:rsid w:val="005E4D44"/>
    <w:rsid w:val="005E56BE"/>
    <w:rsid w:val="005E7541"/>
    <w:rsid w:val="005F1D71"/>
    <w:rsid w:val="005F2F8D"/>
    <w:rsid w:val="005F47E3"/>
    <w:rsid w:val="005F62CD"/>
    <w:rsid w:val="006008AA"/>
    <w:rsid w:val="00606485"/>
    <w:rsid w:val="00622912"/>
    <w:rsid w:val="00624CD9"/>
    <w:rsid w:val="00626170"/>
    <w:rsid w:val="00627F91"/>
    <w:rsid w:val="00633B35"/>
    <w:rsid w:val="006426DE"/>
    <w:rsid w:val="00643855"/>
    <w:rsid w:val="006674C8"/>
    <w:rsid w:val="00667D69"/>
    <w:rsid w:val="00672380"/>
    <w:rsid w:val="00677A9F"/>
    <w:rsid w:val="00681431"/>
    <w:rsid w:val="006822AD"/>
    <w:rsid w:val="00684327"/>
    <w:rsid w:val="00686484"/>
    <w:rsid w:val="00686C8F"/>
    <w:rsid w:val="006A0F68"/>
    <w:rsid w:val="006A1E1E"/>
    <w:rsid w:val="006A2C60"/>
    <w:rsid w:val="006A7C4E"/>
    <w:rsid w:val="006B1280"/>
    <w:rsid w:val="006C14D9"/>
    <w:rsid w:val="006C4C2E"/>
    <w:rsid w:val="006D3391"/>
    <w:rsid w:val="006E07B6"/>
    <w:rsid w:val="006F301B"/>
    <w:rsid w:val="006F5D74"/>
    <w:rsid w:val="007013F5"/>
    <w:rsid w:val="00701AC6"/>
    <w:rsid w:val="00702A6E"/>
    <w:rsid w:val="00703082"/>
    <w:rsid w:val="00703148"/>
    <w:rsid w:val="00703C5A"/>
    <w:rsid w:val="00704A69"/>
    <w:rsid w:val="0070559F"/>
    <w:rsid w:val="00711120"/>
    <w:rsid w:val="00711E07"/>
    <w:rsid w:val="00715155"/>
    <w:rsid w:val="007201EE"/>
    <w:rsid w:val="00721B20"/>
    <w:rsid w:val="007350AE"/>
    <w:rsid w:val="00737452"/>
    <w:rsid w:val="0074031A"/>
    <w:rsid w:val="007446B2"/>
    <w:rsid w:val="00746523"/>
    <w:rsid w:val="00746E4C"/>
    <w:rsid w:val="00752585"/>
    <w:rsid w:val="0076461E"/>
    <w:rsid w:val="00782510"/>
    <w:rsid w:val="0078331F"/>
    <w:rsid w:val="0079116A"/>
    <w:rsid w:val="00791549"/>
    <w:rsid w:val="007973B9"/>
    <w:rsid w:val="007A02DB"/>
    <w:rsid w:val="007A1334"/>
    <w:rsid w:val="007A1501"/>
    <w:rsid w:val="007A765A"/>
    <w:rsid w:val="007B4550"/>
    <w:rsid w:val="007B4C39"/>
    <w:rsid w:val="007C0E63"/>
    <w:rsid w:val="007C5687"/>
    <w:rsid w:val="007C64F4"/>
    <w:rsid w:val="007C797F"/>
    <w:rsid w:val="007D7620"/>
    <w:rsid w:val="007D7E6E"/>
    <w:rsid w:val="007D7EE5"/>
    <w:rsid w:val="007E12CB"/>
    <w:rsid w:val="007E1AF6"/>
    <w:rsid w:val="007E45A2"/>
    <w:rsid w:val="007E6B2B"/>
    <w:rsid w:val="007F26CD"/>
    <w:rsid w:val="007F2E41"/>
    <w:rsid w:val="0080113A"/>
    <w:rsid w:val="00801525"/>
    <w:rsid w:val="00801530"/>
    <w:rsid w:val="008137B7"/>
    <w:rsid w:val="00813F5F"/>
    <w:rsid w:val="008156EA"/>
    <w:rsid w:val="00824BF0"/>
    <w:rsid w:val="00832281"/>
    <w:rsid w:val="008332BF"/>
    <w:rsid w:val="00835B1A"/>
    <w:rsid w:val="00835C32"/>
    <w:rsid w:val="00837E55"/>
    <w:rsid w:val="00850D05"/>
    <w:rsid w:val="00850EF8"/>
    <w:rsid w:val="0085183C"/>
    <w:rsid w:val="00852EEA"/>
    <w:rsid w:val="00853B3B"/>
    <w:rsid w:val="00861C92"/>
    <w:rsid w:val="00865907"/>
    <w:rsid w:val="008702F8"/>
    <w:rsid w:val="00871299"/>
    <w:rsid w:val="008723A4"/>
    <w:rsid w:val="008724C7"/>
    <w:rsid w:val="00872771"/>
    <w:rsid w:val="00872E29"/>
    <w:rsid w:val="00874B59"/>
    <w:rsid w:val="00875156"/>
    <w:rsid w:val="00876FA2"/>
    <w:rsid w:val="00882888"/>
    <w:rsid w:val="00883B35"/>
    <w:rsid w:val="00886DE1"/>
    <w:rsid w:val="00887AE1"/>
    <w:rsid w:val="0089161F"/>
    <w:rsid w:val="00891989"/>
    <w:rsid w:val="008941D5"/>
    <w:rsid w:val="008959B9"/>
    <w:rsid w:val="008A4961"/>
    <w:rsid w:val="008A730A"/>
    <w:rsid w:val="008C0B20"/>
    <w:rsid w:val="008C2BE4"/>
    <w:rsid w:val="008C3169"/>
    <w:rsid w:val="008C4BC5"/>
    <w:rsid w:val="008C5792"/>
    <w:rsid w:val="008C6FC0"/>
    <w:rsid w:val="008E5F74"/>
    <w:rsid w:val="009023A3"/>
    <w:rsid w:val="00920195"/>
    <w:rsid w:val="0092180E"/>
    <w:rsid w:val="00922FBA"/>
    <w:rsid w:val="009260B1"/>
    <w:rsid w:val="0093045D"/>
    <w:rsid w:val="00931117"/>
    <w:rsid w:val="00931F5E"/>
    <w:rsid w:val="0093426D"/>
    <w:rsid w:val="00935E26"/>
    <w:rsid w:val="009364A5"/>
    <w:rsid w:val="0093735B"/>
    <w:rsid w:val="00940845"/>
    <w:rsid w:val="00950A7B"/>
    <w:rsid w:val="00957E4B"/>
    <w:rsid w:val="0096380D"/>
    <w:rsid w:val="009663C7"/>
    <w:rsid w:val="0097017D"/>
    <w:rsid w:val="00974577"/>
    <w:rsid w:val="009848B6"/>
    <w:rsid w:val="009867DB"/>
    <w:rsid w:val="00994890"/>
    <w:rsid w:val="009949FB"/>
    <w:rsid w:val="00994A7B"/>
    <w:rsid w:val="00995F98"/>
    <w:rsid w:val="00997B15"/>
    <w:rsid w:val="009A28C5"/>
    <w:rsid w:val="009A7197"/>
    <w:rsid w:val="009B56BF"/>
    <w:rsid w:val="009B72D4"/>
    <w:rsid w:val="009B795A"/>
    <w:rsid w:val="009C041D"/>
    <w:rsid w:val="009C446F"/>
    <w:rsid w:val="009C4DDE"/>
    <w:rsid w:val="009C6157"/>
    <w:rsid w:val="009D48D2"/>
    <w:rsid w:val="009D7824"/>
    <w:rsid w:val="009E7C46"/>
    <w:rsid w:val="009F1E35"/>
    <w:rsid w:val="009F21A6"/>
    <w:rsid w:val="009F23E8"/>
    <w:rsid w:val="00A009DD"/>
    <w:rsid w:val="00A02FA3"/>
    <w:rsid w:val="00A077C9"/>
    <w:rsid w:val="00A10BED"/>
    <w:rsid w:val="00A1141A"/>
    <w:rsid w:val="00A11F58"/>
    <w:rsid w:val="00A22080"/>
    <w:rsid w:val="00A32EED"/>
    <w:rsid w:val="00A36899"/>
    <w:rsid w:val="00A371F5"/>
    <w:rsid w:val="00A400D9"/>
    <w:rsid w:val="00A42B8A"/>
    <w:rsid w:val="00A435B8"/>
    <w:rsid w:val="00A43B48"/>
    <w:rsid w:val="00A47019"/>
    <w:rsid w:val="00A50B4F"/>
    <w:rsid w:val="00A52E00"/>
    <w:rsid w:val="00A5470A"/>
    <w:rsid w:val="00A56367"/>
    <w:rsid w:val="00A610F4"/>
    <w:rsid w:val="00A64E05"/>
    <w:rsid w:val="00A65791"/>
    <w:rsid w:val="00A7169E"/>
    <w:rsid w:val="00A74128"/>
    <w:rsid w:val="00A74C67"/>
    <w:rsid w:val="00A81D9B"/>
    <w:rsid w:val="00A82D10"/>
    <w:rsid w:val="00A84B12"/>
    <w:rsid w:val="00A872D1"/>
    <w:rsid w:val="00A9169A"/>
    <w:rsid w:val="00A92FD8"/>
    <w:rsid w:val="00AA0812"/>
    <w:rsid w:val="00AA083D"/>
    <w:rsid w:val="00AA09DB"/>
    <w:rsid w:val="00AA1863"/>
    <w:rsid w:val="00AB03D8"/>
    <w:rsid w:val="00AB319B"/>
    <w:rsid w:val="00AB33E0"/>
    <w:rsid w:val="00AB3A3C"/>
    <w:rsid w:val="00AB410C"/>
    <w:rsid w:val="00AB5655"/>
    <w:rsid w:val="00AB5F37"/>
    <w:rsid w:val="00AC4320"/>
    <w:rsid w:val="00AC45A4"/>
    <w:rsid w:val="00AC6C5D"/>
    <w:rsid w:val="00AD26EA"/>
    <w:rsid w:val="00AE38F1"/>
    <w:rsid w:val="00AE481E"/>
    <w:rsid w:val="00AE7E2D"/>
    <w:rsid w:val="00AF3020"/>
    <w:rsid w:val="00AF5494"/>
    <w:rsid w:val="00AF7C71"/>
    <w:rsid w:val="00B1074D"/>
    <w:rsid w:val="00B10B6A"/>
    <w:rsid w:val="00B2162E"/>
    <w:rsid w:val="00B2631E"/>
    <w:rsid w:val="00B26D5B"/>
    <w:rsid w:val="00B301C0"/>
    <w:rsid w:val="00B31149"/>
    <w:rsid w:val="00B37435"/>
    <w:rsid w:val="00B453E4"/>
    <w:rsid w:val="00B4598F"/>
    <w:rsid w:val="00B51209"/>
    <w:rsid w:val="00B5132F"/>
    <w:rsid w:val="00B52687"/>
    <w:rsid w:val="00B5354E"/>
    <w:rsid w:val="00B55D99"/>
    <w:rsid w:val="00B572AB"/>
    <w:rsid w:val="00B57AB9"/>
    <w:rsid w:val="00B63055"/>
    <w:rsid w:val="00B74FCC"/>
    <w:rsid w:val="00B80520"/>
    <w:rsid w:val="00B8399C"/>
    <w:rsid w:val="00B85649"/>
    <w:rsid w:val="00B90F11"/>
    <w:rsid w:val="00B91FFB"/>
    <w:rsid w:val="00B95F46"/>
    <w:rsid w:val="00BA61D0"/>
    <w:rsid w:val="00BA6B2B"/>
    <w:rsid w:val="00BC22DF"/>
    <w:rsid w:val="00BC43C1"/>
    <w:rsid w:val="00BC446E"/>
    <w:rsid w:val="00BC631E"/>
    <w:rsid w:val="00BD129D"/>
    <w:rsid w:val="00BD6558"/>
    <w:rsid w:val="00BD7E1E"/>
    <w:rsid w:val="00BE0052"/>
    <w:rsid w:val="00BE7F7D"/>
    <w:rsid w:val="00BF09C4"/>
    <w:rsid w:val="00BF1550"/>
    <w:rsid w:val="00BF1951"/>
    <w:rsid w:val="00BF43E6"/>
    <w:rsid w:val="00BF5B81"/>
    <w:rsid w:val="00C03F9D"/>
    <w:rsid w:val="00C05158"/>
    <w:rsid w:val="00C12BA9"/>
    <w:rsid w:val="00C131B1"/>
    <w:rsid w:val="00C2039A"/>
    <w:rsid w:val="00C20C0D"/>
    <w:rsid w:val="00C21588"/>
    <w:rsid w:val="00C22C7B"/>
    <w:rsid w:val="00C2479F"/>
    <w:rsid w:val="00C27444"/>
    <w:rsid w:val="00C275B7"/>
    <w:rsid w:val="00C32BD8"/>
    <w:rsid w:val="00C32CC7"/>
    <w:rsid w:val="00C32F03"/>
    <w:rsid w:val="00C33D72"/>
    <w:rsid w:val="00C36138"/>
    <w:rsid w:val="00C403E8"/>
    <w:rsid w:val="00C44490"/>
    <w:rsid w:val="00C4605E"/>
    <w:rsid w:val="00C46D18"/>
    <w:rsid w:val="00C55E4B"/>
    <w:rsid w:val="00C63810"/>
    <w:rsid w:val="00C6566E"/>
    <w:rsid w:val="00C6719A"/>
    <w:rsid w:val="00C8249B"/>
    <w:rsid w:val="00C845C9"/>
    <w:rsid w:val="00C85DA0"/>
    <w:rsid w:val="00C8657F"/>
    <w:rsid w:val="00C87ADF"/>
    <w:rsid w:val="00C949F2"/>
    <w:rsid w:val="00CA2A1E"/>
    <w:rsid w:val="00CA4352"/>
    <w:rsid w:val="00CB13EE"/>
    <w:rsid w:val="00CB7FDE"/>
    <w:rsid w:val="00CC4444"/>
    <w:rsid w:val="00CC5CEF"/>
    <w:rsid w:val="00CC654F"/>
    <w:rsid w:val="00CF2AC4"/>
    <w:rsid w:val="00CF5B51"/>
    <w:rsid w:val="00CF5C74"/>
    <w:rsid w:val="00CF72D9"/>
    <w:rsid w:val="00CF7E5C"/>
    <w:rsid w:val="00D014E8"/>
    <w:rsid w:val="00D03851"/>
    <w:rsid w:val="00D072C2"/>
    <w:rsid w:val="00D1371C"/>
    <w:rsid w:val="00D14AE7"/>
    <w:rsid w:val="00D203FE"/>
    <w:rsid w:val="00D27167"/>
    <w:rsid w:val="00D36267"/>
    <w:rsid w:val="00D37E76"/>
    <w:rsid w:val="00D40132"/>
    <w:rsid w:val="00D411E6"/>
    <w:rsid w:val="00D45AD6"/>
    <w:rsid w:val="00D57C1B"/>
    <w:rsid w:val="00D623FB"/>
    <w:rsid w:val="00D636F1"/>
    <w:rsid w:val="00D66049"/>
    <w:rsid w:val="00D67C95"/>
    <w:rsid w:val="00D72BF5"/>
    <w:rsid w:val="00D755EB"/>
    <w:rsid w:val="00D76180"/>
    <w:rsid w:val="00D7644D"/>
    <w:rsid w:val="00D82C92"/>
    <w:rsid w:val="00D82FCB"/>
    <w:rsid w:val="00D85075"/>
    <w:rsid w:val="00D876BB"/>
    <w:rsid w:val="00D92989"/>
    <w:rsid w:val="00D94E66"/>
    <w:rsid w:val="00D969D3"/>
    <w:rsid w:val="00DA6150"/>
    <w:rsid w:val="00DB0F4A"/>
    <w:rsid w:val="00DB2875"/>
    <w:rsid w:val="00DB3AA3"/>
    <w:rsid w:val="00DB522C"/>
    <w:rsid w:val="00DC5206"/>
    <w:rsid w:val="00DD03DA"/>
    <w:rsid w:val="00DD5682"/>
    <w:rsid w:val="00DE021A"/>
    <w:rsid w:val="00DE23D8"/>
    <w:rsid w:val="00DE5F58"/>
    <w:rsid w:val="00DF38F5"/>
    <w:rsid w:val="00DF48A3"/>
    <w:rsid w:val="00E01A35"/>
    <w:rsid w:val="00E01C73"/>
    <w:rsid w:val="00E042A9"/>
    <w:rsid w:val="00E05299"/>
    <w:rsid w:val="00E06177"/>
    <w:rsid w:val="00E1264A"/>
    <w:rsid w:val="00E178F6"/>
    <w:rsid w:val="00E227B3"/>
    <w:rsid w:val="00E22C00"/>
    <w:rsid w:val="00E22D45"/>
    <w:rsid w:val="00E325B2"/>
    <w:rsid w:val="00E32EAB"/>
    <w:rsid w:val="00E3515E"/>
    <w:rsid w:val="00E40D76"/>
    <w:rsid w:val="00E411AE"/>
    <w:rsid w:val="00E45B4D"/>
    <w:rsid w:val="00E5086D"/>
    <w:rsid w:val="00E5608A"/>
    <w:rsid w:val="00E571DA"/>
    <w:rsid w:val="00E709C9"/>
    <w:rsid w:val="00E7317B"/>
    <w:rsid w:val="00E757F7"/>
    <w:rsid w:val="00E75E98"/>
    <w:rsid w:val="00E80F5D"/>
    <w:rsid w:val="00E82EDB"/>
    <w:rsid w:val="00E84C1B"/>
    <w:rsid w:val="00E85881"/>
    <w:rsid w:val="00E8687A"/>
    <w:rsid w:val="00E872C2"/>
    <w:rsid w:val="00E959D1"/>
    <w:rsid w:val="00E9702A"/>
    <w:rsid w:val="00E973B9"/>
    <w:rsid w:val="00E97646"/>
    <w:rsid w:val="00EA0771"/>
    <w:rsid w:val="00EA09D3"/>
    <w:rsid w:val="00EA0CDB"/>
    <w:rsid w:val="00EA46E2"/>
    <w:rsid w:val="00EA720B"/>
    <w:rsid w:val="00EA7B14"/>
    <w:rsid w:val="00EB3FE9"/>
    <w:rsid w:val="00EB4B38"/>
    <w:rsid w:val="00EB63AC"/>
    <w:rsid w:val="00EB686A"/>
    <w:rsid w:val="00EB7394"/>
    <w:rsid w:val="00EB7735"/>
    <w:rsid w:val="00EB7D64"/>
    <w:rsid w:val="00EC181B"/>
    <w:rsid w:val="00EC6284"/>
    <w:rsid w:val="00EC63FE"/>
    <w:rsid w:val="00ED3927"/>
    <w:rsid w:val="00ED3EC7"/>
    <w:rsid w:val="00EE4AAF"/>
    <w:rsid w:val="00EF0296"/>
    <w:rsid w:val="00EF329B"/>
    <w:rsid w:val="00EF72AC"/>
    <w:rsid w:val="00F01B15"/>
    <w:rsid w:val="00F02B4D"/>
    <w:rsid w:val="00F060FF"/>
    <w:rsid w:val="00F07283"/>
    <w:rsid w:val="00F076DB"/>
    <w:rsid w:val="00F116DC"/>
    <w:rsid w:val="00F121AD"/>
    <w:rsid w:val="00F25BDA"/>
    <w:rsid w:val="00F266AA"/>
    <w:rsid w:val="00F34FA6"/>
    <w:rsid w:val="00F362D1"/>
    <w:rsid w:val="00F3657B"/>
    <w:rsid w:val="00F409D9"/>
    <w:rsid w:val="00F445FF"/>
    <w:rsid w:val="00F452F8"/>
    <w:rsid w:val="00F47ADF"/>
    <w:rsid w:val="00F51C82"/>
    <w:rsid w:val="00F60DA8"/>
    <w:rsid w:val="00F60F87"/>
    <w:rsid w:val="00F6492D"/>
    <w:rsid w:val="00F66423"/>
    <w:rsid w:val="00F674F3"/>
    <w:rsid w:val="00F7743B"/>
    <w:rsid w:val="00F7748C"/>
    <w:rsid w:val="00F841BF"/>
    <w:rsid w:val="00F9251D"/>
    <w:rsid w:val="00F962CA"/>
    <w:rsid w:val="00F96F43"/>
    <w:rsid w:val="00FA13F3"/>
    <w:rsid w:val="00FA2C8C"/>
    <w:rsid w:val="00FA3C63"/>
    <w:rsid w:val="00FA72D9"/>
    <w:rsid w:val="00FB0854"/>
    <w:rsid w:val="00FB2EBE"/>
    <w:rsid w:val="00FB564A"/>
    <w:rsid w:val="00FB5FCC"/>
    <w:rsid w:val="00FC1F27"/>
    <w:rsid w:val="00FC3064"/>
    <w:rsid w:val="00FC4FFF"/>
    <w:rsid w:val="00FD1111"/>
    <w:rsid w:val="00FD496A"/>
    <w:rsid w:val="00FD5709"/>
    <w:rsid w:val="00FD6DDF"/>
    <w:rsid w:val="00FE2937"/>
    <w:rsid w:val="00FE6795"/>
    <w:rsid w:val="00FE6EE9"/>
    <w:rsid w:val="00FF01F0"/>
    <w:rsid w:val="00FF1E93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9DAFC5"/>
  <w15:chartTrackingRefBased/>
  <w15:docId w15:val="{08EDF67A-B5A8-C447-B484-7E7DC975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733"/>
    <w:rPr>
      <w:rFonts w:ascii="Times New Roman" w:eastAsia="Times New Roman" w:hAnsi="Times New Roman" w:cs="Times New Roman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02A6E"/>
  </w:style>
  <w:style w:type="paragraph" w:styleId="NormalWeb">
    <w:name w:val="Normal (Web)"/>
    <w:basedOn w:val="Normal"/>
    <w:uiPriority w:val="99"/>
    <w:semiHidden/>
    <w:unhideWhenUsed/>
    <w:rsid w:val="00686C8F"/>
    <w:pPr>
      <w:spacing w:before="100" w:beforeAutospacing="1" w:after="100" w:afterAutospacing="1"/>
    </w:pPr>
    <w:rPr>
      <w:lang w:eastAsia="en-US"/>
    </w:rPr>
  </w:style>
  <w:style w:type="table" w:customStyle="1" w:styleId="TableNormal1">
    <w:name w:val="Table Normal1"/>
    <w:rsid w:val="00590733"/>
    <w:rPr>
      <w:rFonts w:ascii="Times New Roman" w:eastAsia="Times New Roman" w:hAnsi="Times New Roman" w:cs="Times New Roman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590733"/>
    <w:pPr>
      <w:spacing w:after="200" w:line="276" w:lineRule="auto"/>
      <w:ind w:left="720" w:firstLine="357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90733"/>
    <w:pPr>
      <w:spacing w:after="200" w:line="480" w:lineRule="auto"/>
      <w:ind w:firstLine="357"/>
      <w:jc w:val="both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Henrique Lopes</dc:creator>
  <cp:keywords/>
  <dc:description/>
  <cp:lastModifiedBy>Joao Henrique Lopes</cp:lastModifiedBy>
  <cp:revision>7</cp:revision>
  <dcterms:created xsi:type="dcterms:W3CDTF">2022-09-26T00:32:00Z</dcterms:created>
  <dcterms:modified xsi:type="dcterms:W3CDTF">2022-10-07T19:10:00Z</dcterms:modified>
</cp:coreProperties>
</file>