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40BB4" w14:textId="18B24275" w:rsidR="00881184" w:rsidRPr="00201BE1" w:rsidRDefault="69A6DED1" w:rsidP="45962D95">
      <w:pPr>
        <w:rPr>
          <w:rFonts w:ascii="Arial" w:hAnsi="Arial" w:cs="Arial"/>
          <w:sz w:val="24"/>
          <w:szCs w:val="24"/>
        </w:rPr>
      </w:pPr>
      <w:r w:rsidRPr="69A6DED1">
        <w:rPr>
          <w:rFonts w:ascii="Arial" w:hAnsi="Arial" w:cs="Arial"/>
          <w:sz w:val="24"/>
          <w:szCs w:val="24"/>
        </w:rPr>
        <w:t>Please note that the abstract deadline is 31</w:t>
      </w:r>
      <w:r w:rsidRPr="69A6DED1">
        <w:rPr>
          <w:rFonts w:ascii="Arial" w:hAnsi="Arial" w:cs="Arial"/>
          <w:sz w:val="24"/>
          <w:szCs w:val="24"/>
          <w:vertAlign w:val="superscript"/>
        </w:rPr>
        <w:t>st</w:t>
      </w:r>
      <w:r w:rsidRPr="69A6DED1">
        <w:rPr>
          <w:rFonts w:ascii="Arial" w:hAnsi="Arial" w:cs="Arial"/>
          <w:sz w:val="24"/>
          <w:szCs w:val="24"/>
        </w:rPr>
        <w:t xml:space="preserve"> July 2020 (5pm BST), and authors will be notified of a decision within two weeks of the deadline.</w:t>
      </w:r>
    </w:p>
    <w:p w14:paraId="137634F5" w14:textId="77777777" w:rsidR="00CB5B8E" w:rsidRPr="00CB5B8E" w:rsidRDefault="00881184" w:rsidP="00881184">
      <w:pPr>
        <w:rPr>
          <w:rFonts w:ascii="Arial" w:hAnsi="Arial" w:cs="Arial"/>
          <w:b/>
          <w:sz w:val="24"/>
        </w:rPr>
      </w:pPr>
      <w:r w:rsidRPr="00201BE1">
        <w:rPr>
          <w:rFonts w:ascii="Arial" w:hAnsi="Arial" w:cs="Arial"/>
          <w:sz w:val="24"/>
        </w:rPr>
        <w:t xml:space="preserve">Abstracts should be submitted by email to </w:t>
      </w:r>
      <w:hyperlink r:id="rId6" w:history="1">
        <w:r w:rsidRPr="00201BE1">
          <w:rPr>
            <w:rStyle w:val="Hyperlink"/>
            <w:rFonts w:ascii="Arial" w:hAnsi="Arial" w:cs="Arial"/>
            <w:sz w:val="24"/>
          </w:rPr>
          <w:t>s.strong2@aston.ac.uk</w:t>
        </w:r>
      </w:hyperlink>
      <w:r w:rsidRPr="00201BE1">
        <w:rPr>
          <w:rFonts w:ascii="Arial" w:hAnsi="Arial" w:cs="Arial"/>
          <w:sz w:val="24"/>
        </w:rPr>
        <w:t xml:space="preserve"> with the subject line </w:t>
      </w:r>
      <w:r w:rsidRPr="00201BE1">
        <w:rPr>
          <w:rFonts w:ascii="Arial" w:hAnsi="Arial" w:cs="Arial"/>
          <w:b/>
          <w:sz w:val="24"/>
        </w:rPr>
        <w:t>BCOVS 2020</w:t>
      </w:r>
    </w:p>
    <w:p w14:paraId="18346FE0" w14:textId="08EFC2BC" w:rsidR="00CB5B8E" w:rsidRPr="00CB5B8E" w:rsidRDefault="0017389A" w:rsidP="45962D95">
      <w:pPr>
        <w:ind w:left="720" w:hanging="720"/>
        <w:rPr>
          <w:rFonts w:ascii="Arial" w:hAnsi="Arial" w:cs="Arial"/>
          <w:sz w:val="24"/>
          <w:szCs w:val="24"/>
        </w:rPr>
      </w:pPr>
      <w:sdt>
        <w:sdtPr>
          <w:rPr>
            <w:rFonts w:ascii="Arial" w:hAnsi="Arial" w:cs="Arial"/>
            <w:sz w:val="24"/>
          </w:rPr>
          <w:id w:val="792943962"/>
          <w14:checkbox>
            <w14:checked w14:val="0"/>
            <w14:checkedState w14:val="2612" w14:font="MS Gothic"/>
            <w14:uncheckedState w14:val="2610" w14:font="MS Gothic"/>
          </w14:checkbox>
        </w:sdtPr>
        <w:sdtEndPr/>
        <w:sdtContent>
          <w:r w:rsidR="003D0638">
            <w:rPr>
              <w:rFonts w:ascii="MS Gothic" w:eastAsia="MS Gothic" w:hAnsi="MS Gothic" w:cs="Arial" w:hint="eastAsia"/>
              <w:sz w:val="24"/>
            </w:rPr>
            <w:t>☐</w:t>
          </w:r>
        </w:sdtContent>
      </w:sdt>
      <w:r w:rsidR="00CB5B8E">
        <w:rPr>
          <w:rFonts w:ascii="Arial" w:hAnsi="Arial" w:cs="Arial"/>
          <w:sz w:val="24"/>
        </w:rPr>
        <w:tab/>
      </w:r>
      <w:r w:rsidR="00CB5B8E" w:rsidRPr="45962D95">
        <w:rPr>
          <w:rFonts w:ascii="Arial" w:hAnsi="Arial" w:cs="Arial"/>
          <w:sz w:val="24"/>
          <w:szCs w:val="24"/>
        </w:rPr>
        <w:t xml:space="preserve">I am happy for my abstract to be published in Ophthalmic and Physiological Optics and confirm that it is not under consideration </w:t>
      </w:r>
      <w:r w:rsidR="001121D3">
        <w:rPr>
          <w:rFonts w:ascii="Arial" w:hAnsi="Arial" w:cs="Arial"/>
          <w:sz w:val="24"/>
          <w:szCs w:val="24"/>
        </w:rPr>
        <w:t xml:space="preserve">or been accepted </w:t>
      </w:r>
      <w:r w:rsidR="00CB5B8E" w:rsidRPr="45962D95">
        <w:rPr>
          <w:rFonts w:ascii="Arial" w:hAnsi="Arial" w:cs="Arial"/>
          <w:sz w:val="24"/>
          <w:szCs w:val="24"/>
        </w:rPr>
        <w:t xml:space="preserve">for publication elsewhere </w:t>
      </w:r>
      <w:r w:rsidR="00CB5B8E" w:rsidRPr="69A6DED1">
        <w:rPr>
          <w:rFonts w:ascii="Arial" w:hAnsi="Arial" w:cs="Arial"/>
          <w:i/>
          <w:iCs/>
          <w:sz w:val="24"/>
          <w:szCs w:val="24"/>
        </w:rPr>
        <w:t>(</w:t>
      </w:r>
      <w:r w:rsidR="001121D3">
        <w:rPr>
          <w:rFonts w:ascii="Arial" w:hAnsi="Arial" w:cs="Arial"/>
          <w:i/>
          <w:iCs/>
          <w:sz w:val="24"/>
          <w:szCs w:val="24"/>
        </w:rPr>
        <w:t>untick the box to opt-out</w:t>
      </w:r>
      <w:r w:rsidR="00CB5B8E" w:rsidRPr="69A6DED1">
        <w:rPr>
          <w:rFonts w:ascii="Arial" w:hAnsi="Arial" w:cs="Arial"/>
          <w:i/>
          <w:iCs/>
          <w:sz w:val="24"/>
          <w:szCs w:val="24"/>
        </w:rPr>
        <w:t>)</w:t>
      </w:r>
    </w:p>
    <w:p w14:paraId="672A6659" w14:textId="5BA4A67A" w:rsidR="00CB5B8E" w:rsidRPr="001121D3" w:rsidRDefault="0017389A" w:rsidP="001121D3">
      <w:pPr>
        <w:ind w:left="720" w:hanging="720"/>
        <w:rPr>
          <w:rFonts w:ascii="Arial" w:hAnsi="Arial" w:cs="Arial"/>
          <w:sz w:val="24"/>
          <w:szCs w:val="24"/>
        </w:rPr>
      </w:pPr>
      <w:sdt>
        <w:sdtPr>
          <w:rPr>
            <w:rFonts w:ascii="Arial" w:hAnsi="Arial" w:cs="Arial"/>
            <w:sz w:val="24"/>
          </w:rPr>
          <w:id w:val="-1909063093"/>
          <w14:checkbox>
            <w14:checked w14:val="1"/>
            <w14:checkedState w14:val="2612" w14:font="MS Gothic"/>
            <w14:uncheckedState w14:val="2610" w14:font="MS Gothic"/>
          </w14:checkbox>
        </w:sdtPr>
        <w:sdtEndPr/>
        <w:sdtContent>
          <w:r w:rsidR="00573E88">
            <w:rPr>
              <w:rFonts w:ascii="MS Gothic" w:eastAsia="MS Gothic" w:hAnsi="MS Gothic" w:cs="Arial" w:hint="eastAsia"/>
              <w:sz w:val="24"/>
            </w:rPr>
            <w:t>☒</w:t>
          </w:r>
        </w:sdtContent>
      </w:sdt>
      <w:r w:rsidR="00CB5B8E">
        <w:rPr>
          <w:rFonts w:ascii="Arial" w:hAnsi="Arial" w:cs="Arial"/>
          <w:sz w:val="24"/>
        </w:rPr>
        <w:tab/>
      </w:r>
      <w:r w:rsidR="00CB5B8E" w:rsidRPr="062C680D">
        <w:rPr>
          <w:rFonts w:ascii="Arial" w:hAnsi="Arial" w:cs="Arial"/>
          <w:sz w:val="24"/>
          <w:szCs w:val="24"/>
        </w:rPr>
        <w:t xml:space="preserve">I am happy for my presentation to be recorded and available for attendees to view for up to five days after BCOVS </w:t>
      </w:r>
      <w:r w:rsidR="00CB5B8E" w:rsidRPr="69A6DED1">
        <w:rPr>
          <w:rFonts w:ascii="Arial" w:hAnsi="Arial" w:cs="Arial"/>
          <w:i/>
          <w:iCs/>
          <w:sz w:val="24"/>
          <w:szCs w:val="24"/>
        </w:rPr>
        <w:t>(</w:t>
      </w:r>
      <w:r w:rsidR="001121D3">
        <w:rPr>
          <w:rFonts w:ascii="Arial" w:hAnsi="Arial" w:cs="Arial"/>
          <w:i/>
          <w:iCs/>
          <w:sz w:val="24"/>
          <w:szCs w:val="24"/>
        </w:rPr>
        <w:t>untick the box to opt-out</w:t>
      </w:r>
      <w:r w:rsidR="00CB5B8E" w:rsidRPr="69A6DED1">
        <w:rPr>
          <w:rFonts w:ascii="Arial" w:hAnsi="Arial" w:cs="Arial"/>
          <w:i/>
          <w:iCs/>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36"/>
        <w:gridCol w:w="7470"/>
      </w:tblGrid>
      <w:tr w:rsidR="00CB5B8E" w:rsidRPr="00881184" w14:paraId="47F357E8" w14:textId="77777777" w:rsidTr="69A6DED1">
        <w:tc>
          <w:tcPr>
            <w:tcW w:w="2136" w:type="dxa"/>
          </w:tcPr>
          <w:p w14:paraId="7D40A66A" w14:textId="77777777" w:rsidR="00CB5B8E" w:rsidRPr="00881184" w:rsidRDefault="00CB5B8E" w:rsidP="00E67F9F">
            <w:pPr>
              <w:rPr>
                <w:rFonts w:ascii="Arial" w:eastAsia="Arial" w:hAnsi="Arial" w:cs="Arial"/>
                <w:b/>
                <w:sz w:val="24"/>
                <w:szCs w:val="28"/>
              </w:rPr>
            </w:pPr>
            <w:r>
              <w:rPr>
                <w:rFonts w:ascii="Arial" w:eastAsia="Arial" w:hAnsi="Arial" w:cs="Arial"/>
                <w:b/>
                <w:sz w:val="24"/>
                <w:szCs w:val="28"/>
              </w:rPr>
              <w:t>Type of abstract:</w:t>
            </w:r>
          </w:p>
        </w:tc>
        <w:tc>
          <w:tcPr>
            <w:tcW w:w="7470" w:type="dxa"/>
          </w:tcPr>
          <w:p w14:paraId="0EA5FA8C" w14:textId="4E7D3D15" w:rsidR="00CB5B8E" w:rsidRDefault="00CB5B8E" w:rsidP="00E67F9F">
            <w:pPr>
              <w:rPr>
                <w:rFonts w:ascii="Arial" w:eastAsia="Arial" w:hAnsi="Arial" w:cs="Arial"/>
                <w:sz w:val="24"/>
                <w:szCs w:val="28"/>
              </w:rPr>
            </w:pPr>
            <w:r>
              <w:rPr>
                <w:rFonts w:ascii="Arial" w:eastAsia="Arial" w:hAnsi="Arial" w:cs="Arial"/>
                <w:sz w:val="24"/>
                <w:szCs w:val="28"/>
              </w:rPr>
              <w:t>Researc</w:t>
            </w:r>
            <w:r w:rsidR="00035513">
              <w:rPr>
                <w:rFonts w:ascii="Arial" w:eastAsia="Arial" w:hAnsi="Arial" w:cs="Arial"/>
                <w:sz w:val="24"/>
                <w:szCs w:val="28"/>
              </w:rPr>
              <w:t>h</w:t>
            </w:r>
          </w:p>
        </w:tc>
      </w:tr>
      <w:tr w:rsidR="00881184" w:rsidRPr="00881184" w14:paraId="0118D073" w14:textId="77777777" w:rsidTr="69A6DED1">
        <w:tc>
          <w:tcPr>
            <w:tcW w:w="2136" w:type="dxa"/>
          </w:tcPr>
          <w:p w14:paraId="7D3E481F" w14:textId="77777777" w:rsidR="00881184" w:rsidRPr="00881184" w:rsidRDefault="00881184" w:rsidP="00E67F9F">
            <w:pPr>
              <w:rPr>
                <w:rFonts w:ascii="Arial" w:eastAsia="Arial" w:hAnsi="Arial" w:cs="Arial"/>
                <w:b/>
                <w:sz w:val="24"/>
                <w:szCs w:val="28"/>
              </w:rPr>
            </w:pPr>
            <w:r w:rsidRPr="00881184">
              <w:rPr>
                <w:rFonts w:ascii="Arial" w:eastAsia="Arial" w:hAnsi="Arial" w:cs="Arial"/>
                <w:b/>
                <w:sz w:val="24"/>
                <w:szCs w:val="28"/>
              </w:rPr>
              <w:t>Title of presentation:</w:t>
            </w:r>
          </w:p>
        </w:tc>
        <w:tc>
          <w:tcPr>
            <w:tcW w:w="7470" w:type="dxa"/>
          </w:tcPr>
          <w:p w14:paraId="6E6D6340" w14:textId="33A7B53B" w:rsidR="00035513" w:rsidRPr="00035513" w:rsidRDefault="00035513" w:rsidP="00E67F9F">
            <w:pPr>
              <w:rPr>
                <w:rFonts w:ascii="Arial" w:eastAsia="Arial" w:hAnsi="Arial" w:cs="Arial"/>
                <w:sz w:val="24"/>
                <w:szCs w:val="24"/>
              </w:rPr>
            </w:pPr>
            <w:r w:rsidRPr="00035513">
              <w:rPr>
                <w:rFonts w:ascii="Arial" w:hAnsi="Arial" w:cs="Arial"/>
                <w:sz w:val="24"/>
                <w:szCs w:val="24"/>
              </w:rPr>
              <w:t>Adherence, underperformed and overperformed test rates – Novel metrics for reporting compliance to clinical guidelines</w:t>
            </w:r>
          </w:p>
        </w:tc>
      </w:tr>
      <w:tr w:rsidR="00881184" w:rsidRPr="00881184" w14:paraId="4B5BA11D" w14:textId="77777777" w:rsidTr="69A6DED1">
        <w:tc>
          <w:tcPr>
            <w:tcW w:w="2136" w:type="dxa"/>
          </w:tcPr>
          <w:p w14:paraId="332EB287" w14:textId="77777777" w:rsidR="00881184" w:rsidRPr="00881184" w:rsidRDefault="00881184" w:rsidP="00E67F9F">
            <w:pPr>
              <w:rPr>
                <w:rFonts w:ascii="Arial" w:eastAsia="Arial" w:hAnsi="Arial" w:cs="Arial"/>
                <w:b/>
                <w:sz w:val="24"/>
                <w:szCs w:val="28"/>
              </w:rPr>
            </w:pPr>
            <w:r w:rsidRPr="00881184">
              <w:rPr>
                <w:rFonts w:ascii="Arial" w:eastAsia="Arial" w:hAnsi="Arial" w:cs="Arial"/>
                <w:b/>
                <w:sz w:val="24"/>
                <w:szCs w:val="28"/>
              </w:rPr>
              <w:t>Authors &amp; affiliations</w:t>
            </w:r>
            <w:r w:rsidR="006A6701">
              <w:rPr>
                <w:rFonts w:ascii="Arial" w:eastAsia="Arial" w:hAnsi="Arial" w:cs="Arial"/>
                <w:b/>
                <w:sz w:val="24"/>
                <w:szCs w:val="28"/>
              </w:rPr>
              <w:t>:</w:t>
            </w:r>
          </w:p>
        </w:tc>
        <w:tc>
          <w:tcPr>
            <w:tcW w:w="7470" w:type="dxa"/>
          </w:tcPr>
          <w:p w14:paraId="5A372805" w14:textId="6346234E" w:rsidR="00035513" w:rsidRDefault="00035513" w:rsidP="00E67F9F">
            <w:pPr>
              <w:rPr>
                <w:rFonts w:ascii="Arial" w:eastAsia="Arial" w:hAnsi="Arial" w:cs="Arial"/>
                <w:sz w:val="24"/>
                <w:szCs w:val="24"/>
              </w:rPr>
            </w:pPr>
            <w:r>
              <w:rPr>
                <w:rFonts w:ascii="Arial" w:eastAsia="Arial" w:hAnsi="Arial" w:cs="Arial"/>
                <w:sz w:val="24"/>
                <w:szCs w:val="24"/>
              </w:rPr>
              <w:t>Farkhandah Raqib, Ophthalmic Research Group, Optometry School, Aston university</w:t>
            </w:r>
          </w:p>
          <w:p w14:paraId="4943B39B" w14:textId="027E2171" w:rsidR="00035513" w:rsidRDefault="00035513" w:rsidP="00E67F9F">
            <w:pPr>
              <w:rPr>
                <w:rFonts w:ascii="Arial" w:eastAsia="Arial" w:hAnsi="Arial" w:cs="Arial"/>
                <w:sz w:val="24"/>
                <w:szCs w:val="24"/>
              </w:rPr>
            </w:pPr>
            <w:r>
              <w:rPr>
                <w:rFonts w:ascii="Arial" w:eastAsia="Arial" w:hAnsi="Arial" w:cs="Arial"/>
                <w:sz w:val="24"/>
                <w:szCs w:val="24"/>
              </w:rPr>
              <w:t>Dr John C. Gurney, Acute Primary Care Ophthalmology Service, West Kent CCG, Aylesford, UK</w:t>
            </w:r>
          </w:p>
          <w:p w14:paraId="563305F3" w14:textId="77777777" w:rsidR="00035513" w:rsidRDefault="00035513" w:rsidP="00E67F9F">
            <w:pPr>
              <w:rPr>
                <w:rFonts w:ascii="Arial" w:eastAsia="Arial" w:hAnsi="Arial" w:cs="Arial"/>
                <w:sz w:val="24"/>
                <w:szCs w:val="24"/>
              </w:rPr>
            </w:pPr>
            <w:r>
              <w:rPr>
                <w:rFonts w:ascii="Arial" w:eastAsia="Arial" w:hAnsi="Arial" w:cs="Arial"/>
                <w:sz w:val="24"/>
                <w:szCs w:val="24"/>
              </w:rPr>
              <w:t xml:space="preserve">Dr Deacon E. </w:t>
            </w:r>
            <w:proofErr w:type="spellStart"/>
            <w:r>
              <w:rPr>
                <w:rFonts w:ascii="Arial" w:eastAsia="Arial" w:hAnsi="Arial" w:cs="Arial"/>
                <w:sz w:val="24"/>
                <w:szCs w:val="24"/>
              </w:rPr>
              <w:t>Harle</w:t>
            </w:r>
            <w:proofErr w:type="spellEnd"/>
            <w:r>
              <w:rPr>
                <w:rFonts w:ascii="Arial" w:eastAsia="Arial" w:hAnsi="Arial" w:cs="Arial"/>
                <w:sz w:val="24"/>
                <w:szCs w:val="24"/>
              </w:rPr>
              <w:t>, Acute Primary Care Ophthalmology Service, West Kent CCG, Tonbridge, UK</w:t>
            </w:r>
          </w:p>
          <w:p w14:paraId="61C19249" w14:textId="7E782C1E" w:rsidR="00035513" w:rsidRDefault="00035513" w:rsidP="00E67F9F">
            <w:pPr>
              <w:rPr>
                <w:rFonts w:ascii="Arial" w:eastAsia="Arial" w:hAnsi="Arial" w:cs="Arial"/>
                <w:sz w:val="24"/>
                <w:szCs w:val="24"/>
              </w:rPr>
            </w:pPr>
            <w:proofErr w:type="spellStart"/>
            <w:r>
              <w:rPr>
                <w:rFonts w:ascii="Arial" w:eastAsia="Arial" w:hAnsi="Arial" w:cs="Arial"/>
                <w:sz w:val="24"/>
                <w:szCs w:val="24"/>
              </w:rPr>
              <w:t>Thurka</w:t>
            </w:r>
            <w:proofErr w:type="spellEnd"/>
            <w:r>
              <w:rPr>
                <w:rFonts w:ascii="Arial" w:eastAsia="Arial" w:hAnsi="Arial" w:cs="Arial"/>
                <w:sz w:val="24"/>
                <w:szCs w:val="24"/>
              </w:rPr>
              <w:t xml:space="preserve"> Sivapalan, Acute Primary Care Ophthalmology Service, West Kent CCG, Aylesford, UK</w:t>
            </w:r>
          </w:p>
          <w:p w14:paraId="27F68D90" w14:textId="39F2AF97" w:rsidR="00035513" w:rsidRDefault="00035513" w:rsidP="00E67F9F">
            <w:pPr>
              <w:rPr>
                <w:rFonts w:ascii="Arial" w:eastAsia="Arial" w:hAnsi="Arial" w:cs="Arial"/>
                <w:sz w:val="24"/>
                <w:szCs w:val="24"/>
              </w:rPr>
            </w:pPr>
            <w:r>
              <w:rPr>
                <w:rFonts w:ascii="Arial" w:eastAsia="Arial" w:hAnsi="Arial" w:cs="Arial"/>
                <w:sz w:val="24"/>
                <w:szCs w:val="24"/>
              </w:rPr>
              <w:t xml:space="preserve">Nicola </w:t>
            </w:r>
            <w:proofErr w:type="spellStart"/>
            <w:r>
              <w:rPr>
                <w:rFonts w:ascii="Arial" w:eastAsia="Arial" w:hAnsi="Arial" w:cs="Arial"/>
                <w:sz w:val="24"/>
                <w:szCs w:val="24"/>
              </w:rPr>
              <w:t>Sabokbar</w:t>
            </w:r>
            <w:proofErr w:type="spellEnd"/>
            <w:r>
              <w:rPr>
                <w:rFonts w:ascii="Arial" w:eastAsia="Arial" w:hAnsi="Arial" w:cs="Arial"/>
                <w:sz w:val="24"/>
                <w:szCs w:val="24"/>
              </w:rPr>
              <w:t>, Acute Primary Care Ophthalmology Service, West Kent CCG, Aylesford, UK</w:t>
            </w:r>
          </w:p>
          <w:p w14:paraId="0C8BAA5E" w14:textId="705C1641" w:rsidR="00881184" w:rsidRPr="00035513" w:rsidRDefault="00035513" w:rsidP="00E67F9F">
            <w:pPr>
              <w:rPr>
                <w:rFonts w:ascii="Arial" w:eastAsia="Arial" w:hAnsi="Arial" w:cs="Arial"/>
                <w:sz w:val="24"/>
                <w:szCs w:val="24"/>
              </w:rPr>
            </w:pPr>
            <w:r>
              <w:rPr>
                <w:rFonts w:ascii="Arial" w:eastAsia="Arial" w:hAnsi="Arial" w:cs="Arial"/>
                <w:sz w:val="24"/>
                <w:szCs w:val="24"/>
              </w:rPr>
              <w:t>Dr Mark C. M. Dunne, Ophthalmic Research Group, Optometry School, Aston university</w:t>
            </w:r>
          </w:p>
        </w:tc>
      </w:tr>
      <w:tr w:rsidR="00881184" w:rsidRPr="00881184" w14:paraId="324C2BFC" w14:textId="77777777" w:rsidTr="69A6DED1">
        <w:tc>
          <w:tcPr>
            <w:tcW w:w="2136" w:type="dxa"/>
          </w:tcPr>
          <w:p w14:paraId="4ED34C8C" w14:textId="77777777" w:rsidR="00881184" w:rsidRPr="00881184" w:rsidRDefault="00881184" w:rsidP="00E67F9F">
            <w:pPr>
              <w:rPr>
                <w:rFonts w:ascii="Arial" w:eastAsia="Arial" w:hAnsi="Arial" w:cs="Arial"/>
                <w:b/>
                <w:sz w:val="24"/>
                <w:szCs w:val="28"/>
              </w:rPr>
            </w:pPr>
            <w:r w:rsidRPr="00881184">
              <w:rPr>
                <w:rFonts w:ascii="Arial" w:eastAsia="Arial" w:hAnsi="Arial" w:cs="Arial"/>
                <w:b/>
                <w:sz w:val="24"/>
                <w:szCs w:val="28"/>
              </w:rPr>
              <w:t>E-mail:</w:t>
            </w:r>
          </w:p>
        </w:tc>
        <w:tc>
          <w:tcPr>
            <w:tcW w:w="7470" w:type="dxa"/>
          </w:tcPr>
          <w:p w14:paraId="52845277" w14:textId="49B808E7" w:rsidR="00881184" w:rsidRPr="00881184" w:rsidRDefault="00035513" w:rsidP="00E67F9F">
            <w:pPr>
              <w:rPr>
                <w:rFonts w:ascii="Arial" w:eastAsia="Arial" w:hAnsi="Arial" w:cs="Arial"/>
                <w:sz w:val="24"/>
                <w:szCs w:val="28"/>
              </w:rPr>
            </w:pPr>
            <w:r>
              <w:rPr>
                <w:rFonts w:ascii="Arial" w:eastAsia="Arial" w:hAnsi="Arial" w:cs="Arial"/>
                <w:sz w:val="24"/>
                <w:szCs w:val="28"/>
              </w:rPr>
              <w:t>Raqibf1@aston.ac.uk</w:t>
            </w:r>
          </w:p>
        </w:tc>
      </w:tr>
      <w:tr w:rsidR="006A6701" w:rsidRPr="00881184" w14:paraId="32346698" w14:textId="77777777" w:rsidTr="69A6DED1">
        <w:tc>
          <w:tcPr>
            <w:tcW w:w="2136" w:type="dxa"/>
          </w:tcPr>
          <w:p w14:paraId="6F4A3B77" w14:textId="77777777" w:rsidR="006A6701" w:rsidRPr="00881184" w:rsidRDefault="006A6701" w:rsidP="00E67F9F">
            <w:pPr>
              <w:rPr>
                <w:rFonts w:ascii="Arial" w:eastAsia="Arial" w:hAnsi="Arial" w:cs="Arial"/>
                <w:b/>
                <w:sz w:val="24"/>
                <w:szCs w:val="28"/>
              </w:rPr>
            </w:pPr>
            <w:r>
              <w:rPr>
                <w:rFonts w:ascii="Arial" w:eastAsia="Arial" w:hAnsi="Arial" w:cs="Arial"/>
                <w:b/>
                <w:sz w:val="24"/>
                <w:szCs w:val="28"/>
              </w:rPr>
              <w:t>Short bio:</w:t>
            </w:r>
          </w:p>
        </w:tc>
        <w:tc>
          <w:tcPr>
            <w:tcW w:w="7470" w:type="dxa"/>
          </w:tcPr>
          <w:p w14:paraId="69CC07D2" w14:textId="722419A4" w:rsidR="006A6701" w:rsidRPr="00881184" w:rsidRDefault="00035513" w:rsidP="00E67F9F">
            <w:pPr>
              <w:rPr>
                <w:rFonts w:ascii="Arial" w:eastAsia="Arial" w:hAnsi="Arial" w:cs="Arial"/>
                <w:sz w:val="24"/>
                <w:szCs w:val="24"/>
              </w:rPr>
            </w:pPr>
            <w:r>
              <w:rPr>
                <w:rFonts w:ascii="Arial" w:eastAsia="Arial" w:hAnsi="Arial" w:cs="Arial"/>
                <w:sz w:val="24"/>
                <w:szCs w:val="24"/>
              </w:rPr>
              <w:t xml:space="preserve">Having qualified in 2004, Farkhandah Raqib is a practising hospital and community </w:t>
            </w:r>
            <w:r w:rsidR="00021AB3">
              <w:rPr>
                <w:rFonts w:ascii="Arial" w:eastAsia="Arial" w:hAnsi="Arial" w:cs="Arial"/>
                <w:sz w:val="24"/>
                <w:szCs w:val="24"/>
              </w:rPr>
              <w:t>specialist O</w:t>
            </w:r>
            <w:r>
              <w:rPr>
                <w:rFonts w:ascii="Arial" w:eastAsia="Arial" w:hAnsi="Arial" w:cs="Arial"/>
                <w:sz w:val="24"/>
                <w:szCs w:val="24"/>
              </w:rPr>
              <w:t>ptometrist</w:t>
            </w:r>
            <w:r w:rsidR="000F13F1">
              <w:rPr>
                <w:rFonts w:ascii="Arial" w:eastAsia="Arial" w:hAnsi="Arial" w:cs="Arial"/>
                <w:sz w:val="24"/>
                <w:szCs w:val="24"/>
              </w:rPr>
              <w:t xml:space="preserve"> with</w:t>
            </w:r>
            <w:r w:rsidR="00021AB3">
              <w:rPr>
                <w:rFonts w:ascii="Arial" w:eastAsia="Arial" w:hAnsi="Arial" w:cs="Arial"/>
                <w:sz w:val="24"/>
                <w:szCs w:val="24"/>
              </w:rPr>
              <w:t xml:space="preserve"> extensive experience in planning and delivering </w:t>
            </w:r>
            <w:r w:rsidR="000F13F1">
              <w:rPr>
                <w:rFonts w:ascii="Arial" w:eastAsia="Arial" w:hAnsi="Arial" w:cs="Arial"/>
                <w:sz w:val="24"/>
                <w:szCs w:val="24"/>
              </w:rPr>
              <w:t xml:space="preserve">community-based </w:t>
            </w:r>
            <w:r w:rsidR="00021AB3">
              <w:rPr>
                <w:rFonts w:ascii="Arial" w:eastAsia="Arial" w:hAnsi="Arial" w:cs="Arial"/>
                <w:sz w:val="24"/>
                <w:szCs w:val="24"/>
              </w:rPr>
              <w:t xml:space="preserve">patient pathways. An independent prescriber, she has specialist interests in glaucoma, medical </w:t>
            </w:r>
            <w:proofErr w:type="gramStart"/>
            <w:r w:rsidR="00021AB3">
              <w:rPr>
                <w:rFonts w:ascii="Arial" w:eastAsia="Arial" w:hAnsi="Arial" w:cs="Arial"/>
                <w:sz w:val="24"/>
                <w:szCs w:val="24"/>
              </w:rPr>
              <w:t>retina</w:t>
            </w:r>
            <w:proofErr w:type="gramEnd"/>
            <w:r w:rsidR="00021AB3">
              <w:rPr>
                <w:rFonts w:ascii="Arial" w:eastAsia="Arial" w:hAnsi="Arial" w:cs="Arial"/>
                <w:sz w:val="24"/>
                <w:szCs w:val="24"/>
              </w:rPr>
              <w:t xml:space="preserve"> and low vision. She is also the chair of the Derbyshire L</w:t>
            </w:r>
            <w:r w:rsidR="000F13F1">
              <w:rPr>
                <w:rFonts w:ascii="Arial" w:eastAsia="Arial" w:hAnsi="Arial" w:cs="Arial"/>
                <w:sz w:val="24"/>
                <w:szCs w:val="24"/>
              </w:rPr>
              <w:t xml:space="preserve">ocal </w:t>
            </w:r>
            <w:r w:rsidR="00021AB3">
              <w:rPr>
                <w:rFonts w:ascii="Arial" w:eastAsia="Arial" w:hAnsi="Arial" w:cs="Arial"/>
                <w:sz w:val="24"/>
                <w:szCs w:val="24"/>
              </w:rPr>
              <w:t>O</w:t>
            </w:r>
            <w:r w:rsidR="000F13F1">
              <w:rPr>
                <w:rFonts w:ascii="Arial" w:eastAsia="Arial" w:hAnsi="Arial" w:cs="Arial"/>
                <w:sz w:val="24"/>
                <w:szCs w:val="24"/>
              </w:rPr>
              <w:t xml:space="preserve">ptical </w:t>
            </w:r>
            <w:r w:rsidR="00021AB3">
              <w:rPr>
                <w:rFonts w:ascii="Arial" w:eastAsia="Arial" w:hAnsi="Arial" w:cs="Arial"/>
                <w:sz w:val="24"/>
                <w:szCs w:val="24"/>
              </w:rPr>
              <w:t>C</w:t>
            </w:r>
            <w:r w:rsidR="000F13F1">
              <w:rPr>
                <w:rFonts w:ascii="Arial" w:eastAsia="Arial" w:hAnsi="Arial" w:cs="Arial"/>
                <w:sz w:val="24"/>
                <w:szCs w:val="24"/>
              </w:rPr>
              <w:t>ommittee (LOC)</w:t>
            </w:r>
            <w:r w:rsidR="00021AB3">
              <w:rPr>
                <w:rFonts w:ascii="Arial" w:eastAsia="Arial" w:hAnsi="Arial" w:cs="Arial"/>
                <w:sz w:val="24"/>
                <w:szCs w:val="24"/>
              </w:rPr>
              <w:t xml:space="preserve">. Aside from clinical practice, LOC activity and research, Farkhandah enjoys </w:t>
            </w:r>
            <w:r w:rsidR="00490ADB">
              <w:rPr>
                <w:rFonts w:ascii="Arial" w:eastAsia="Arial" w:hAnsi="Arial" w:cs="Arial"/>
                <w:sz w:val="24"/>
                <w:szCs w:val="24"/>
              </w:rPr>
              <w:t>Buddhist meditation and horse riding.</w:t>
            </w:r>
          </w:p>
        </w:tc>
      </w:tr>
      <w:tr w:rsidR="00CB5B8E" w:rsidRPr="00881184" w14:paraId="5EA42392" w14:textId="77777777" w:rsidTr="69A6DED1">
        <w:tc>
          <w:tcPr>
            <w:tcW w:w="2136" w:type="dxa"/>
          </w:tcPr>
          <w:p w14:paraId="1E9988C7" w14:textId="77777777" w:rsidR="00CB5B8E" w:rsidRDefault="00CB5B8E" w:rsidP="00E67F9F">
            <w:pPr>
              <w:rPr>
                <w:rFonts w:ascii="Arial" w:eastAsia="Arial" w:hAnsi="Arial" w:cs="Arial"/>
                <w:b/>
                <w:sz w:val="24"/>
                <w:szCs w:val="28"/>
              </w:rPr>
            </w:pPr>
            <w:r>
              <w:rPr>
                <w:rFonts w:ascii="Arial" w:eastAsia="Arial" w:hAnsi="Arial" w:cs="Arial"/>
                <w:b/>
                <w:sz w:val="24"/>
                <w:szCs w:val="28"/>
              </w:rPr>
              <w:t>Key words:</w:t>
            </w:r>
          </w:p>
        </w:tc>
        <w:tc>
          <w:tcPr>
            <w:tcW w:w="7470" w:type="dxa"/>
          </w:tcPr>
          <w:p w14:paraId="7E09DB8A" w14:textId="4B907014" w:rsidR="00CB5B8E" w:rsidRDefault="000F13F1" w:rsidP="00E67F9F">
            <w:pPr>
              <w:rPr>
                <w:rFonts w:ascii="Arial" w:eastAsia="Arial" w:hAnsi="Arial" w:cs="Arial"/>
                <w:sz w:val="24"/>
                <w:szCs w:val="28"/>
              </w:rPr>
            </w:pPr>
            <w:r>
              <w:rPr>
                <w:rFonts w:ascii="Arial" w:eastAsia="Arial" w:hAnsi="Arial" w:cs="Arial"/>
                <w:sz w:val="24"/>
                <w:szCs w:val="28"/>
              </w:rPr>
              <w:t xml:space="preserve">Guideline </w:t>
            </w:r>
            <w:r w:rsidR="00A941C7">
              <w:rPr>
                <w:rFonts w:ascii="Arial" w:eastAsia="Arial" w:hAnsi="Arial" w:cs="Arial"/>
                <w:sz w:val="24"/>
                <w:szCs w:val="28"/>
              </w:rPr>
              <w:t>compliance</w:t>
            </w:r>
            <w:r w:rsidR="00490ADB">
              <w:rPr>
                <w:rFonts w:ascii="Arial" w:eastAsia="Arial" w:hAnsi="Arial" w:cs="Arial"/>
                <w:sz w:val="24"/>
                <w:szCs w:val="28"/>
              </w:rPr>
              <w:t xml:space="preserve">, independent prescribing optometrists, evidence-based practice </w:t>
            </w:r>
          </w:p>
        </w:tc>
      </w:tr>
      <w:tr w:rsidR="00881184" w:rsidRPr="00881184" w14:paraId="09C3AF68" w14:textId="77777777" w:rsidTr="69A6DED1">
        <w:tc>
          <w:tcPr>
            <w:tcW w:w="2136" w:type="dxa"/>
          </w:tcPr>
          <w:p w14:paraId="1D64A6CD" w14:textId="77777777" w:rsidR="00881184" w:rsidRPr="00881184" w:rsidRDefault="00881184" w:rsidP="00E67F9F">
            <w:pPr>
              <w:rPr>
                <w:rFonts w:ascii="Arial" w:eastAsia="Arial" w:hAnsi="Arial" w:cs="Arial"/>
                <w:b/>
                <w:sz w:val="24"/>
                <w:szCs w:val="28"/>
              </w:rPr>
            </w:pPr>
            <w:r w:rsidRPr="00881184">
              <w:rPr>
                <w:rFonts w:ascii="Arial" w:eastAsia="Arial" w:hAnsi="Arial" w:cs="Arial"/>
                <w:b/>
                <w:sz w:val="24"/>
                <w:szCs w:val="28"/>
              </w:rPr>
              <w:t>Abstract</w:t>
            </w:r>
            <w:r w:rsidR="006A6701">
              <w:rPr>
                <w:rFonts w:ascii="Arial" w:eastAsia="Arial" w:hAnsi="Arial" w:cs="Arial"/>
                <w:b/>
                <w:sz w:val="24"/>
                <w:szCs w:val="28"/>
              </w:rPr>
              <w:t>:</w:t>
            </w:r>
          </w:p>
        </w:tc>
        <w:tc>
          <w:tcPr>
            <w:tcW w:w="7470" w:type="dxa"/>
          </w:tcPr>
          <w:p w14:paraId="4F157A04" w14:textId="77777777" w:rsidR="00A941C7" w:rsidRDefault="00A941C7" w:rsidP="00490ADB">
            <w:pPr>
              <w:rPr>
                <w:rFonts w:ascii="Arial" w:hAnsi="Arial" w:cs="Arial"/>
                <w:b/>
                <w:bCs/>
                <w:sz w:val="24"/>
                <w:szCs w:val="24"/>
              </w:rPr>
            </w:pPr>
          </w:p>
          <w:p w14:paraId="4B9A4298" w14:textId="77777777" w:rsidR="003D0638" w:rsidRPr="003D0638" w:rsidRDefault="003D0638" w:rsidP="003D0638">
            <w:pPr>
              <w:rPr>
                <w:rFonts w:ascii="Arial" w:hAnsi="Arial" w:cs="Arial"/>
                <w:sz w:val="24"/>
                <w:szCs w:val="24"/>
              </w:rPr>
            </w:pPr>
            <w:r w:rsidRPr="003D0638">
              <w:rPr>
                <w:rFonts w:ascii="Arial" w:hAnsi="Arial" w:cs="Arial"/>
                <w:b/>
                <w:bCs/>
                <w:sz w:val="24"/>
                <w:szCs w:val="24"/>
              </w:rPr>
              <w:lastRenderedPageBreak/>
              <w:t>Background:</w:t>
            </w:r>
            <w:r w:rsidRPr="003D0638">
              <w:rPr>
                <w:rFonts w:ascii="Arial" w:hAnsi="Arial" w:cs="Arial"/>
                <w:sz w:val="24"/>
                <w:szCs w:val="24"/>
              </w:rPr>
              <w:t xml:space="preserve"> Compliance to guidelines ensures evidence-based care, critical to optimal patient outcomes. There is currently no common and comprehensive method of reporting compliance to guidelines across multiple ocular conditions. Moreover, IP optometrist activity has yet to be evaluated in this manner. This paper presents novel metrics to promote the standardised reporting of compliance to clinical guidelines.</w:t>
            </w:r>
          </w:p>
          <w:p w14:paraId="77F9A1E0" w14:textId="77777777" w:rsidR="003D0638" w:rsidRPr="003D0638" w:rsidRDefault="003D0638" w:rsidP="003D0638">
            <w:pPr>
              <w:rPr>
                <w:rFonts w:ascii="Arial" w:hAnsi="Arial" w:cs="Arial"/>
                <w:sz w:val="24"/>
                <w:szCs w:val="24"/>
              </w:rPr>
            </w:pPr>
            <w:r w:rsidRPr="003D0638">
              <w:rPr>
                <w:rFonts w:ascii="Arial" w:hAnsi="Arial" w:cs="Arial"/>
                <w:b/>
                <w:bCs/>
                <w:sz w:val="24"/>
                <w:szCs w:val="24"/>
              </w:rPr>
              <w:t>Methods:</w:t>
            </w:r>
            <w:r w:rsidRPr="003D0638">
              <w:rPr>
                <w:rFonts w:ascii="Arial" w:hAnsi="Arial" w:cs="Arial"/>
                <w:sz w:val="24"/>
                <w:szCs w:val="24"/>
              </w:rPr>
              <w:t xml:space="preserve"> Three novel metrics were developed; adherence (A), overperformed test rate (OP), and underperformed test rate (UP). These metrics were used to evaluate 822 first patient appointments collected over the course of a year (Nov 2018 - Oct 2019) by four specialist IP Optometrists (Acute Primary Care Ophthalmology Service, Kent). Compliance across 76 quality indicators (recommended tests) covering history and symptoms, clinical signs, management, and prescribing decisions was measured against the College of Optometrists’ Clinical Management Guidelines. </w:t>
            </w:r>
          </w:p>
          <w:p w14:paraId="3EC3F45A" w14:textId="77777777" w:rsidR="003D0638" w:rsidRPr="003D0638" w:rsidRDefault="003D0638" w:rsidP="003D0638">
            <w:pPr>
              <w:rPr>
                <w:rFonts w:ascii="Arial" w:hAnsi="Arial" w:cs="Arial"/>
                <w:sz w:val="24"/>
                <w:szCs w:val="24"/>
              </w:rPr>
            </w:pPr>
            <w:r w:rsidRPr="003D0638">
              <w:rPr>
                <w:rFonts w:ascii="Arial" w:hAnsi="Arial" w:cs="Arial"/>
                <w:b/>
                <w:bCs/>
                <w:sz w:val="24"/>
                <w:szCs w:val="24"/>
              </w:rPr>
              <w:t>Results:</w:t>
            </w:r>
            <w:r w:rsidRPr="003D0638">
              <w:rPr>
                <w:rFonts w:ascii="Arial" w:hAnsi="Arial" w:cs="Arial"/>
                <w:sz w:val="24"/>
                <w:szCs w:val="24"/>
              </w:rPr>
              <w:t xml:space="preserve"> The metrics (mean and range) are as follows. History and symptoms, A: 78.9% (range: 48–98%), OP: 6.9% (range: 0-13.7%) and UP: 14.2% (range: 1.2-4.5%). Clinical signs (tests undertaken), A: 93.8% (61-99%), OP: 2.8% (range: 0-14%) and UP: 3.4% (range: 0-28%). Management decisions, A: 69.6% (range: 61-100%), OP: 3.1% (0-12%) and UP 27.3% (range: 0-57%). Prescribing decisions, A: 92.1% (range: 61-100%), MOP: 0.9% (range: 0-5%) and UP: 7.1% (range: 0-35%).</w:t>
            </w:r>
          </w:p>
          <w:p w14:paraId="0A37501D" w14:textId="346BDDDE" w:rsidR="00881184" w:rsidRPr="003D0638" w:rsidRDefault="003D0638" w:rsidP="00490ADB">
            <w:pPr>
              <w:rPr>
                <w:sz w:val="20"/>
                <w:szCs w:val="20"/>
              </w:rPr>
            </w:pPr>
            <w:r w:rsidRPr="003D0638">
              <w:rPr>
                <w:rFonts w:ascii="Arial" w:hAnsi="Arial" w:cs="Arial"/>
                <w:b/>
                <w:bCs/>
                <w:sz w:val="24"/>
                <w:szCs w:val="24"/>
              </w:rPr>
              <w:t>Conclusion:</w:t>
            </w:r>
            <w:r w:rsidRPr="003D0638">
              <w:rPr>
                <w:rFonts w:ascii="Arial" w:hAnsi="Arial" w:cs="Arial"/>
                <w:sz w:val="24"/>
                <w:szCs w:val="24"/>
              </w:rPr>
              <w:t xml:space="preserve"> The three novel metrics provide a comprehensive method of reporting compliance to guidelines. IP optometrist activity appears largely compliant against CMG recommendations across 48 anterior ocular conditions. Further work is being undertaken to explore the relationship between clinical observations and decisions made by IP optometrists.</w:t>
            </w:r>
          </w:p>
        </w:tc>
      </w:tr>
      <w:tr w:rsidR="00CB5B8E" w:rsidRPr="00881184" w14:paraId="6D233670" w14:textId="77777777" w:rsidTr="69A6DED1">
        <w:tc>
          <w:tcPr>
            <w:tcW w:w="2136" w:type="dxa"/>
          </w:tcPr>
          <w:p w14:paraId="16BB07A3" w14:textId="35F8FC44" w:rsidR="00CB5B8E" w:rsidRPr="00881184" w:rsidRDefault="00CB5B8E" w:rsidP="00E67F9F">
            <w:pPr>
              <w:rPr>
                <w:rFonts w:ascii="Arial" w:eastAsia="Arial" w:hAnsi="Arial" w:cs="Arial"/>
                <w:b/>
                <w:sz w:val="24"/>
                <w:szCs w:val="28"/>
              </w:rPr>
            </w:pPr>
            <w:r>
              <w:rPr>
                <w:rFonts w:ascii="Arial" w:eastAsia="Arial" w:hAnsi="Arial" w:cs="Arial"/>
                <w:b/>
                <w:sz w:val="24"/>
                <w:szCs w:val="28"/>
              </w:rPr>
              <w:lastRenderedPageBreak/>
              <w:t>Three</w:t>
            </w:r>
            <w:r w:rsidR="0038218C">
              <w:rPr>
                <w:rFonts w:ascii="Arial" w:eastAsia="Arial" w:hAnsi="Arial" w:cs="Arial"/>
                <w:b/>
                <w:sz w:val="24"/>
                <w:szCs w:val="28"/>
              </w:rPr>
              <w:t xml:space="preserve"> </w:t>
            </w:r>
            <w:r>
              <w:rPr>
                <w:rFonts w:ascii="Arial" w:eastAsia="Arial" w:hAnsi="Arial" w:cs="Arial"/>
                <w:b/>
                <w:sz w:val="24"/>
                <w:szCs w:val="28"/>
              </w:rPr>
              <w:t>references:</w:t>
            </w:r>
          </w:p>
        </w:tc>
        <w:tc>
          <w:tcPr>
            <w:tcW w:w="7470" w:type="dxa"/>
          </w:tcPr>
          <w:p w14:paraId="034C6E94" w14:textId="1975CD19" w:rsidR="003D0638" w:rsidRDefault="003D0638" w:rsidP="003D0638">
            <w:pPr>
              <w:widowControl w:val="0"/>
              <w:autoSpaceDE w:val="0"/>
              <w:autoSpaceDN w:val="0"/>
              <w:adjustRightInd w:val="0"/>
              <w:spacing w:line="240" w:lineRule="auto"/>
              <w:ind w:left="640" w:hanging="640"/>
              <w:rPr>
                <w:rFonts w:ascii="Arial" w:hAnsi="Arial" w:cs="Arial"/>
                <w:noProof/>
                <w:sz w:val="24"/>
                <w:szCs w:val="24"/>
              </w:rPr>
            </w:pPr>
            <w:r>
              <w:rPr>
                <w:rFonts w:ascii="Arial" w:hAnsi="Arial" w:cs="Arial"/>
                <w:noProof/>
                <w:sz w:val="24"/>
                <w:szCs w:val="24"/>
              </w:rPr>
              <w:t>1</w:t>
            </w:r>
            <w:r w:rsidRPr="005C7B30">
              <w:rPr>
                <w:rFonts w:ascii="Arial" w:hAnsi="Arial" w:cs="Arial"/>
                <w:noProof/>
                <w:sz w:val="24"/>
                <w:szCs w:val="24"/>
              </w:rPr>
              <w:t xml:space="preserve">. </w:t>
            </w:r>
            <w:r w:rsidRPr="005C7B30">
              <w:rPr>
                <w:rFonts w:ascii="Arial" w:hAnsi="Arial" w:cs="Arial"/>
                <w:noProof/>
                <w:sz w:val="24"/>
                <w:szCs w:val="24"/>
              </w:rPr>
              <w:tab/>
              <w:t>Ho KC, Stapleton F, Wiles L, Hibbert P, Alkhawajah S, White A, et al. Systematic review of the appropriateness of eye care delivery in eye care practice. BMC Health Serv Res. 2019 Sep 6;19(1).</w:t>
            </w:r>
          </w:p>
          <w:p w14:paraId="18D37E64" w14:textId="0DF56023" w:rsidR="00907B26" w:rsidRPr="003D0638" w:rsidRDefault="003D0638" w:rsidP="003D0638">
            <w:pPr>
              <w:widowControl w:val="0"/>
              <w:autoSpaceDE w:val="0"/>
              <w:autoSpaceDN w:val="0"/>
              <w:adjustRightInd w:val="0"/>
              <w:spacing w:line="240" w:lineRule="auto"/>
              <w:ind w:left="640" w:hanging="640"/>
              <w:rPr>
                <w:rStyle w:val="Hyperlink"/>
                <w:rFonts w:ascii="Arial" w:hAnsi="Arial" w:cs="Arial"/>
                <w:noProof/>
                <w:color w:val="auto"/>
                <w:sz w:val="24"/>
                <w:szCs w:val="24"/>
                <w:u w:val="none"/>
              </w:rPr>
            </w:pPr>
            <w:r>
              <w:rPr>
                <w:rFonts w:ascii="Arial" w:hAnsi="Arial" w:cs="Arial"/>
                <w:noProof/>
                <w:sz w:val="24"/>
                <w:szCs w:val="24"/>
              </w:rPr>
              <w:t>2</w:t>
            </w:r>
            <w:r w:rsidR="00303DC8" w:rsidRPr="005C7B30">
              <w:rPr>
                <w:rFonts w:ascii="Arial" w:hAnsi="Arial" w:cs="Arial"/>
                <w:noProof/>
                <w:sz w:val="24"/>
                <w:szCs w:val="24"/>
              </w:rPr>
              <w:t xml:space="preserve">. </w:t>
            </w:r>
            <w:r w:rsidR="00303DC8" w:rsidRPr="005C7B30">
              <w:rPr>
                <w:rFonts w:ascii="Arial" w:hAnsi="Arial" w:cs="Arial"/>
                <w:noProof/>
                <w:sz w:val="24"/>
                <w:szCs w:val="24"/>
              </w:rPr>
              <w:tab/>
              <w:t xml:space="preserve">College of Optometrists. Clinical Management Guidelines [internet]. 2020; Available at: </w:t>
            </w:r>
            <w:hyperlink r:id="rId7" w:history="1">
              <w:r w:rsidR="00303DC8" w:rsidRPr="005C7B30">
                <w:rPr>
                  <w:rStyle w:val="Hyperlink"/>
                  <w:rFonts w:ascii="Arial" w:hAnsi="Arial" w:cs="Arial"/>
                  <w:sz w:val="24"/>
                  <w:szCs w:val="24"/>
                </w:rPr>
                <w:t>https://www.college-optometrists.org/guidance/clinical-management-guidelines.html</w:t>
              </w:r>
            </w:hyperlink>
          </w:p>
          <w:p w14:paraId="4F146B2E" w14:textId="0E196A14" w:rsidR="00907B26" w:rsidRDefault="003D0638" w:rsidP="005C7B30">
            <w:pPr>
              <w:widowControl w:val="0"/>
              <w:autoSpaceDE w:val="0"/>
              <w:autoSpaceDN w:val="0"/>
              <w:adjustRightInd w:val="0"/>
              <w:spacing w:line="240" w:lineRule="auto"/>
              <w:ind w:left="640" w:hanging="640"/>
              <w:rPr>
                <w:rFonts w:ascii="Arial" w:hAnsi="Arial" w:cs="Arial"/>
                <w:sz w:val="24"/>
                <w:szCs w:val="24"/>
              </w:rPr>
            </w:pPr>
            <w:r>
              <w:rPr>
                <w:rStyle w:val="Hyperlink"/>
                <w:rFonts w:ascii="Arial" w:hAnsi="Arial" w:cs="Arial"/>
                <w:color w:val="auto"/>
                <w:sz w:val="24"/>
                <w:szCs w:val="24"/>
                <w:u w:val="none"/>
              </w:rPr>
              <w:t>4</w:t>
            </w:r>
            <w:r w:rsidR="005C7B30">
              <w:rPr>
                <w:rStyle w:val="Hyperlink"/>
                <w:rFonts w:ascii="Arial" w:hAnsi="Arial" w:cs="Arial"/>
                <w:color w:val="auto"/>
                <w:sz w:val="24"/>
                <w:szCs w:val="24"/>
                <w:u w:val="none"/>
              </w:rPr>
              <w:t>.</w:t>
            </w:r>
            <w:r w:rsidR="00907B26" w:rsidRPr="005C7B30">
              <w:rPr>
                <w:rFonts w:ascii="Arial" w:hAnsi="Arial" w:cs="Arial"/>
                <w:noProof/>
                <w:sz w:val="24"/>
                <w:szCs w:val="24"/>
              </w:rPr>
              <w:t xml:space="preserve"> </w:t>
            </w:r>
            <w:r w:rsidR="00907B26" w:rsidRPr="005C7B30">
              <w:rPr>
                <w:rFonts w:ascii="Arial" w:hAnsi="Arial" w:cs="Arial"/>
                <w:noProof/>
                <w:sz w:val="24"/>
                <w:szCs w:val="24"/>
              </w:rPr>
              <w:tab/>
            </w:r>
            <w:r w:rsidR="00907B26" w:rsidRPr="005C7B30">
              <w:rPr>
                <w:rFonts w:ascii="Arial" w:hAnsi="Arial" w:cs="Arial"/>
                <w:sz w:val="24"/>
                <w:szCs w:val="24"/>
              </w:rPr>
              <w:t>Baker H</w:t>
            </w:r>
            <w:r w:rsidR="005C7B30" w:rsidRPr="005C7B30">
              <w:rPr>
                <w:rFonts w:ascii="Arial" w:hAnsi="Arial" w:cs="Arial"/>
                <w:sz w:val="24"/>
                <w:szCs w:val="24"/>
              </w:rPr>
              <w:t xml:space="preserve">, </w:t>
            </w:r>
            <w:proofErr w:type="spellStart"/>
            <w:r w:rsidR="00907B26" w:rsidRPr="00907B26">
              <w:rPr>
                <w:rFonts w:ascii="Arial" w:eastAsia="Times New Roman" w:hAnsi="Arial" w:cs="Arial"/>
                <w:sz w:val="24"/>
                <w:szCs w:val="24"/>
                <w:lang w:eastAsia="en-GB"/>
              </w:rPr>
              <w:t>Ratnarajan</w:t>
            </w:r>
            <w:proofErr w:type="spellEnd"/>
            <w:r w:rsidR="005C7B30" w:rsidRPr="005C7B30">
              <w:rPr>
                <w:rFonts w:ascii="Arial" w:hAnsi="Arial" w:cs="Arial"/>
                <w:sz w:val="24"/>
                <w:szCs w:val="24"/>
              </w:rPr>
              <w:t xml:space="preserve"> G, </w:t>
            </w:r>
            <w:r w:rsidR="00907B26" w:rsidRPr="00907B26">
              <w:rPr>
                <w:rFonts w:ascii="Arial" w:eastAsia="Times New Roman" w:hAnsi="Arial" w:cs="Arial"/>
                <w:sz w:val="24"/>
                <w:szCs w:val="24"/>
                <w:lang w:eastAsia="en-GB"/>
              </w:rPr>
              <w:t>Harper R</w:t>
            </w:r>
            <w:r w:rsidR="005C7B30" w:rsidRPr="005C7B30">
              <w:rPr>
                <w:rFonts w:ascii="Arial" w:hAnsi="Arial" w:cs="Arial"/>
                <w:sz w:val="24"/>
                <w:szCs w:val="24"/>
              </w:rPr>
              <w:t>.</w:t>
            </w:r>
            <w:r w:rsidR="00907B26" w:rsidRPr="00907B26">
              <w:rPr>
                <w:rFonts w:ascii="Arial" w:eastAsia="Times New Roman" w:hAnsi="Arial" w:cs="Arial"/>
                <w:sz w:val="24"/>
                <w:szCs w:val="24"/>
                <w:lang w:eastAsia="en-GB"/>
              </w:rPr>
              <w:t xml:space="preserve"> A</w:t>
            </w:r>
            <w:r w:rsidR="005C7B30" w:rsidRPr="005C7B30">
              <w:rPr>
                <w:rFonts w:ascii="Arial" w:hAnsi="Arial" w:cs="Arial"/>
                <w:sz w:val="24"/>
                <w:szCs w:val="24"/>
              </w:rPr>
              <w:t xml:space="preserve">., </w:t>
            </w:r>
            <w:r w:rsidR="00907B26" w:rsidRPr="00907B26">
              <w:rPr>
                <w:rFonts w:ascii="Arial" w:eastAsia="Times New Roman" w:hAnsi="Arial" w:cs="Arial"/>
                <w:sz w:val="24"/>
                <w:szCs w:val="24"/>
                <w:lang w:eastAsia="en-GB"/>
              </w:rPr>
              <w:t>Edgar D</w:t>
            </w:r>
            <w:r w:rsidR="005C7B30" w:rsidRPr="005C7B30">
              <w:rPr>
                <w:rFonts w:ascii="Arial" w:hAnsi="Arial" w:cs="Arial"/>
                <w:sz w:val="24"/>
                <w:szCs w:val="24"/>
              </w:rPr>
              <w:t>.</w:t>
            </w:r>
            <w:r w:rsidR="00907B26" w:rsidRPr="00907B26">
              <w:rPr>
                <w:rFonts w:ascii="Arial" w:eastAsia="Times New Roman" w:hAnsi="Arial" w:cs="Arial"/>
                <w:sz w:val="24"/>
                <w:szCs w:val="24"/>
                <w:lang w:eastAsia="en-GB"/>
              </w:rPr>
              <w:t xml:space="preserve"> F.</w:t>
            </w:r>
            <w:r w:rsidR="005C7B30" w:rsidRPr="005C7B30">
              <w:rPr>
                <w:rFonts w:ascii="Arial" w:hAnsi="Arial" w:cs="Arial"/>
                <w:sz w:val="24"/>
                <w:szCs w:val="24"/>
              </w:rPr>
              <w:t xml:space="preserve">,                                              </w:t>
            </w:r>
            <w:r w:rsidR="00907B26" w:rsidRPr="005C7B30">
              <w:rPr>
                <w:rFonts w:ascii="Arial" w:eastAsia="Times New Roman" w:hAnsi="Arial" w:cs="Arial"/>
                <w:sz w:val="24"/>
                <w:szCs w:val="24"/>
                <w:lang w:eastAsia="en-GB"/>
              </w:rPr>
              <w:t>Lawrenson,</w:t>
            </w:r>
            <w:r w:rsidR="005C7B30" w:rsidRPr="005C7B30">
              <w:rPr>
                <w:rFonts w:ascii="Arial" w:hAnsi="Arial" w:cs="Arial"/>
                <w:sz w:val="24"/>
                <w:szCs w:val="24"/>
              </w:rPr>
              <w:t xml:space="preserve"> J. G. Effectiveness of UK optometric enhanced eye care services: a realist review of the literature. Ophthalmic </w:t>
            </w:r>
            <w:proofErr w:type="spellStart"/>
            <w:r w:rsidR="005C7B30" w:rsidRPr="005C7B30">
              <w:rPr>
                <w:rFonts w:ascii="Arial" w:hAnsi="Arial" w:cs="Arial"/>
                <w:sz w:val="24"/>
                <w:szCs w:val="24"/>
              </w:rPr>
              <w:t>Physiol</w:t>
            </w:r>
            <w:proofErr w:type="spellEnd"/>
            <w:r w:rsidR="005C7B30" w:rsidRPr="005C7B30">
              <w:rPr>
                <w:rFonts w:ascii="Arial" w:hAnsi="Arial" w:cs="Arial"/>
                <w:sz w:val="24"/>
                <w:szCs w:val="24"/>
              </w:rPr>
              <w:t xml:space="preserve"> Opt. 2016 Sep;36(5):545-57</w:t>
            </w:r>
          </w:p>
          <w:p w14:paraId="660575C2" w14:textId="4C5FA1C8" w:rsidR="005C7B30" w:rsidRDefault="003D0638" w:rsidP="003D0638">
            <w:pPr>
              <w:widowControl w:val="0"/>
              <w:autoSpaceDE w:val="0"/>
              <w:autoSpaceDN w:val="0"/>
              <w:adjustRightInd w:val="0"/>
              <w:spacing w:line="240" w:lineRule="auto"/>
              <w:ind w:left="640" w:hanging="640"/>
              <w:rPr>
                <w:rStyle w:val="Hyperlink"/>
                <w:rFonts w:ascii="Arial" w:hAnsi="Arial" w:cs="Arial"/>
                <w:sz w:val="24"/>
                <w:szCs w:val="24"/>
              </w:rPr>
            </w:pPr>
            <w:r>
              <w:rPr>
                <w:rFonts w:ascii="Arial" w:hAnsi="Arial" w:cs="Arial"/>
                <w:noProof/>
                <w:sz w:val="24"/>
                <w:szCs w:val="24"/>
              </w:rPr>
              <w:t>3</w:t>
            </w:r>
            <w:r w:rsidRPr="005C7B30">
              <w:rPr>
                <w:rFonts w:ascii="Arial" w:hAnsi="Arial" w:cs="Arial"/>
                <w:noProof/>
                <w:sz w:val="24"/>
                <w:szCs w:val="24"/>
              </w:rPr>
              <w:t>.      The Royal College of Ophthalmologists. Reopening and redeveloping ophthalmology services during Covid recovery-</w:t>
            </w:r>
            <w:r w:rsidRPr="005C7B30">
              <w:rPr>
                <w:rFonts w:ascii="Arial" w:hAnsi="Arial" w:cs="Arial"/>
                <w:noProof/>
                <w:sz w:val="24"/>
                <w:szCs w:val="24"/>
              </w:rPr>
              <w:lastRenderedPageBreak/>
              <w:t xml:space="preserve">Interim guidance [internet]. 2020; Available at: </w:t>
            </w:r>
            <w:hyperlink r:id="rId8" w:history="1">
              <w:r w:rsidRPr="005C7B30">
                <w:rPr>
                  <w:rStyle w:val="Hyperlink"/>
                  <w:rFonts w:ascii="Arial" w:hAnsi="Arial" w:cs="Arial"/>
                  <w:sz w:val="24"/>
                  <w:szCs w:val="24"/>
                </w:rPr>
                <w:t>https://www.rcophth.ac.uk/wp-content/uploads/2020/04/Reopening-and-redeveloping-ophthalmology-services-during-Covid-recovery-Interim-guidance-1.pdf</w:t>
              </w:r>
            </w:hyperlink>
          </w:p>
          <w:p w14:paraId="0BCE50C6" w14:textId="77777777" w:rsidR="003D0638" w:rsidRPr="003D0638" w:rsidRDefault="003D0638" w:rsidP="003D0638">
            <w:pPr>
              <w:widowControl w:val="0"/>
              <w:autoSpaceDE w:val="0"/>
              <w:autoSpaceDN w:val="0"/>
              <w:adjustRightInd w:val="0"/>
              <w:spacing w:line="240" w:lineRule="auto"/>
              <w:ind w:left="640" w:hanging="640"/>
              <w:rPr>
                <w:rStyle w:val="Hyperlink"/>
                <w:rFonts w:ascii="Arial" w:hAnsi="Arial" w:cs="Arial"/>
                <w:sz w:val="24"/>
                <w:szCs w:val="24"/>
              </w:rPr>
            </w:pPr>
          </w:p>
          <w:p w14:paraId="17672CE2" w14:textId="7EAA150C" w:rsidR="00907B26" w:rsidRPr="005C7B30" w:rsidRDefault="00907B26" w:rsidP="005C7B30">
            <w:pPr>
              <w:widowControl w:val="0"/>
              <w:autoSpaceDE w:val="0"/>
              <w:autoSpaceDN w:val="0"/>
              <w:adjustRightInd w:val="0"/>
              <w:spacing w:line="240" w:lineRule="auto"/>
              <w:ind w:left="640" w:hanging="640"/>
              <w:rPr>
                <w:rFonts w:ascii="Arial" w:hAnsi="Arial" w:cs="Arial"/>
                <w:noProof/>
                <w:sz w:val="24"/>
                <w:szCs w:val="24"/>
              </w:rPr>
            </w:pPr>
          </w:p>
        </w:tc>
      </w:tr>
      <w:tr w:rsidR="00881184" w:rsidRPr="00881184" w14:paraId="63500205" w14:textId="77777777" w:rsidTr="69A6DED1">
        <w:tc>
          <w:tcPr>
            <w:tcW w:w="2136" w:type="dxa"/>
          </w:tcPr>
          <w:p w14:paraId="47E0DBA4" w14:textId="77777777" w:rsidR="00881184" w:rsidRPr="00881184" w:rsidRDefault="00881184" w:rsidP="00E67F9F">
            <w:pPr>
              <w:rPr>
                <w:rFonts w:ascii="Arial" w:eastAsia="Arial" w:hAnsi="Arial" w:cs="Arial"/>
                <w:b/>
                <w:sz w:val="24"/>
                <w:szCs w:val="28"/>
              </w:rPr>
            </w:pPr>
            <w:r w:rsidRPr="00881184">
              <w:rPr>
                <w:rFonts w:ascii="Arial" w:eastAsia="Arial" w:hAnsi="Arial" w:cs="Arial"/>
                <w:b/>
                <w:sz w:val="24"/>
                <w:szCs w:val="28"/>
              </w:rPr>
              <w:lastRenderedPageBreak/>
              <w:t>Presentation preference:</w:t>
            </w:r>
          </w:p>
        </w:tc>
        <w:tc>
          <w:tcPr>
            <w:tcW w:w="7470" w:type="dxa"/>
          </w:tcPr>
          <w:p w14:paraId="0A67A24A" w14:textId="5065444D" w:rsidR="00881184" w:rsidRPr="00881184" w:rsidRDefault="00E058A8" w:rsidP="00881184">
            <w:pPr>
              <w:rPr>
                <w:rFonts w:ascii="Arial" w:eastAsia="Arial" w:hAnsi="Arial" w:cs="Arial"/>
                <w:sz w:val="24"/>
                <w:szCs w:val="28"/>
              </w:rPr>
            </w:pPr>
            <w:r>
              <w:rPr>
                <w:rFonts w:ascii="Arial" w:eastAsia="Arial" w:hAnsi="Arial" w:cs="Arial"/>
                <w:sz w:val="24"/>
                <w:szCs w:val="28"/>
              </w:rPr>
              <w:t>P</w:t>
            </w:r>
            <w:r w:rsidR="00881184" w:rsidRPr="00881184">
              <w:rPr>
                <w:rFonts w:ascii="Arial" w:eastAsia="Arial" w:hAnsi="Arial" w:cs="Arial"/>
                <w:sz w:val="24"/>
                <w:szCs w:val="28"/>
              </w:rPr>
              <w:t xml:space="preserve">reference to present. </w:t>
            </w:r>
          </w:p>
          <w:p w14:paraId="330D5679" w14:textId="2A01D2EC" w:rsidR="00881184" w:rsidRPr="00881184" w:rsidRDefault="00B83B00" w:rsidP="00881184">
            <w:pPr>
              <w:rPr>
                <w:rFonts w:ascii="Arial" w:eastAsia="Arial" w:hAnsi="Arial" w:cs="Arial"/>
                <w:sz w:val="24"/>
                <w:szCs w:val="28"/>
              </w:rPr>
            </w:pPr>
            <w:r w:rsidRPr="00881184">
              <w:rPr>
                <w:rFonts w:ascii="Arial" w:eastAsia="Arial" w:hAnsi="Arial" w:cs="Arial"/>
                <w:sz w:val="24"/>
                <w:szCs w:val="28"/>
              </w:rPr>
              <w:t>Option</w:t>
            </w:r>
            <w:r>
              <w:rPr>
                <w:rFonts w:ascii="Arial" w:eastAsia="Arial" w:hAnsi="Arial" w:cs="Arial"/>
                <w:sz w:val="24"/>
                <w:szCs w:val="28"/>
              </w:rPr>
              <w:t xml:space="preserve">: </w:t>
            </w:r>
            <w:r w:rsidRPr="00881184">
              <w:rPr>
                <w:rFonts w:ascii="Arial" w:eastAsia="Arial" w:hAnsi="Arial" w:cs="Arial"/>
                <w:sz w:val="24"/>
                <w:szCs w:val="28"/>
              </w:rPr>
              <w:t>Talk</w:t>
            </w:r>
            <w:r w:rsidR="00881184" w:rsidRPr="00881184">
              <w:rPr>
                <w:rFonts w:ascii="Arial" w:eastAsia="Arial" w:hAnsi="Arial" w:cs="Arial"/>
                <w:sz w:val="24"/>
                <w:szCs w:val="28"/>
              </w:rPr>
              <w:br/>
            </w:r>
          </w:p>
        </w:tc>
      </w:tr>
      <w:tr w:rsidR="00881184" w:rsidRPr="00881184" w14:paraId="37F0CBDB" w14:textId="77777777" w:rsidTr="69A6DED1">
        <w:tc>
          <w:tcPr>
            <w:tcW w:w="2136" w:type="dxa"/>
          </w:tcPr>
          <w:p w14:paraId="17F6E281" w14:textId="77777777" w:rsidR="00881184" w:rsidRPr="00881184" w:rsidRDefault="00881184" w:rsidP="00E67F9F">
            <w:pPr>
              <w:rPr>
                <w:rFonts w:ascii="Arial" w:eastAsia="Arial" w:hAnsi="Arial" w:cs="Arial"/>
                <w:b/>
                <w:sz w:val="24"/>
                <w:szCs w:val="28"/>
              </w:rPr>
            </w:pPr>
            <w:r w:rsidRPr="00881184">
              <w:rPr>
                <w:rFonts w:ascii="Arial" w:eastAsia="Arial" w:hAnsi="Arial" w:cs="Arial"/>
                <w:b/>
                <w:sz w:val="24"/>
                <w:szCs w:val="28"/>
              </w:rPr>
              <w:t>Funding &amp; commercial relationships:</w:t>
            </w:r>
          </w:p>
        </w:tc>
        <w:tc>
          <w:tcPr>
            <w:tcW w:w="7470" w:type="dxa"/>
          </w:tcPr>
          <w:p w14:paraId="3131FDEB" w14:textId="7F89FA88" w:rsidR="00881184" w:rsidRPr="00881184" w:rsidRDefault="00B83B00" w:rsidP="00E67F9F">
            <w:pPr>
              <w:rPr>
                <w:rFonts w:ascii="Arial" w:eastAsia="Arial" w:hAnsi="Arial" w:cs="Arial"/>
                <w:sz w:val="24"/>
                <w:szCs w:val="28"/>
              </w:rPr>
            </w:pPr>
            <w:r>
              <w:rPr>
                <w:rFonts w:ascii="Arial" w:eastAsia="Arial" w:hAnsi="Arial" w:cs="Arial"/>
                <w:sz w:val="24"/>
                <w:szCs w:val="28"/>
              </w:rPr>
              <w:t>None</w:t>
            </w:r>
            <w:r w:rsidR="00881184" w:rsidRPr="00881184">
              <w:rPr>
                <w:rFonts w:ascii="Arial" w:eastAsia="Arial" w:hAnsi="Arial" w:cs="Arial"/>
                <w:sz w:val="24"/>
                <w:szCs w:val="28"/>
              </w:rPr>
              <w:t xml:space="preserve"> </w:t>
            </w:r>
          </w:p>
        </w:tc>
      </w:tr>
    </w:tbl>
    <w:p w14:paraId="5DAB6C7B" w14:textId="77777777" w:rsidR="00881184" w:rsidRPr="00881184" w:rsidRDefault="00881184" w:rsidP="00881184">
      <w:pPr>
        <w:rPr>
          <w:rFonts w:ascii="Arial" w:eastAsia="Arial" w:hAnsi="Arial" w:cs="Arial"/>
          <w:sz w:val="20"/>
        </w:rPr>
      </w:pPr>
    </w:p>
    <w:p w14:paraId="02EB378F" w14:textId="75692991" w:rsidR="00881184" w:rsidRPr="00CC6F8D" w:rsidRDefault="00CC6F8D" w:rsidP="00881184">
      <w:pPr>
        <w:rPr>
          <w:rFonts w:ascii="Arial" w:eastAsia="Arial" w:hAnsi="Arial" w:cs="Arial"/>
          <w:i/>
          <w:color w:val="FF0000"/>
          <w:sz w:val="20"/>
        </w:rPr>
      </w:pPr>
      <w:r w:rsidRPr="00CC6F8D">
        <w:rPr>
          <w:rFonts w:ascii="Arial" w:eastAsia="Arial" w:hAnsi="Arial" w:cs="Arial"/>
          <w:i/>
          <w:color w:val="FF0000"/>
          <w:sz w:val="20"/>
        </w:rPr>
        <w:t>Please let us know if you have any time-zone requirements when you submit your abstract.</w:t>
      </w:r>
    </w:p>
    <w:p w14:paraId="6A05A809" w14:textId="77777777" w:rsidR="005B439C" w:rsidRPr="00881184" w:rsidRDefault="005B439C">
      <w:pPr>
        <w:rPr>
          <w:sz w:val="20"/>
        </w:rPr>
      </w:pPr>
    </w:p>
    <w:sectPr w:rsidR="005B439C" w:rsidRPr="0088118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CC24D" w14:textId="77777777" w:rsidR="0017389A" w:rsidRDefault="0017389A" w:rsidP="00881184">
      <w:pPr>
        <w:spacing w:after="0" w:line="240" w:lineRule="auto"/>
      </w:pPr>
      <w:r>
        <w:separator/>
      </w:r>
    </w:p>
  </w:endnote>
  <w:endnote w:type="continuationSeparator" w:id="0">
    <w:p w14:paraId="1725E2BF" w14:textId="77777777" w:rsidR="0017389A" w:rsidRDefault="0017389A" w:rsidP="0088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B3A19" w14:textId="77777777" w:rsidR="0017389A" w:rsidRDefault="0017389A" w:rsidP="00881184">
      <w:pPr>
        <w:spacing w:after="0" w:line="240" w:lineRule="auto"/>
      </w:pPr>
      <w:r>
        <w:separator/>
      </w:r>
    </w:p>
  </w:footnote>
  <w:footnote w:type="continuationSeparator" w:id="0">
    <w:p w14:paraId="508A4E94" w14:textId="77777777" w:rsidR="0017389A" w:rsidRDefault="0017389A" w:rsidP="00881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18919" w14:textId="77777777" w:rsidR="00881184" w:rsidRDefault="00CB5B8E" w:rsidP="00CB5B8E">
    <w:pPr>
      <w:pStyle w:val="Header"/>
      <w:tabs>
        <w:tab w:val="clear" w:pos="9026"/>
      </w:tabs>
    </w:pPr>
    <w:r>
      <w:rPr>
        <w:noProof/>
        <w:lang w:eastAsia="en-GB"/>
      </w:rPr>
      <w:drawing>
        <wp:anchor distT="0" distB="0" distL="114300" distR="114300" simplePos="0" relativeHeight="251658240" behindDoc="0" locked="0" layoutInCell="1" allowOverlap="1" wp14:anchorId="5219643B" wp14:editId="07777777">
          <wp:simplePos x="0" y="0"/>
          <wp:positionH relativeFrom="page">
            <wp:posOffset>22225</wp:posOffset>
          </wp:positionH>
          <wp:positionV relativeFrom="paragraph">
            <wp:posOffset>-379730</wp:posOffset>
          </wp:positionV>
          <wp:extent cx="1172532" cy="927530"/>
          <wp:effectExtent l="0" t="0" r="889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OVS_Lite-01.jpg"/>
                  <pic:cNvPicPr/>
                </pic:nvPicPr>
                <pic:blipFill rotWithShape="1">
                  <a:blip r:embed="rId1" cstate="print">
                    <a:extLst>
                      <a:ext uri="{28A0092B-C50C-407E-A947-70E740481C1C}">
                        <a14:useLocalDpi xmlns:a14="http://schemas.microsoft.com/office/drawing/2010/main" val="0"/>
                      </a:ext>
                    </a:extLst>
                  </a:blip>
                  <a:srcRect t="14846" b="6049"/>
                  <a:stretch/>
                </pic:blipFill>
                <pic:spPr bwMode="auto">
                  <a:xfrm>
                    <a:off x="0" y="0"/>
                    <a:ext cx="1172532" cy="92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184"/>
    <w:rsid w:val="00006185"/>
    <w:rsid w:val="00021AB3"/>
    <w:rsid w:val="000223ED"/>
    <w:rsid w:val="00035513"/>
    <w:rsid w:val="000632A6"/>
    <w:rsid w:val="000A1011"/>
    <w:rsid w:val="000F13F1"/>
    <w:rsid w:val="000F2D62"/>
    <w:rsid w:val="001121D3"/>
    <w:rsid w:val="0017389A"/>
    <w:rsid w:val="001C4D80"/>
    <w:rsid w:val="001E0F31"/>
    <w:rsid w:val="00201BE1"/>
    <w:rsid w:val="00271F72"/>
    <w:rsid w:val="00303DC8"/>
    <w:rsid w:val="00322834"/>
    <w:rsid w:val="0038218C"/>
    <w:rsid w:val="003B7293"/>
    <w:rsid w:val="003D0638"/>
    <w:rsid w:val="00490ADB"/>
    <w:rsid w:val="00573E88"/>
    <w:rsid w:val="005B439C"/>
    <w:rsid w:val="005C7B30"/>
    <w:rsid w:val="005F56FF"/>
    <w:rsid w:val="006673B3"/>
    <w:rsid w:val="006A6701"/>
    <w:rsid w:val="007540AB"/>
    <w:rsid w:val="007A2225"/>
    <w:rsid w:val="00881184"/>
    <w:rsid w:val="00884DAD"/>
    <w:rsid w:val="00907B26"/>
    <w:rsid w:val="00974119"/>
    <w:rsid w:val="009B16D0"/>
    <w:rsid w:val="00A50256"/>
    <w:rsid w:val="00A941C7"/>
    <w:rsid w:val="00AB3708"/>
    <w:rsid w:val="00AF2D49"/>
    <w:rsid w:val="00B22127"/>
    <w:rsid w:val="00B83B00"/>
    <w:rsid w:val="00C2773C"/>
    <w:rsid w:val="00C87DF8"/>
    <w:rsid w:val="00CB5B8E"/>
    <w:rsid w:val="00CC6F8D"/>
    <w:rsid w:val="00D20A70"/>
    <w:rsid w:val="00D232E4"/>
    <w:rsid w:val="00D306BA"/>
    <w:rsid w:val="00DC3231"/>
    <w:rsid w:val="00E058A8"/>
    <w:rsid w:val="00E43326"/>
    <w:rsid w:val="00F301D9"/>
    <w:rsid w:val="00FF6F81"/>
    <w:rsid w:val="00FF741E"/>
    <w:rsid w:val="062C680D"/>
    <w:rsid w:val="4191CF7B"/>
    <w:rsid w:val="45962D95"/>
    <w:rsid w:val="4B0D1BC6"/>
    <w:rsid w:val="69A6D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BAE69"/>
  <w15:chartTrackingRefBased/>
  <w15:docId w15:val="{40C977DE-535D-4E80-92CE-23602B9F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184"/>
    <w:rPr>
      <w:color w:val="0563C1" w:themeColor="hyperlink"/>
      <w:u w:val="single"/>
    </w:rPr>
  </w:style>
  <w:style w:type="paragraph" w:styleId="Header">
    <w:name w:val="header"/>
    <w:basedOn w:val="Normal"/>
    <w:link w:val="HeaderChar"/>
    <w:uiPriority w:val="99"/>
    <w:unhideWhenUsed/>
    <w:rsid w:val="00881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184"/>
  </w:style>
  <w:style w:type="paragraph" w:styleId="Footer">
    <w:name w:val="footer"/>
    <w:basedOn w:val="Normal"/>
    <w:link w:val="FooterChar"/>
    <w:uiPriority w:val="99"/>
    <w:unhideWhenUsed/>
    <w:rsid w:val="00881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18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1D3"/>
    <w:rPr>
      <w:rFonts w:ascii="Segoe UI" w:hAnsi="Segoe UI" w:cs="Segoe UI"/>
      <w:sz w:val="18"/>
      <w:szCs w:val="18"/>
    </w:rPr>
  </w:style>
  <w:style w:type="paragraph" w:styleId="NormalWeb">
    <w:name w:val="Normal (Web)"/>
    <w:basedOn w:val="Normal"/>
    <w:uiPriority w:val="99"/>
    <w:unhideWhenUsed/>
    <w:rsid w:val="00907B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5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0/04/Reopening-and-redeveloping-ophthalmology-services-during-Covid-recovery-Interim-guidance-1.pdf" TargetMode="External"/><Relationship Id="rId3" Type="http://schemas.openxmlformats.org/officeDocument/2006/relationships/webSettings" Target="webSettings.xml"/><Relationship Id="rId7" Type="http://schemas.openxmlformats.org/officeDocument/2006/relationships/hyperlink" Target="https://www.college-optometrists.org/guidance/clinical-management-guidelin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trong2@aston.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Samantha</dc:creator>
  <cp:keywords/>
  <dc:description/>
  <cp:lastModifiedBy>F Raqib</cp:lastModifiedBy>
  <cp:revision>2</cp:revision>
  <dcterms:created xsi:type="dcterms:W3CDTF">2020-07-20T15:45:00Z</dcterms:created>
  <dcterms:modified xsi:type="dcterms:W3CDTF">2020-07-20T15:45:00Z</dcterms:modified>
</cp:coreProperties>
</file>