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CE76009" w14:textId="3E01A3CF" w:rsidR="008512D0" w:rsidRPr="008512D0" w:rsidRDefault="00AE71E5" w:rsidP="007E5EA9">
      <w:pPr>
        <w:tabs>
          <w:tab w:val="left" w:pos="0"/>
        </w:tabs>
        <w:spacing w:line="360" w:lineRule="auto"/>
        <w:jc w:val="both"/>
        <w:rPr>
          <w:rFonts w:ascii="Arial" w:hAnsi="Arial" w:cs="Arial"/>
          <w:b/>
          <w:sz w:val="28"/>
          <w:szCs w:val="28"/>
        </w:rPr>
      </w:pPr>
      <w:r>
        <w:rPr>
          <w:rFonts w:ascii="Arial" w:hAnsi="Arial" w:cs="Arial"/>
          <w:b/>
          <w:sz w:val="28"/>
          <w:szCs w:val="28"/>
        </w:rPr>
        <w:t xml:space="preserve">Efficient </w:t>
      </w:r>
      <w:r w:rsidR="002A6B42">
        <w:rPr>
          <w:rFonts w:ascii="Arial" w:hAnsi="Arial" w:cs="Arial"/>
          <w:b/>
          <w:sz w:val="28"/>
          <w:szCs w:val="28"/>
        </w:rPr>
        <w:t>L</w:t>
      </w:r>
      <w:r w:rsidR="008512D0" w:rsidRPr="008512D0">
        <w:rPr>
          <w:rFonts w:ascii="Arial" w:hAnsi="Arial" w:cs="Arial"/>
          <w:b/>
          <w:sz w:val="28"/>
          <w:szCs w:val="28"/>
        </w:rPr>
        <w:t>ong</w:t>
      </w:r>
      <w:r w:rsidR="002A6B42">
        <w:rPr>
          <w:rFonts w:ascii="Arial" w:hAnsi="Arial" w:cs="Arial"/>
          <w:b/>
          <w:sz w:val="28"/>
          <w:szCs w:val="28"/>
        </w:rPr>
        <w:t xml:space="preserve"> </w:t>
      </w:r>
      <w:r w:rsidR="008512D0" w:rsidRPr="008512D0">
        <w:rPr>
          <w:rFonts w:ascii="Arial" w:hAnsi="Arial" w:cs="Arial"/>
          <w:b/>
          <w:sz w:val="28"/>
          <w:szCs w:val="28"/>
        </w:rPr>
        <w:t>-</w:t>
      </w:r>
      <w:r w:rsidR="002A6B42">
        <w:rPr>
          <w:rFonts w:ascii="Arial" w:hAnsi="Arial" w:cs="Arial"/>
          <w:b/>
          <w:sz w:val="28"/>
          <w:szCs w:val="28"/>
        </w:rPr>
        <w:t xml:space="preserve"> R</w:t>
      </w:r>
      <w:r w:rsidR="008512D0" w:rsidRPr="008512D0">
        <w:rPr>
          <w:rFonts w:ascii="Arial" w:hAnsi="Arial" w:cs="Arial"/>
          <w:b/>
          <w:sz w:val="28"/>
          <w:szCs w:val="28"/>
        </w:rPr>
        <w:t xml:space="preserve">ange </w:t>
      </w:r>
      <w:r w:rsidR="002A6B42">
        <w:rPr>
          <w:rFonts w:ascii="Arial" w:hAnsi="Arial" w:cs="Arial"/>
          <w:b/>
          <w:sz w:val="28"/>
          <w:szCs w:val="28"/>
        </w:rPr>
        <w:t>E</w:t>
      </w:r>
      <w:r>
        <w:rPr>
          <w:rFonts w:ascii="Arial" w:hAnsi="Arial" w:cs="Arial"/>
          <w:b/>
          <w:sz w:val="28"/>
          <w:szCs w:val="28"/>
        </w:rPr>
        <w:t xml:space="preserve">lectron </w:t>
      </w:r>
      <w:r w:rsidR="002A6B42">
        <w:rPr>
          <w:rFonts w:ascii="Arial" w:hAnsi="Arial" w:cs="Arial"/>
          <w:b/>
          <w:sz w:val="28"/>
          <w:szCs w:val="28"/>
        </w:rPr>
        <w:t>T</w:t>
      </w:r>
      <w:r w:rsidR="008512D0" w:rsidRPr="008512D0">
        <w:rPr>
          <w:rFonts w:ascii="Arial" w:hAnsi="Arial" w:cs="Arial"/>
          <w:b/>
          <w:sz w:val="28"/>
          <w:szCs w:val="28"/>
        </w:rPr>
        <w:t xml:space="preserve">ransfer </w:t>
      </w:r>
      <w:r w:rsidR="002A6B42">
        <w:rPr>
          <w:rFonts w:ascii="Arial" w:hAnsi="Arial" w:cs="Arial"/>
          <w:b/>
          <w:sz w:val="28"/>
          <w:szCs w:val="28"/>
        </w:rPr>
        <w:t>P</w:t>
      </w:r>
      <w:r w:rsidR="008512D0" w:rsidRPr="008512D0">
        <w:rPr>
          <w:rFonts w:ascii="Arial" w:hAnsi="Arial" w:cs="Arial"/>
          <w:b/>
          <w:sz w:val="28"/>
          <w:szCs w:val="28"/>
        </w:rPr>
        <w:t xml:space="preserve">rocesses in </w:t>
      </w:r>
      <w:r w:rsidR="00610FAF">
        <w:rPr>
          <w:rFonts w:ascii="Arial" w:hAnsi="Arial" w:cs="Arial"/>
          <w:b/>
          <w:sz w:val="28"/>
          <w:szCs w:val="28"/>
        </w:rPr>
        <w:t>Polyfluorene – Perylene Diimide</w:t>
      </w:r>
      <w:r w:rsidR="008512D0" w:rsidRPr="008512D0">
        <w:rPr>
          <w:rFonts w:ascii="Arial" w:hAnsi="Arial" w:cs="Arial"/>
          <w:b/>
          <w:sz w:val="28"/>
          <w:szCs w:val="28"/>
        </w:rPr>
        <w:t xml:space="preserve"> </w:t>
      </w:r>
      <w:r w:rsidR="00610FAF">
        <w:rPr>
          <w:rFonts w:ascii="Arial" w:hAnsi="Arial" w:cs="Arial"/>
          <w:b/>
          <w:sz w:val="28"/>
          <w:szCs w:val="28"/>
        </w:rPr>
        <w:t>B</w:t>
      </w:r>
      <w:r w:rsidR="008512D0" w:rsidRPr="008512D0">
        <w:rPr>
          <w:rFonts w:ascii="Arial" w:hAnsi="Arial" w:cs="Arial"/>
          <w:b/>
          <w:sz w:val="28"/>
          <w:szCs w:val="28"/>
        </w:rPr>
        <w:t>lends</w:t>
      </w:r>
    </w:p>
    <w:p w14:paraId="6704C236" w14:textId="6AEC8BDB" w:rsidR="007E5EA9" w:rsidRDefault="007E5EA9" w:rsidP="007E5EA9">
      <w:pPr>
        <w:tabs>
          <w:tab w:val="left" w:pos="0"/>
        </w:tabs>
        <w:spacing w:line="360" w:lineRule="auto"/>
        <w:jc w:val="both"/>
        <w:rPr>
          <w:rFonts w:ascii="Arial" w:hAnsi="Arial" w:cs="Arial"/>
        </w:rPr>
      </w:pPr>
      <w:bookmarkStart w:id="0" w:name="_GoBack"/>
      <w:r w:rsidRPr="00EC7AD3">
        <w:rPr>
          <w:rFonts w:ascii="Arial" w:hAnsi="Arial" w:cs="Arial"/>
        </w:rPr>
        <w:t>Anna Isakova,</w:t>
      </w:r>
      <w:r w:rsidR="000471BE" w:rsidRPr="000471BE">
        <w:rPr>
          <w:rFonts w:ascii="Arial" w:hAnsi="Arial" w:cs="Arial"/>
          <w:vertAlign w:val="superscript"/>
        </w:rPr>
        <w:t>1</w:t>
      </w:r>
      <w:r w:rsidRPr="00EC7AD3">
        <w:rPr>
          <w:rFonts w:ascii="Arial" w:hAnsi="Arial" w:cs="Arial"/>
        </w:rPr>
        <w:t xml:space="preserve"> Safakath Karuthedath,</w:t>
      </w:r>
      <w:r w:rsidR="000471BE">
        <w:rPr>
          <w:rFonts w:ascii="Arial" w:hAnsi="Arial" w:cs="Arial"/>
          <w:vertAlign w:val="superscript"/>
        </w:rPr>
        <w:t>2</w:t>
      </w:r>
      <w:r w:rsidRPr="00EC7AD3">
        <w:rPr>
          <w:rFonts w:ascii="Arial" w:hAnsi="Arial" w:cs="Arial"/>
        </w:rPr>
        <w:t xml:space="preserve"> </w:t>
      </w:r>
      <w:r>
        <w:rPr>
          <w:rFonts w:ascii="Arial" w:hAnsi="Arial" w:cs="Arial"/>
        </w:rPr>
        <w:t>Thomas Arnold,</w:t>
      </w:r>
      <w:r w:rsidR="000471BE">
        <w:rPr>
          <w:rFonts w:ascii="Arial" w:hAnsi="Arial" w:cs="Arial"/>
          <w:vertAlign w:val="superscript"/>
        </w:rPr>
        <w:t>3</w:t>
      </w:r>
      <w:r>
        <w:rPr>
          <w:rFonts w:ascii="Arial" w:hAnsi="Arial" w:cs="Arial"/>
        </w:rPr>
        <w:t xml:space="preserve"> </w:t>
      </w:r>
      <w:r w:rsidRPr="00EC7AD3">
        <w:rPr>
          <w:rFonts w:ascii="Arial" w:hAnsi="Arial" w:cs="Arial"/>
        </w:rPr>
        <w:t>Jonathan</w:t>
      </w:r>
      <w:r w:rsidR="00161291">
        <w:rPr>
          <w:rFonts w:ascii="Arial" w:hAnsi="Arial" w:cs="Arial"/>
        </w:rPr>
        <w:t xml:space="preserve"> R.</w:t>
      </w:r>
      <w:r w:rsidRPr="00EC7AD3">
        <w:rPr>
          <w:rFonts w:ascii="Arial" w:hAnsi="Arial" w:cs="Arial"/>
        </w:rPr>
        <w:t xml:space="preserve"> Howse,</w:t>
      </w:r>
      <w:r w:rsidR="000471BE">
        <w:rPr>
          <w:rFonts w:ascii="Arial" w:hAnsi="Arial" w:cs="Arial"/>
          <w:vertAlign w:val="superscript"/>
        </w:rPr>
        <w:t>4</w:t>
      </w:r>
      <w:r w:rsidRPr="00EC7AD3">
        <w:rPr>
          <w:rFonts w:ascii="Arial" w:hAnsi="Arial" w:cs="Arial"/>
        </w:rPr>
        <w:t xml:space="preserve"> Paul D. Topham,</w:t>
      </w:r>
      <w:r w:rsidR="000471BE">
        <w:rPr>
          <w:rFonts w:ascii="Arial" w:hAnsi="Arial" w:cs="Arial"/>
          <w:vertAlign w:val="superscript"/>
        </w:rPr>
        <w:t>5</w:t>
      </w:r>
      <w:r>
        <w:rPr>
          <w:rFonts w:ascii="Arial" w:hAnsi="Arial" w:cs="Arial"/>
          <w:vertAlign w:val="superscript"/>
        </w:rPr>
        <w:t xml:space="preserve">  </w:t>
      </w:r>
      <w:r w:rsidRPr="00EC7AD3">
        <w:rPr>
          <w:rFonts w:ascii="Arial" w:hAnsi="Arial" w:cs="Arial"/>
        </w:rPr>
        <w:t>Daniel T.</w:t>
      </w:r>
      <w:r w:rsidR="00161291">
        <w:rPr>
          <w:rFonts w:ascii="Arial" w:hAnsi="Arial" w:cs="Arial"/>
        </w:rPr>
        <w:t xml:space="preserve"> W.</w:t>
      </w:r>
      <w:r w:rsidRPr="00EC7AD3">
        <w:rPr>
          <w:rFonts w:ascii="Arial" w:hAnsi="Arial" w:cs="Arial"/>
        </w:rPr>
        <w:t xml:space="preserve"> Toolan,</w:t>
      </w:r>
      <w:r w:rsidR="00E51620">
        <w:rPr>
          <w:rFonts w:ascii="Arial" w:hAnsi="Arial" w:cs="Arial"/>
          <w:vertAlign w:val="superscript"/>
        </w:rPr>
        <w:t>6</w:t>
      </w:r>
      <w:r>
        <w:rPr>
          <w:rFonts w:ascii="Arial" w:hAnsi="Arial" w:cs="Arial"/>
        </w:rPr>
        <w:t>*</w:t>
      </w:r>
      <w:r w:rsidRPr="00EC7AD3">
        <w:rPr>
          <w:rFonts w:ascii="Arial" w:hAnsi="Arial" w:cs="Arial"/>
        </w:rPr>
        <w:t xml:space="preserve"> Frederic Laquai,</w:t>
      </w:r>
      <w:r w:rsidR="000471BE">
        <w:rPr>
          <w:rFonts w:ascii="Arial" w:hAnsi="Arial" w:cs="Arial"/>
          <w:vertAlign w:val="superscript"/>
        </w:rPr>
        <w:t>2</w:t>
      </w:r>
      <w:r w:rsidRPr="00EC7AD3">
        <w:rPr>
          <w:rFonts w:ascii="Arial" w:hAnsi="Arial" w:cs="Arial"/>
        </w:rPr>
        <w:t xml:space="preserve"> Larry Luer</w:t>
      </w:r>
      <w:r w:rsidR="000471BE" w:rsidRPr="000471BE">
        <w:rPr>
          <w:rFonts w:ascii="Arial" w:hAnsi="Arial" w:cs="Arial"/>
          <w:vertAlign w:val="superscript"/>
        </w:rPr>
        <w:t>1</w:t>
      </w:r>
      <w:r w:rsidRPr="00EC7AD3">
        <w:rPr>
          <w:rFonts w:ascii="Arial" w:hAnsi="Arial" w:cs="Arial"/>
        </w:rPr>
        <w:t>*</w:t>
      </w:r>
    </w:p>
    <w:bookmarkEnd w:id="0"/>
    <w:p w14:paraId="3C9B6E74" w14:textId="33FDED9E" w:rsidR="007E5EA9" w:rsidRPr="000471BE" w:rsidRDefault="007E5EA9" w:rsidP="000471BE">
      <w:pPr>
        <w:pStyle w:val="ListParagraph"/>
        <w:numPr>
          <w:ilvl w:val="0"/>
          <w:numId w:val="9"/>
        </w:numPr>
        <w:tabs>
          <w:tab w:val="left" w:pos="0"/>
        </w:tabs>
        <w:spacing w:line="360" w:lineRule="auto"/>
        <w:jc w:val="both"/>
        <w:rPr>
          <w:rFonts w:ascii="Arial" w:hAnsi="Arial" w:cs="Arial"/>
        </w:rPr>
      </w:pPr>
      <w:r w:rsidRPr="000471BE">
        <w:rPr>
          <w:rFonts w:ascii="Arial" w:hAnsi="Arial" w:cs="Arial"/>
          <w:iCs/>
          <w:lang w:val="en-US"/>
        </w:rPr>
        <w:t>Madrid Institute for Advanced Studies, IMDEA Nanoscience, Calle Faraday 9, Campus Cantoblanco, 28049 Madrid, Spain.</w:t>
      </w:r>
    </w:p>
    <w:p w14:paraId="31E93401" w14:textId="77777777" w:rsidR="007E5EA9" w:rsidRDefault="007E5EA9" w:rsidP="007E5EA9">
      <w:pPr>
        <w:pStyle w:val="ListParagraph"/>
        <w:numPr>
          <w:ilvl w:val="0"/>
          <w:numId w:val="9"/>
        </w:numPr>
        <w:tabs>
          <w:tab w:val="left" w:pos="0"/>
        </w:tabs>
        <w:spacing w:line="360" w:lineRule="auto"/>
        <w:jc w:val="both"/>
        <w:rPr>
          <w:rFonts w:ascii="Arial" w:hAnsi="Arial" w:cs="Arial"/>
        </w:rPr>
      </w:pPr>
      <w:r w:rsidRPr="00EC7AD3">
        <w:rPr>
          <w:rFonts w:ascii="Arial" w:hAnsi="Arial" w:cs="Arial"/>
        </w:rPr>
        <w:t>King Abdullah University of Science and Technology (KAUST), KAUST Solar Center (KSC), Physical Sciences and Engineering Division (PSE), Material Science and Engineering Program (MSE), Thuwal 23955-6900, Saudi Arabia</w:t>
      </w:r>
      <w:r>
        <w:rPr>
          <w:rFonts w:ascii="Arial" w:hAnsi="Arial" w:cs="Arial"/>
        </w:rPr>
        <w:t>.</w:t>
      </w:r>
    </w:p>
    <w:p w14:paraId="5A7CD85D" w14:textId="77777777" w:rsidR="007E5EA9" w:rsidRDefault="007E5EA9" w:rsidP="007E5EA9">
      <w:pPr>
        <w:pStyle w:val="ListParagraph"/>
        <w:numPr>
          <w:ilvl w:val="0"/>
          <w:numId w:val="9"/>
        </w:numPr>
        <w:tabs>
          <w:tab w:val="left" w:pos="0"/>
        </w:tabs>
        <w:spacing w:line="360" w:lineRule="auto"/>
        <w:jc w:val="both"/>
        <w:rPr>
          <w:rFonts w:ascii="Arial" w:hAnsi="Arial" w:cs="Arial"/>
        </w:rPr>
      </w:pPr>
      <w:r w:rsidRPr="00EC7AD3">
        <w:rPr>
          <w:rFonts w:ascii="Arial" w:hAnsi="Arial" w:cs="Arial"/>
        </w:rPr>
        <w:t>Diamond Light Source Ltd., Harwell Science and Innovation Campus, Didcot OX11 0DE, U.K.</w:t>
      </w:r>
    </w:p>
    <w:p w14:paraId="02854500" w14:textId="77777777" w:rsidR="007E5EA9" w:rsidRDefault="007E5EA9" w:rsidP="007E5EA9">
      <w:pPr>
        <w:pStyle w:val="ListParagraph"/>
        <w:numPr>
          <w:ilvl w:val="0"/>
          <w:numId w:val="9"/>
        </w:numPr>
        <w:tabs>
          <w:tab w:val="left" w:pos="0"/>
        </w:tabs>
        <w:spacing w:line="360" w:lineRule="auto"/>
        <w:jc w:val="both"/>
        <w:rPr>
          <w:rFonts w:ascii="Arial" w:hAnsi="Arial" w:cs="Arial"/>
        </w:rPr>
      </w:pPr>
      <w:r w:rsidRPr="00EC7AD3">
        <w:rPr>
          <w:rFonts w:ascii="Arial" w:hAnsi="Arial" w:cs="Arial"/>
        </w:rPr>
        <w:t>Department of Chemical and Biological Engineering, University of Sheffield, Sheffield. S1 3JD. U.K.</w:t>
      </w:r>
    </w:p>
    <w:p w14:paraId="4DB4C2FA" w14:textId="41049844" w:rsidR="007E5EA9" w:rsidRDefault="007E5EA9" w:rsidP="007E5EA9">
      <w:pPr>
        <w:pStyle w:val="ListParagraph"/>
        <w:numPr>
          <w:ilvl w:val="0"/>
          <w:numId w:val="9"/>
        </w:numPr>
        <w:tabs>
          <w:tab w:val="left" w:pos="0"/>
        </w:tabs>
        <w:spacing w:line="360" w:lineRule="auto"/>
        <w:jc w:val="both"/>
        <w:rPr>
          <w:rFonts w:ascii="Arial" w:hAnsi="Arial" w:cs="Arial"/>
        </w:rPr>
      </w:pPr>
      <w:r w:rsidRPr="00D11DE2">
        <w:rPr>
          <w:rFonts w:ascii="Arial" w:hAnsi="Arial" w:cs="Arial"/>
        </w:rPr>
        <w:t xml:space="preserve">Aston </w:t>
      </w:r>
      <w:r w:rsidR="0072012F">
        <w:rPr>
          <w:rFonts w:ascii="Arial" w:hAnsi="Arial" w:cs="Arial"/>
        </w:rPr>
        <w:t>Institute of Materials Research</w:t>
      </w:r>
      <w:r w:rsidRPr="00D11DE2">
        <w:rPr>
          <w:rFonts w:ascii="Arial" w:hAnsi="Arial" w:cs="Arial"/>
        </w:rPr>
        <w:t>, Aston University, Birmingham, B4 7ET, U.K.</w:t>
      </w:r>
    </w:p>
    <w:p w14:paraId="49E90DD6" w14:textId="6105C3C0" w:rsidR="00966F97" w:rsidRDefault="00E51620" w:rsidP="007E5EA9">
      <w:pPr>
        <w:pStyle w:val="ListParagraph"/>
        <w:numPr>
          <w:ilvl w:val="0"/>
          <w:numId w:val="9"/>
        </w:numPr>
        <w:tabs>
          <w:tab w:val="left" w:pos="0"/>
        </w:tabs>
        <w:spacing w:line="360" w:lineRule="auto"/>
        <w:jc w:val="both"/>
        <w:rPr>
          <w:rFonts w:ascii="Arial" w:hAnsi="Arial" w:cs="Arial"/>
        </w:rPr>
      </w:pPr>
      <w:r w:rsidRPr="00E51620">
        <w:rPr>
          <w:rFonts w:ascii="Arial" w:hAnsi="Arial" w:cs="Arial"/>
        </w:rPr>
        <w:t>Department of Chemistry, Dainton Building, University of Sheffield, Sheffield, S3 7HF, U</w:t>
      </w:r>
      <w:r>
        <w:rPr>
          <w:rFonts w:ascii="Arial" w:hAnsi="Arial" w:cs="Arial"/>
        </w:rPr>
        <w:t>.</w:t>
      </w:r>
      <w:r w:rsidRPr="00E51620">
        <w:rPr>
          <w:rFonts w:ascii="Arial" w:hAnsi="Arial" w:cs="Arial"/>
        </w:rPr>
        <w:t>K</w:t>
      </w:r>
      <w:r>
        <w:rPr>
          <w:rFonts w:ascii="Arial" w:hAnsi="Arial" w:cs="Arial"/>
        </w:rPr>
        <w:t>.</w:t>
      </w:r>
    </w:p>
    <w:p w14:paraId="2AA8D095" w14:textId="71507777" w:rsidR="007E5EA9" w:rsidRPr="00D11DE2" w:rsidRDefault="000471BE" w:rsidP="007E5EA9">
      <w:pPr>
        <w:tabs>
          <w:tab w:val="left" w:pos="0"/>
        </w:tabs>
        <w:spacing w:line="360" w:lineRule="auto"/>
        <w:jc w:val="both"/>
        <w:rPr>
          <w:rFonts w:ascii="Arial" w:hAnsi="Arial" w:cs="Arial"/>
        </w:rPr>
      </w:pPr>
      <w:r>
        <w:rPr>
          <w:rFonts w:ascii="Arial" w:hAnsi="Arial" w:cs="Arial"/>
        </w:rPr>
        <w:t xml:space="preserve">* </w:t>
      </w:r>
      <w:r w:rsidR="007E5EA9">
        <w:rPr>
          <w:rFonts w:ascii="Arial" w:hAnsi="Arial" w:cs="Arial"/>
        </w:rPr>
        <w:t xml:space="preserve">Corresponding authors: </w:t>
      </w:r>
      <w:hyperlink r:id="rId8" w:history="1">
        <w:r w:rsidR="007E5EA9" w:rsidRPr="00763BDF">
          <w:rPr>
            <w:rStyle w:val="Hyperlink"/>
            <w:rFonts w:ascii="Arial" w:hAnsi="Arial" w:cs="Arial"/>
          </w:rPr>
          <w:t>d.toolan@sheffield.ac.uk</w:t>
        </w:r>
      </w:hyperlink>
      <w:r w:rsidR="007E5EA9">
        <w:rPr>
          <w:rFonts w:ascii="Arial" w:hAnsi="Arial" w:cs="Arial"/>
        </w:rPr>
        <w:t xml:space="preserve">; </w:t>
      </w:r>
      <w:hyperlink r:id="rId9" w:history="1">
        <w:r w:rsidR="007E5EA9" w:rsidRPr="00763BDF">
          <w:rPr>
            <w:rStyle w:val="Hyperlink"/>
            <w:rFonts w:ascii="Arial" w:hAnsi="Arial" w:cs="Arial"/>
          </w:rPr>
          <w:t>larry.luer@imdea.org</w:t>
        </w:r>
      </w:hyperlink>
      <w:r w:rsidR="007E5EA9">
        <w:rPr>
          <w:rFonts w:ascii="Arial" w:hAnsi="Arial" w:cs="Arial"/>
        </w:rPr>
        <w:t xml:space="preserve">. </w:t>
      </w:r>
    </w:p>
    <w:p w14:paraId="0A7724CB" w14:textId="2DFD8CE5" w:rsidR="00F05D13" w:rsidRPr="006A39F2" w:rsidRDefault="00F05D13" w:rsidP="006A39F2">
      <w:pPr>
        <w:tabs>
          <w:tab w:val="left" w:pos="0"/>
        </w:tabs>
        <w:spacing w:line="360" w:lineRule="auto"/>
        <w:jc w:val="both"/>
        <w:rPr>
          <w:rFonts w:ascii="Arial" w:hAnsi="Arial" w:cs="Arial"/>
          <w:b/>
        </w:rPr>
      </w:pPr>
      <w:r w:rsidRPr="006A39F2">
        <w:rPr>
          <w:rFonts w:ascii="Arial" w:hAnsi="Arial" w:cs="Arial"/>
          <w:b/>
        </w:rPr>
        <w:t>Abstract</w:t>
      </w:r>
    </w:p>
    <w:p w14:paraId="57CF41E2" w14:textId="1FA211A7" w:rsidR="007E112E" w:rsidRPr="006A39F2" w:rsidRDefault="007E112E" w:rsidP="00534AA5">
      <w:pPr>
        <w:tabs>
          <w:tab w:val="left" w:pos="0"/>
        </w:tabs>
        <w:spacing w:line="360" w:lineRule="auto"/>
        <w:jc w:val="both"/>
        <w:rPr>
          <w:rFonts w:ascii="Arial" w:hAnsi="Arial" w:cs="Arial"/>
        </w:rPr>
      </w:pPr>
      <w:r w:rsidRPr="006A39F2">
        <w:rPr>
          <w:rFonts w:ascii="Arial" w:hAnsi="Arial" w:cs="Arial"/>
        </w:rPr>
        <w:t>In bulk heterojunction donor-acceptor (D-A) blends, high photovoltaic yields require charge carrier separation to out</w:t>
      </w:r>
      <w:r w:rsidR="00EB6649">
        <w:rPr>
          <w:rFonts w:ascii="Arial" w:hAnsi="Arial" w:cs="Arial"/>
        </w:rPr>
        <w:t>compete</w:t>
      </w:r>
      <w:r w:rsidRPr="006A39F2">
        <w:rPr>
          <w:rFonts w:ascii="Arial" w:hAnsi="Arial" w:cs="Arial"/>
        </w:rPr>
        <w:t xml:space="preserve"> geminate recombination. Recently, evidence for long-range electron transfer</w:t>
      </w:r>
      <w:r w:rsidR="00E478C8">
        <w:rPr>
          <w:rFonts w:ascii="Arial" w:hAnsi="Arial" w:cs="Arial"/>
        </w:rPr>
        <w:t xml:space="preserve"> mechanisms</w:t>
      </w:r>
      <w:r w:rsidR="00B52613">
        <w:rPr>
          <w:rFonts w:ascii="Arial" w:hAnsi="Arial" w:cs="Arial"/>
        </w:rPr>
        <w:t xml:space="preserve"> </w:t>
      </w:r>
      <w:r w:rsidR="00037198">
        <w:rPr>
          <w:rFonts w:ascii="Arial" w:hAnsi="Arial" w:cs="Arial"/>
        </w:rPr>
        <w:t xml:space="preserve">has </w:t>
      </w:r>
      <w:r w:rsidR="00B52613">
        <w:rPr>
          <w:rFonts w:ascii="Arial" w:hAnsi="Arial" w:cs="Arial"/>
        </w:rPr>
        <w:t>been presented</w:t>
      </w:r>
      <w:r w:rsidR="00C80473">
        <w:rPr>
          <w:rFonts w:ascii="Arial" w:hAnsi="Arial" w:cs="Arial"/>
        </w:rPr>
        <w:t>,</w:t>
      </w:r>
      <w:r w:rsidRPr="006A39F2">
        <w:rPr>
          <w:rFonts w:ascii="Arial" w:hAnsi="Arial" w:cs="Arial"/>
        </w:rPr>
        <w:t xml:space="preserve"> </w:t>
      </w:r>
      <w:r w:rsidR="00B52613">
        <w:rPr>
          <w:rFonts w:ascii="Arial" w:hAnsi="Arial" w:cs="Arial"/>
        </w:rPr>
        <w:t>avoiding</w:t>
      </w:r>
      <w:r w:rsidR="0028768E">
        <w:rPr>
          <w:rFonts w:ascii="Arial" w:hAnsi="Arial" w:cs="Arial"/>
        </w:rPr>
        <w:t xml:space="preserve"> strongly</w:t>
      </w:r>
      <w:r w:rsidR="00EB6649">
        <w:rPr>
          <w:rFonts w:ascii="Arial" w:hAnsi="Arial" w:cs="Arial"/>
        </w:rPr>
        <w:t>-</w:t>
      </w:r>
      <w:r w:rsidR="0028768E">
        <w:rPr>
          <w:rFonts w:ascii="Arial" w:hAnsi="Arial" w:cs="Arial"/>
        </w:rPr>
        <w:t xml:space="preserve">bound </w:t>
      </w:r>
      <w:r w:rsidR="00C8462D">
        <w:rPr>
          <w:rFonts w:ascii="Arial" w:hAnsi="Arial" w:cs="Arial"/>
        </w:rPr>
        <w:t>interfacial charge transfer (CT) state</w:t>
      </w:r>
      <w:r w:rsidR="00EB6649">
        <w:rPr>
          <w:rFonts w:ascii="Arial" w:hAnsi="Arial" w:cs="Arial"/>
        </w:rPr>
        <w:t>s</w:t>
      </w:r>
      <w:r w:rsidR="0028768E">
        <w:rPr>
          <w:rFonts w:ascii="Arial" w:hAnsi="Arial" w:cs="Arial"/>
        </w:rPr>
        <w:t xml:space="preserve">. However, due to </w:t>
      </w:r>
      <w:r w:rsidR="00EB6649">
        <w:rPr>
          <w:rFonts w:ascii="Arial" w:hAnsi="Arial" w:cs="Arial"/>
        </w:rPr>
        <w:t xml:space="preserve">the </w:t>
      </w:r>
      <w:r w:rsidR="0028768E">
        <w:rPr>
          <w:rFonts w:ascii="Arial" w:hAnsi="Arial" w:cs="Arial"/>
        </w:rPr>
        <w:t xml:space="preserve">lack of specific optical probes </w:t>
      </w:r>
      <w:r w:rsidR="00C8462D">
        <w:rPr>
          <w:rFonts w:ascii="Arial" w:hAnsi="Arial" w:cs="Arial"/>
        </w:rPr>
        <w:t>at the D-A interface</w:t>
      </w:r>
      <w:r w:rsidR="0028768E">
        <w:rPr>
          <w:rFonts w:ascii="Arial" w:hAnsi="Arial" w:cs="Arial"/>
        </w:rPr>
        <w:t xml:space="preserve">, </w:t>
      </w:r>
      <w:r w:rsidR="00EB6649">
        <w:rPr>
          <w:rFonts w:ascii="Arial" w:hAnsi="Arial" w:cs="Arial"/>
        </w:rPr>
        <w:t xml:space="preserve">a </w:t>
      </w:r>
      <w:r w:rsidR="0028768E">
        <w:rPr>
          <w:rFonts w:ascii="Arial" w:hAnsi="Arial" w:cs="Arial"/>
        </w:rPr>
        <w:t xml:space="preserve">detailed quantification of the long-range processes </w:t>
      </w:r>
      <w:r w:rsidR="003A023D">
        <w:rPr>
          <w:rFonts w:ascii="Arial" w:hAnsi="Arial" w:cs="Arial"/>
        </w:rPr>
        <w:t>has</w:t>
      </w:r>
      <w:r w:rsidR="0028768E">
        <w:rPr>
          <w:rFonts w:ascii="Arial" w:hAnsi="Arial" w:cs="Arial"/>
        </w:rPr>
        <w:t xml:space="preserve"> not</w:t>
      </w:r>
      <w:r w:rsidR="003A023D">
        <w:rPr>
          <w:rFonts w:ascii="Arial" w:hAnsi="Arial" w:cs="Arial"/>
        </w:rPr>
        <w:t xml:space="preserve"> been</w:t>
      </w:r>
      <w:r w:rsidR="0028768E">
        <w:rPr>
          <w:rFonts w:ascii="Arial" w:hAnsi="Arial" w:cs="Arial"/>
        </w:rPr>
        <w:t xml:space="preserve"> </w:t>
      </w:r>
      <w:r w:rsidR="00EB6649">
        <w:rPr>
          <w:rFonts w:ascii="Arial" w:hAnsi="Arial" w:cs="Arial"/>
        </w:rPr>
        <w:t>feasible</w:t>
      </w:r>
      <w:r w:rsidR="003A023D">
        <w:rPr>
          <w:rFonts w:ascii="Arial" w:hAnsi="Arial" w:cs="Arial"/>
        </w:rPr>
        <w:t>,</w:t>
      </w:r>
      <w:r w:rsidR="00EB6649">
        <w:rPr>
          <w:rFonts w:ascii="Arial" w:hAnsi="Arial" w:cs="Arial"/>
        </w:rPr>
        <w:t xml:space="preserve"> </w:t>
      </w:r>
      <w:r w:rsidR="00037198">
        <w:rPr>
          <w:rFonts w:ascii="Arial" w:hAnsi="Arial" w:cs="Arial"/>
        </w:rPr>
        <w:t>until now</w:t>
      </w:r>
      <w:r w:rsidR="0028768E">
        <w:rPr>
          <w:rFonts w:ascii="Arial" w:hAnsi="Arial" w:cs="Arial"/>
        </w:rPr>
        <w:t>. Here,</w:t>
      </w:r>
      <w:r w:rsidRPr="006A39F2">
        <w:rPr>
          <w:rFonts w:ascii="Arial" w:hAnsi="Arial" w:cs="Arial"/>
        </w:rPr>
        <w:t xml:space="preserve"> we present a</w:t>
      </w:r>
      <w:r w:rsidR="0028768E">
        <w:rPr>
          <w:rFonts w:ascii="Arial" w:hAnsi="Arial" w:cs="Arial"/>
        </w:rPr>
        <w:t xml:space="preserve"> transient absorption study </w:t>
      </w:r>
      <w:r w:rsidR="0028768E" w:rsidRPr="00E94C67">
        <w:rPr>
          <w:rFonts w:ascii="Arial" w:hAnsi="Arial" w:cs="Arial"/>
        </w:rPr>
        <w:t xml:space="preserve">of long-range processes in a </w:t>
      </w:r>
      <w:r w:rsidR="006A5771" w:rsidRPr="00E94C67">
        <w:rPr>
          <w:rFonts w:ascii="Arial" w:hAnsi="Arial" w:cs="Arial"/>
        </w:rPr>
        <w:t xml:space="preserve">unique phase consisting </w:t>
      </w:r>
      <w:r w:rsidR="008C4E15" w:rsidRPr="00E94C67">
        <w:rPr>
          <w:rFonts w:ascii="Arial" w:hAnsi="Arial" w:cs="Arial"/>
        </w:rPr>
        <w:t>of perylene diimide (</w:t>
      </w:r>
      <w:r w:rsidR="006A5771" w:rsidRPr="00E94C67">
        <w:rPr>
          <w:rFonts w:ascii="Arial" w:hAnsi="Arial" w:cs="Arial"/>
        </w:rPr>
        <w:t>PDI</w:t>
      </w:r>
      <w:r w:rsidR="008C4E15" w:rsidRPr="00E94C67">
        <w:rPr>
          <w:rFonts w:ascii="Arial" w:hAnsi="Arial" w:cs="Arial"/>
        </w:rPr>
        <w:t>)</w:t>
      </w:r>
      <w:r w:rsidR="006A5771" w:rsidRPr="00E94C67">
        <w:rPr>
          <w:rFonts w:ascii="Arial" w:hAnsi="Arial" w:cs="Arial"/>
        </w:rPr>
        <w:t xml:space="preserve"> crystals intercalated </w:t>
      </w:r>
      <w:r w:rsidR="00534AA5" w:rsidRPr="00AA7325">
        <w:rPr>
          <w:rFonts w:ascii="Arial" w:hAnsi="Arial" w:cs="Arial"/>
        </w:rPr>
        <w:t>with polyflourene (PFO)</w:t>
      </w:r>
      <w:r w:rsidR="008C4E15" w:rsidRPr="00AA7325">
        <w:rPr>
          <w:rFonts w:ascii="Arial" w:hAnsi="Arial" w:cs="Arial"/>
        </w:rPr>
        <w:t>,</w:t>
      </w:r>
      <w:r w:rsidR="00534AA5" w:rsidRPr="00AA7325">
        <w:rPr>
          <w:rFonts w:ascii="Arial" w:hAnsi="Arial" w:cs="Arial"/>
        </w:rPr>
        <w:t xml:space="preserve"> </w:t>
      </w:r>
      <w:r w:rsidR="008C4E15" w:rsidRPr="00E94C67">
        <w:rPr>
          <w:rFonts w:ascii="Arial" w:hAnsi="Arial" w:cs="Arial"/>
        </w:rPr>
        <w:t>as</w:t>
      </w:r>
      <w:r w:rsidR="0028768E" w:rsidRPr="00E94C67">
        <w:rPr>
          <w:rFonts w:ascii="Arial" w:hAnsi="Arial" w:cs="Arial"/>
        </w:rPr>
        <w:t xml:space="preserve"> </w:t>
      </w:r>
      <w:r w:rsidR="00EB6649" w:rsidRPr="00E94C67">
        <w:rPr>
          <w:rFonts w:ascii="Arial" w:hAnsi="Arial" w:cs="Arial"/>
        </w:rPr>
        <w:t xml:space="preserve">widely used </w:t>
      </w:r>
      <w:r w:rsidR="0028768E" w:rsidRPr="00E94C67">
        <w:rPr>
          <w:rFonts w:ascii="Arial" w:hAnsi="Arial" w:cs="Arial"/>
        </w:rPr>
        <w:t xml:space="preserve">non-fullerene </w:t>
      </w:r>
      <w:r w:rsidR="008C4E15" w:rsidRPr="00E94C67">
        <w:rPr>
          <w:rFonts w:ascii="Arial" w:hAnsi="Arial" w:cs="Arial"/>
        </w:rPr>
        <w:t xml:space="preserve">electron </w:t>
      </w:r>
      <w:r w:rsidR="0028768E" w:rsidRPr="00E94C67">
        <w:rPr>
          <w:rFonts w:ascii="Arial" w:hAnsi="Arial" w:cs="Arial"/>
        </w:rPr>
        <w:t>acceptor</w:t>
      </w:r>
      <w:r w:rsidR="008C4E15" w:rsidRPr="00E94C67">
        <w:rPr>
          <w:rFonts w:ascii="Arial" w:hAnsi="Arial" w:cs="Arial"/>
        </w:rPr>
        <w:t xml:space="preserve"> and donor, respectively</w:t>
      </w:r>
      <w:r w:rsidRPr="00E94C67">
        <w:rPr>
          <w:rFonts w:ascii="Arial" w:hAnsi="Arial" w:cs="Arial"/>
        </w:rPr>
        <w:t xml:space="preserve">. </w:t>
      </w:r>
      <w:r w:rsidR="00534AA5" w:rsidRPr="00E94C67">
        <w:rPr>
          <w:rFonts w:ascii="Arial" w:hAnsi="Arial" w:cs="Arial"/>
        </w:rPr>
        <w:t>The intercalated PDI:PFO phase</w:t>
      </w:r>
      <w:r w:rsidR="00161291" w:rsidRPr="00E94C67">
        <w:rPr>
          <w:rFonts w:ascii="Arial" w:hAnsi="Arial" w:cs="Arial"/>
        </w:rPr>
        <w:t xml:space="preserve"> possess</w:t>
      </w:r>
      <w:r w:rsidR="008C4E15" w:rsidRPr="00E94C67">
        <w:rPr>
          <w:rFonts w:ascii="Arial" w:hAnsi="Arial" w:cs="Arial"/>
        </w:rPr>
        <w:t>es</w:t>
      </w:r>
      <w:r w:rsidRPr="00E94C67">
        <w:rPr>
          <w:rFonts w:ascii="Arial" w:hAnsi="Arial" w:cs="Arial"/>
        </w:rPr>
        <w:t xml:space="preserve"> specific </w:t>
      </w:r>
      <w:r w:rsidR="000903BD" w:rsidRPr="00E94C67">
        <w:rPr>
          <w:rFonts w:ascii="Arial" w:hAnsi="Arial" w:cs="Arial"/>
        </w:rPr>
        <w:t>well-</w:t>
      </w:r>
      <w:r w:rsidR="00CA154C" w:rsidRPr="00E94C67">
        <w:rPr>
          <w:rFonts w:ascii="Arial" w:hAnsi="Arial" w:cs="Arial"/>
        </w:rPr>
        <w:t>separated</w:t>
      </w:r>
      <w:r w:rsidR="000903BD" w:rsidRPr="00E94C67">
        <w:rPr>
          <w:rFonts w:ascii="Arial" w:hAnsi="Arial" w:cs="Arial"/>
        </w:rPr>
        <w:t xml:space="preserve"> </w:t>
      </w:r>
      <w:r w:rsidR="00561101" w:rsidRPr="00E94C67">
        <w:rPr>
          <w:rFonts w:ascii="Arial" w:hAnsi="Arial" w:cs="Arial"/>
        </w:rPr>
        <w:t>spectral</w:t>
      </w:r>
      <w:r w:rsidRPr="00E94C67">
        <w:rPr>
          <w:rFonts w:ascii="Arial" w:hAnsi="Arial" w:cs="Arial"/>
        </w:rPr>
        <w:t xml:space="preserve"> </w:t>
      </w:r>
      <w:r w:rsidR="00561101" w:rsidRPr="00E94C67">
        <w:rPr>
          <w:rFonts w:ascii="Arial" w:hAnsi="Arial" w:cs="Arial"/>
        </w:rPr>
        <w:t>features</w:t>
      </w:r>
      <w:r w:rsidR="00CA154C" w:rsidRPr="00E94C67">
        <w:rPr>
          <w:rFonts w:ascii="Arial" w:hAnsi="Arial" w:cs="Arial"/>
        </w:rPr>
        <w:t xml:space="preserve"> </w:t>
      </w:r>
      <w:r w:rsidRPr="00E94C67">
        <w:rPr>
          <w:rFonts w:ascii="Arial" w:hAnsi="Arial" w:cs="Arial"/>
        </w:rPr>
        <w:t xml:space="preserve">for </w:t>
      </w:r>
      <w:r w:rsidR="00CA154C" w:rsidRPr="00E94C67">
        <w:rPr>
          <w:rFonts w:ascii="Arial" w:hAnsi="Arial" w:cs="Arial"/>
        </w:rPr>
        <w:t xml:space="preserve">the </w:t>
      </w:r>
      <w:r w:rsidR="00561101" w:rsidRPr="00E94C67">
        <w:rPr>
          <w:rFonts w:ascii="Arial" w:hAnsi="Arial" w:cs="Arial"/>
        </w:rPr>
        <w:t>excited</w:t>
      </w:r>
      <w:r w:rsidR="00B52613" w:rsidRPr="00E94C67">
        <w:rPr>
          <w:rFonts w:ascii="Arial" w:hAnsi="Arial" w:cs="Arial"/>
        </w:rPr>
        <w:t xml:space="preserve"> states at</w:t>
      </w:r>
      <w:r w:rsidR="0028768E" w:rsidRPr="00E94C67">
        <w:rPr>
          <w:rFonts w:ascii="Arial" w:hAnsi="Arial" w:cs="Arial"/>
        </w:rPr>
        <w:t xml:space="preserve"> the</w:t>
      </w:r>
      <w:r w:rsidR="00B52613" w:rsidRPr="00E94C67">
        <w:rPr>
          <w:rFonts w:ascii="Arial" w:hAnsi="Arial" w:cs="Arial"/>
        </w:rPr>
        <w:t xml:space="preserve"> D-A</w:t>
      </w:r>
      <w:r w:rsidR="0028768E" w:rsidRPr="00E94C67">
        <w:rPr>
          <w:rFonts w:ascii="Arial" w:hAnsi="Arial" w:cs="Arial"/>
        </w:rPr>
        <w:t xml:space="preserve"> interface</w:t>
      </w:r>
      <w:r w:rsidR="00CA154C" w:rsidRPr="00E94C67">
        <w:rPr>
          <w:rFonts w:ascii="Arial" w:hAnsi="Arial" w:cs="Arial"/>
        </w:rPr>
        <w:t>. By use of femtosecond</w:t>
      </w:r>
      <w:r w:rsidR="00C743F7" w:rsidRPr="00E94C67">
        <w:rPr>
          <w:rFonts w:ascii="Arial" w:hAnsi="Arial" w:cs="Arial"/>
        </w:rPr>
        <w:t xml:space="preserve"> spectroscopy we</w:t>
      </w:r>
      <w:r w:rsidR="00CA154C" w:rsidRPr="00E94C67">
        <w:rPr>
          <w:rFonts w:ascii="Arial" w:hAnsi="Arial" w:cs="Arial"/>
        </w:rPr>
        <w:t xml:space="preserve"> reveal the </w:t>
      </w:r>
      <w:r w:rsidRPr="00E94C67">
        <w:rPr>
          <w:rFonts w:ascii="Arial" w:hAnsi="Arial" w:cs="Arial"/>
        </w:rPr>
        <w:t>excitation dynamics</w:t>
      </w:r>
      <w:r w:rsidR="008C4E15" w:rsidRPr="00E94C67">
        <w:rPr>
          <w:rFonts w:ascii="Arial" w:hAnsi="Arial" w:cs="Arial"/>
        </w:rPr>
        <w:t xml:space="preserve"> i</w:t>
      </w:r>
      <w:r w:rsidR="00A36DC7" w:rsidRPr="00E94C67">
        <w:rPr>
          <w:rFonts w:ascii="Arial" w:hAnsi="Arial" w:cs="Arial"/>
        </w:rPr>
        <w:t xml:space="preserve">n </w:t>
      </w:r>
      <w:r w:rsidR="003A023D" w:rsidRPr="00E94C67">
        <w:rPr>
          <w:rFonts w:ascii="Arial" w:hAnsi="Arial" w:cs="Arial"/>
        </w:rPr>
        <w:t>this</w:t>
      </w:r>
      <w:r w:rsidR="00A36DC7" w:rsidRPr="00E94C67">
        <w:rPr>
          <w:rFonts w:ascii="Arial" w:hAnsi="Arial" w:cs="Arial"/>
        </w:rPr>
        <w:t xml:space="preserve"> blend</w:t>
      </w:r>
      <w:r w:rsidR="008C4E15" w:rsidRPr="00E94C67">
        <w:rPr>
          <w:rFonts w:ascii="Arial" w:hAnsi="Arial" w:cs="Arial"/>
        </w:rPr>
        <w:t>.</w:t>
      </w:r>
      <w:r w:rsidR="00B52613" w:rsidRPr="00E94C67">
        <w:rPr>
          <w:rFonts w:ascii="Arial" w:hAnsi="Arial" w:cs="Arial"/>
        </w:rPr>
        <w:t xml:space="preserve"> </w:t>
      </w:r>
      <w:r w:rsidRPr="00E94C67">
        <w:rPr>
          <w:rFonts w:ascii="Arial" w:hAnsi="Arial" w:cs="Arial"/>
        </w:rPr>
        <w:t xml:space="preserve">PDI excitons </w:t>
      </w:r>
      <w:r w:rsidR="00B52613" w:rsidRPr="00E94C67">
        <w:rPr>
          <w:rFonts w:ascii="Arial" w:hAnsi="Arial" w:cs="Arial"/>
        </w:rPr>
        <w:t>undergo</w:t>
      </w:r>
      <w:r w:rsidRPr="00E94C67">
        <w:rPr>
          <w:rFonts w:ascii="Arial" w:hAnsi="Arial" w:cs="Arial"/>
        </w:rPr>
        <w:t xml:space="preserve"> </w:t>
      </w:r>
      <w:r w:rsidR="00B52613" w:rsidRPr="00E94C67">
        <w:rPr>
          <w:rFonts w:ascii="Arial" w:hAnsi="Arial" w:cs="Arial"/>
        </w:rPr>
        <w:t xml:space="preserve">a </w:t>
      </w:r>
      <w:r w:rsidR="000903BD" w:rsidRPr="00E94C67">
        <w:rPr>
          <w:rFonts w:ascii="Arial" w:hAnsi="Arial" w:cs="Arial"/>
        </w:rPr>
        <w:t xml:space="preserve">clear </w:t>
      </w:r>
      <w:r w:rsidRPr="00E94C67">
        <w:rPr>
          <w:rFonts w:ascii="Arial" w:hAnsi="Arial" w:cs="Arial"/>
        </w:rPr>
        <w:t>symmetry</w:t>
      </w:r>
      <w:r w:rsidR="009B6515" w:rsidRPr="00E94C67">
        <w:rPr>
          <w:rFonts w:ascii="Arial" w:hAnsi="Arial" w:cs="Arial"/>
        </w:rPr>
        <w:t>-</w:t>
      </w:r>
      <w:r w:rsidRPr="00E94C67">
        <w:rPr>
          <w:rFonts w:ascii="Arial" w:hAnsi="Arial" w:cs="Arial"/>
        </w:rPr>
        <w:t>breaking charge separat</w:t>
      </w:r>
      <w:r w:rsidR="00B52613" w:rsidRPr="00E94C67">
        <w:rPr>
          <w:rFonts w:ascii="Arial" w:hAnsi="Arial" w:cs="Arial"/>
        </w:rPr>
        <w:t>ion in the PDI bulk</w:t>
      </w:r>
      <w:r w:rsidR="000903BD" w:rsidRPr="00E94C67">
        <w:rPr>
          <w:rFonts w:ascii="Arial" w:hAnsi="Arial" w:cs="Arial"/>
        </w:rPr>
        <w:t>,</w:t>
      </w:r>
      <w:r w:rsidR="00A36DC7" w:rsidRPr="00E94C67">
        <w:rPr>
          <w:rFonts w:ascii="Arial" w:hAnsi="Arial" w:cs="Arial"/>
        </w:rPr>
        <w:t xml:space="preserve"> which occurs within several hundred femtoseconds,</w:t>
      </w:r>
      <w:r w:rsidRPr="00E94C67">
        <w:rPr>
          <w:rFonts w:ascii="Arial" w:hAnsi="Arial" w:cs="Arial"/>
        </w:rPr>
        <w:t xml:space="preserve"> </w:t>
      </w:r>
      <w:r w:rsidR="00A36DC7" w:rsidRPr="00E94C67">
        <w:rPr>
          <w:rFonts w:ascii="Arial" w:hAnsi="Arial" w:cs="Arial"/>
        </w:rPr>
        <w:t xml:space="preserve">thus outcompeting excimer formation, known to limit charge separation yields when PDI is used as an acceptor. In contrast, PFO excitons are dissociated </w:t>
      </w:r>
      <w:r w:rsidR="008C4E15" w:rsidRPr="00377FCE">
        <w:rPr>
          <w:rFonts w:ascii="Arial" w:hAnsi="Arial" w:cs="Arial"/>
        </w:rPr>
        <w:t>with very high yields</w:t>
      </w:r>
      <w:r w:rsidR="008C4E15">
        <w:rPr>
          <w:rFonts w:ascii="Arial" w:hAnsi="Arial" w:cs="Arial"/>
        </w:rPr>
        <w:t xml:space="preserve"> </w:t>
      </w:r>
      <w:r w:rsidR="00A36DC7">
        <w:rPr>
          <w:rFonts w:ascii="Arial" w:hAnsi="Arial" w:cs="Arial"/>
        </w:rPr>
        <w:t xml:space="preserve">in a one-step long-range process, enabled by large delocalization of the PFO exciton wavefunction. </w:t>
      </w:r>
      <w:r w:rsidR="009D4CDD">
        <w:rPr>
          <w:rFonts w:ascii="Arial" w:hAnsi="Arial" w:cs="Arial"/>
        </w:rPr>
        <w:t>Moreover,</w:t>
      </w:r>
      <w:r w:rsidR="001E4B1E">
        <w:rPr>
          <w:rFonts w:ascii="Arial" w:hAnsi="Arial" w:cs="Arial"/>
        </w:rPr>
        <w:t xml:space="preserve"> </w:t>
      </w:r>
      <w:r w:rsidR="009D4CDD">
        <w:rPr>
          <w:rFonts w:ascii="Arial" w:hAnsi="Arial" w:cs="Arial"/>
        </w:rPr>
        <w:t>b</w:t>
      </w:r>
      <w:r w:rsidRPr="006A39F2">
        <w:rPr>
          <w:rFonts w:ascii="Arial" w:hAnsi="Arial" w:cs="Arial"/>
        </w:rPr>
        <w:t xml:space="preserve">oth scenarios </w:t>
      </w:r>
      <w:r w:rsidR="00EB6649">
        <w:rPr>
          <w:rFonts w:ascii="Arial" w:hAnsi="Arial" w:cs="Arial"/>
        </w:rPr>
        <w:t>circumvent the formation</w:t>
      </w:r>
      <w:r w:rsidRPr="006A39F2">
        <w:rPr>
          <w:rFonts w:ascii="Arial" w:hAnsi="Arial" w:cs="Arial"/>
        </w:rPr>
        <w:t xml:space="preserve"> </w:t>
      </w:r>
      <w:r w:rsidR="00EB6649">
        <w:rPr>
          <w:rFonts w:ascii="Arial" w:hAnsi="Arial" w:cs="Arial"/>
        </w:rPr>
        <w:t xml:space="preserve">of </w:t>
      </w:r>
      <w:r w:rsidRPr="006A39F2">
        <w:rPr>
          <w:rFonts w:ascii="Arial" w:hAnsi="Arial" w:cs="Arial"/>
        </w:rPr>
        <w:t>strongly</w:t>
      </w:r>
      <w:r w:rsidR="00EB6649">
        <w:rPr>
          <w:rFonts w:ascii="Arial" w:hAnsi="Arial" w:cs="Arial"/>
        </w:rPr>
        <w:t>-</w:t>
      </w:r>
      <w:r w:rsidRPr="006A39F2">
        <w:rPr>
          <w:rFonts w:ascii="Arial" w:hAnsi="Arial" w:cs="Arial"/>
        </w:rPr>
        <w:t>bound interfacial CT</w:t>
      </w:r>
      <w:r w:rsidR="00986C2A">
        <w:rPr>
          <w:rFonts w:ascii="Arial" w:hAnsi="Arial" w:cs="Arial"/>
        </w:rPr>
        <w:t xml:space="preserve"> state</w:t>
      </w:r>
      <w:r w:rsidR="00EB6649">
        <w:rPr>
          <w:rFonts w:ascii="Arial" w:hAnsi="Arial" w:cs="Arial"/>
        </w:rPr>
        <w:t>s</w:t>
      </w:r>
      <w:r w:rsidRPr="006A39F2">
        <w:rPr>
          <w:rFonts w:ascii="Arial" w:hAnsi="Arial" w:cs="Arial"/>
        </w:rPr>
        <w:t xml:space="preserve"> and enable a targeted interfacial design for bulk heterojunction blends with </w:t>
      </w:r>
      <w:r w:rsidR="0028768E">
        <w:rPr>
          <w:rFonts w:ascii="Arial" w:hAnsi="Arial" w:cs="Arial"/>
        </w:rPr>
        <w:t xml:space="preserve">near </w:t>
      </w:r>
      <w:r w:rsidR="00EB6649">
        <w:rPr>
          <w:rFonts w:ascii="Arial" w:hAnsi="Arial" w:cs="Arial"/>
        </w:rPr>
        <w:t xml:space="preserve">unity </w:t>
      </w:r>
      <w:r w:rsidRPr="006A39F2">
        <w:rPr>
          <w:rFonts w:ascii="Arial" w:hAnsi="Arial" w:cs="Arial"/>
        </w:rPr>
        <w:t xml:space="preserve">charge separation yields. </w:t>
      </w:r>
    </w:p>
    <w:p w14:paraId="35B97CC6" w14:textId="0FCA1D35" w:rsidR="0034528D" w:rsidRPr="006A39F2" w:rsidRDefault="007E29D4" w:rsidP="006A39F2">
      <w:pPr>
        <w:pStyle w:val="Heading1"/>
        <w:tabs>
          <w:tab w:val="left" w:pos="0"/>
        </w:tabs>
        <w:spacing w:line="360" w:lineRule="auto"/>
        <w:jc w:val="both"/>
        <w:rPr>
          <w:rFonts w:cs="Arial"/>
          <w:b w:val="0"/>
          <w:sz w:val="22"/>
          <w:szCs w:val="22"/>
        </w:rPr>
      </w:pPr>
      <w:r w:rsidRPr="006A39F2">
        <w:rPr>
          <w:rFonts w:cs="Arial"/>
          <w:b w:val="0"/>
          <w:sz w:val="22"/>
          <w:szCs w:val="22"/>
        </w:rPr>
        <w:lastRenderedPageBreak/>
        <w:t xml:space="preserve"> </w:t>
      </w:r>
    </w:p>
    <w:p w14:paraId="5A4C80B8" w14:textId="43F305C9" w:rsidR="00FA1679" w:rsidRPr="006A39F2" w:rsidRDefault="00FA1679" w:rsidP="006A39F2">
      <w:pPr>
        <w:pStyle w:val="Heading1"/>
        <w:tabs>
          <w:tab w:val="left" w:pos="0"/>
        </w:tabs>
        <w:spacing w:line="360" w:lineRule="auto"/>
        <w:jc w:val="both"/>
        <w:rPr>
          <w:rFonts w:cs="Arial"/>
          <w:sz w:val="22"/>
          <w:szCs w:val="22"/>
        </w:rPr>
      </w:pPr>
      <w:r w:rsidRPr="006A39F2">
        <w:rPr>
          <w:rFonts w:cs="Arial"/>
          <w:sz w:val="22"/>
          <w:szCs w:val="22"/>
        </w:rPr>
        <w:t>Introduction</w:t>
      </w:r>
    </w:p>
    <w:p w14:paraId="1254EA60" w14:textId="432BC87D" w:rsidR="002224E5" w:rsidRPr="006A39F2" w:rsidRDefault="0092788E">
      <w:pPr>
        <w:tabs>
          <w:tab w:val="left" w:pos="0"/>
        </w:tabs>
        <w:spacing w:line="360" w:lineRule="auto"/>
        <w:jc w:val="both"/>
        <w:rPr>
          <w:rFonts w:ascii="Arial" w:hAnsi="Arial" w:cs="Arial"/>
          <w:color w:val="000000"/>
        </w:rPr>
      </w:pPr>
      <w:r>
        <w:rPr>
          <w:rFonts w:ascii="Arial" w:hAnsi="Arial" w:cs="Arial"/>
          <w:color w:val="000000"/>
        </w:rPr>
        <w:t>Organic</w:t>
      </w:r>
      <w:r w:rsidR="006D5B8A" w:rsidRPr="00E74311">
        <w:rPr>
          <w:rFonts w:ascii="Arial" w:hAnsi="Arial" w:cs="Arial"/>
          <w:color w:val="000000"/>
        </w:rPr>
        <w:t xml:space="preserve"> photovoltaic devices (OPV</w:t>
      </w:r>
      <w:r w:rsidR="00F60E74">
        <w:rPr>
          <w:rFonts w:ascii="Arial" w:hAnsi="Arial" w:cs="Arial"/>
          <w:color w:val="000000"/>
        </w:rPr>
        <w:t>s</w:t>
      </w:r>
      <w:r w:rsidR="006D5B8A" w:rsidRPr="00E74311">
        <w:rPr>
          <w:rFonts w:ascii="Arial" w:hAnsi="Arial" w:cs="Arial"/>
          <w:color w:val="000000"/>
        </w:rPr>
        <w:t xml:space="preserve">) </w:t>
      </w:r>
      <w:r>
        <w:rPr>
          <w:rFonts w:ascii="Arial" w:hAnsi="Arial" w:cs="Arial"/>
          <w:color w:val="000000"/>
        </w:rPr>
        <w:t xml:space="preserve">have </w:t>
      </w:r>
      <w:r w:rsidR="00EB6649">
        <w:rPr>
          <w:rFonts w:ascii="Arial" w:hAnsi="Arial" w:cs="Arial"/>
          <w:color w:val="000000"/>
        </w:rPr>
        <w:t xml:space="preserve">unique </w:t>
      </w:r>
      <w:r>
        <w:rPr>
          <w:rFonts w:ascii="Arial" w:hAnsi="Arial" w:cs="Arial"/>
          <w:color w:val="000000"/>
        </w:rPr>
        <w:t xml:space="preserve">properties that </w:t>
      </w:r>
      <w:r w:rsidR="008D05E4">
        <w:rPr>
          <w:rFonts w:ascii="Arial" w:hAnsi="Arial" w:cs="Arial"/>
          <w:color w:val="000000"/>
        </w:rPr>
        <w:t xml:space="preserve">facilitate </w:t>
      </w:r>
      <w:r>
        <w:rPr>
          <w:rFonts w:ascii="Arial" w:hAnsi="Arial" w:cs="Arial"/>
          <w:color w:val="000000"/>
        </w:rPr>
        <w:t xml:space="preserve">their use in </w:t>
      </w:r>
      <w:r w:rsidR="00EB6649">
        <w:rPr>
          <w:rFonts w:ascii="Arial" w:hAnsi="Arial" w:cs="Arial"/>
          <w:color w:val="000000"/>
        </w:rPr>
        <w:t xml:space="preserve">specific </w:t>
      </w:r>
      <w:r>
        <w:rPr>
          <w:rFonts w:ascii="Arial" w:hAnsi="Arial" w:cs="Arial"/>
          <w:color w:val="000000"/>
        </w:rPr>
        <w:t xml:space="preserve">applications: </w:t>
      </w:r>
      <w:r w:rsidR="006D5B8A" w:rsidRPr="00E74311">
        <w:rPr>
          <w:rFonts w:ascii="Arial" w:hAnsi="Arial" w:cs="Arial"/>
          <w:color w:val="000000"/>
        </w:rPr>
        <w:t>light weight, flexibility, ease of installation</w:t>
      </w:r>
      <w:r w:rsidR="003A023D">
        <w:rPr>
          <w:rFonts w:ascii="Arial" w:hAnsi="Arial" w:cs="Arial"/>
          <w:color w:val="000000"/>
        </w:rPr>
        <w:t xml:space="preserve"> &amp;</w:t>
      </w:r>
      <w:r w:rsidR="006D5B8A" w:rsidRPr="00E74311">
        <w:rPr>
          <w:rFonts w:ascii="Arial" w:hAnsi="Arial" w:cs="Arial"/>
          <w:color w:val="000000"/>
        </w:rPr>
        <w:t xml:space="preserve"> integration</w:t>
      </w:r>
      <w:r w:rsidR="00B13D71">
        <w:rPr>
          <w:rFonts w:ascii="Arial" w:hAnsi="Arial" w:cs="Arial"/>
          <w:color w:val="000000"/>
        </w:rPr>
        <w:t>,</w:t>
      </w:r>
      <w:r w:rsidR="006D5B8A" w:rsidRPr="00E74311">
        <w:rPr>
          <w:rFonts w:ascii="Arial" w:hAnsi="Arial" w:cs="Arial"/>
          <w:color w:val="000000"/>
        </w:rPr>
        <w:t xml:space="preserve"> and</w:t>
      </w:r>
      <w:r w:rsidR="003A023D">
        <w:rPr>
          <w:rFonts w:ascii="Arial" w:hAnsi="Arial" w:cs="Arial"/>
          <w:color w:val="000000"/>
        </w:rPr>
        <w:t xml:space="preserve"> a</w:t>
      </w:r>
      <w:r w:rsidR="006D5B8A" w:rsidRPr="00E74311">
        <w:rPr>
          <w:rFonts w:ascii="Arial" w:hAnsi="Arial" w:cs="Arial"/>
          <w:color w:val="000000"/>
        </w:rPr>
        <w:t xml:space="preserve"> </w:t>
      </w:r>
      <w:r>
        <w:rPr>
          <w:rFonts w:ascii="Arial" w:hAnsi="Arial" w:cs="Arial"/>
          <w:color w:val="000000"/>
        </w:rPr>
        <w:t xml:space="preserve">tunable </w:t>
      </w:r>
      <w:r w:rsidR="006D5B8A" w:rsidRPr="00E74311">
        <w:rPr>
          <w:rFonts w:ascii="Arial" w:hAnsi="Arial" w:cs="Arial"/>
          <w:color w:val="000000"/>
        </w:rPr>
        <w:t>transparency</w:t>
      </w:r>
      <w:r>
        <w:rPr>
          <w:rFonts w:ascii="Arial" w:hAnsi="Arial" w:cs="Arial"/>
          <w:color w:val="000000"/>
        </w:rPr>
        <w:t xml:space="preserve"> window</w:t>
      </w:r>
      <w:r w:rsidR="006D5B8A" w:rsidRPr="00E74311">
        <w:rPr>
          <w:rFonts w:ascii="Arial" w:hAnsi="Arial" w:cs="Arial"/>
          <w:color w:val="000000"/>
        </w:rPr>
        <w:t>.</w:t>
      </w:r>
      <w:r w:rsidR="00DD6727" w:rsidRPr="00E74311">
        <w:rPr>
          <w:rFonts w:ascii="Arial" w:hAnsi="Arial" w:cs="Arial"/>
          <w:color w:val="000000"/>
        </w:rPr>
        <w:fldChar w:fldCharType="begin" w:fldLock="1"/>
      </w:r>
      <w:r w:rsidR="000B745C">
        <w:rPr>
          <w:rFonts w:ascii="Arial" w:hAnsi="Arial" w:cs="Arial"/>
          <w:color w:val="000000"/>
        </w:rPr>
        <w:instrText>ADDIN CSL_CITATION { "citationItems" : [ { "id" : "ITEM-1", "itemData" : { "ISSN" : "1099-159X", "author" : [ { "dropping-particle" : "", "family" : "Kumar", "given" : "Pankaj", "non-dropping-particle" : "", "parse-names" : false, "suffix" : "" }, { "dropping-particle" : "", "family" : "Chand", "given" : "Suresh", "non-dropping-particle" : "", "parse-names" : false, "suffix" : "" } ], "container-title" : "Progress in Photovoltaics: Research and applications", "id" : "ITEM-1", "issue" : "4", "issued" : { "date-parts" : [ [ "2012" ] ] }, "page" : "377-415", "publisher" : "Wiley Online Library", "title" : "Recent progress and future aspects of organic solar cells", "type" : "article-journal", "volume" : "20" }, "uris" : [ "http://www.mendeley.com/documents/?uuid=4b469201-603b-4418-8815-84d0efb7378f" ] }, { "id" : "ITEM-2", "itemData" : { "DOI" : "10.1016/j.solmat.2013.04.024", "ISSN" : "09270248", "author" : [ { "dropping-particle" : "", "family" : "Gevorgyan", "given" : "Suren a.", "non-dropping-particle" : "", "parse-names" : false, "suffix" : "" }, { "dropping-particle" : "V.", "family" : "Madsen", "given" : "Morten", "non-dropping-particle" : "", "parse-names" : false, "suffix" : "" }, { "dropping-particle" : "", "family" : "Dam", "given" : "Henrik F.", "non-dropping-particle" : "", "parse-names" : false, "suffix" : "" }, { "dropping-particle" : "", "family" : "J\u00f8rgensen", "given" : "Mikkel", "non-dropping-particle" : "", "parse-names" : false, "suffix" : "" }, { "dropping-particle" : "", "family" : "Fell", "given" : "Christopher J.", "non-dropping-particle" : "", "parse-names" : false, "suffix" : "" }, { "dropping-particle" : "", "family" : "Anderson", "given" : "Kenrick F.", "non-dropping-particle" : "", "parse-names" : false, "suffix" : "" }, { "dropping-particle" : "", "family" : "Duck", "given" : "Benjamin C.", "non-dropping-particle" : "", "parse-names" : false, "suffix" : "" }, { "dropping-particle" : "", "family" : "Mescheloff", "given" : "Asaf", "non-dropping-particle" : "", "parse-names" : false, "suffix" : "" }, { "dropping-particle" : "", "family" : "Katz", "given" : "Eugene a.", "non-dropping-particle" : "", "parse-names" : false, "suffix" : "" }, { "dropping-particle" : "", "family" : "Elschner", "given" : "Andreas", "non-dropping-particle" : "", "parse-names" : false, "suffix" : "" }, { "dropping-particle" : "", "family" : "Roesch", "given" : "Roland", "non-dropping-particle" : "", "parse-names" : false, "suffix" : "" }, { "dropping-particle" : "", "family" : "Hoppe", "given" : "Harald", "non-dropping-particle" : "", "parse-names" : false, "suffix" : "" }, { "dropping-particle" : "", "family" : "Hermenau", "given" : "Martin", "non-dropping-particle" : "", "parse-names" : false, "suffix" : "" }, { "dropping-particle" : "", "family" : "Riede", "given" : "Moritz", "non-dropping-particle" : "", "parse-names" : false, "suffix" : "" }, { "dropping-particle" : "", "family" : "Krebs", "given" : "Frederik C.", "non-dropping-particle" : "", "parse-names" : false, "suffix" : "" } ], "container-title" : "Solar Energy Materials and Solar Cells", "id" : "ITEM-2", "issued" : { "date-parts" : [ [ "2013", "9" ] ] }, "page" : "187-196", "publisher" : "Elsevier", "title" : "Interlaboratory outdoor stability studies of flexible roll-to-roll coated organic photovoltaic modules: Stability over 10,000h", "type" : "article-journal", "volume" : "116" }, "uris" : [ "http://www.mendeley.com/documents/?uuid=763fa6b1-e147-4f22-94ca-2388657ee419" ] }, { "id" : "ITEM-3", "itemData" : { "ISBN" : "0927-0248", "abstract" : "We report herein large area (&gt;10\u00a0cm2), interconnected organic solar cell modules both on glass substrates as well as on flexible ultra-high barrier foils, reaching 1.5% and 0.5% overall power conversion efficiency under AM1.5 conditions. Series connection is described, as these modules consist of up to three cells. Using our flexible barrier material, a shelf lifetime of polythiophene-based solar cells of 6000\u00a0h could be realized. Furthermore, we compare the photovoltaic performance of efficient conjugated polymer:fullerene solar cell modules with established technologies. Under typical indoor-office lighting, our modules are competitive with these systems.", "author" : [ { "dropping-particle" : "", "family" : "Lungenschmied", "given" : "Christoph", "non-dropping-particle" : "", "parse-names" : false, "suffix" : "" }, { "dropping-particle" : "", "family" : "Dennler", "given" : "Gilles", "non-dropping-particle" : "", "parse-names" : false, "suffix" : "" }, { "dropping-particle" : "", "family" : "Neugebauer", "given" : "Helmut", "non-dropping-particle" : "", "parse-names" : false, "suffix" : "" }, { "dropping-particle" : "", "family" : "Sariciftci", "given" : "Serdar N", "non-dropping-particle" : "", "parse-names" : false, "suffix" : "" }, { "dropping-particle" : "", "family" : "Glatthaar", "given" : "Markus", "non-dropping-particle" : "", "parse-names" : false, "suffix" : "" }, { "dropping-particle" : "", "family" : "Meyer", "given" : "Toby", "non-dropping-particle" : "", "parse-names" : false, "suffix" : "" }, { "dropping-particle" : "", "family" : "Meyer", "given" : "Andreas", "non-dropping-particle" : "", "parse-names" : false, "suffix" : "" } ], "container-title" : "Solar Energy Materials and Solar Cells", "id" : "ITEM-3", "issue" : "5", "issued" : { "date-parts" : [ [ "2007" ] ] }, "page" : "379-384", "title" : "Flexible, long-lived, large-area, organic solar cells", "type" : "article-journal", "volume" : "91" }, "uris" : [ "http://www.mendeley.com/documents/?uuid=b09ed13e-7d9e-49fb-b8ce-76775624d141" ] }, { "id" : "ITEM-4", "itemData" : { "DOI" : "10.1016/j.mattod.2013.12.002", "ISSN" : "13697021", "author" : [ { "dropping-particle" : "", "family" : "Boix", "given" : "Pablo P.", "non-dropping-particle" : "", "parse-names" : false, "suffix" : "" }, { "dropping-particle" : "", "family" : "Nonomura", "given" : "Kazuteru", "non-dropping-particle" : "", "parse-names" : false, "suffix" : "" }, { "dropping-particle" : "", "family" : "Mathews", "given" : "Nripan", "non-dropping-particle" : "", "parse-names" : false, "suffix" : "" }, { "dropping-particle" : "", "family" : "Mhaisalkar", "given" : "Subodh G.", "non-dropping-particle" : "", "parse-names" : false, "suffix" : "" } ], "container-title" : "Materials Today", "id" : "ITEM-4", "issue" : "1", "issued" : { "date-parts" : [ [ "2014", "1" ] ] }, "page" : "16-23", "title" : "Current progress and future perspectives for organic/inorganic perovskite solar cells", "type" : "article-journal", "volume" : "17" }, "uris" : [ "http://www.mendeley.com/documents/?uuid=e9734edf-c0f2-31b1-941c-5314d3b2aa6d" ] } ], "mendeley" : { "formattedCitation" : "&lt;sup&gt;1\u20134&lt;/sup&gt;", "plainTextFormattedCitation" : "1\u20134", "previouslyFormattedCitation" : "&lt;sup&gt;1\u20134&lt;/sup&gt;" }, "properties" : { "noteIndex" : 0 }, "schema" : "https://github.com/citation-style-language/schema/raw/master/csl-citation.json" }</w:instrText>
      </w:r>
      <w:r w:rsidR="00DD6727" w:rsidRPr="00E74311">
        <w:rPr>
          <w:rFonts w:ascii="Arial" w:hAnsi="Arial" w:cs="Arial"/>
          <w:color w:val="000000"/>
        </w:rPr>
        <w:fldChar w:fldCharType="separate"/>
      </w:r>
      <w:r w:rsidR="00DD6727" w:rsidRPr="00E74311">
        <w:rPr>
          <w:rFonts w:ascii="Arial" w:hAnsi="Arial" w:cs="Arial"/>
          <w:noProof/>
          <w:color w:val="000000"/>
          <w:vertAlign w:val="superscript"/>
        </w:rPr>
        <w:t>1–4</w:t>
      </w:r>
      <w:r w:rsidR="00DD6727" w:rsidRPr="00E74311">
        <w:rPr>
          <w:rFonts w:ascii="Arial" w:hAnsi="Arial" w:cs="Arial"/>
          <w:color w:val="000000"/>
        </w:rPr>
        <w:fldChar w:fldCharType="end"/>
      </w:r>
      <w:r w:rsidR="006D5B8A" w:rsidRPr="00E74311">
        <w:rPr>
          <w:rFonts w:ascii="Arial" w:hAnsi="Arial" w:cs="Arial"/>
          <w:color w:val="000000"/>
        </w:rPr>
        <w:t xml:space="preserve"> </w:t>
      </w:r>
      <w:r w:rsidR="001124A9">
        <w:rPr>
          <w:rFonts w:ascii="Arial" w:hAnsi="Arial" w:cs="Arial"/>
          <w:color w:val="000000"/>
        </w:rPr>
        <w:t>Read</w:t>
      </w:r>
      <w:r w:rsidR="001124A9" w:rsidRPr="00E74311">
        <w:rPr>
          <w:rFonts w:ascii="Arial" w:hAnsi="Arial" w:cs="Arial"/>
          <w:color w:val="000000"/>
        </w:rPr>
        <w:t xml:space="preserve">ily </w:t>
      </w:r>
      <w:r w:rsidR="006D5B8A" w:rsidRPr="00E74311">
        <w:rPr>
          <w:rFonts w:ascii="Arial" w:hAnsi="Arial" w:cs="Arial"/>
          <w:color w:val="000000"/>
        </w:rPr>
        <w:t xml:space="preserve">fabricated by high-throughput roll-to-roll deposition at low cost, current devices can boast power conversion efficiencies of more than 10% </w:t>
      </w:r>
      <w:r w:rsidR="008D05E4">
        <w:rPr>
          <w:rFonts w:ascii="Arial" w:hAnsi="Arial" w:cs="Arial"/>
          <w:color w:val="000000"/>
        </w:rPr>
        <w:t xml:space="preserve">combined with </w:t>
      </w:r>
      <w:r w:rsidR="006D5B8A" w:rsidRPr="00D467BD">
        <w:rPr>
          <w:rFonts w:ascii="Arial" w:hAnsi="Arial" w:cs="Arial"/>
          <w:color w:val="000000"/>
        </w:rPr>
        <w:t xml:space="preserve">good </w:t>
      </w:r>
      <w:r w:rsidR="008D05E4">
        <w:rPr>
          <w:rFonts w:ascii="Arial" w:hAnsi="Arial" w:cs="Arial"/>
          <w:color w:val="000000"/>
        </w:rPr>
        <w:t>(photo)</w:t>
      </w:r>
      <w:r w:rsidR="006D5B8A" w:rsidRPr="00D467BD">
        <w:rPr>
          <w:rFonts w:ascii="Arial" w:hAnsi="Arial" w:cs="Arial"/>
          <w:color w:val="000000"/>
        </w:rPr>
        <w:t>stability.</w:t>
      </w:r>
      <w:r w:rsidR="00537932" w:rsidRPr="00E74311">
        <w:rPr>
          <w:rFonts w:ascii="Arial" w:hAnsi="Arial" w:cs="Arial"/>
          <w:color w:val="000000"/>
        </w:rPr>
        <w:fldChar w:fldCharType="begin" w:fldLock="1"/>
      </w:r>
      <w:r w:rsidR="000B745C">
        <w:rPr>
          <w:rFonts w:ascii="Arial" w:hAnsi="Arial" w:cs="Arial"/>
          <w:color w:val="000000"/>
        </w:rPr>
        <w:instrText>ADDIN CSL_CITATION { "citationItems" : [ { "id" : "ITEM-1", "itemData" : { "ISSN" : "1614-6840", "author" : [ { "dropping-particle" : "", "family" : "Goh", "given" : "Tenghooi", "non-dropping-particle" : "", "parse-names" : false, "suffix" : "" }, { "dropping-particle" : "", "family" : "Huang", "given" : "Jing\u2010Shun", "non-dropping-particle" : "", "parse-names" : false, "suffix" : "" }, { "dropping-particle" : "", "family" : "Yager", "given" : "Kevin G", "non-dropping-particle" : "", "parse-names" : false, "suffix" : "" }, { "dropping-particle" : "", "family" : "Sfeir", "given" : "Matthew Y", "non-dropping-particle" : "", "parse-names" : false, "suffix" : "" }, { "dropping-particle" : "", "family" : "Nam", "given" : "Chang\u2010Yong", "non-dropping-particle" : "", "parse-names" : false, "suffix" : "" }, { "dropping-particle" : "", "family" : "Tong", "given" : "Xiao", "non-dropping-particle" : "", "parse-names" : false, "suffix" : "" }, { "dropping-particle" : "", "family" : "Guard", "given" : "Louise M", "non-dropping-particle" : "", "parse-names" : false, "suffix" : "" }, { "dropping-particle" : "", "family" : "Melvin", "given" : "Patrick R", "non-dropping-particle" : "", "parse-names" : false, "suffix" : "" }, { "dropping-particle" : "", "family" : "Antonio", "given" : "Francisco", "non-dropping-particle" : "", "parse-names" : false, "suffix" : "" }, { "dropping-particle" : "", "family" : "Bartolome", "given" : "Benjamin G", "non-dropping-particle" : "", "parse-names" : false, "suffix" : "" } ], "container-title" : "Advanced Energy Materials", "id" : "ITEM-1", "issue" : "21", "issued" : { "date-parts" : [ [ "2016" ] ] }, "publisher" : "Wiley Online Library", "title" : "Quaternary Organic Solar Cells Enhanced by Cocrystalline Squaraines with Power Conversion Efficiencies&gt; 10%", "type" : "article-journal", "volume" : "6" }, "uris" : [ "http://www.mendeley.com/documents/?uuid=6d12090f-e574-4092-b1a9-5f7490a13a08" ] }, { "id" : "ITEM-2", "itemData" : { "author" : [ { "dropping-particle" : "", "family" : "Gasparini", "given" : "Nicola", "non-dropping-particle" : "", "parse-names" : false, "suffix" : "" }, { "dropping-particle" : "", "family" : "Lucera", "given" : "Luca", "non-dropping-particle" : "", "parse-names" : false, "suffix" : "" }, { "dropping-particle" : "", "family" : "Salvador", "given" : "Michael", "non-dropping-particle" : "", "parse-names" : false, "suffix" : "" }, { "dropping-particle" : "", "family" : "Prosa", "given" : "Mario", "non-dropping-particle" : "", "parse-names" : false, "suffix" : "" }, { "dropping-particle" : "", "family" : "Spyropoulos", "given" : "George D", "non-dropping-particle" : "", "parse-names" : false, "suffix" : "" }, { "dropping-particle" : "", "family" : "Kubis", "given" : "Peter", "non-dropping-particle" : "", "parse-names" : false, "suffix" : "" }, { "dropping-particle" : "", "family" : "Egelhaaf", "given" : "Hans-Joachim", "non-dropping-particle" : "", "parse-names" : false, "suffix" : "" }, { "dropping-particle" : "", "family" : "Brabec", "given" : "Christoph J", "non-dropping-particle" : "", "parse-names" : false, "suffix" : "" }, { "dropping-particle" : "", "family" : "Ameri", "given" : "Tayebeh", "non-dropping-particle" : "", "parse-names" : false, "suffix" : "" } ], "container-title" : "Energy &amp; Environmental Science", "id" : "ITEM-2", "issue" : "4", "issued" : { "date-parts" : [ [ "2017" ] ] }, "page" : "885-892", "publisher" : "Royal Society of Chemistry", "title" : "High-performance ternary organic solar cells with thick active layer exceeding 11% efficiency", "type" : "article-journal", "volume" : "10" }, "uris" : [ "http://www.mendeley.com/documents/?uuid=6bafe322-176d-4c60-a881-be8d87ecc1b1" ] }, { "id" : "ITEM-3", "itemData" : { "ISBN" : "0935-9648", "author" : [ { "dropping-particle" : "", "family" : "Lee", "given" : "Kwanghee", "non-dropping-particle" : "", "parse-names" : false, "suffix" : "" }, { "dropping-particle" : "", "family" : "Kim", "given" : "Jin Young", "non-dropping-particle" : "", "parse-names" : false, "suffix" : "" }, { "dropping-particle" : "", "family" : "Park", "given" : "Sung Heum", "non-dropping-particle" : "", "parse-names" : false, "suffix" : "" }, { "dropping-particle" : "", "family" : "Kim", "given" : "Sun Hee", "non-dropping-particle" : "", "parse-names" : false, "suffix" : "" }, { "dropping-particle" : "", "family" : "Cho", "given" : "Shinuk", "non-dropping-particle" : "", "parse-names" : false, "suffix" : "" }, { "dropping-particle" : "", "family" : "Heeger", "given" : "Alan J", "non-dropping-particle" : "", "parse-names" : false, "suffix" : "" } ], "container-title" : "Advanced Materials", "id" : "ITEM-3", "issue" : "18", "issued" : { "date-parts" : [ [ "2007", "9" ] ] }, "note" : "PT: J; TC: 205", "page" : "2445-2449", "title" : "Air-stable polymer electronic devices", "type" : "article-journal", "volume" : "19" }, "uris" : [ "http://www.mendeley.com/documents/?uuid=de6bb049-d456-4582-8d94-153d5deccafa" ] }, { "id" : "ITEM-4", "itemData" : { "DOI" : "10.1039/C5MH00090D", "ISBN" : "2051-6347", "ISSN" : "2051-6347", "abstract" : "Organic solar cells (OSCs) with a third component, consisting of a donor material, an acceptor material and a third component (organic or inorganic, semiconductor or insulator), received increasing attention in the last five years and the power conversion efficiencies approached 10%. Compared with the traditional binary (two-component) blend, three-component OSCs presented some advantages: broader and stronger absorption, more efficient charge transfer, more efficient charge transport pathways, better charge extraction at the electrodes and improved stability. Various types of third components, such as light-absorbing small molecules or polymers, fullerene or non-fullerene acceptors, metal- or carbon-based nanomaterials, quantum dots, and polymer or small molecule nonvolatile additives were used in OSCs. In this contribution, we review the recent developments in three-component OSCs using various third components. In particular, the absorption complementation, phase separation and the nanostructure in three-component OSCs are addressed.", "author" : [ { "dropping-particle" : "", "family" : "Cheng", "given" : "Pei", "non-dropping-particle" : "", "parse-names" : false, "suffix" : "" }, { "dropping-particle" : "", "family" : "Zhan", "given" : "Xiaowei", "non-dropping-particle" : "", "parse-names" : false, "suffix" : "" } ], "container-title" : "Mater. Horiz.", "id" : "ITEM-4", "issue" : "5", "issued" : { "date-parts" : [ [ "2015", "7", "13" ] ] }, "language" : "en", "page" : "462-485", "publisher" : "Royal Society of Chemistry", "title" : "Versatile third components for efficient and stable organic solar cells", "type" : "article-journal", "volume" : "2" }, "uris" : [ "http://www.mendeley.com/documents/?uuid=56fc04b4-1edf-45dd-8c88-f5af68f0259b" ] } ], "mendeley" : { "formattedCitation" : "&lt;sup&gt;5\u20138&lt;/sup&gt;", "plainTextFormattedCitation" : "5\u20138", "previouslyFormattedCitation" : "&lt;sup&gt;5\u20138&lt;/sup&gt;" }, "properties" : { "noteIndex" : 0 }, "schema" : "https://github.com/citation-style-language/schema/raw/master/csl-citation.json" }</w:instrText>
      </w:r>
      <w:r w:rsidR="00537932" w:rsidRPr="00E74311">
        <w:rPr>
          <w:rFonts w:ascii="Arial" w:hAnsi="Arial" w:cs="Arial"/>
          <w:color w:val="000000"/>
        </w:rPr>
        <w:fldChar w:fldCharType="separate"/>
      </w:r>
      <w:r w:rsidR="00537932" w:rsidRPr="00E74311">
        <w:rPr>
          <w:rFonts w:ascii="Arial" w:hAnsi="Arial" w:cs="Arial"/>
          <w:noProof/>
          <w:color w:val="000000"/>
          <w:vertAlign w:val="superscript"/>
        </w:rPr>
        <w:t>5–8</w:t>
      </w:r>
      <w:r w:rsidR="00537932" w:rsidRPr="00E74311">
        <w:rPr>
          <w:rFonts w:ascii="Arial" w:hAnsi="Arial" w:cs="Arial"/>
          <w:color w:val="000000"/>
        </w:rPr>
        <w:fldChar w:fldCharType="end"/>
      </w:r>
      <w:r w:rsidR="00621F82" w:rsidRPr="006A39F2">
        <w:rPr>
          <w:rFonts w:ascii="Arial" w:hAnsi="Arial" w:cs="Arial"/>
          <w:color w:val="000000"/>
        </w:rPr>
        <w:t xml:space="preserve"> </w:t>
      </w:r>
      <w:r w:rsidR="006D5B8A" w:rsidRPr="00E74311">
        <w:rPr>
          <w:rFonts w:ascii="Arial" w:hAnsi="Arial" w:cs="Arial"/>
          <w:color w:val="000000"/>
        </w:rPr>
        <w:t>The most effective single layer systems are so</w:t>
      </w:r>
      <w:r w:rsidR="00537932" w:rsidRPr="00D467BD">
        <w:rPr>
          <w:rFonts w:ascii="Arial" w:hAnsi="Arial" w:cs="Arial"/>
          <w:color w:val="000000"/>
        </w:rPr>
        <w:t>-</w:t>
      </w:r>
      <w:r w:rsidR="006D5B8A" w:rsidRPr="00D467BD">
        <w:rPr>
          <w:rFonts w:ascii="Arial" w:hAnsi="Arial" w:cs="Arial"/>
          <w:color w:val="000000"/>
        </w:rPr>
        <w:t xml:space="preserve">called bulk-heterojunction </w:t>
      </w:r>
      <w:r w:rsidR="00537932" w:rsidRPr="00D74310">
        <w:rPr>
          <w:rFonts w:ascii="Arial" w:hAnsi="Arial" w:cs="Arial"/>
          <w:color w:val="000000"/>
        </w:rPr>
        <w:t>(BHJ)</w:t>
      </w:r>
      <w:r w:rsidR="006D5B8A" w:rsidRPr="00AA616F">
        <w:rPr>
          <w:rFonts w:ascii="Arial" w:hAnsi="Arial" w:cs="Arial"/>
          <w:color w:val="000000"/>
        </w:rPr>
        <w:t xml:space="preserve"> devices</w:t>
      </w:r>
      <w:r w:rsidR="00B13D71">
        <w:rPr>
          <w:rFonts w:ascii="Arial" w:hAnsi="Arial" w:cs="Arial"/>
          <w:color w:val="000000"/>
        </w:rPr>
        <w:t>,</w:t>
      </w:r>
      <w:r w:rsidR="006D5B8A" w:rsidRPr="00AA616F">
        <w:rPr>
          <w:rFonts w:ascii="Arial" w:hAnsi="Arial" w:cs="Arial"/>
          <w:color w:val="000000"/>
        </w:rPr>
        <w:t xml:space="preserve"> in which the active layer is essentially a blend of donor</w:t>
      </w:r>
      <w:r w:rsidR="00BA20BC" w:rsidRPr="0086101D">
        <w:rPr>
          <w:rFonts w:ascii="Arial" w:hAnsi="Arial" w:cs="Arial"/>
          <w:color w:val="000000"/>
        </w:rPr>
        <w:t xml:space="preserve"> (D)</w:t>
      </w:r>
      <w:r w:rsidR="006D5B8A" w:rsidRPr="00A2463D">
        <w:rPr>
          <w:rFonts w:ascii="Arial" w:hAnsi="Arial" w:cs="Arial"/>
          <w:color w:val="000000"/>
        </w:rPr>
        <w:t xml:space="preserve"> and acceptor</w:t>
      </w:r>
      <w:r w:rsidR="00BA20BC" w:rsidRPr="00A2463D">
        <w:rPr>
          <w:rFonts w:ascii="Arial" w:hAnsi="Arial" w:cs="Arial"/>
          <w:color w:val="000000"/>
        </w:rPr>
        <w:t xml:space="preserve"> (A)</w:t>
      </w:r>
      <w:r w:rsidR="006D5B8A" w:rsidRPr="00A2463D">
        <w:rPr>
          <w:rFonts w:ascii="Arial" w:hAnsi="Arial" w:cs="Arial"/>
          <w:color w:val="000000"/>
        </w:rPr>
        <w:t xml:space="preserve"> materials, which form interconnected</w:t>
      </w:r>
      <w:r w:rsidR="007A25DD" w:rsidRPr="006A39F2">
        <w:rPr>
          <w:rFonts w:ascii="Arial" w:hAnsi="Arial" w:cs="Arial"/>
          <w:color w:val="000000"/>
        </w:rPr>
        <w:t xml:space="preserve"> </w:t>
      </w:r>
      <w:r w:rsidR="006D5B8A" w:rsidRPr="00D467BD">
        <w:rPr>
          <w:rFonts w:ascii="Arial" w:hAnsi="Arial" w:cs="Arial"/>
          <w:color w:val="000000"/>
        </w:rPr>
        <w:t>domains</w:t>
      </w:r>
      <w:r w:rsidR="00BA20BC" w:rsidRPr="00D467BD">
        <w:rPr>
          <w:rFonts w:ascii="Arial" w:hAnsi="Arial" w:cs="Arial"/>
          <w:color w:val="000000"/>
        </w:rPr>
        <w:t>.</w:t>
      </w:r>
      <w:r w:rsidR="00537932" w:rsidRPr="00D467BD">
        <w:rPr>
          <w:rFonts w:ascii="Arial" w:hAnsi="Arial" w:cs="Arial"/>
          <w:color w:val="000000"/>
        </w:rPr>
        <w:t xml:space="preserve"> </w:t>
      </w:r>
      <w:r w:rsidR="00BA20BC" w:rsidRPr="00AA616F">
        <w:rPr>
          <w:rFonts w:ascii="Arial" w:hAnsi="Arial" w:cs="Arial"/>
          <w:color w:val="000000"/>
        </w:rPr>
        <w:t xml:space="preserve">Careful morphology optimization </w:t>
      </w:r>
      <w:r w:rsidR="003A023D">
        <w:rPr>
          <w:rFonts w:ascii="Arial" w:hAnsi="Arial" w:cs="Arial"/>
          <w:color w:val="000000"/>
        </w:rPr>
        <w:t>is required</w:t>
      </w:r>
      <w:r w:rsidR="008D05E4">
        <w:rPr>
          <w:rFonts w:ascii="Arial" w:hAnsi="Arial" w:cs="Arial"/>
          <w:color w:val="000000"/>
        </w:rPr>
        <w:t xml:space="preserve"> </w:t>
      </w:r>
      <w:r w:rsidR="00BA20BC" w:rsidRPr="00AA616F">
        <w:rPr>
          <w:rFonts w:ascii="Arial" w:hAnsi="Arial" w:cs="Arial"/>
          <w:color w:val="000000"/>
        </w:rPr>
        <w:t>to obtain</w:t>
      </w:r>
      <w:r w:rsidR="005F42A6" w:rsidRPr="00A2463D">
        <w:rPr>
          <w:rFonts w:ascii="Arial" w:hAnsi="Arial" w:cs="Arial"/>
          <w:color w:val="000000"/>
        </w:rPr>
        <w:t xml:space="preserve"> the best compromise between</w:t>
      </w:r>
      <w:r w:rsidR="006D5B8A" w:rsidRPr="00A2463D">
        <w:rPr>
          <w:rFonts w:ascii="Arial" w:hAnsi="Arial" w:cs="Arial"/>
          <w:color w:val="000000"/>
        </w:rPr>
        <w:t xml:space="preserve"> </w:t>
      </w:r>
      <w:r w:rsidR="00BA20BC" w:rsidRPr="00A2463D">
        <w:rPr>
          <w:rFonts w:ascii="Arial" w:hAnsi="Arial" w:cs="Arial"/>
          <w:color w:val="000000"/>
        </w:rPr>
        <w:t>efficient</w:t>
      </w:r>
      <w:r w:rsidR="006D5B8A" w:rsidRPr="00A2463D">
        <w:rPr>
          <w:rFonts w:ascii="Arial" w:hAnsi="Arial" w:cs="Arial"/>
          <w:color w:val="000000"/>
        </w:rPr>
        <w:t xml:space="preserve"> exciton dissociation</w:t>
      </w:r>
      <w:r w:rsidR="00BA20BC" w:rsidRPr="00A2463D">
        <w:rPr>
          <w:rFonts w:ascii="Arial" w:hAnsi="Arial" w:cs="Arial"/>
          <w:color w:val="000000"/>
        </w:rPr>
        <w:t xml:space="preserve"> (requiring a large interfacial area)</w:t>
      </w:r>
      <w:r w:rsidR="008D05E4">
        <w:rPr>
          <w:rFonts w:ascii="Arial" w:hAnsi="Arial" w:cs="Arial"/>
          <w:color w:val="000000"/>
        </w:rPr>
        <w:t xml:space="preserve"> </w:t>
      </w:r>
      <w:r w:rsidR="006D5B8A" w:rsidRPr="00A2463D">
        <w:rPr>
          <w:rFonts w:ascii="Arial" w:hAnsi="Arial" w:cs="Arial"/>
          <w:color w:val="000000"/>
        </w:rPr>
        <w:t>and charge transport</w:t>
      </w:r>
      <w:r w:rsidR="00BA20BC" w:rsidRPr="00A2463D">
        <w:rPr>
          <w:rFonts w:ascii="Arial" w:hAnsi="Arial" w:cs="Arial"/>
          <w:color w:val="000000"/>
        </w:rPr>
        <w:t xml:space="preserve"> (requiring</w:t>
      </w:r>
      <w:r w:rsidR="00B13D71">
        <w:rPr>
          <w:rFonts w:ascii="Arial" w:hAnsi="Arial" w:cs="Arial"/>
          <w:color w:val="000000"/>
        </w:rPr>
        <w:t xml:space="preserve"> continuous </w:t>
      </w:r>
      <w:r w:rsidR="00044FBD">
        <w:rPr>
          <w:rFonts w:ascii="Arial" w:hAnsi="Arial" w:cs="Arial"/>
          <w:color w:val="000000"/>
        </w:rPr>
        <w:t>percolation pathways</w:t>
      </w:r>
      <w:r w:rsidR="00BA20BC" w:rsidRPr="00A2463D">
        <w:rPr>
          <w:rFonts w:ascii="Arial" w:hAnsi="Arial" w:cs="Arial"/>
          <w:color w:val="000000"/>
        </w:rPr>
        <w:t>)</w:t>
      </w:r>
      <w:r w:rsidR="006D5B8A" w:rsidRPr="00A2463D">
        <w:rPr>
          <w:rFonts w:ascii="Arial" w:hAnsi="Arial" w:cs="Arial"/>
          <w:color w:val="000000"/>
        </w:rPr>
        <w:t>.</w:t>
      </w:r>
      <w:r w:rsidR="00537932" w:rsidRPr="00E74311">
        <w:rPr>
          <w:rFonts w:ascii="Arial" w:hAnsi="Arial" w:cs="Arial"/>
          <w:color w:val="000000"/>
        </w:rPr>
        <w:fldChar w:fldCharType="begin" w:fldLock="1"/>
      </w:r>
      <w:r w:rsidR="000B745C">
        <w:rPr>
          <w:rFonts w:ascii="Arial" w:hAnsi="Arial" w:cs="Arial"/>
          <w:color w:val="000000"/>
        </w:rPr>
        <w:instrText>ADDIN CSL_CITATION { "citationItems" : [ { "id" : "ITEM-1", "itemData" : { "DOI" : "10.1021/nl9038289", "ISSN" : "1530-6992", "PMID" : "20121212", "abstract" : "We employ sub-picosecond TA spectroscopy on operating P3HT:PCBM devices to probe the effect of annealing on charge transfer dynamics and nanoscale morphology. Our measurement configuration allows us to remove the effect of high excitation densities that would otherwise dominate. Charge transfer in pristine P3HT:PCBM devices proceeds on a sub-picosecond time scale, implying molecular level intermixing and explaining the more localized character of excitons and charges. In annealed devices, annealing results in diffusion-limited charge generation with a half-life time of approximately 3 ps, complete only after 30 ps. This is the result of exclusion of PCBM molecules and ordering of P3HT domains and is correlated with improved photovoltaic efficiency. We are able to use the spectra and dynamics of optical excitations themselves to interpret blend morphologies on the appropriate time- and length scales of photoinduced charge generation.", "author" : [ { "dropping-particle" : "", "family" : "Alex Marsh", "given" : "R.", "non-dropping-particle" : "", "parse-names" : false, "suffix" : "" }, { "dropping-particle" : "", "family" : "Hodgkiss", "given" : "Justin M.", "non-dropping-particle" : "", "parse-names" : false, "suffix" : "" }, { "dropping-particle" : "", "family" : "Albert-Seifried", "given" : "Sebastian", "non-dropping-particle" : "", "parse-names" : false, "suffix" : "" }, { "dropping-particle" : "", "family" : "Friend", "given" : "Richard H.", "non-dropping-particle" : "", "parse-names" : false, "suffix" : "" } ], "container-title" : "Nano Letters", "id" : "ITEM-1", "issue" : "3", "issued" : { "date-parts" : [ [ "2010", "3", "10" ] ] }, "page" : "923-930", "title" : "Effect of annealing on P3HT:PCBM charge transfer and nanoscale morphology probed by ultrafast spectroscopy", "type" : "article-journal", "volume" : "10" }, "uris" : [ "http://www.mendeley.com/documents/?uuid=123d6dcb-47e6-45ef-b2d4-7dbd3329f6fc" ] }, { "id" : "ITEM-2", "itemData" : { "DOI" : "10.1039/C4TC02637C", "ISSN" : "2050-7526", "abstract" : "In this work, we investigate the effect of phase morphology on the nature of charges in poly(2,5-bis(3-tetradecyl-thiophen-2-yl)thieno[3,2,-b]thiophene) (pBTTT-C16) and phenyl-C61-butyric acid methyl ester (PC61BM) blends over timescales greater than hundreds of microseconds by quasi-steady-state photoinduced absorption spectroscopy. Specifically, we compare an essentially fully intermixed, one-phase system based on a 1:1 (by weight) pBTTT-C16:PC61BM blend, known to form a co-crystal structure, with a two-phase morphology composed of relatively material-pure domains of the neat polymer and neat fullerene. The co-crystal occurs at a composition of up to 50 wt% PC61BM, because pBTTT-C16 is capable of hosting fullerene derivatives such as PC61BM in the cavities between its side chains. In contrast, the predominantly two-phase system can be obtained by manipulating a 1:1 polymer:fullerene blend with the assistance of a fatty acid methyl ester (dodecanoic acid methyl ester, Me12) as additive, which hinders co-crystal formation. We find that triplet excitons and polarons are generated in both phase morphologies. However, polarons are generated in the predominantly two-phase system at higher photon energy than for the structure based on the co-crystal phase. By means of a quasi-steady-state solution of a mesoscopic rate model, we demonstrate that the steady-state polaron generation efficiency and recombination rates are higher in the finely intermixed, one-phase system compared to the predominantly phase-pure, two-phase morphology. We suggest that the polarons generated in highly intermixed structures, such as the co-crystal investigated here, are localised polarons while those generated in the phase-separated polymer and fullerene systems are delocalised polarons. We expect this picture to apply generally to other organic-based heterojunctions of complex phase morphologies including donor:acceptor systems that form, for instance, molecularly mixed amorphous solid solutions, underlining the generality of the understanding gained here.", "author" : [ { "dropping-particle" : "", "family" : "Dou", "given" : "Fei", "non-dropping-particle" : "", "parse-names" : false, "suffix" : "" }, { "dropping-particle" : "", "family" : "Buchaca-Domingo", "given" : "Ester", "non-dropping-particle" : "", "parse-names" : false, "suffix" : "" }, { "dropping-particle" : "", "family" : "Sakowicz", "given" : "Maciej", "non-dropping-particle" : "", "parse-names" : false, "suffix" : "" }, { "dropping-particle" : "", "family" : "Rezasoltani", "given" : "Elham", "non-dropping-particle" : "", "parse-names" : false, "suffix" : "" }, { "dropping-particle" : "", "family" : "McCarthy-Ward", "given" : "Thomas", "non-dropping-particle" : "", "parse-names" : false, "suffix" : "" }, { "dropping-particle" : "", "family" : "Heeney", "given" : "Martin", "non-dropping-particle" : "", "parse-names" : false, "suffix" : "" }, { "dropping-particle" : "", "family" : "Zhang", "given" : "Xinping", "non-dropping-particle" : "", "parse-names" : false, "suffix" : "" }, { "dropping-particle" : "", "family" : "Stingelin", "given" : "Natalie", "non-dropping-particle" : "", "parse-names" : false, "suffix" : "" }, { "dropping-particle" : "", "family" : "Silva", "given" : "Carlos", "non-dropping-particle" : "", "parse-names" : false, "suffix" : "" } ], "container-title" : "J. Mater. Chem. C", "id" : "ITEM-2", "issue" : "15", "issued" : { "date-parts" : [ [ "2015", "4", "2" ] ] }, "language" : "en", "page" : "3722-3729", "publisher" : "The Royal Society of Chemistry", "title" : "The effect of phase morphology on the nature of long-lived charges in semiconductor polymer:fullerene systems", "type" : "article-journal", "volume" : "3" }, "uris" : [ "http://www.mendeley.com/documents/?uuid=02c6cddd-13d8-4865-aeb2-a112906c6ca7" ] }, { "id" : "ITEM-3", "itemData" : { "author" : [ { "dropping-particle" : "", "family" : "Liu", "given" : "Yuhang", "non-dropping-particle" : "", "parse-names" : false, "suffix" : "" }, { "dropping-particle" : "", "family" : "Zhao", "given" : "Jingbo", "non-dropping-particle" : "", "parse-names" : false, "suffix" : "" }, { "dropping-particle" : "", "family" : "Li", "given" : "Zhengke", "non-dropping-particle" : "", "parse-names" : false, "suffix" : "" }, { "dropping-particle" : "", "family" : "Mu", "given" : "Cheng", "non-dropping-particle" : "", "parse-names" : false, "suffix" : "" }, { "dropping-particle" : "", "family" : "Ma", "given" : "Wei", "non-dropping-particle" : "", "parse-names" : false, "suffix" : "" }, { "dropping-particle" : "", "family" : "Hu", "given" : "Huawei", "non-dropping-particle" : "", "parse-names" : false, "suffix" : "" }, { "dropping-particle" : "", "family" : "Jiang", "given" : "Kui", "non-dropping-particle" : "", "parse-names" : false, "suffix" : "" }, { "dropping-particle" : "", "family" : "Lin", "given" : "Haoran", "non-dropping-particle" : "", "parse-names" : false, "suffix" : "" }, { "dropping-particle" : "", "family" : "Ade", "given" : "Harald", "non-dropping-particle" : "", "parse-names" : false, "suffix" : "" }, { "dropping-particle" : "", "family" : "Yan", "given" : "He", "non-dropping-particle" : "", "parse-names" : false, "suffix" : "" } ], "container-title" : "Nature communications", "id" : "ITEM-3", "issued" : { "date-parts" : [ [ "2014" ] ] }, "note" : "PT: J; TC: 0", "page" : "5293", "title" : "Aggregation and morphology control enables multiple cases of high-efficiency polymer solar cells.", "type" : "article-journal", "volume" : "5" }, "uris" : [ "http://www.mendeley.com/documents/?uuid=aa613c79-38c5-4f9f-b0e1-4f3cbc691865" ] } ], "mendeley" : { "formattedCitation" : "&lt;sup&gt;9\u201311&lt;/sup&gt;", "plainTextFormattedCitation" : "9\u201311", "previouslyFormattedCitation" : "&lt;sup&gt;9\u201311&lt;/sup&gt;" }, "properties" : { "noteIndex" : 0 }, "schema" : "https://github.com/citation-style-language/schema/raw/master/csl-citation.json" }</w:instrText>
      </w:r>
      <w:r w:rsidR="00537932" w:rsidRPr="00E74311">
        <w:rPr>
          <w:rFonts w:ascii="Arial" w:hAnsi="Arial" w:cs="Arial"/>
          <w:color w:val="000000"/>
        </w:rPr>
        <w:fldChar w:fldCharType="separate"/>
      </w:r>
      <w:r w:rsidR="00537932" w:rsidRPr="00E74311">
        <w:rPr>
          <w:rFonts w:ascii="Arial" w:hAnsi="Arial" w:cs="Arial"/>
          <w:noProof/>
          <w:color w:val="000000"/>
          <w:vertAlign w:val="superscript"/>
        </w:rPr>
        <w:t>9–11</w:t>
      </w:r>
      <w:r w:rsidR="00537932" w:rsidRPr="00E74311">
        <w:rPr>
          <w:rFonts w:ascii="Arial" w:hAnsi="Arial" w:cs="Arial"/>
          <w:color w:val="000000"/>
        </w:rPr>
        <w:fldChar w:fldCharType="end"/>
      </w:r>
      <w:r w:rsidR="00D24778" w:rsidRPr="006A39F2">
        <w:rPr>
          <w:rFonts w:ascii="Arial" w:hAnsi="Arial" w:cs="Arial"/>
          <w:color w:val="000000"/>
        </w:rPr>
        <w:t xml:space="preserve"> </w:t>
      </w:r>
      <w:r>
        <w:rPr>
          <w:rFonts w:ascii="Arial" w:hAnsi="Arial" w:cs="Arial"/>
          <w:color w:val="000000"/>
        </w:rPr>
        <w:t xml:space="preserve">The most widely used acceptor material is </w:t>
      </w:r>
      <w:r w:rsidRPr="0092788E">
        <w:rPr>
          <w:rFonts w:ascii="Arial" w:hAnsi="Arial" w:cs="Arial"/>
          <w:color w:val="000000"/>
        </w:rPr>
        <w:t>[6,6]-phenyl-C61-butyric acid methyl ester (PCBM)</w:t>
      </w:r>
      <w:r>
        <w:rPr>
          <w:rFonts w:ascii="Arial" w:hAnsi="Arial" w:cs="Arial"/>
          <w:color w:val="000000"/>
        </w:rPr>
        <w:t>, a fullerene derivative that readily forms BHJ</w:t>
      </w:r>
      <w:r w:rsidR="008D05E4">
        <w:rPr>
          <w:rFonts w:ascii="Arial" w:hAnsi="Arial" w:cs="Arial"/>
          <w:color w:val="000000"/>
        </w:rPr>
        <w:t>s</w:t>
      </w:r>
      <w:r>
        <w:rPr>
          <w:rFonts w:ascii="Arial" w:hAnsi="Arial" w:cs="Arial"/>
          <w:color w:val="000000"/>
        </w:rPr>
        <w:t xml:space="preserve"> with donor polymers</w:t>
      </w:r>
      <w:r w:rsidR="00622E85">
        <w:rPr>
          <w:rFonts w:ascii="Arial" w:hAnsi="Arial" w:cs="Arial"/>
          <w:color w:val="000000"/>
        </w:rPr>
        <w:t xml:space="preserve">, induces </w:t>
      </w:r>
      <w:r>
        <w:rPr>
          <w:rFonts w:ascii="Arial" w:hAnsi="Arial" w:cs="Arial"/>
          <w:color w:val="000000"/>
        </w:rPr>
        <w:t>ultrafast</w:t>
      </w:r>
      <w:r w:rsidR="00622E85">
        <w:rPr>
          <w:rFonts w:ascii="Arial" w:hAnsi="Arial" w:cs="Arial"/>
          <w:color w:val="000000"/>
        </w:rPr>
        <w:t xml:space="preserve"> charge separation</w:t>
      </w:r>
      <w:r w:rsidR="008D05E4">
        <w:rPr>
          <w:rFonts w:ascii="Arial" w:hAnsi="Arial" w:cs="Arial"/>
          <w:color w:val="000000"/>
        </w:rPr>
        <w:t>,</w:t>
      </w:r>
      <w:r w:rsidR="00622E85">
        <w:rPr>
          <w:rFonts w:ascii="Arial" w:hAnsi="Arial" w:cs="Arial"/>
          <w:color w:val="000000"/>
        </w:rPr>
        <w:t xml:space="preserve"> and can act as triplet quencher protecting the BHJ from premature photodegradation</w:t>
      </w:r>
      <w:r w:rsidR="00422941">
        <w:rPr>
          <w:rFonts w:ascii="Arial" w:hAnsi="Arial" w:cs="Arial"/>
          <w:color w:val="000000"/>
        </w:rPr>
        <w:t>.</w:t>
      </w:r>
      <w:r w:rsidR="000903BD">
        <w:rPr>
          <w:rFonts w:ascii="Arial" w:hAnsi="Arial" w:cs="Arial"/>
          <w:color w:val="000000"/>
        </w:rPr>
        <w:fldChar w:fldCharType="begin" w:fldLock="1"/>
      </w:r>
      <w:r w:rsidR="000B745C">
        <w:rPr>
          <w:rFonts w:ascii="Arial" w:hAnsi="Arial" w:cs="Arial"/>
          <w:color w:val="000000"/>
        </w:rPr>
        <w:instrText>ADDIN CSL_CITATION { "citationItems" : [ { "id" : "ITEM-1", "itemData" : { "DOI" : "10.1002/aenm.201601320", "ISSN" : "16146832", "author" : [ { "dropping-particle" : "", "family" : "Fraga Dom\u00ednguez", "given" : "Isabel", "non-dropping-particle" : "", "parse-names" : false, "suffix" : "" }, { "dropping-particle" : "", "family" : "Distler", "given" : "Andreas", "non-dropping-particle" : "", "parse-names" : false, "suffix" : "" }, { "dropping-particle" : "", "family" : "L\u00fcer", "given" : "Larry", "non-dropping-particle" : "", "parse-names" : false, "suffix" : "" } ], "container-title" : "Advanced Energy Materials", "id" : "ITEM-1", "issue" : "10", "issued" : { "date-parts" : [ [ "2017", "5", "1" ] ] }, "page" : "1601320", "title" : "Stability of Organic Solar Cells: The Influence of Nanostructured Carbon Materials", "type" : "article-journal", "volume" : "7" }, "uris" : [ "http://www.mendeley.com/documents/?uuid=781c47fa-aac6-3f4c-960b-94b07987cec7" ] } ], "mendeley" : { "formattedCitation" : "&lt;sup&gt;12&lt;/sup&gt;", "plainTextFormattedCitation" : "12", "previouslyFormattedCitation" : "&lt;sup&gt;12&lt;/sup&gt;" }, "properties" : { "noteIndex" : 0 }, "schema" : "https://github.com/citation-style-language/schema/raw/master/csl-citation.json" }</w:instrText>
      </w:r>
      <w:r w:rsidR="000903BD">
        <w:rPr>
          <w:rFonts w:ascii="Arial" w:hAnsi="Arial" w:cs="Arial"/>
          <w:color w:val="000000"/>
        </w:rPr>
        <w:fldChar w:fldCharType="separate"/>
      </w:r>
      <w:r w:rsidR="000903BD" w:rsidRPr="000903BD">
        <w:rPr>
          <w:rFonts w:ascii="Arial" w:hAnsi="Arial" w:cs="Arial"/>
          <w:noProof/>
          <w:color w:val="000000"/>
          <w:vertAlign w:val="superscript"/>
        </w:rPr>
        <w:t>12</w:t>
      </w:r>
      <w:r w:rsidR="000903BD">
        <w:rPr>
          <w:rFonts w:ascii="Arial" w:hAnsi="Arial" w:cs="Arial"/>
          <w:color w:val="000000"/>
        </w:rPr>
        <w:fldChar w:fldCharType="end"/>
      </w:r>
      <w:r w:rsidR="00622E85">
        <w:rPr>
          <w:rFonts w:ascii="Arial" w:hAnsi="Arial" w:cs="Arial"/>
          <w:color w:val="000000"/>
        </w:rPr>
        <w:t xml:space="preserve"> However, low light absorption in the visible range and high electron affinity of PCBM tend to limit the external quantum yields and the open circuit voltage, respectively, of the devices, which triggered research into non-fullerene acceptors in recent years.</w:t>
      </w:r>
      <w:r w:rsidR="000903BD">
        <w:rPr>
          <w:rFonts w:ascii="Arial" w:hAnsi="Arial" w:cs="Arial"/>
          <w:color w:val="000000"/>
        </w:rPr>
        <w:fldChar w:fldCharType="begin" w:fldLock="1"/>
      </w:r>
      <w:r w:rsidR="000B745C">
        <w:rPr>
          <w:rFonts w:ascii="Arial" w:hAnsi="Arial" w:cs="Arial"/>
          <w:color w:val="000000"/>
        </w:rPr>
        <w:instrText>ADDIN CSL_CITATION { "citationItems" : [ { "id" : "ITEM-1", "itemData" : { "DOI" : "10.1039/C6TC05066B", "ISSN" : "2050-7526", "abstract" : "Power conversion efficiency (PCE) has surpassed 10% for single junction organic solar cells (OSCs) mainly through the design and synthesis of novel donor materials, the optimization of film morphology and the evolution of the devices. However, the development of novel acceptor materials is relatively sluggish compared with the donor compounds. Nowadays, fullerene derivatives, such as PC61BM and PC71BM, are still the dominant acceptors due to their superior charge transporting properties. Unfortunately, these two acceptors suffer from some intrinsic shortcomings such as limited absorption, difficult functionalization, and high production cost. Therefore, developing novel non-fullerene acceptors that can overcome the above-mentioned disadvantages is highly desirable. As a matter of fact, research on non-fullerene acceptors has made considerable progress in the last two years and a highest PCE of around 12% has been achieved. In this review, we will summarize recent research progress in non-fullerene small molecule acceptors and compare these molecules' performances in OSCs employing the same donor materials. Moreover, the acceptors with excellent photovoltaic performance are highlighted and the reasons are elaborated. Finally, the implications and the challenges are proposed.", "author" : [ { "dropping-particle" : "", "family" : "Chen", "given" : "Wangqiao", "non-dropping-particle" : "", "parse-names" : false, "suffix" : "" }, { "dropping-particle" : "", "family" : "Zhang", "given" : "Qichun", "non-dropping-particle" : "", "parse-names" : false, "suffix" : "" }, { "dropping-particle" : "", "family" : "Lin", "given" : "Y. Z.", "non-dropping-particle" : "", "parse-names" : false, "suffix" : "" }, { "dropping-particle" : "", "family" : "Wang", "given" : "W. B.", "non-dropping-particle" : "", "parse-names" : false, "suffix" : "" }, { "dropping-particle" : "", "family" : "Gao", "given" : "M. L.", "non-dropping-particle" : "", "parse-names" : false, "suffix" : "" }, { "dropping-particle" : "", "family" : "Li", "given" : "L. L.", "non-dropping-particle" : "", "parse-names" : false, "suffix" : "" }, { "dropping-particle" : "", "family" : "Zhang", "given" : "J.", "non-dropping-particle" : "", "parse-names" : false, "suffix" : "" }, { "dropping-particle" : "", "family" : "Zhan", "given" : "X. W.", "non-dropping-particle" : "", "parse-names" : false, "suffix" : "" }, { "dropping-particle" : "", "family" : "Lee", "given" : "T. H.", "non-dropping-particle" : "", "parse-names" : false, "suffix" : "" }, { "dropping-particle" : "", "family" : "Huang", "given" : "M. J.", "non-dropping-particle" : "", "parse-names" : false, "suffix" : "" }, { "dropping-particle" : "", "family" : "Choi", "given" : "H. S.", "non-dropping-particle" : "", "parse-names" : false, "suffix" : "" }, { "dropping-particle" : "", "family" : "Kim", "given" : "J. Y.", "non-dropping-particle" : "", "parse-names" : false, "suffix" : "" }, { "dropping-particle" : "", "family" : "Choy", "given" : "W. C. H.", "non-dropping-particle" : "", "parse-names" : false, "suffix" : "" }, { "dropping-particle" : "", "family" : "Sun", "given" : "Y. M.", "non-dropping-particle" : "", "parse-names" : false, "suffix" : "" }, { "dropping-particle" : "", "family" : "Yan", "given" : "H.", "non-dropping-particle" : "", "parse-names" : false, "suffix" : "" }, { "dropping-particle" : "", "family" : "Loo", "given" : "Y. L.", "non-dropping-particle" : "", "parse-names" : false, "suffix" : "" }, { "dropping-particle" : "", "family" : "Ng", "given" : "F.", "non-dropping-particle" : "", "parse-names" : false, "suffix" : "" }, { "dropping-particle" : "", "family" : "Zhu", "given" : "X. Y.", "non-dropping-particle" : "", "parse-names" : false, "suffix" : "" }, { "dropping-particle" : "", "family" : "Nuckolls", "given" : "C.", "non-dropping-particle" : "", "parse-names" : false, "suffix" : "" } ], "container-title" : "J. Mater. Chem. C", "id" : "ITEM-1", "issue" : "6", "issued" : { "date-parts" : [ [ "2017" ] ] }, "page" : "1275-1302", "publisher" : "The Royal Society of Chemistry", "title" : "Recent progress in non-fullerene small molecule acceptors in organic solar cells (OSCs)", "type" : "article-journal", "volume" : "5" }, "uris" : [ "http://www.mendeley.com/documents/?uuid=d308c430-62fc-3d3c-978b-c7bf34785f17" ] }, { "id" : "ITEM-2", "itemData" : { "author" : [ { "dropping-particle" : "", "family" : "Bauer", "given" : "Nicole", "non-dropping-particle" : "", "parse-names" : false, "suffix" : "" }, { "dropping-particle" : "", "family" : "Zhang", "given" : "Qianqian", "non-dropping-particle" : "", "parse-names" : false, "suffix" : "" }, { "dropping-particle" : "", "family" : "Zhao", "given" : "Jingbo", "non-dropping-particle" : "", "parse-names" : false, "suffix" : "" }, { "dropping-particle" : "", "family" : "Ye", "given" : "Long", "non-dropping-particle" : "", "parse-names" : false, "suffix" : "" }, { "dropping-particle" : "", "family" : "Kim", "given" : "Joo-Hyun", "non-dropping-particle" : "", "parse-names" : false, "suffix" : "" }, { "dropping-particle" : "", "family" : "Constantinou", "given" : "Iordania", "non-dropping-particle" : "", "parse-names" : false, "suffix" : "" }, { "dropping-particle" : "", "family" : "Yan", "given" : "Liang", "non-dropping-particle" : "", "parse-names" : false, "suffix" : "" }, { "dropping-particle" : "", "family" : "So", "given" : "Franky", "non-dropping-particle" : "", "parse-names" : false, "suffix" : "" }, { "dropping-particle" : "", "family" : "Ade", "given" : "Harald", "non-dropping-particle" : "", "parse-names" : false, "suffix" : "" }, { "dropping-particle" : "", "family" : "Yan", "given" : "He", "non-dropping-particle" : "", "parse-names" : false, "suffix" : "" } ], "container-title" : "Journal of Materials Chemistry A", "id" : "ITEM-2", "issue" : "10", "issued" : { "date-parts" : [ [ "2017" ] ] }, "page" : "4886-4893", "publisher" : "Royal Society of Chemistry", "title" : "Comparing non-fullerene acceptors with fullerene in polymer solar cells: a case study with FTAZ and PyCNTAZ", "type" : "article-journal", "volume" : "5" }, "uris" : [ "http://www.mendeley.com/documents/?uuid=38085ceb-9e1a-4db0-9f58-e2cc22e5465f" ] }, { "id" : "ITEM-3", "itemData" : { "author" : [ { "dropping-particle" : "", "family" : "Liang", "given" : "Ningning", "non-dropping-particle" : "", "parse-names" : false, "suffix" : "" }, { "dropping-particle" : "", "family" : "Jiang", "given" : "Wei", "non-dropping-particle" : "", "parse-names" : false, "suffix" : "" }, { "dropping-particle" : "", "family" : "Hou", "given" : "Jianhui", "non-dropping-particle" : "", "parse-names" : false, "suffix" : "" }, { "dropping-particle" : "", "family" : "Wang", "given" : "Zhaohui", "non-dropping-particle" : "", "parse-names" : false, "suffix" : "" } ], "container-title" : "Materials Chemistry Frontiers", "id" : "ITEM-3", "issue" : "7", "issued" : { "date-parts" : [ [ "2017" ] ] }, "page" : "1291-1303", "publisher" : "Royal Society of Chemistry", "title" : "New developments in non-fullerene small molecule acceptors for polymer solar cells", "type" : "article-journal", "volume" : "1" }, "uris" : [ "http://www.mendeley.com/documents/?uuid=abd60974-0af0-4bd5-bbb4-af2c2448d17f" ] } ], "mendeley" : { "formattedCitation" : "&lt;sup&gt;13\u201315&lt;/sup&gt;", "plainTextFormattedCitation" : "13\u201315", "previouslyFormattedCitation" : "&lt;sup&gt;13\u201315&lt;/sup&gt;" }, "properties" : { "noteIndex" : 0 }, "schema" : "https://github.com/citation-style-language/schema/raw/master/csl-citation.json" }</w:instrText>
      </w:r>
      <w:r w:rsidR="000903BD">
        <w:rPr>
          <w:rFonts w:ascii="Arial" w:hAnsi="Arial" w:cs="Arial"/>
          <w:color w:val="000000"/>
        </w:rPr>
        <w:fldChar w:fldCharType="separate"/>
      </w:r>
      <w:r w:rsidR="000903BD" w:rsidRPr="000903BD">
        <w:rPr>
          <w:rFonts w:ascii="Arial" w:hAnsi="Arial" w:cs="Arial"/>
          <w:noProof/>
          <w:color w:val="000000"/>
          <w:vertAlign w:val="superscript"/>
        </w:rPr>
        <w:t>13–15</w:t>
      </w:r>
      <w:r w:rsidR="000903BD">
        <w:rPr>
          <w:rFonts w:ascii="Arial" w:hAnsi="Arial" w:cs="Arial"/>
          <w:color w:val="000000"/>
        </w:rPr>
        <w:fldChar w:fldCharType="end"/>
      </w:r>
    </w:p>
    <w:p w14:paraId="6BBB2837" w14:textId="7EA56D78" w:rsidR="00770872" w:rsidRPr="006A39F2" w:rsidRDefault="00642690" w:rsidP="00FB1322">
      <w:pPr>
        <w:tabs>
          <w:tab w:val="left" w:pos="0"/>
        </w:tabs>
        <w:spacing w:line="360" w:lineRule="auto"/>
        <w:jc w:val="both"/>
        <w:rPr>
          <w:rFonts w:ascii="Arial" w:eastAsiaTheme="minorEastAsia" w:hAnsi="Arial" w:cs="Arial"/>
          <w:color w:val="000000"/>
        </w:rPr>
      </w:pPr>
      <w:r w:rsidRPr="006A39F2">
        <w:rPr>
          <w:rFonts w:ascii="Arial" w:hAnsi="Arial" w:cs="Arial"/>
          <w:color w:val="000000"/>
        </w:rPr>
        <w:t xml:space="preserve">Efficient formation of free charges from photogenerated bound exciton states is one of the main requirements for </w:t>
      </w:r>
      <w:r w:rsidR="00B67FBF" w:rsidRPr="006A39F2">
        <w:rPr>
          <w:rFonts w:ascii="Arial" w:hAnsi="Arial" w:cs="Arial"/>
          <w:color w:val="000000"/>
        </w:rPr>
        <w:t>high performance BHJ O</w:t>
      </w:r>
      <w:r w:rsidR="001124A9">
        <w:rPr>
          <w:rFonts w:ascii="Arial" w:hAnsi="Arial" w:cs="Arial"/>
          <w:color w:val="000000"/>
        </w:rPr>
        <w:t>PV</w:t>
      </w:r>
      <w:r w:rsidR="00B67FBF" w:rsidRPr="006A39F2">
        <w:rPr>
          <w:rFonts w:ascii="Arial" w:hAnsi="Arial" w:cs="Arial"/>
          <w:color w:val="000000"/>
        </w:rPr>
        <w:t xml:space="preserve">. Intense research efforts </w:t>
      </w:r>
      <w:r w:rsidR="00654277">
        <w:rPr>
          <w:rFonts w:ascii="Arial" w:hAnsi="Arial" w:cs="Arial"/>
          <w:color w:val="000000"/>
        </w:rPr>
        <w:t xml:space="preserve">have been </w:t>
      </w:r>
      <w:r w:rsidR="00B67FBF" w:rsidRPr="006A39F2">
        <w:rPr>
          <w:rFonts w:ascii="Arial" w:hAnsi="Arial" w:cs="Arial"/>
          <w:color w:val="000000"/>
        </w:rPr>
        <w:t xml:space="preserve">directed towards unambiguously detecting the nature of the intermediate, </w:t>
      </w:r>
      <w:r w:rsidR="00654277">
        <w:rPr>
          <w:rFonts w:ascii="Arial" w:hAnsi="Arial" w:cs="Arial"/>
          <w:color w:val="000000"/>
        </w:rPr>
        <w:t xml:space="preserve">namely a </w:t>
      </w:r>
      <w:r w:rsidR="00B67FBF" w:rsidRPr="006A39F2">
        <w:rPr>
          <w:rFonts w:ascii="Arial" w:hAnsi="Arial" w:cs="Arial"/>
          <w:color w:val="000000"/>
        </w:rPr>
        <w:t>spatially correlated charge transfer (CT) state across the D-A interface</w:t>
      </w:r>
      <w:r w:rsidR="003165D6" w:rsidRPr="006A39F2">
        <w:rPr>
          <w:rFonts w:ascii="Arial" w:hAnsi="Arial" w:cs="Arial"/>
          <w:color w:val="000000"/>
        </w:rPr>
        <w:t>.</w:t>
      </w:r>
      <w:r w:rsidR="00336E5E" w:rsidRPr="006A39F2">
        <w:rPr>
          <w:rFonts w:ascii="Arial" w:hAnsi="Arial" w:cs="Arial"/>
          <w:color w:val="000000"/>
        </w:rPr>
        <w:fldChar w:fldCharType="begin" w:fldLock="1"/>
      </w:r>
      <w:r w:rsidR="000B745C">
        <w:rPr>
          <w:rFonts w:ascii="Arial" w:hAnsi="Arial" w:cs="Arial"/>
          <w:color w:val="000000"/>
        </w:rPr>
        <w:instrText>ADDIN CSL_CITATION { "citationItems" : [ { "id" : "ITEM-1", "itemData" : { "author" : [ { "dropping-particle" : "", "family" : "Few", "given" : "Sheridan", "non-dropping-particle" : "", "parse-names" : false, "suffix" : "" }, { "dropping-particle" : "", "family" : "Frost", "given" : "Jarvist M", "non-dropping-particle" : "", "parse-names" : false, "suffix" : "" }, { "dropping-particle" : "", "family" : "Nelson", "given" : "Jenny", "non-dropping-particle" : "", "parse-names" : false, "suffix" : "" } ], "container-title" : "Physical Chemistry Chemical Physics", "id" : "ITEM-1", "issue" : "4", "issued" : { "date-parts" : [ [ "2015" ] ] }, "page" : "2311-2325", "publisher" : "Royal Society of Chemistry", "title" : "Models of charge pair generation in organic solar cells", "type" : "article-journal", "volume" : "17" }, "uris" : [ "http://www.mendeley.com/documents/?uuid=632bbd8d-f80f-4895-bda7-8d93c5bcd65b" ] } ], "mendeley" : { "formattedCitation" : "&lt;sup&gt;16&lt;/sup&gt;", "plainTextFormattedCitation" : "16", "previouslyFormattedCitation" : "&lt;sup&gt;16&lt;/sup&gt;" }, "properties" : { "noteIndex" : 0 }, "schema" : "https://github.com/citation-style-language/schema/raw/master/csl-citation.json" }</w:instrText>
      </w:r>
      <w:r w:rsidR="00336E5E" w:rsidRPr="006A39F2">
        <w:rPr>
          <w:rFonts w:ascii="Arial" w:hAnsi="Arial" w:cs="Arial"/>
          <w:color w:val="000000"/>
        </w:rPr>
        <w:fldChar w:fldCharType="separate"/>
      </w:r>
      <w:r w:rsidR="000903BD" w:rsidRPr="000903BD">
        <w:rPr>
          <w:rFonts w:ascii="Arial" w:hAnsi="Arial" w:cs="Arial"/>
          <w:noProof/>
          <w:color w:val="000000"/>
          <w:vertAlign w:val="superscript"/>
        </w:rPr>
        <w:t>16</w:t>
      </w:r>
      <w:r w:rsidR="00336E5E" w:rsidRPr="006A39F2">
        <w:rPr>
          <w:rFonts w:ascii="Arial" w:hAnsi="Arial" w:cs="Arial"/>
          <w:color w:val="000000"/>
        </w:rPr>
        <w:fldChar w:fldCharType="end"/>
      </w:r>
      <w:r w:rsidR="003165D6" w:rsidRPr="006A39F2">
        <w:rPr>
          <w:rFonts w:ascii="Arial" w:hAnsi="Arial" w:cs="Arial"/>
          <w:color w:val="000000"/>
        </w:rPr>
        <w:t xml:space="preserve"> </w:t>
      </w:r>
      <w:r w:rsidR="00255606" w:rsidRPr="006A39F2">
        <w:rPr>
          <w:rFonts w:ascii="Arial" w:hAnsi="Arial" w:cs="Arial"/>
          <w:color w:val="000000"/>
        </w:rPr>
        <w:t>The observation of delocalized CT states</w:t>
      </w:r>
      <w:r w:rsidR="00336E5E" w:rsidRPr="006A39F2">
        <w:rPr>
          <w:rFonts w:ascii="Arial" w:hAnsi="Arial" w:cs="Arial"/>
          <w:color w:val="000000"/>
        </w:rPr>
        <w:fldChar w:fldCharType="begin" w:fldLock="1"/>
      </w:r>
      <w:r w:rsidR="000B745C">
        <w:rPr>
          <w:rFonts w:ascii="Arial" w:hAnsi="Arial" w:cs="Arial"/>
          <w:color w:val="000000"/>
        </w:rPr>
        <w:instrText>ADDIN CSL_CITATION { "citationItems" : [ { "id" : "ITEM-1", "itemData" : { "author" : [ { "dropping-particle" : "", "family" : "Few", "given" : "Sheridan", "non-dropping-particle" : "", "parse-names" : false, "suffix" : "" }, { "dropping-particle" : "", "family" : "Frost", "given" : "Jarvist M", "non-dropping-particle" : "", "parse-names" : false, "suffix" : "" }, { "dropping-particle" : "", "family" : "Nelson", "given" : "Jenny", "non-dropping-particle" : "", "parse-names" : false, "suffix" : "" } ], "container-title" : "Physical Chemistry Chemical Physics", "id" : "ITEM-1", "issue" : "4", "issued" : { "date-parts" : [ [ "2015" ] ] }, "page" : "2311-2325", "publisher" : "Royal Society of Chemistry", "title" : "Models of charge pair generation in organic solar cells", "type" : "article-journal", "volume" : "17" }, "uris" : [ "http://www.mendeley.com/documents/?uuid=632bbd8d-f80f-4895-bda7-8d93c5bcd65b" ] }, { "id" : "ITEM-2", "itemData" : { "ISSN" : "1932-7447", "author" : [ { "dropping-particle" : "", "family" : "Cheung", "given" : "David L", "non-dropping-particle" : "", "parse-names" : false, "suffix" : "" }, { "dropping-particle" : "", "family" : "Troisi", "given" : "Alessandro", "non-dropping-particle" : "", "parse-names" : false, "suffix" : "" } ], "container-title" : "The Journal of Physical Chemistry C", "id" : "ITEM-2", "issue" : "48", "issued" : { "date-parts" : [ [ "2010" ] ] }, "page" : "20479-20488", "publisher" : "ACS Publications", "title" : "Theoretical study of the organic photovoltaic electron acceptor PCBM: Morphology, electronic structure, and charge localization", "type" : "article-journal", "volume" : "114" }, "uris" : [ "http://www.mendeley.com/documents/?uuid=43d7f0fe-aff9-4bbb-ae8f-bd316f2380f7" ] } ], "mendeley" : { "formattedCitation" : "&lt;sup&gt;16,17&lt;/sup&gt;", "plainTextFormattedCitation" : "16,17", "previouslyFormattedCitation" : "&lt;sup&gt;16,17&lt;/sup&gt;" }, "properties" : { "noteIndex" : 0 }, "schema" : "https://github.com/citation-style-language/schema/raw/master/csl-citation.json" }</w:instrText>
      </w:r>
      <w:r w:rsidR="00336E5E" w:rsidRPr="006A39F2">
        <w:rPr>
          <w:rFonts w:ascii="Arial" w:hAnsi="Arial" w:cs="Arial"/>
          <w:color w:val="000000"/>
        </w:rPr>
        <w:fldChar w:fldCharType="separate"/>
      </w:r>
      <w:r w:rsidR="000903BD" w:rsidRPr="000903BD">
        <w:rPr>
          <w:rFonts w:ascii="Arial" w:hAnsi="Arial" w:cs="Arial"/>
          <w:noProof/>
          <w:color w:val="000000"/>
          <w:vertAlign w:val="superscript"/>
        </w:rPr>
        <w:t>16,17</w:t>
      </w:r>
      <w:r w:rsidR="00336E5E" w:rsidRPr="006A39F2">
        <w:rPr>
          <w:rFonts w:ascii="Arial" w:hAnsi="Arial" w:cs="Arial"/>
          <w:color w:val="000000"/>
        </w:rPr>
        <w:fldChar w:fldCharType="end"/>
      </w:r>
      <w:r w:rsidR="00255606" w:rsidRPr="006A39F2">
        <w:rPr>
          <w:rFonts w:ascii="Arial" w:hAnsi="Arial" w:cs="Arial"/>
          <w:color w:val="000000"/>
        </w:rPr>
        <w:t xml:space="preserve"> and quantum coherence</w:t>
      </w:r>
      <w:r w:rsidR="00336E5E" w:rsidRPr="006A39F2">
        <w:rPr>
          <w:rFonts w:ascii="Arial" w:hAnsi="Arial" w:cs="Arial"/>
          <w:color w:val="000000"/>
        </w:rPr>
        <w:fldChar w:fldCharType="begin" w:fldLock="1"/>
      </w:r>
      <w:r w:rsidR="000B745C">
        <w:rPr>
          <w:rFonts w:ascii="Arial" w:hAnsi="Arial" w:cs="Arial"/>
          <w:color w:val="000000"/>
        </w:rPr>
        <w:instrText>ADDIN CSL_CITATION { "citationItems" : [ { "id" : "ITEM-1", "itemData" : { "ISSN" : "0036-8075", "author" : [ { "dropping-particle" : "", "family" : "Falke", "given" : "Sarah Maria", "non-dropping-particle" : "", "parse-names" : false, "suffix" : "" }, { "dropping-particle" : "", "family" : "Rozzi", "given" : "Carlo Andrea", "non-dropping-particle" : "", "parse-names" : false, "suffix" : "" }, { "dropping-particle" : "", "family" : "Brida", "given" : "Daniele", "non-dropping-particle" : "", "parse-names" : false, "suffix" : "" }, { "dropping-particle" : "", "family" : "Maiuri", "given" : "Margherita", "non-dropping-particle" : "", "parse-names" : false, "suffix" : "" }, { "dropping-particle" : "", "family" : "Amato", "given" : "Michele", "non-dropping-particle" : "", "parse-names" : false, "suffix" : "" }, { "dropping-particle" : "", "family" : "Sommer", "given" : "Ephraim", "non-dropping-particle" : "", "parse-names" : false, "suffix" : "" }, { "dropping-particle" : "", "family" : "Sio", "given" : "Antonietta", "non-dropping-particle" : "De", "parse-names" : false, "suffix" : "" }, { "dropping-particle" : "", "family" : "Rubio", "given" : "Angel", "non-dropping-particle" : "", "parse-names" : false, "suffix" : "" }, { "dropping-particle" : "", "family" : "Cerullo", "given" : "Giulio", "non-dropping-particle" : "", "parse-names" : false, "suffix" : "" }, { "dropping-particle" : "", "family" : "Molinari", "given" : "Elisa", "non-dropping-particle" : "", "parse-names" : false, "suffix" : "" } ], "container-title" : "Science", "id" : "ITEM-1", "issue" : "6187", "issued" : { "date-parts" : [ [ "2014" ] ] }, "page" : "1001-1005", "publisher" : "American Association for the Advancement of Science", "title" : "Coherent ultrafast charge transfer in an organic photovoltaic blend", "type" : "article-journal", "volume" : "344" }, "uris" : [ "http://www.mendeley.com/documents/?uuid=a3957bb0-51c5-4b56-9b53-5fafb4222501" ] } ], "mendeley" : { "formattedCitation" : "&lt;sup&gt;18&lt;/sup&gt;", "plainTextFormattedCitation" : "18", "previouslyFormattedCitation" : "&lt;sup&gt;18&lt;/sup&gt;" }, "properties" : { "noteIndex" : 0 }, "schema" : "https://github.com/citation-style-language/schema/raw/master/csl-citation.json" }</w:instrText>
      </w:r>
      <w:r w:rsidR="00336E5E" w:rsidRPr="006A39F2">
        <w:rPr>
          <w:rFonts w:ascii="Arial" w:hAnsi="Arial" w:cs="Arial"/>
          <w:color w:val="000000"/>
        </w:rPr>
        <w:fldChar w:fldCharType="separate"/>
      </w:r>
      <w:r w:rsidR="000903BD" w:rsidRPr="000903BD">
        <w:rPr>
          <w:rFonts w:ascii="Arial" w:hAnsi="Arial" w:cs="Arial"/>
          <w:noProof/>
          <w:color w:val="000000"/>
          <w:vertAlign w:val="superscript"/>
        </w:rPr>
        <w:t>18</w:t>
      </w:r>
      <w:r w:rsidR="00336E5E" w:rsidRPr="006A39F2">
        <w:rPr>
          <w:rFonts w:ascii="Arial" w:hAnsi="Arial" w:cs="Arial"/>
          <w:color w:val="000000"/>
        </w:rPr>
        <w:fldChar w:fldCharType="end"/>
      </w:r>
      <w:r w:rsidR="00255606" w:rsidRPr="006A39F2">
        <w:rPr>
          <w:rFonts w:ascii="Arial" w:hAnsi="Arial" w:cs="Arial"/>
          <w:color w:val="000000"/>
        </w:rPr>
        <w:t xml:space="preserve"> has explained rapid charge separation at room temperature, which would be inhibited from a localized nearest neighbour CT state across the interface due to its high </w:t>
      </w:r>
      <w:r w:rsidR="00B96FED">
        <w:rPr>
          <w:rFonts w:ascii="Arial" w:hAnsi="Arial" w:cs="Arial"/>
          <w:color w:val="000000"/>
        </w:rPr>
        <w:t xml:space="preserve">Coulomb </w:t>
      </w:r>
      <w:r w:rsidR="00255606" w:rsidRPr="006A39F2">
        <w:rPr>
          <w:rFonts w:ascii="Arial" w:hAnsi="Arial" w:cs="Arial"/>
          <w:color w:val="000000"/>
        </w:rPr>
        <w:t>binding energy</w:t>
      </w:r>
      <w:r w:rsidR="00544FAA" w:rsidRPr="006A39F2">
        <w:rPr>
          <w:rFonts w:ascii="Arial" w:hAnsi="Arial" w:cs="Arial"/>
          <w:color w:val="000000"/>
        </w:rPr>
        <w:t>. Furthermore,</w:t>
      </w:r>
      <w:r w:rsidR="00D8097D" w:rsidRPr="006A39F2">
        <w:rPr>
          <w:rFonts w:ascii="Arial" w:hAnsi="Arial" w:cs="Arial"/>
          <w:color w:val="000000"/>
        </w:rPr>
        <w:t xml:space="preserve"> a</w:t>
      </w:r>
      <w:r w:rsidR="00544FAA" w:rsidRPr="006A39F2">
        <w:rPr>
          <w:rFonts w:ascii="Arial" w:hAnsi="Arial" w:cs="Arial"/>
          <w:color w:val="000000"/>
        </w:rPr>
        <w:t xml:space="preserve"> </w:t>
      </w:r>
      <w:r w:rsidR="00D8097D" w:rsidRPr="006A39F2">
        <w:rPr>
          <w:rFonts w:ascii="Arial" w:hAnsi="Arial" w:cs="Arial"/>
          <w:color w:val="000000"/>
        </w:rPr>
        <w:t>long-range</w:t>
      </w:r>
      <w:r w:rsidR="00544FAA" w:rsidRPr="006A39F2">
        <w:rPr>
          <w:rFonts w:ascii="Arial" w:hAnsi="Arial" w:cs="Arial"/>
          <w:color w:val="000000"/>
        </w:rPr>
        <w:t xml:space="preserve"> charge transfer</w:t>
      </w:r>
      <w:r w:rsidR="00D8097D" w:rsidRPr="006A39F2">
        <w:rPr>
          <w:rFonts w:ascii="Arial" w:hAnsi="Arial" w:cs="Arial"/>
          <w:color w:val="000000"/>
        </w:rPr>
        <w:t xml:space="preserve"> mechanism, mediated by tunnelling,</w:t>
      </w:r>
      <w:r w:rsidR="00544FAA" w:rsidRPr="006A39F2">
        <w:rPr>
          <w:rFonts w:ascii="Arial" w:hAnsi="Arial" w:cs="Arial"/>
          <w:color w:val="000000"/>
        </w:rPr>
        <w:t xml:space="preserve"> has been proposed</w:t>
      </w:r>
      <w:r w:rsidR="00336E5E" w:rsidRPr="006A39F2">
        <w:rPr>
          <w:rFonts w:ascii="Arial" w:hAnsi="Arial" w:cs="Arial"/>
          <w:color w:val="000000"/>
        </w:rPr>
        <w:t>,</w:t>
      </w:r>
      <w:r w:rsidR="00336E5E" w:rsidRPr="006A39F2">
        <w:rPr>
          <w:rFonts w:ascii="Arial" w:hAnsi="Arial" w:cs="Arial"/>
          <w:color w:val="000000"/>
        </w:rPr>
        <w:fldChar w:fldCharType="begin" w:fldLock="1"/>
      </w:r>
      <w:r w:rsidR="000B745C">
        <w:rPr>
          <w:rFonts w:ascii="Arial" w:hAnsi="Arial" w:cs="Arial"/>
          <w:color w:val="000000"/>
        </w:rPr>
        <w:instrText>ADDIN CSL_CITATION { "citationItems" : [ { "id" : "ITEM-1", "itemData" : { "ISSN" : "0027-8424", "author" : [ { "dropping-particle" : "", "family" : "Caruso", "given" : "Domenico", "non-dropping-particle" : "", "parse-names" : false, "suffix" : "" }, { "dropping-particle" : "", "family" : "Troisi", "given" : "Alessandro", "non-dropping-particle" : "", "parse-names" : false, "suffix" : "" } ], "container-title" : "Proceedings of the National Academy of Sciences", "id" : "ITEM-1", "issue" : "34", "issued" : { "date-parts" : [ [ "2012" ] ] }, "page" : "13498-13502", "publisher" : "National Acad Sciences", "title" : "Long-range exciton dissociation in organic solar cells", "type" : "article-journal", "volume" : "109" }, "uris" : [ "http://www.mendeley.com/documents/?uuid=9ca1c265-21c3-4762-b727-034af92f3eaf" ] } ], "mendeley" : { "formattedCitation" : "&lt;sup&gt;19&lt;/sup&gt;", "plainTextFormattedCitation" : "19", "previouslyFormattedCitation" : "&lt;sup&gt;19&lt;/sup&gt;" }, "properties" : { "noteIndex" : 0 }, "schema" : "https://github.com/citation-style-language/schema/raw/master/csl-citation.json" }</w:instrText>
      </w:r>
      <w:r w:rsidR="00336E5E" w:rsidRPr="006A39F2">
        <w:rPr>
          <w:rFonts w:ascii="Arial" w:hAnsi="Arial" w:cs="Arial"/>
          <w:color w:val="000000"/>
        </w:rPr>
        <w:fldChar w:fldCharType="separate"/>
      </w:r>
      <w:r w:rsidR="000903BD" w:rsidRPr="000903BD">
        <w:rPr>
          <w:rFonts w:ascii="Arial" w:hAnsi="Arial" w:cs="Arial"/>
          <w:noProof/>
          <w:color w:val="000000"/>
          <w:vertAlign w:val="superscript"/>
        </w:rPr>
        <w:t>19</w:t>
      </w:r>
      <w:r w:rsidR="00336E5E" w:rsidRPr="006A39F2">
        <w:rPr>
          <w:rFonts w:ascii="Arial" w:hAnsi="Arial" w:cs="Arial"/>
          <w:color w:val="000000"/>
        </w:rPr>
        <w:fldChar w:fldCharType="end"/>
      </w:r>
      <w:r w:rsidR="00544FAA" w:rsidRPr="006A39F2">
        <w:rPr>
          <w:rFonts w:ascii="Arial" w:hAnsi="Arial" w:cs="Arial"/>
          <w:color w:val="000000"/>
        </w:rPr>
        <w:t xml:space="preserve"> </w:t>
      </w:r>
      <w:r w:rsidR="00D8097D" w:rsidRPr="006A39F2">
        <w:rPr>
          <w:rFonts w:ascii="Arial" w:hAnsi="Arial" w:cs="Arial"/>
          <w:color w:val="000000"/>
        </w:rPr>
        <w:t xml:space="preserve">leading directly to separated charges without </w:t>
      </w:r>
      <w:r w:rsidR="00B96FED">
        <w:rPr>
          <w:rFonts w:ascii="Arial" w:hAnsi="Arial" w:cs="Arial"/>
          <w:color w:val="000000"/>
        </w:rPr>
        <w:t xml:space="preserve">passing through </w:t>
      </w:r>
      <w:r w:rsidR="00D8097D" w:rsidRPr="006A39F2">
        <w:rPr>
          <w:rFonts w:ascii="Arial" w:hAnsi="Arial" w:cs="Arial"/>
          <w:color w:val="000000"/>
        </w:rPr>
        <w:t>a bound CT state. Indeed,</w:t>
      </w:r>
      <w:r w:rsidR="00E50CDC" w:rsidRPr="006A39F2">
        <w:rPr>
          <w:rFonts w:ascii="Arial" w:hAnsi="Arial" w:cs="Arial"/>
          <w:color w:val="000000"/>
        </w:rPr>
        <w:t xml:space="preserve"> </w:t>
      </w:r>
      <w:r w:rsidR="00D8097D" w:rsidRPr="006A39F2">
        <w:rPr>
          <w:rFonts w:ascii="Arial" w:hAnsi="Arial" w:cs="Arial"/>
          <w:color w:val="000000"/>
        </w:rPr>
        <w:t xml:space="preserve">femtosecond Raman studies of the BHJ </w:t>
      </w:r>
      <w:r w:rsidR="00B96FED">
        <w:rPr>
          <w:rFonts w:ascii="Arial" w:hAnsi="Arial" w:cs="Arial"/>
          <w:color w:val="000000"/>
        </w:rPr>
        <w:t xml:space="preserve">blend </w:t>
      </w:r>
      <w:r w:rsidR="00D8097D" w:rsidRPr="006A39F2">
        <w:rPr>
          <w:rFonts w:ascii="Arial" w:hAnsi="Arial" w:cs="Arial"/>
          <w:color w:val="000000"/>
        </w:rPr>
        <w:t>PCDTBT</w:t>
      </w:r>
      <w:r w:rsidR="00E50CDC" w:rsidRPr="006A39F2">
        <w:rPr>
          <w:rFonts w:ascii="Arial" w:hAnsi="Arial" w:cs="Arial"/>
          <w:color w:val="000000"/>
        </w:rPr>
        <w:t>:PC</w:t>
      </w:r>
      <w:r w:rsidR="00E50CDC" w:rsidRPr="006A39F2">
        <w:rPr>
          <w:rFonts w:ascii="Arial" w:hAnsi="Arial" w:cs="Arial"/>
          <w:color w:val="000000"/>
          <w:vertAlign w:val="subscript"/>
        </w:rPr>
        <w:t>70</w:t>
      </w:r>
      <w:r w:rsidR="00E50CDC" w:rsidRPr="006A39F2">
        <w:rPr>
          <w:rFonts w:ascii="Arial" w:hAnsi="Arial" w:cs="Arial"/>
          <w:color w:val="000000"/>
        </w:rPr>
        <w:t>BM showed the absence of a bound CT state.</w:t>
      </w:r>
      <w:r w:rsidR="00336E5E" w:rsidRPr="006A39F2">
        <w:rPr>
          <w:rFonts w:ascii="Arial" w:hAnsi="Arial" w:cs="Arial"/>
          <w:color w:val="000000"/>
        </w:rPr>
        <w:fldChar w:fldCharType="begin" w:fldLock="1"/>
      </w:r>
      <w:r w:rsidR="000B745C">
        <w:rPr>
          <w:rFonts w:ascii="Arial" w:hAnsi="Arial" w:cs="Arial"/>
          <w:color w:val="000000"/>
        </w:rPr>
        <w:instrText>ADDIN CSL_CITATION { "citationItems" : [ { "id" : "ITEM-1", "itemData" : { "DOI" : "10.1038/ncomms5288", "ISSN" : "2041-1723", "PMID" : "24980429", "abstract" : "In polymeric semiconductors, charge carriers are polarons, which means that the excess charge deforms the molecular structure of the polymer chain that hosts it. This results in distinctive signatures in the vibrational modes of the polymer. Here, we probe polaron photogeneration dynamics at polymer:fullerene heterojunctions by monitoring its time-resolved resonance-Raman spectrum following ultrafast photoexcitation. We conclude that polarons emerge within 300\u2009fs. Surprisingly, further structural evolution on \u227250-ps timescales is modest, indicating that the polymer conformation hosting nascent polarons is not significantly different from that near equilibrium. We interpret this as suggestive that charges are free from their mutual Coulomb potential because we would expect rich vibrational dynamics associated with charge-pair relaxation. We address current debates on the photocarrier generation mechanism at molecular heterojunctions, and our work is, to our knowledge, the first direct probe of molecular conformation dynamics during this fundamentally important process in these materials.", "author" : [ { "dropping-particle" : "", "family" : "Provencher", "given" : "Fran\u00e7oise", "non-dropping-particle" : "", "parse-names" : false, "suffix" : "" }, { "dropping-particle" : "", "family" : "B\u00e9rub\u00e9", "given" : "Nicolas", "non-dropping-particle" : "", "parse-names" : false, "suffix" : "" }, { "dropping-particle" : "", "family" : "Parker", "given" : "Anthony W", "non-dropping-particle" : "", "parse-names" : false, "suffix" : "" }, { "dropping-particle" : "", "family" : "Greetham", "given" : "Gregory M", "non-dropping-particle" : "", "parse-names" : false, "suffix" : "" }, { "dropping-particle" : "", "family" : "Towrie", "given" : "Michael", "non-dropping-particle" : "", "parse-names" : false, "suffix" : "" }, { "dropping-particle" : "", "family" : "Hellmann", "given" : "Christoph", "non-dropping-particle" : "", "parse-names" : false, "suffix" : "" }, { "dropping-particle" : "", "family" : "C\u00f4t\u00e9", "given" : "Michel", "non-dropping-particle" : "", "parse-names" : false, "suffix" : "" }, { "dropping-particle" : "", "family" : "Stingelin", "given" : "Natalie", "non-dropping-particle" : "", "parse-names" : false, "suffix" : "" }, { "dropping-particle" : "", "family" : "Silva", "given" : "Carlos", "non-dropping-particle" : "", "parse-names" : false, "suffix" : "" }, { "dropping-particle" : "", "family" : "Hayes", "given" : "Sophia C", "non-dropping-particle" : "", "parse-names" : false, "suffix" : "" } ], "container-title" : "Nature communications", "id" : "ITEM-1", "issued" : { "date-parts" : [ [ "2014" ] ] }, "page" : "4288", "title" : "Direct observation of ultrafast long-range charge separation at polymer-fullerene heterojunctions.", "type" : "article-journal", "volume" : "5" }, "uris" : [ "http://www.mendeley.com/documents/?uuid=ec6e5177-b629-41ad-b1fa-edcd4203d656" ] } ], "mendeley" : { "formattedCitation" : "&lt;sup&gt;20&lt;/sup&gt;", "plainTextFormattedCitation" : "20", "previouslyFormattedCitation" : "&lt;sup&gt;20&lt;/sup&gt;" }, "properties" : { "noteIndex" : 0 }, "schema" : "https://github.com/citation-style-language/schema/raw/master/csl-citation.json" }</w:instrText>
      </w:r>
      <w:r w:rsidR="00336E5E" w:rsidRPr="006A39F2">
        <w:rPr>
          <w:rFonts w:ascii="Arial" w:hAnsi="Arial" w:cs="Arial"/>
          <w:color w:val="000000"/>
        </w:rPr>
        <w:fldChar w:fldCharType="separate"/>
      </w:r>
      <w:r w:rsidR="000903BD" w:rsidRPr="000903BD">
        <w:rPr>
          <w:rFonts w:ascii="Arial" w:hAnsi="Arial" w:cs="Arial"/>
          <w:noProof/>
          <w:color w:val="000000"/>
          <w:vertAlign w:val="superscript"/>
        </w:rPr>
        <w:t>20</w:t>
      </w:r>
      <w:r w:rsidR="00336E5E" w:rsidRPr="006A39F2">
        <w:rPr>
          <w:rFonts w:ascii="Arial" w:hAnsi="Arial" w:cs="Arial"/>
          <w:color w:val="000000"/>
        </w:rPr>
        <w:fldChar w:fldCharType="end"/>
      </w:r>
      <w:r w:rsidR="00E50CDC" w:rsidRPr="006A39F2">
        <w:rPr>
          <w:rFonts w:ascii="Arial" w:hAnsi="Arial" w:cs="Arial"/>
          <w:color w:val="000000"/>
        </w:rPr>
        <w:t xml:space="preserve"> </w:t>
      </w:r>
      <w:r w:rsidR="00422941">
        <w:rPr>
          <w:rFonts w:ascii="Arial" w:hAnsi="Arial" w:cs="Arial"/>
          <w:color w:val="000000"/>
        </w:rPr>
        <w:t xml:space="preserve"> </w:t>
      </w:r>
      <w:r w:rsidR="007A7C8A" w:rsidRPr="006A39F2">
        <w:rPr>
          <w:rFonts w:ascii="Arial" w:eastAsiaTheme="minorEastAsia" w:hAnsi="Arial" w:cs="Arial"/>
          <w:color w:val="000000"/>
        </w:rPr>
        <w:t xml:space="preserve">In order to gain detailed insight into long-range electron transfer, specific optical probes for neutral and charged excited states at the D-A interface are needed </w:t>
      </w:r>
      <w:r w:rsidR="003A023D">
        <w:rPr>
          <w:rFonts w:ascii="Arial" w:eastAsiaTheme="minorEastAsia" w:hAnsi="Arial" w:cs="Arial"/>
          <w:color w:val="000000"/>
        </w:rPr>
        <w:t>in order</w:t>
      </w:r>
      <w:r w:rsidR="007A7C8A" w:rsidRPr="006A39F2">
        <w:rPr>
          <w:rFonts w:ascii="Arial" w:eastAsiaTheme="minorEastAsia" w:hAnsi="Arial" w:cs="Arial"/>
          <w:color w:val="000000"/>
        </w:rPr>
        <w:t xml:space="preserve"> </w:t>
      </w:r>
      <w:r w:rsidR="00FB1322">
        <w:rPr>
          <w:rFonts w:ascii="Arial" w:eastAsiaTheme="minorEastAsia" w:hAnsi="Arial" w:cs="Arial"/>
          <w:color w:val="000000"/>
        </w:rPr>
        <w:t xml:space="preserve">to distinguish </w:t>
      </w:r>
      <w:r w:rsidR="007A7C8A" w:rsidRPr="006A39F2">
        <w:rPr>
          <w:rFonts w:ascii="Arial" w:eastAsiaTheme="minorEastAsia" w:hAnsi="Arial" w:cs="Arial"/>
          <w:color w:val="000000"/>
        </w:rPr>
        <w:t xml:space="preserve">between bulk and interfacial states. </w:t>
      </w:r>
    </w:p>
    <w:p w14:paraId="270D0E2B" w14:textId="14CEF3ED" w:rsidR="00FB33B1" w:rsidRDefault="00BA2FAA" w:rsidP="00C82D52">
      <w:pPr>
        <w:tabs>
          <w:tab w:val="left" w:pos="0"/>
        </w:tabs>
        <w:spacing w:line="360" w:lineRule="auto"/>
        <w:jc w:val="both"/>
        <w:rPr>
          <w:rFonts w:ascii="Arial" w:eastAsiaTheme="minorEastAsia" w:hAnsi="Arial" w:cs="Arial"/>
          <w:color w:val="000000"/>
        </w:rPr>
      </w:pPr>
      <w:r w:rsidRPr="006A39F2">
        <w:rPr>
          <w:rFonts w:ascii="Arial" w:eastAsiaTheme="minorEastAsia" w:hAnsi="Arial" w:cs="Arial"/>
          <w:color w:val="000000"/>
        </w:rPr>
        <w:t xml:space="preserve">Here, we </w:t>
      </w:r>
      <w:r w:rsidR="00D30C95" w:rsidRPr="006A39F2">
        <w:rPr>
          <w:rFonts w:ascii="Arial" w:eastAsiaTheme="minorEastAsia" w:hAnsi="Arial" w:cs="Arial"/>
          <w:color w:val="000000"/>
        </w:rPr>
        <w:t xml:space="preserve">present a transient absorption study </w:t>
      </w:r>
      <w:r w:rsidR="00FB1322">
        <w:rPr>
          <w:rFonts w:ascii="Arial" w:eastAsiaTheme="minorEastAsia" w:hAnsi="Arial" w:cs="Arial"/>
          <w:color w:val="000000"/>
        </w:rPr>
        <w:t>of</w:t>
      </w:r>
      <w:r w:rsidR="00D30C95" w:rsidRPr="006A39F2">
        <w:rPr>
          <w:rFonts w:ascii="Arial" w:eastAsiaTheme="minorEastAsia" w:hAnsi="Arial" w:cs="Arial"/>
          <w:color w:val="000000"/>
        </w:rPr>
        <w:t xml:space="preserve"> a blend consisting of </w:t>
      </w:r>
      <w:r w:rsidR="00FF1946" w:rsidRPr="006A39F2">
        <w:rPr>
          <w:rFonts w:ascii="Arial" w:eastAsiaTheme="minorEastAsia" w:hAnsi="Arial" w:cs="Arial"/>
          <w:color w:val="000000"/>
        </w:rPr>
        <w:t>poly(9,9-di-</w:t>
      </w:r>
      <w:r w:rsidR="00FF1946" w:rsidRPr="00D63926">
        <w:rPr>
          <w:rFonts w:ascii="Arial" w:eastAsiaTheme="minorEastAsia" w:hAnsi="Arial" w:cs="Arial"/>
          <w:i/>
          <w:iCs/>
          <w:color w:val="000000"/>
        </w:rPr>
        <w:t>n</w:t>
      </w:r>
      <w:r w:rsidR="00FF1946" w:rsidRPr="006A39F2">
        <w:rPr>
          <w:rFonts w:ascii="Arial" w:eastAsiaTheme="minorEastAsia" w:hAnsi="Arial" w:cs="Arial"/>
          <w:color w:val="000000"/>
        </w:rPr>
        <w:t>-octylfluorenyl-2,7-diyl)</w:t>
      </w:r>
      <w:r w:rsidR="00D30C95" w:rsidRPr="006A39F2">
        <w:rPr>
          <w:rFonts w:ascii="Arial" w:eastAsiaTheme="minorEastAsia" w:hAnsi="Arial" w:cs="Arial"/>
          <w:color w:val="000000"/>
        </w:rPr>
        <w:t xml:space="preserve"> </w:t>
      </w:r>
      <w:r w:rsidR="00FF1946" w:rsidRPr="006A39F2">
        <w:rPr>
          <w:rFonts w:ascii="Arial" w:eastAsiaTheme="minorEastAsia" w:hAnsi="Arial" w:cs="Arial"/>
          <w:color w:val="000000"/>
        </w:rPr>
        <w:t xml:space="preserve">(PFO) </w:t>
      </w:r>
      <w:r w:rsidR="00D30C95" w:rsidRPr="006A39F2">
        <w:rPr>
          <w:rFonts w:ascii="Arial" w:eastAsiaTheme="minorEastAsia" w:hAnsi="Arial" w:cs="Arial"/>
          <w:color w:val="000000"/>
        </w:rPr>
        <w:t xml:space="preserve">as donor and </w:t>
      </w:r>
      <w:r w:rsidR="005A33F4">
        <w:rPr>
          <w:rFonts w:ascii="Arial" w:eastAsiaTheme="minorEastAsia" w:hAnsi="Arial" w:cs="Arial"/>
          <w:color w:val="000000"/>
        </w:rPr>
        <w:t xml:space="preserve">a </w:t>
      </w:r>
      <w:r w:rsidR="00FF1946" w:rsidRPr="006A39F2">
        <w:rPr>
          <w:rFonts w:ascii="Arial" w:eastAsiaTheme="minorEastAsia" w:hAnsi="Arial" w:cs="Arial"/>
          <w:color w:val="000000"/>
        </w:rPr>
        <w:t>perylene diimide (</w:t>
      </w:r>
      <w:r w:rsidR="00D30C95" w:rsidRPr="006A39F2">
        <w:rPr>
          <w:rFonts w:ascii="Arial" w:eastAsiaTheme="minorEastAsia" w:hAnsi="Arial" w:cs="Arial"/>
          <w:color w:val="000000"/>
        </w:rPr>
        <w:t>PDI</w:t>
      </w:r>
      <w:r w:rsidR="00FF1946" w:rsidRPr="006A39F2">
        <w:rPr>
          <w:rFonts w:ascii="Arial" w:eastAsiaTheme="minorEastAsia" w:hAnsi="Arial" w:cs="Arial"/>
          <w:color w:val="000000"/>
        </w:rPr>
        <w:t>)</w:t>
      </w:r>
      <w:r w:rsidR="00FB1322">
        <w:rPr>
          <w:rFonts w:ascii="Arial" w:eastAsiaTheme="minorEastAsia" w:hAnsi="Arial" w:cs="Arial"/>
          <w:color w:val="000000"/>
        </w:rPr>
        <w:t xml:space="preserve"> derivative as non-fullerene acceptor</w:t>
      </w:r>
      <w:r w:rsidR="00F365AF">
        <w:rPr>
          <w:rFonts w:ascii="Arial" w:eastAsiaTheme="minorEastAsia" w:hAnsi="Arial" w:cs="Arial"/>
          <w:color w:val="000000"/>
        </w:rPr>
        <w:t xml:space="preserve"> (for chemical structures see </w:t>
      </w:r>
      <w:r w:rsidR="00A80009">
        <w:rPr>
          <w:rFonts w:ascii="Arial" w:eastAsiaTheme="minorEastAsia" w:hAnsi="Arial" w:cs="Arial"/>
          <w:color w:val="000000"/>
        </w:rPr>
        <w:t xml:space="preserve">Fig. </w:t>
      </w:r>
      <w:r w:rsidR="00F365AF">
        <w:rPr>
          <w:rFonts w:ascii="Arial" w:eastAsiaTheme="minorEastAsia" w:hAnsi="Arial" w:cs="Arial"/>
          <w:color w:val="000000"/>
        </w:rPr>
        <w:t>1a)</w:t>
      </w:r>
      <w:r w:rsidR="00D30C95" w:rsidRPr="006A39F2">
        <w:rPr>
          <w:rFonts w:ascii="Arial" w:eastAsiaTheme="minorEastAsia" w:hAnsi="Arial" w:cs="Arial"/>
          <w:color w:val="000000"/>
        </w:rPr>
        <w:t>.</w:t>
      </w:r>
      <w:r w:rsidR="00461CCD">
        <w:rPr>
          <w:rFonts w:ascii="Arial" w:eastAsiaTheme="minorEastAsia" w:hAnsi="Arial" w:cs="Arial"/>
          <w:color w:val="000000"/>
        </w:rPr>
        <w:t xml:space="preserve"> Derivatives of PDI are among the most intensely investigated non-fullerene acceptors because of their strong light absorption in the visible region and their high structural and chemical stability.</w:t>
      </w:r>
      <w:r w:rsidR="00422941">
        <w:rPr>
          <w:rFonts w:ascii="Arial" w:eastAsiaTheme="minorEastAsia" w:hAnsi="Arial" w:cs="Arial"/>
          <w:color w:val="000000"/>
        </w:rPr>
        <w:fldChar w:fldCharType="begin" w:fldLock="1"/>
      </w:r>
      <w:r w:rsidR="000B745C">
        <w:rPr>
          <w:rFonts w:ascii="Arial" w:eastAsiaTheme="minorEastAsia" w:hAnsi="Arial" w:cs="Arial"/>
          <w:color w:val="000000"/>
        </w:rPr>
        <w:instrText>ADDIN CSL_CITATION { "citationItems" : [ { "id" : "ITEM-1", "itemData" : { "DOI" : "10.1039/C6TC05066B", "ISSN" : "2050-7526", "abstract" : "Power conversion efficiency (PCE) has surpassed 10% for single junction organic solar cells (OSCs) mainly through the design and synthesis of novel donor materials, the optimization of film morphology and the evolution of the devices. However, the development of novel acceptor materials is relatively sluggish compared with the donor compounds. Nowadays, fullerene derivatives, such as PC61BM and PC71BM, are still the dominant acceptors due to their superior charge transporting properties. Unfortunately, these two acceptors suffer from some intrinsic shortcomings such as limited absorption, difficult functionalization, and high production cost. Therefore, developing novel non-fullerene acceptors that can overcome the above-mentioned disadvantages is highly desirable. As a matter of fact, research on non-fullerene acceptors has made considerable progress in the last two years and a highest PCE of around 12% has been achieved. In this review, we will summarize recent research progress in non-fullerene small molecule acceptors and compare these molecules' performances in OSCs employing the same donor materials. Moreover, the acceptors with excellent photovoltaic performance are highlighted and the reasons are elaborated. Finally, the implications and the challenges are proposed.", "author" : [ { "dropping-particle" : "", "family" : "Chen", "given" : "Wangqiao", "non-dropping-particle" : "", "parse-names" : false, "suffix" : "" }, { "dropping-particle" : "", "family" : "Zhang", "given" : "Qichun", "non-dropping-particle" : "", "parse-names" : false, "suffix" : "" }, { "dropping-particle" : "", "family" : "Lin", "given" : "Y. Z.", "non-dropping-particle" : "", "parse-names" : false, "suffix" : "" }, { "dropping-particle" : "", "family" : "Wang", "given" : "W. B.", "non-dropping-particle" : "", "parse-names" : false, "suffix" : "" }, { "dropping-particle" : "", "family" : "Gao", "given" : "M. L.", "non-dropping-particle" : "", "parse-names" : false, "suffix" : "" }, { "dropping-particle" : "", "family" : "Li", "given" : "L. L.", "non-dropping-particle" : "", "parse-names" : false, "suffix" : "" }, { "dropping-particle" : "", "family" : "Zhang", "given" : "J.", "non-dropping-particle" : "", "parse-names" : false, "suffix" : "" }, { "dropping-particle" : "", "family" : "Zhan", "given" : "X. W.", "non-dropping-particle" : "", "parse-names" : false, "suffix" : "" }, { "dropping-particle" : "", "family" : "Lee", "given" : "T. H.", "non-dropping-particle" : "", "parse-names" : false, "suffix" : "" }, { "dropping-particle" : "", "family" : "Huang", "given" : "M. J.", "non-dropping-particle" : "", "parse-names" : false, "suffix" : "" }, { "dropping-particle" : "", "family" : "Choi", "given" : "H. S.", "non-dropping-particle" : "", "parse-names" : false, "suffix" : "" }, { "dropping-particle" : "", "family" : "Kim", "given" : "J. Y.", "non-dropping-particle" : "", "parse-names" : false, "suffix" : "" }, { "dropping-particle" : "", "family" : "Choy", "given" : "W. C. H.", "non-dropping-particle" : "", "parse-names" : false, "suffix" : "" }, { "dropping-particle" : "", "family" : "Sun", "given" : "Y. M.", "non-dropping-particle" : "", "parse-names" : false, "suffix" : "" }, { "dropping-particle" : "", "family" : "Yan", "given" : "H.", "non-dropping-particle" : "", "parse-names" : false, "suffix" : "" }, { "dropping-particle" : "", "family" : "Loo", "given" : "Y. L.", "non-dropping-particle" : "", "parse-names" : false, "suffix" : "" }, { "dropping-particle" : "", "family" : "Ng", "given" : "F.", "non-dropping-particle" : "", "parse-names" : false, "suffix" : "" }, { "dropping-particle" : "", "family" : "Zhu", "given" : "X. Y.", "non-dropping-particle" : "", "parse-names" : false, "suffix" : "" }, { "dropping-particle" : "", "family" : "Nuckolls", "given" : "C.", "non-dropping-particle" : "", "parse-names" : false, "suffix" : "" } ], "container-title" : "J. Mater. Chem. C", "id" : "ITEM-1", "issue" : "6", "issued" : { "date-parts" : [ [ "2017" ] ] }, "page" : "1275-1302", "publisher" : "The Royal Society of Chemistry", "title" : "Recent progress in non-fullerene small molecule acceptors in organic solar cells (OSCs)", "type" : "article-journal", "volume" : "5" }, "uris" : [ "http://www.mendeley.com/documents/?uuid=d308c430-62fc-3d3c-978b-c7bf34785f17" ] } ], "mendeley" : { "formattedCitation" : "&lt;sup&gt;13&lt;/sup&gt;", "plainTextFormattedCitation" : "13", "previouslyFormattedCitation" : "&lt;sup&gt;13&lt;/sup&gt;" }, "properties" : { "noteIndex" : 0 }, "schema" : "https://github.com/citation-style-language/schema/raw/master/csl-citation.json" }</w:instrText>
      </w:r>
      <w:r w:rsidR="00422941">
        <w:rPr>
          <w:rFonts w:ascii="Arial" w:eastAsiaTheme="minorEastAsia" w:hAnsi="Arial" w:cs="Arial"/>
          <w:color w:val="000000"/>
        </w:rPr>
        <w:fldChar w:fldCharType="separate"/>
      </w:r>
      <w:r w:rsidR="000903BD" w:rsidRPr="000903BD">
        <w:rPr>
          <w:rFonts w:ascii="Arial" w:eastAsiaTheme="minorEastAsia" w:hAnsi="Arial" w:cs="Arial"/>
          <w:noProof/>
          <w:color w:val="000000"/>
          <w:vertAlign w:val="superscript"/>
        </w:rPr>
        <w:t>13</w:t>
      </w:r>
      <w:r w:rsidR="00422941">
        <w:rPr>
          <w:rFonts w:ascii="Arial" w:eastAsiaTheme="minorEastAsia" w:hAnsi="Arial" w:cs="Arial"/>
          <w:color w:val="000000"/>
        </w:rPr>
        <w:fldChar w:fldCharType="end"/>
      </w:r>
      <w:r w:rsidR="00422941">
        <w:rPr>
          <w:rFonts w:ascii="Arial" w:eastAsiaTheme="minorEastAsia" w:hAnsi="Arial" w:cs="Arial"/>
          <w:color w:val="000000"/>
        </w:rPr>
        <w:t xml:space="preserve"> </w:t>
      </w:r>
      <w:r w:rsidR="00461CCD">
        <w:rPr>
          <w:rFonts w:ascii="Arial" w:eastAsiaTheme="minorEastAsia" w:hAnsi="Arial" w:cs="Arial"/>
          <w:color w:val="000000"/>
        </w:rPr>
        <w:t xml:space="preserve">Efficiencies </w:t>
      </w:r>
      <w:r w:rsidR="00243C3E">
        <w:rPr>
          <w:rFonts w:ascii="Arial" w:eastAsiaTheme="minorEastAsia" w:hAnsi="Arial" w:cs="Arial"/>
          <w:color w:val="000000"/>
        </w:rPr>
        <w:t>of OPV devices comprising PDI so far remain below the</w:t>
      </w:r>
      <w:r w:rsidR="003A023D">
        <w:rPr>
          <w:rFonts w:ascii="Arial" w:eastAsiaTheme="minorEastAsia" w:hAnsi="Arial" w:cs="Arial"/>
          <w:color w:val="000000"/>
        </w:rPr>
        <w:t>ir</w:t>
      </w:r>
      <w:r w:rsidR="00243C3E">
        <w:rPr>
          <w:rFonts w:ascii="Arial" w:eastAsiaTheme="minorEastAsia" w:hAnsi="Arial" w:cs="Arial"/>
          <w:color w:val="000000"/>
        </w:rPr>
        <w:t xml:space="preserve"> </w:t>
      </w:r>
      <w:r w:rsidR="00C26B04">
        <w:rPr>
          <w:rFonts w:ascii="Arial" w:eastAsiaTheme="minorEastAsia" w:hAnsi="Arial" w:cs="Arial"/>
          <w:color w:val="000000"/>
        </w:rPr>
        <w:t>predicted heights</w:t>
      </w:r>
      <w:r w:rsidR="00243C3E">
        <w:rPr>
          <w:rFonts w:ascii="Arial" w:eastAsiaTheme="minorEastAsia" w:hAnsi="Arial" w:cs="Arial"/>
          <w:color w:val="000000"/>
        </w:rPr>
        <w:t xml:space="preserve">, which has in part been attributed to excimer formation competing with charge </w:t>
      </w:r>
      <w:r w:rsidR="00243C3E">
        <w:rPr>
          <w:rFonts w:ascii="Arial" w:eastAsiaTheme="minorEastAsia" w:hAnsi="Arial" w:cs="Arial"/>
          <w:color w:val="000000"/>
        </w:rPr>
        <w:lastRenderedPageBreak/>
        <w:t>separation.</w:t>
      </w:r>
      <w:r w:rsidR="00422941">
        <w:rPr>
          <w:rFonts w:ascii="Arial" w:eastAsiaTheme="minorEastAsia" w:hAnsi="Arial" w:cs="Arial"/>
          <w:color w:val="000000"/>
        </w:rPr>
        <w:fldChar w:fldCharType="begin" w:fldLock="1"/>
      </w:r>
      <w:r w:rsidR="000B745C">
        <w:rPr>
          <w:rFonts w:ascii="Arial" w:eastAsiaTheme="minorEastAsia" w:hAnsi="Arial" w:cs="Arial"/>
          <w:color w:val="000000"/>
        </w:rPr>
        <w:instrText>ADDIN CSL_CITATION { "citationItems" : [ { "id" : "ITEM-1", "itemData" : { "DOI" : "10.1021/cm5010483", "ISSN" : "0897-4756", "abstract" : "The photovoltaic performance and charge generation dynamics in thin film bulk heterojunction organic photovoltaic (BHJ OPV) devices comprising the small molecule donor 7,7?-(4,4-bis(2-ethylhexyl)-4H-silolo[3,2-b:4,5-b?]dithiophene-2,6-diyl)bis(6-fluoro-4-(5?-hexyl-[2,2?-bithiophen]-5-yl)benzo[c][1,2,5]thiadiazole) (p-DTS(FBTTh2)2) and a perylene diimide (PDI) electron acceptor are investigated with and without the processing additive 1,8-diiodooctane (DIO). UV?vis absorption spectroscopy indicates that the use of DIO during processing increases the structural order of both p-DTS(FBTTh2)2 and PDI compared to films cast from chlorobenzene alone. Excitation intensity dependent broadband vis?NIR transient absorption pump?probe experiments over a dynamic range from 100 fs to 100 ?s reveal that, in blends processed without DIO, essentially none of the interfacial charge transfer states generated after exciton dissociation at the donor?acceptor interface split into spatially separated charge carriers. In contrast, in blends processed with 0.4 vol% DIO, geminate recombination is significantly reduced, and spatially separated charge carriers are generated. It appears that the drastic increase in the power conversion efficiency in p-DTS(FBTTh2)2:PDI BHJ OPV devices upon the use of DIO, from 0.13% to 3.1%, is a consequence of the increased solid state order of both p-DTS(FBTTh2)2 and PDI, which leads to a significant improvement of the exciton dissociation efficiency and makes this system among the most efficient non-fullerene BHJ organic solar cells to date.\\nThe photovoltaic performance and charge generation dynamics in thin film bulk heterojunction organic photovoltaic (BHJ OPV) devices comprising the small molecule donor 7,7?-(4,4-bis(2-ethylhexyl)-4H-silolo[3,2-b:4,5-b?]dithiophene-2,6-diyl)bis(6-fluoro-4-(5?-hexyl-[2,2?-bithiophen]-5-yl)benzo[c][1,2,5]thiadiazole) (p-DTS(FBTTh2)2) and a perylene diimide (PDI) electron acceptor are investigated with and without the processing additive 1,8-diiodooctane (DIO). UV?vis absorption spectroscopy indicates that the use of DIO during processing increases the structural order of both p-DTS(FBTTh2)2 and PDI compared to films cast from chlorobenzene alone. Excitation intensity dependent broadband vis?NIR transient absorption pump?probe experiments over a dynamic range from 100 fs to 100 ?s reveal that, in blends processed without DIO, essentially none of the interfacial charge transfer states generated after exciton diss\u2026", "author" : [ { "dropping-particle" : "", "family" : "Sharenko", "given" : "Alexander", "non-dropping-particle" : "", "parse-names" : false, "suffix" : "" }, { "dropping-particle" : "", "family" : "Gehrig", "given" : "Dominik", "non-dropping-particle" : "", "parse-names" : false, "suffix" : "" }, { "dropping-particle" : "", "family" : "Laquai", "given" : "Fr\u00e9d\u00e9ric", "non-dropping-particle" : "", "parse-names" : false, "suffix" : "" }, { "dropping-particle" : "", "family" : "Nguyen", "given" : "Thuc-Quyen", "non-dropping-particle" : "", "parse-names" : false, "suffix" : "" } ], "container-title" : "Chemistry of Materials", "id" : "ITEM-1", "issued" : { "date-parts" : [ [ "2014" ] ] }, "page" : "4109-4118", "title" : "The Effect of Solvent Additive on the Charge Generation and Photovoltaic Performance of a Solution-Processed Small Molecule:Perylene Diimide Bulk Heterojunction Solar Cell", "type" : "article-journal", "volume" : "26" }, "uris" : [ "http://www.mendeley.com/documents/?uuid=5f2381ba-68fb-4e1c-8fef-7e10961081db" ] }, { "id" : "ITEM-2", "itemData" : { "DOI" : "10.1021/jp907633g", "ISBN" : "1932-7447", "ISSN" : "1932-7447", "abstract" : "We study charge generation and recombination in organic solar cells that utilize perylene tetracarboxydiimide (PDI) as an electron acceptor and a conjugated polymer as an electron donor. PDI is a promising electron acceptor because of its strong red absorption, LUMO well placed to accept electrons from many conjugated polymers, and good electron mobility. However, we find that, when PDI is finely dispersed in a conjugated polymer, the device efficiency is severely limited by very fast bimolecular charge recombination and that, when the blend is made coarser, the device efficiency becomes limited instead by PDI excitons quickly relaxing into stabilized intermolecular states between PDI molecules rather than undergoing charge transfer. The intramolecular PDI states formed are the same as those observed in PDI blended with poly(styrene) and have lower energy and mobility than the exciton. The two loss channels, that is, bimolecular recombination when charge transfer is fast and reduced charge transfer due to intermolecular state formation when charge transport is better, mean that quantum efficiency may always be low in organic solar cells utilizing PDI unless modification of the PDI can suppress the rate of intermolecular state formation without compromising charge-transport properties. Our results are based on detailed, bias-dependent transient-absorption experiments which also reveal the carrier mobility and internal quantum efficiency (as a function of field) directly in the operating organic solar cells.", "author" : [ { "dropping-particle" : "", "family" : "Howard", "given" : "Ian a", "non-dropping-particle" : "", "parse-names" : false, "suffix" : "" }, { "dropping-particle" : "", "family" : "Laquai", "given" : "Fr\u00e9d\u00e9ric", "non-dropping-particle" : "", "parse-names" : false, "suffix" : "" }, { "dropping-particle" : "", "family" : "Keivanidis", "given" : "Panagiotis E", "non-dropping-particle" : "", "parse-names" : false, "suffix" : "" }, { "dropping-particle" : "", "family" : "Friend", "given" : "Richard H", "non-dropping-particle" : "", "parse-names" : false, "suffix" : "" }, { "dropping-particle" : "", "family" : "Greenham", "given" : "Neil C", "non-dropping-particle" : "", "parse-names" : false, "suffix" : "" } ], "container-title" : "The Journal of Physical Chemistry C", "id" : "ITEM-2", "issued" : { "date-parts" : [ [ "2009" ] ] }, "page" : "21225-21232", "title" : "Perylene Tetracarboxydiimide as an Electron Acceptor in Organic Solar Cells : A Study of Charge Generation and Recombination", "type" : "article-journal", "volume" : "113" }, "uris" : [ "http://www.mendeley.com/documents/?uuid=6fc0654b-fed0-4863-a781-080da4b0ed86" ] } ], "mendeley" : { "formattedCitation" : "&lt;sup&gt;21,22&lt;/sup&gt;", "plainTextFormattedCitation" : "21,22", "previouslyFormattedCitation" : "&lt;sup&gt;21,22&lt;/sup&gt;" }, "properties" : { "noteIndex" : 0 }, "schema" : "https://github.com/citation-style-language/schema/raw/master/csl-citation.json" }</w:instrText>
      </w:r>
      <w:r w:rsidR="00422941">
        <w:rPr>
          <w:rFonts w:ascii="Arial" w:eastAsiaTheme="minorEastAsia" w:hAnsi="Arial" w:cs="Arial"/>
          <w:color w:val="000000"/>
        </w:rPr>
        <w:fldChar w:fldCharType="separate"/>
      </w:r>
      <w:r w:rsidR="000903BD" w:rsidRPr="000903BD">
        <w:rPr>
          <w:rFonts w:ascii="Arial" w:eastAsiaTheme="minorEastAsia" w:hAnsi="Arial" w:cs="Arial"/>
          <w:noProof/>
          <w:color w:val="000000"/>
          <w:vertAlign w:val="superscript"/>
        </w:rPr>
        <w:t>21,22</w:t>
      </w:r>
      <w:r w:rsidR="00422941">
        <w:rPr>
          <w:rFonts w:ascii="Arial" w:eastAsiaTheme="minorEastAsia" w:hAnsi="Arial" w:cs="Arial"/>
          <w:color w:val="000000"/>
        </w:rPr>
        <w:fldChar w:fldCharType="end"/>
      </w:r>
      <w:r w:rsidR="00422941">
        <w:rPr>
          <w:rFonts w:ascii="Arial" w:eastAsiaTheme="minorEastAsia" w:hAnsi="Arial" w:cs="Arial"/>
          <w:color w:val="000000"/>
        </w:rPr>
        <w:t xml:space="preserve"> </w:t>
      </w:r>
      <w:r w:rsidR="00FB33B1">
        <w:rPr>
          <w:rFonts w:ascii="Arial" w:eastAsiaTheme="minorEastAsia" w:hAnsi="Arial" w:cs="Arial"/>
          <w:color w:val="000000"/>
        </w:rPr>
        <w:t xml:space="preserve">In our work we show that when blended with PFO, excimer formation in PDI is outperformed by a symmetry breaking charge transfer within the PDI phase. </w:t>
      </w:r>
    </w:p>
    <w:p w14:paraId="60324BB0" w14:textId="3EE61AAE" w:rsidR="00674D89" w:rsidRPr="006A39F2" w:rsidRDefault="00D30C95" w:rsidP="00C82D52">
      <w:pPr>
        <w:tabs>
          <w:tab w:val="left" w:pos="0"/>
        </w:tabs>
        <w:spacing w:line="360" w:lineRule="auto"/>
        <w:jc w:val="both"/>
        <w:rPr>
          <w:rFonts w:ascii="Arial" w:hAnsi="Arial" w:cs="Arial"/>
          <w:color w:val="000000"/>
        </w:rPr>
      </w:pPr>
      <w:r w:rsidRPr="006A39F2">
        <w:rPr>
          <w:rFonts w:ascii="Arial" w:eastAsiaTheme="minorEastAsia" w:hAnsi="Arial" w:cs="Arial"/>
          <w:color w:val="000000"/>
        </w:rPr>
        <w:t>Structur</w:t>
      </w:r>
      <w:r w:rsidR="001124A9">
        <w:rPr>
          <w:rFonts w:ascii="Arial" w:eastAsiaTheme="minorEastAsia" w:hAnsi="Arial" w:cs="Arial"/>
          <w:color w:val="000000"/>
        </w:rPr>
        <w:t>al</w:t>
      </w:r>
      <w:r w:rsidRPr="006A39F2">
        <w:rPr>
          <w:rFonts w:ascii="Arial" w:eastAsiaTheme="minorEastAsia" w:hAnsi="Arial" w:cs="Arial"/>
          <w:color w:val="000000"/>
        </w:rPr>
        <w:t xml:space="preserve"> determination by </w:t>
      </w:r>
      <w:r w:rsidR="00A2463D" w:rsidRPr="006A39F2">
        <w:rPr>
          <w:rFonts w:ascii="Arial" w:eastAsiaTheme="minorEastAsia" w:hAnsi="Arial" w:cs="Arial"/>
          <w:color w:val="000000"/>
        </w:rPr>
        <w:t>grazing incidence wide angle scattering (</w:t>
      </w:r>
      <w:r w:rsidRPr="006A39F2">
        <w:rPr>
          <w:rFonts w:ascii="Arial" w:eastAsiaTheme="minorEastAsia" w:hAnsi="Arial" w:cs="Arial"/>
          <w:color w:val="000000"/>
        </w:rPr>
        <w:t>GIWAXS</w:t>
      </w:r>
      <w:r w:rsidR="00A2463D" w:rsidRPr="006A39F2">
        <w:rPr>
          <w:rFonts w:ascii="Arial" w:eastAsiaTheme="minorEastAsia" w:hAnsi="Arial" w:cs="Arial"/>
          <w:color w:val="000000"/>
        </w:rPr>
        <w:t>)</w:t>
      </w:r>
      <w:r w:rsidRPr="006A39F2">
        <w:rPr>
          <w:rFonts w:ascii="Arial" w:eastAsiaTheme="minorEastAsia" w:hAnsi="Arial" w:cs="Arial"/>
          <w:color w:val="000000"/>
        </w:rPr>
        <w:t xml:space="preserve"> </w:t>
      </w:r>
      <w:r w:rsidR="00534AA5">
        <w:rPr>
          <w:rFonts w:ascii="Arial" w:eastAsiaTheme="minorEastAsia" w:hAnsi="Arial" w:cs="Arial"/>
          <w:color w:val="000000"/>
        </w:rPr>
        <w:t xml:space="preserve">indicates </w:t>
      </w:r>
      <w:r w:rsidR="008C4E15">
        <w:rPr>
          <w:rFonts w:ascii="Arial" w:eastAsiaTheme="minorEastAsia" w:hAnsi="Arial" w:cs="Arial"/>
          <w:color w:val="000000"/>
        </w:rPr>
        <w:t>a formation of unique</w:t>
      </w:r>
      <w:r w:rsidR="00534AA5">
        <w:rPr>
          <w:rFonts w:ascii="Arial" w:eastAsiaTheme="minorEastAsia" w:hAnsi="Arial" w:cs="Arial"/>
          <w:color w:val="000000"/>
        </w:rPr>
        <w:t xml:space="preserve"> morphology comprising agglomerated PDI crystals, intercalated with β-</w:t>
      </w:r>
      <w:r w:rsidRPr="006A39F2">
        <w:rPr>
          <w:rFonts w:ascii="Arial" w:eastAsiaTheme="minorEastAsia" w:hAnsi="Arial" w:cs="Arial"/>
          <w:color w:val="000000"/>
        </w:rPr>
        <w:t>phase</w:t>
      </w:r>
      <w:r w:rsidR="00534AA5">
        <w:rPr>
          <w:rFonts w:ascii="Arial" w:eastAsiaTheme="minorEastAsia" w:hAnsi="Arial" w:cs="Arial"/>
          <w:color w:val="000000"/>
        </w:rPr>
        <w:t xml:space="preserve"> PFO</w:t>
      </w:r>
      <w:r w:rsidR="008C4E15">
        <w:rPr>
          <w:rFonts w:ascii="Arial" w:eastAsiaTheme="minorEastAsia" w:hAnsi="Arial" w:cs="Arial"/>
          <w:color w:val="000000"/>
        </w:rPr>
        <w:t>.</w:t>
      </w:r>
      <w:r w:rsidRPr="006A39F2">
        <w:rPr>
          <w:rFonts w:ascii="Arial" w:eastAsiaTheme="minorEastAsia" w:hAnsi="Arial" w:cs="Arial"/>
          <w:color w:val="000000"/>
        </w:rPr>
        <w:t xml:space="preserve"> </w:t>
      </w:r>
      <w:r w:rsidR="008C4E15">
        <w:rPr>
          <w:rFonts w:ascii="Arial" w:eastAsiaTheme="minorEastAsia" w:hAnsi="Arial" w:cs="Arial"/>
          <w:color w:val="000000"/>
        </w:rPr>
        <w:t>I</w:t>
      </w:r>
      <w:r w:rsidRPr="006A39F2">
        <w:rPr>
          <w:rFonts w:ascii="Arial" w:eastAsiaTheme="minorEastAsia" w:hAnsi="Arial" w:cs="Arial"/>
          <w:color w:val="000000"/>
        </w:rPr>
        <w:t xml:space="preserve">n </w:t>
      </w:r>
      <w:r w:rsidR="008C4E15">
        <w:rPr>
          <w:rFonts w:ascii="Arial" w:eastAsiaTheme="minorEastAsia" w:hAnsi="Arial" w:cs="Arial"/>
          <w:color w:val="000000"/>
        </w:rPr>
        <w:t>such morphology</w:t>
      </w:r>
      <w:r w:rsidR="000A3956">
        <w:rPr>
          <w:rFonts w:ascii="Arial" w:eastAsiaTheme="minorEastAsia" w:hAnsi="Arial" w:cs="Arial"/>
          <w:color w:val="000000"/>
        </w:rPr>
        <w:t>,</w:t>
      </w:r>
      <w:r w:rsidR="008C4E15">
        <w:rPr>
          <w:rFonts w:ascii="Arial" w:eastAsiaTheme="minorEastAsia" w:hAnsi="Arial" w:cs="Arial"/>
          <w:color w:val="000000"/>
        </w:rPr>
        <w:t xml:space="preserve"> </w:t>
      </w:r>
      <w:r w:rsidRPr="006A39F2">
        <w:rPr>
          <w:rFonts w:ascii="Arial" w:eastAsiaTheme="minorEastAsia" w:hAnsi="Arial" w:cs="Arial"/>
          <w:color w:val="000000"/>
        </w:rPr>
        <w:t>excitons and charged state</w:t>
      </w:r>
      <w:r w:rsidR="00FB1322">
        <w:rPr>
          <w:rFonts w:ascii="Arial" w:eastAsiaTheme="minorEastAsia" w:hAnsi="Arial" w:cs="Arial"/>
          <w:color w:val="000000"/>
        </w:rPr>
        <w:t>s</w:t>
      </w:r>
      <w:r w:rsidRPr="006A39F2">
        <w:rPr>
          <w:rFonts w:ascii="Arial" w:eastAsiaTheme="minorEastAsia" w:hAnsi="Arial" w:cs="Arial"/>
          <w:color w:val="000000"/>
        </w:rPr>
        <w:t xml:space="preserve"> </w:t>
      </w:r>
      <w:r w:rsidR="008C4E15">
        <w:rPr>
          <w:rFonts w:ascii="Arial" w:eastAsiaTheme="minorEastAsia" w:hAnsi="Arial" w:cs="Arial"/>
          <w:color w:val="000000"/>
        </w:rPr>
        <w:t xml:space="preserve">at the interface </w:t>
      </w:r>
      <w:r w:rsidRPr="006A39F2">
        <w:rPr>
          <w:rFonts w:ascii="Arial" w:eastAsiaTheme="minorEastAsia" w:hAnsi="Arial" w:cs="Arial"/>
          <w:color w:val="000000"/>
        </w:rPr>
        <w:t xml:space="preserve">have specific optical </w:t>
      </w:r>
      <w:r w:rsidR="00FB1322">
        <w:rPr>
          <w:rFonts w:ascii="Arial" w:eastAsiaTheme="minorEastAsia" w:hAnsi="Arial" w:cs="Arial"/>
          <w:color w:val="000000"/>
        </w:rPr>
        <w:t xml:space="preserve">signatures </w:t>
      </w:r>
      <w:r w:rsidRPr="006A39F2">
        <w:rPr>
          <w:rFonts w:ascii="Arial" w:eastAsiaTheme="minorEastAsia" w:hAnsi="Arial" w:cs="Arial"/>
          <w:color w:val="000000"/>
        </w:rPr>
        <w:t xml:space="preserve">that are distinct from those in the </w:t>
      </w:r>
      <w:r w:rsidR="001124A9">
        <w:rPr>
          <w:rFonts w:ascii="Arial" w:eastAsiaTheme="minorEastAsia" w:hAnsi="Arial" w:cs="Arial"/>
          <w:color w:val="000000"/>
        </w:rPr>
        <w:t xml:space="preserve">respective </w:t>
      </w:r>
      <w:r w:rsidRPr="006A39F2">
        <w:rPr>
          <w:rFonts w:ascii="Arial" w:eastAsiaTheme="minorEastAsia" w:hAnsi="Arial" w:cs="Arial"/>
          <w:color w:val="000000"/>
        </w:rPr>
        <w:t>bulk phases.</w:t>
      </w:r>
      <w:r w:rsidR="006F44D5" w:rsidRPr="006A39F2">
        <w:rPr>
          <w:rFonts w:ascii="Arial" w:eastAsiaTheme="minorEastAsia" w:hAnsi="Arial" w:cs="Arial"/>
          <w:color w:val="000000"/>
        </w:rPr>
        <w:t xml:space="preserve"> </w:t>
      </w:r>
      <w:r w:rsidRPr="006A39F2">
        <w:rPr>
          <w:rFonts w:ascii="Arial" w:eastAsiaTheme="minorEastAsia" w:hAnsi="Arial" w:cs="Arial"/>
          <w:color w:val="000000"/>
        </w:rPr>
        <w:t xml:space="preserve">These allow us to </w:t>
      </w:r>
      <w:r w:rsidR="006F44D5" w:rsidRPr="006A39F2">
        <w:rPr>
          <w:rFonts w:ascii="Arial" w:eastAsiaTheme="minorEastAsia" w:hAnsi="Arial" w:cs="Arial"/>
          <w:color w:val="000000"/>
        </w:rPr>
        <w:t xml:space="preserve">directly </w:t>
      </w:r>
      <w:r w:rsidR="00C82D52">
        <w:rPr>
          <w:rFonts w:ascii="Arial" w:eastAsiaTheme="minorEastAsia" w:hAnsi="Arial" w:cs="Arial"/>
          <w:color w:val="000000"/>
        </w:rPr>
        <w:t xml:space="preserve">probe the </w:t>
      </w:r>
      <w:r w:rsidR="006F44D5" w:rsidRPr="006A39F2">
        <w:rPr>
          <w:rFonts w:ascii="Arial" w:eastAsiaTheme="minorEastAsia" w:hAnsi="Arial" w:cs="Arial"/>
          <w:color w:val="000000"/>
        </w:rPr>
        <w:t xml:space="preserve">exciton dissociation dynamics at the D-A interface. </w:t>
      </w:r>
      <w:r w:rsidR="006C0F3F" w:rsidRPr="006A39F2">
        <w:rPr>
          <w:rFonts w:ascii="Arial" w:eastAsiaTheme="minorEastAsia" w:hAnsi="Arial" w:cs="Arial"/>
          <w:color w:val="000000"/>
        </w:rPr>
        <w:t xml:space="preserve">When </w:t>
      </w:r>
      <w:r w:rsidR="00FB33B1">
        <w:rPr>
          <w:rFonts w:ascii="Arial" w:eastAsiaTheme="minorEastAsia" w:hAnsi="Arial" w:cs="Arial"/>
          <w:color w:val="000000"/>
        </w:rPr>
        <w:t xml:space="preserve">resonantly </w:t>
      </w:r>
      <w:r w:rsidR="006C0F3F" w:rsidRPr="006A39F2">
        <w:rPr>
          <w:rFonts w:ascii="Arial" w:eastAsiaTheme="minorEastAsia" w:hAnsi="Arial" w:cs="Arial"/>
          <w:color w:val="000000"/>
        </w:rPr>
        <w:t>exciting the PDI phase, clear evidence for a two-step transfer mechanism</w:t>
      </w:r>
      <w:r w:rsidR="001124A9">
        <w:rPr>
          <w:rFonts w:ascii="Arial" w:eastAsiaTheme="minorEastAsia" w:hAnsi="Arial" w:cs="Arial"/>
          <w:color w:val="000000"/>
        </w:rPr>
        <w:t xml:space="preserve"> is revealed</w:t>
      </w:r>
      <w:r w:rsidR="006C0F3F" w:rsidRPr="006A39F2">
        <w:rPr>
          <w:rFonts w:ascii="Arial" w:eastAsiaTheme="minorEastAsia" w:hAnsi="Arial" w:cs="Arial"/>
          <w:color w:val="000000"/>
        </w:rPr>
        <w:t xml:space="preserve">, by which a symmetry breaking charge separated state is formed in the PDI phase, followed by a </w:t>
      </w:r>
      <w:r w:rsidR="00646A05" w:rsidRPr="006A39F2">
        <w:rPr>
          <w:rFonts w:ascii="Arial" w:eastAsiaTheme="minorEastAsia" w:hAnsi="Arial" w:cs="Arial"/>
          <w:color w:val="000000"/>
        </w:rPr>
        <w:t>hole transfer across the D-A interface. This novel mechanism avoids formation of a bound interfacial CT state</w:t>
      </w:r>
      <w:r w:rsidR="003841D8">
        <w:rPr>
          <w:rFonts w:ascii="Arial" w:eastAsiaTheme="minorEastAsia" w:hAnsi="Arial" w:cs="Arial"/>
          <w:color w:val="000000"/>
        </w:rPr>
        <w:t>,</w:t>
      </w:r>
      <w:r w:rsidR="00646A05" w:rsidRPr="006A39F2">
        <w:rPr>
          <w:rFonts w:ascii="Arial" w:eastAsiaTheme="minorEastAsia" w:hAnsi="Arial" w:cs="Arial"/>
          <w:color w:val="000000"/>
        </w:rPr>
        <w:t xml:space="preserve"> which makes it a candidate for highly efficient exciton dissociation in BHJ systems.</w:t>
      </w:r>
    </w:p>
    <w:p w14:paraId="64427AEE" w14:textId="6B56430F" w:rsidR="00BB1797" w:rsidRPr="000D2676" w:rsidRDefault="00BB1797" w:rsidP="006A39F2">
      <w:pPr>
        <w:pStyle w:val="Heading1"/>
        <w:tabs>
          <w:tab w:val="left" w:pos="0"/>
        </w:tabs>
        <w:spacing w:line="360" w:lineRule="auto"/>
        <w:jc w:val="both"/>
        <w:rPr>
          <w:rFonts w:cs="Arial"/>
          <w:color w:val="000000"/>
          <w:sz w:val="22"/>
          <w:szCs w:val="22"/>
        </w:rPr>
      </w:pPr>
      <w:r w:rsidRPr="000D2676">
        <w:rPr>
          <w:rFonts w:cs="Arial"/>
          <w:color w:val="000000"/>
          <w:sz w:val="22"/>
          <w:szCs w:val="22"/>
        </w:rPr>
        <w:t>Experimental details</w:t>
      </w:r>
    </w:p>
    <w:p w14:paraId="557DD2B9" w14:textId="27AF4508" w:rsidR="003C5674" w:rsidRPr="000D2676" w:rsidRDefault="005D33DD" w:rsidP="00E74311">
      <w:pPr>
        <w:tabs>
          <w:tab w:val="left" w:pos="0"/>
        </w:tabs>
        <w:spacing w:line="360" w:lineRule="auto"/>
        <w:jc w:val="both"/>
        <w:rPr>
          <w:rFonts w:ascii="Arial" w:hAnsi="Arial" w:cs="Arial"/>
        </w:rPr>
      </w:pPr>
      <w:r>
        <w:rPr>
          <w:rFonts w:ascii="Arial" w:hAnsi="Arial" w:cs="Arial"/>
        </w:rPr>
        <w:t>PFO was purchased from Ossila, PDI was synthesi</w:t>
      </w:r>
      <w:r w:rsidR="00E93431">
        <w:rPr>
          <w:rFonts w:ascii="Arial" w:hAnsi="Arial" w:cs="Arial"/>
        </w:rPr>
        <w:t>z</w:t>
      </w:r>
      <w:r>
        <w:rPr>
          <w:rFonts w:ascii="Arial" w:hAnsi="Arial" w:cs="Arial"/>
        </w:rPr>
        <w:t>ed as described elsewhere</w:t>
      </w:r>
      <w:r w:rsidR="00F365AF">
        <w:rPr>
          <w:rFonts w:ascii="Arial" w:hAnsi="Arial" w:cs="Arial"/>
        </w:rPr>
        <w:t>.</w:t>
      </w:r>
      <w:r w:rsidR="001124A9">
        <w:rPr>
          <w:rFonts w:ascii="Arial" w:hAnsi="Arial" w:cs="Arial"/>
        </w:rPr>
        <w:fldChar w:fldCharType="begin" w:fldLock="1"/>
      </w:r>
      <w:r w:rsidR="000B745C">
        <w:rPr>
          <w:rFonts w:ascii="Arial" w:hAnsi="Arial" w:cs="Arial"/>
        </w:rPr>
        <w:instrText>ADDIN CSL_CITATION { "citationItems" : [ { "id" : "ITEM-1", "itemData" : { "ISSN" : "1099-0682", "author" : [ { "dropping-particle" : "", "family" : "Rademacher", "given" : "Andreas", "non-dropping-particle" : "", "parse-names" : false, "suffix" : "" }, { "dropping-particle" : "", "family" : "M\u00e4rkle", "given" : "Suse", "non-dropping-particle" : "", "parse-names" : false, "suffix" : "" }, { "dropping-particle" : "", "family" : "Langhals", "given" : "Heinz", "non-dropping-particle" : "", "parse-names" : false, "suffix" : "" } ], "container-title" : "Chemische Berichte", "id" : "ITEM-1", "issue" : "8", "issued" : { "date-parts" : [ [ "1982" ] ] }, "page" : "2927-2934", "publisher" : "Wiley Online Library", "title" : "L\u00f6sliche Perylen\u2010Fluoreszenzfarbstoffe mit hoher Photostabilit\u00e4t", "type" : "article-journal", "volume" : "115" }, "uris" : [ "http://www.mendeley.com/documents/?uuid=b9ab14a6-e46a-440d-bfc9-2b4622d19214" ] } ], "mendeley" : { "formattedCitation" : "&lt;sup&gt;23&lt;/sup&gt;", "plainTextFormattedCitation" : "23", "previouslyFormattedCitation" : "&lt;sup&gt;23&lt;/sup&gt;" }, "properties" : { "noteIndex" : 0 }, "schema" : "https://github.com/citation-style-language/schema/raw/master/csl-citation.json" }</w:instrText>
      </w:r>
      <w:r w:rsidR="001124A9">
        <w:rPr>
          <w:rFonts w:ascii="Arial" w:hAnsi="Arial" w:cs="Arial"/>
        </w:rPr>
        <w:fldChar w:fldCharType="separate"/>
      </w:r>
      <w:r w:rsidR="000903BD" w:rsidRPr="000903BD">
        <w:rPr>
          <w:rFonts w:ascii="Arial" w:hAnsi="Arial" w:cs="Arial"/>
          <w:noProof/>
          <w:vertAlign w:val="superscript"/>
        </w:rPr>
        <w:t>23</w:t>
      </w:r>
      <w:r w:rsidR="001124A9">
        <w:rPr>
          <w:rFonts w:ascii="Arial" w:hAnsi="Arial" w:cs="Arial"/>
        </w:rPr>
        <w:fldChar w:fldCharType="end"/>
      </w:r>
      <w:r>
        <w:rPr>
          <w:rFonts w:ascii="Arial" w:hAnsi="Arial" w:cs="Arial"/>
        </w:rPr>
        <w:t xml:space="preserve"> </w:t>
      </w:r>
      <w:r w:rsidR="003C5674" w:rsidRPr="00A75E53">
        <w:rPr>
          <w:rFonts w:ascii="Arial" w:hAnsi="Arial" w:cs="Arial"/>
        </w:rPr>
        <w:t>The films were deposited from 2 wt</w:t>
      </w:r>
      <w:r w:rsidR="00E93431">
        <w:rPr>
          <w:rFonts w:ascii="Arial" w:hAnsi="Arial" w:cs="Arial"/>
        </w:rPr>
        <w:t>.</w:t>
      </w:r>
      <w:r w:rsidR="003C5674" w:rsidRPr="00A75E53">
        <w:rPr>
          <w:rFonts w:ascii="Arial" w:hAnsi="Arial" w:cs="Arial"/>
        </w:rPr>
        <w:t>% xylene solution at 1:3 ratio</w:t>
      </w:r>
      <w:r w:rsidR="00336E5E" w:rsidRPr="00A75E53">
        <w:rPr>
          <w:rFonts w:ascii="Arial" w:hAnsi="Arial" w:cs="Arial"/>
        </w:rPr>
        <w:t xml:space="preserve"> of PDI to PFO</w:t>
      </w:r>
      <w:r w:rsidR="003C5674" w:rsidRPr="00A75E53">
        <w:rPr>
          <w:rFonts w:ascii="Arial" w:hAnsi="Arial" w:cs="Arial"/>
        </w:rPr>
        <w:t>. PFO has shown to be poorly soluble in xylene, so solutions were heated to 80 °C and deposited from hot solution by doctor bla</w:t>
      </w:r>
      <w:r w:rsidR="00336E5E" w:rsidRPr="00A75E53">
        <w:rPr>
          <w:rFonts w:ascii="Arial" w:hAnsi="Arial" w:cs="Arial"/>
        </w:rPr>
        <w:t>ding at different blade speeds</w:t>
      </w:r>
      <w:r w:rsidR="00A905A9">
        <w:rPr>
          <w:rFonts w:ascii="Arial" w:hAnsi="Arial" w:cs="Arial"/>
        </w:rPr>
        <w:t xml:space="preserve">, as </w:t>
      </w:r>
      <w:r w:rsidR="00320B88">
        <w:rPr>
          <w:rFonts w:ascii="Arial" w:hAnsi="Arial" w:cs="Arial"/>
        </w:rPr>
        <w:t xml:space="preserve">shown </w:t>
      </w:r>
      <w:r w:rsidR="00A905A9">
        <w:rPr>
          <w:rFonts w:ascii="Arial" w:hAnsi="Arial" w:cs="Arial"/>
        </w:rPr>
        <w:t>in</w:t>
      </w:r>
      <w:r w:rsidR="00320B88">
        <w:rPr>
          <w:rFonts w:ascii="Arial" w:hAnsi="Arial" w:cs="Arial"/>
        </w:rPr>
        <w:t xml:space="preserve"> the</w:t>
      </w:r>
      <w:r w:rsidR="00A905A9">
        <w:rPr>
          <w:rFonts w:ascii="Arial" w:hAnsi="Arial" w:cs="Arial"/>
        </w:rPr>
        <w:t xml:space="preserve"> Supporting Information</w:t>
      </w:r>
      <w:r w:rsidR="00336E5E" w:rsidRPr="00A75E53">
        <w:rPr>
          <w:rFonts w:ascii="Arial" w:hAnsi="Arial" w:cs="Arial"/>
        </w:rPr>
        <w:t>.</w:t>
      </w:r>
      <w:r w:rsidR="003C5674" w:rsidRPr="00A75E53">
        <w:rPr>
          <w:rFonts w:ascii="Arial" w:hAnsi="Arial" w:cs="Arial"/>
        </w:rPr>
        <w:t xml:space="preserve"> The PDI reference was deposited </w:t>
      </w:r>
      <w:r w:rsidR="00336E5E" w:rsidRPr="00A75E53">
        <w:rPr>
          <w:rFonts w:ascii="Arial" w:hAnsi="Arial" w:cs="Arial"/>
        </w:rPr>
        <w:t>as a blend with polystyrene of 3:1</w:t>
      </w:r>
      <w:r w:rsidR="003C5674" w:rsidRPr="00A75E53">
        <w:rPr>
          <w:rFonts w:ascii="Arial" w:hAnsi="Arial" w:cs="Arial"/>
        </w:rPr>
        <w:t xml:space="preserve"> PS:PDI ratio. </w:t>
      </w:r>
      <w:r w:rsidR="00DA3FE5" w:rsidRPr="00DA3FE5">
        <w:rPr>
          <w:rFonts w:ascii="Arial" w:hAnsi="Arial" w:cs="Arial"/>
        </w:rPr>
        <w:t xml:space="preserve">Polystyrene was chosen as a photophysically inert polymer matrix that enabled processing conditions of the PDI to be similar to those in the PDI:PFO blend, whilst omitting the strongly interacting species. Due to significantly lower viscosities and therefore higher evaporation rates, blade-coating without a matrix polymer species generated highly inhomogeneous PDI crystals due to the deeper quench through the phase diagram. GIWAXS data </w:t>
      </w:r>
      <w:r w:rsidR="00F120A6">
        <w:rPr>
          <w:rFonts w:ascii="Arial" w:hAnsi="Arial" w:cs="Arial"/>
        </w:rPr>
        <w:t xml:space="preserve">(see ESI, part </w:t>
      </w:r>
      <w:r w:rsidR="00E34B8D">
        <w:rPr>
          <w:rFonts w:ascii="Arial" w:hAnsi="Arial" w:cs="Arial"/>
        </w:rPr>
        <w:t>I</w:t>
      </w:r>
      <w:r w:rsidR="00F120A6">
        <w:rPr>
          <w:rFonts w:ascii="Arial" w:hAnsi="Arial" w:cs="Arial"/>
        </w:rPr>
        <w:t xml:space="preserve">) </w:t>
      </w:r>
      <w:r w:rsidR="00DA3FE5" w:rsidRPr="00DA3FE5">
        <w:rPr>
          <w:rFonts w:ascii="Arial" w:hAnsi="Arial" w:cs="Arial"/>
        </w:rPr>
        <w:t>confirmed that PDI:PS blend had the same features as pure PDI crystals, however, allowed less scattering and thus much better transient absorption signal.</w:t>
      </w:r>
      <w:r w:rsidR="00A56970">
        <w:rPr>
          <w:rFonts w:ascii="Arial" w:hAnsi="Arial" w:cs="Arial"/>
        </w:rPr>
        <w:t xml:space="preserve"> </w:t>
      </w:r>
      <w:r w:rsidR="00D3640C">
        <w:rPr>
          <w:rFonts w:ascii="Arial" w:hAnsi="Arial" w:cs="Arial"/>
        </w:rPr>
        <w:t>For absorbance studies nanocrystals were obtained by dissolving PDI in 1 part</w:t>
      </w:r>
      <w:r w:rsidR="00A56970">
        <w:rPr>
          <w:rFonts w:ascii="Arial" w:hAnsi="Arial" w:cs="Arial"/>
        </w:rPr>
        <w:t xml:space="preserve"> of</w:t>
      </w:r>
      <w:r w:rsidR="00D3640C">
        <w:rPr>
          <w:rFonts w:ascii="Arial" w:hAnsi="Arial" w:cs="Arial"/>
        </w:rPr>
        <w:t xml:space="preserve"> toluene and mixing it with 99 part</w:t>
      </w:r>
      <w:r w:rsidR="00320B88">
        <w:rPr>
          <w:rFonts w:ascii="Arial" w:hAnsi="Arial" w:cs="Arial"/>
        </w:rPr>
        <w:t>s</w:t>
      </w:r>
      <w:r w:rsidR="00D3640C">
        <w:rPr>
          <w:rFonts w:ascii="Arial" w:hAnsi="Arial" w:cs="Arial"/>
        </w:rPr>
        <w:t xml:space="preserve"> acetone</w:t>
      </w:r>
      <w:r w:rsidR="00320B88">
        <w:rPr>
          <w:rFonts w:ascii="Arial" w:hAnsi="Arial" w:cs="Arial"/>
        </w:rPr>
        <w:t xml:space="preserve"> (by volume)</w:t>
      </w:r>
      <w:r w:rsidR="00D3640C">
        <w:rPr>
          <w:rFonts w:ascii="Arial" w:hAnsi="Arial" w:cs="Arial"/>
        </w:rPr>
        <w:t>; solution studies were done in toluene.</w:t>
      </w:r>
    </w:p>
    <w:p w14:paraId="32E49E1E" w14:textId="3DE31941" w:rsidR="00D24778" w:rsidRPr="00A75E53" w:rsidRDefault="00F54654" w:rsidP="00E74311">
      <w:pPr>
        <w:tabs>
          <w:tab w:val="left" w:pos="0"/>
        </w:tabs>
        <w:spacing w:line="360" w:lineRule="auto"/>
        <w:jc w:val="both"/>
        <w:rPr>
          <w:rFonts w:ascii="Arial" w:hAnsi="Arial" w:cs="Arial"/>
        </w:rPr>
      </w:pPr>
      <w:r w:rsidRPr="000D2676">
        <w:rPr>
          <w:rFonts w:ascii="Arial" w:hAnsi="Arial" w:cs="Arial"/>
          <w:i/>
        </w:rPr>
        <w:t>Fluorescence microscopy</w:t>
      </w:r>
      <w:r w:rsidRPr="00A75E53">
        <w:rPr>
          <w:rFonts w:ascii="Arial" w:hAnsi="Arial" w:cs="Arial"/>
        </w:rPr>
        <w:t xml:space="preserve"> images where taken using a Nikon Eclipse episcopic microscope under either fluorescence (UV2A beamcube) or crossed polarised illumination conditions, utilising a Nikon x10 objective coupled with a Cannon EOS camera (</w:t>
      </w:r>
      <w:r w:rsidR="00161291">
        <w:rPr>
          <w:rFonts w:ascii="Arial" w:hAnsi="Arial" w:cs="Arial"/>
        </w:rPr>
        <w:t xml:space="preserve">field of view: </w:t>
      </w:r>
      <w:r w:rsidRPr="00A75E53">
        <w:rPr>
          <w:rFonts w:ascii="Arial" w:hAnsi="Arial" w:cs="Arial"/>
        </w:rPr>
        <w:t>208.8 x 150 μm).</w:t>
      </w:r>
      <w:r w:rsidRPr="000D2676">
        <w:rPr>
          <w:rFonts w:ascii="Arial" w:hAnsi="Arial" w:cs="Arial"/>
          <w:i/>
        </w:rPr>
        <w:t xml:space="preserve"> </w:t>
      </w:r>
      <w:r w:rsidR="00BB1797" w:rsidRPr="000D2676">
        <w:rPr>
          <w:rFonts w:ascii="Arial" w:hAnsi="Arial" w:cs="Arial"/>
          <w:i/>
        </w:rPr>
        <w:t>Absorbance</w:t>
      </w:r>
      <w:r w:rsidR="00BB1797" w:rsidRPr="000D2676">
        <w:rPr>
          <w:rFonts w:ascii="Arial" w:hAnsi="Arial" w:cs="Arial"/>
        </w:rPr>
        <w:t xml:space="preserve"> measurements were performed using a Cary 5000 (Varian) ultraviolet-visibile (UV–Vis) spectrometer. </w:t>
      </w:r>
      <w:r w:rsidR="00BB1797" w:rsidRPr="00A75E53">
        <w:rPr>
          <w:rFonts w:ascii="Arial" w:hAnsi="Arial" w:cs="Arial"/>
          <w:i/>
        </w:rPr>
        <w:t>Fluorescence</w:t>
      </w:r>
      <w:r w:rsidR="00BB1797" w:rsidRPr="00A75E53">
        <w:rPr>
          <w:rFonts w:ascii="Arial" w:hAnsi="Arial" w:cs="Arial"/>
        </w:rPr>
        <w:t xml:space="preserve"> measurements were performed using Varian Cary Eclipse fluorometer. </w:t>
      </w:r>
      <w:r w:rsidR="00BB1797" w:rsidRPr="000D2676">
        <w:rPr>
          <w:rFonts w:ascii="Arial" w:hAnsi="Arial" w:cs="Arial"/>
          <w:i/>
        </w:rPr>
        <w:t>Grazing Incidence Wide Angle Scattering (GIWAXS)</w:t>
      </w:r>
      <w:r w:rsidR="00BB1797" w:rsidRPr="00A75E53">
        <w:rPr>
          <w:rFonts w:ascii="Arial" w:hAnsi="Arial" w:cs="Arial"/>
        </w:rPr>
        <w:t xml:space="preserve"> </w:t>
      </w:r>
      <w:r w:rsidRPr="00A75E53">
        <w:rPr>
          <w:rFonts w:ascii="Arial" w:hAnsi="Arial" w:cs="Arial"/>
        </w:rPr>
        <w:t xml:space="preserve">was performed </w:t>
      </w:r>
      <w:r w:rsidR="00BB1797" w:rsidRPr="00A75E53">
        <w:rPr>
          <w:rFonts w:ascii="Arial" w:hAnsi="Arial" w:cs="Arial"/>
        </w:rPr>
        <w:t>on I07 (λ = 0.992 Å, using a Pilatus 2M 1475 × 1679 pixel detector with pixel size 172 μm)</w:t>
      </w:r>
      <w:r w:rsidR="0086325C">
        <w:rPr>
          <w:rFonts w:ascii="Arial" w:hAnsi="Arial" w:cs="Arial"/>
        </w:rPr>
        <w:fldChar w:fldCharType="begin" w:fldLock="1"/>
      </w:r>
      <w:r w:rsidR="000B745C">
        <w:rPr>
          <w:rFonts w:ascii="Arial" w:hAnsi="Arial" w:cs="Arial"/>
        </w:rPr>
        <w:instrText>ADDIN CSL_CITATION { "citationItems" : [ { "id" : "ITEM-1", "itemData" : { "ISSN" : "1600-5775", "author" : [ { "dropping-particle" : "", "family" : "Nicklin", "given" : "Chris", "non-dropping-particle" : "", "parse-names" : false, "suffix" : "" }, { "dropping-particle" : "", "family" : "Arnold", "given" : "Tom", "non-dropping-particle" : "", "parse-names" : false, "suffix" : "" }, { "dropping-particle" : "", "family" : "Rawle", "given" : "Jonathan", "non-dropping-particle" : "", "parse-names" : false, "suffix" : "" }, { "dropping-particle" : "", "family" : "Warne", "given" : "Adam", "non-dropping-particle" : "", "parse-names" : false, "suffix" : "" } ], "container-title" : "Journal of synchrotron radiation", "id" : "ITEM-1", "issue" : "5", "issued" : { "date-parts" : [ [ "2016" ] ] }, "page" : "1245-1253", "publisher" : "International Union of Crystallography", "title" : "Diamond beamline I07: a beamline for surface and interface diffraction", "type" : "article-journal", "volume" : "23" }, "uris" : [ "http://www.mendeley.com/documents/?uuid=cda9d5ed-596a-471d-b4a7-f44c1655c28c" ] } ], "mendeley" : { "formattedCitation" : "&lt;sup&gt;24&lt;/sup&gt;", "plainTextFormattedCitation" : "24", "previouslyFormattedCitation" : "&lt;sup&gt;24&lt;/sup&gt;" }, "properties" : { "noteIndex" : 0 }, "schema" : "https://github.com/citation-style-language/schema/raw/master/csl-citation.json" }</w:instrText>
      </w:r>
      <w:r w:rsidR="0086325C">
        <w:rPr>
          <w:rFonts w:ascii="Arial" w:hAnsi="Arial" w:cs="Arial"/>
        </w:rPr>
        <w:fldChar w:fldCharType="separate"/>
      </w:r>
      <w:r w:rsidR="000903BD" w:rsidRPr="000903BD">
        <w:rPr>
          <w:rFonts w:ascii="Arial" w:hAnsi="Arial" w:cs="Arial"/>
          <w:noProof/>
          <w:vertAlign w:val="superscript"/>
        </w:rPr>
        <w:t>24</w:t>
      </w:r>
      <w:r w:rsidR="0086325C">
        <w:rPr>
          <w:rFonts w:ascii="Arial" w:hAnsi="Arial" w:cs="Arial"/>
        </w:rPr>
        <w:fldChar w:fldCharType="end"/>
      </w:r>
      <w:r w:rsidR="00BB1797" w:rsidRPr="00A75E53">
        <w:rPr>
          <w:rFonts w:ascii="Arial" w:hAnsi="Arial" w:cs="Arial"/>
        </w:rPr>
        <w:t xml:space="preserve"> at the Diamond Light Source, Rutherford, UK.  </w:t>
      </w:r>
      <w:r w:rsidRPr="00A75E53">
        <w:rPr>
          <w:rFonts w:ascii="Arial" w:hAnsi="Arial" w:cs="Arial"/>
        </w:rPr>
        <w:t>The</w:t>
      </w:r>
      <w:r w:rsidR="001A4B28">
        <w:rPr>
          <w:rFonts w:ascii="Arial" w:hAnsi="Arial" w:cs="Arial"/>
        </w:rPr>
        <w:t xml:space="preserve"> </w:t>
      </w:r>
      <w:r w:rsidR="00422941">
        <w:rPr>
          <w:rFonts w:ascii="Arial" w:hAnsi="Arial" w:cs="Arial"/>
        </w:rPr>
        <w:t xml:space="preserve">maximum resolution (scattering vector, </w:t>
      </w:r>
      <w:r w:rsidRPr="00A75E53">
        <w:rPr>
          <w:rFonts w:ascii="Arial" w:hAnsi="Arial" w:cs="Arial"/>
        </w:rPr>
        <w:t>q max</w:t>
      </w:r>
      <w:r w:rsidR="00422941">
        <w:rPr>
          <w:rFonts w:ascii="Arial" w:hAnsi="Arial" w:cs="Arial"/>
        </w:rPr>
        <w:t>)</w:t>
      </w:r>
      <w:r w:rsidRPr="00A75E53">
        <w:rPr>
          <w:rFonts w:ascii="Arial" w:hAnsi="Arial" w:cs="Arial"/>
        </w:rPr>
        <w:t xml:space="preserve"> of the detector was determined as </w:t>
      </w:r>
      <w:r w:rsidRPr="000A4291">
        <w:rPr>
          <w:rFonts w:ascii="Arial" w:hAnsi="Arial" w:cs="Arial"/>
          <w:i/>
        </w:rPr>
        <w:t>q</w:t>
      </w:r>
      <w:r w:rsidRPr="000A4291">
        <w:rPr>
          <w:rFonts w:ascii="Arial" w:hAnsi="Arial" w:cs="Arial"/>
          <w:vertAlign w:val="subscript"/>
        </w:rPr>
        <w:t>xy</w:t>
      </w:r>
      <w:r w:rsidRPr="00A75E53">
        <w:rPr>
          <w:rFonts w:ascii="Arial" w:hAnsi="Arial" w:cs="Arial"/>
        </w:rPr>
        <w:t xml:space="preserve"> = 35.6 nm</w:t>
      </w:r>
      <w:r w:rsidRPr="00A75E53">
        <w:rPr>
          <w:rFonts w:ascii="Arial" w:hAnsi="Arial" w:cs="Arial"/>
          <w:vertAlign w:val="superscript"/>
        </w:rPr>
        <w:t>–1</w:t>
      </w:r>
      <w:r w:rsidRPr="00A75E53">
        <w:rPr>
          <w:rFonts w:ascii="Arial" w:hAnsi="Arial" w:cs="Arial"/>
        </w:rPr>
        <w:t xml:space="preserve"> and </w:t>
      </w:r>
      <w:r w:rsidRPr="000A4291">
        <w:rPr>
          <w:rFonts w:ascii="Arial" w:hAnsi="Arial" w:cs="Arial"/>
          <w:i/>
        </w:rPr>
        <w:t>q</w:t>
      </w:r>
      <w:r w:rsidRPr="000A4291">
        <w:rPr>
          <w:rFonts w:ascii="Arial" w:hAnsi="Arial" w:cs="Arial"/>
          <w:vertAlign w:val="subscript"/>
        </w:rPr>
        <w:t>z</w:t>
      </w:r>
      <w:r w:rsidRPr="00A75E53">
        <w:rPr>
          <w:rFonts w:ascii="Arial" w:hAnsi="Arial" w:cs="Arial"/>
        </w:rPr>
        <w:t xml:space="preserve"> = 40.5 nm</w:t>
      </w:r>
      <w:r w:rsidRPr="00A75E53">
        <w:rPr>
          <w:rFonts w:ascii="Arial" w:hAnsi="Arial" w:cs="Arial"/>
          <w:vertAlign w:val="superscript"/>
        </w:rPr>
        <w:t>–1</w:t>
      </w:r>
      <w:r w:rsidRPr="00A75E53">
        <w:rPr>
          <w:rFonts w:ascii="Arial" w:hAnsi="Arial" w:cs="Arial"/>
        </w:rPr>
        <w:t xml:space="preserve"> using a silver behenate standard.</w:t>
      </w:r>
      <w:r w:rsidR="0086325C" w:rsidRPr="000A4291">
        <w:rPr>
          <w:rFonts w:ascii="Arial" w:hAnsi="Arial" w:cs="Arial"/>
        </w:rPr>
        <w:t xml:space="preserve"> </w:t>
      </w:r>
      <w:r w:rsidRPr="00A75E53">
        <w:rPr>
          <w:rFonts w:ascii="Arial" w:hAnsi="Arial" w:cs="Arial"/>
        </w:rPr>
        <w:t xml:space="preserve"> </w:t>
      </w:r>
    </w:p>
    <w:p w14:paraId="3E5CDAB1" w14:textId="77777777" w:rsidR="00A2463D" w:rsidRPr="00A75E53" w:rsidRDefault="00A2463D" w:rsidP="00D467BD">
      <w:pPr>
        <w:shd w:val="clear" w:color="auto" w:fill="FFFFFF"/>
        <w:spacing w:line="360" w:lineRule="auto"/>
        <w:jc w:val="both"/>
        <w:rPr>
          <w:rFonts w:ascii="Arial" w:eastAsia="Times New Roman" w:hAnsi="Arial" w:cs="Arial"/>
          <w:color w:val="222222"/>
        </w:rPr>
      </w:pPr>
      <w:r w:rsidRPr="00A75E53">
        <w:rPr>
          <w:rFonts w:ascii="Arial" w:eastAsia="Times New Roman" w:hAnsi="Arial" w:cs="Arial"/>
          <w:i/>
          <w:color w:val="222222"/>
        </w:rPr>
        <w:lastRenderedPageBreak/>
        <w:t>Transient absorption (TA) spectroscopy</w:t>
      </w:r>
      <w:r w:rsidRPr="00A75E53">
        <w:rPr>
          <w:rFonts w:ascii="Arial" w:eastAsia="Times New Roman" w:hAnsi="Arial" w:cs="Arial"/>
          <w:color w:val="222222"/>
        </w:rPr>
        <w:t xml:space="preserve"> was </w:t>
      </w:r>
      <w:r w:rsidRPr="00A75E53">
        <w:rPr>
          <w:rFonts w:ascii="Arial" w:eastAsia="Times New Roman" w:hAnsi="Arial" w:cs="Arial"/>
          <w:noProof/>
          <w:color w:val="222222"/>
        </w:rPr>
        <w:t xml:space="preserve">carried out using </w:t>
      </w:r>
      <w:r w:rsidRPr="00A75E53">
        <w:rPr>
          <w:rFonts w:ascii="Arial" w:eastAsia="Times New Roman" w:hAnsi="Arial" w:cs="Arial"/>
          <w:color w:val="222222"/>
        </w:rPr>
        <w:t xml:space="preserve">a home-built pump-probe setup. Two different configurations of the setup were used for either short delay, namely 100 fs to 8 ns experiments, or long delay, namely </w:t>
      </w:r>
      <w:r w:rsidRPr="00A75E53">
        <w:rPr>
          <w:rFonts w:ascii="Arial" w:eastAsia="Times New Roman" w:hAnsi="Arial" w:cs="Arial"/>
          <w:noProof/>
          <w:color w:val="222222"/>
        </w:rPr>
        <w:t>1</w:t>
      </w:r>
      <w:r w:rsidRPr="00A75E53">
        <w:rPr>
          <w:rFonts w:ascii="Arial" w:eastAsia="Times New Roman" w:hAnsi="Arial" w:cs="Arial"/>
          <w:color w:val="222222"/>
        </w:rPr>
        <w:t xml:space="preserve"> ns to </w:t>
      </w:r>
      <w:bookmarkStart w:id="1" w:name="m_8271932677960166493_OLE_LINK7"/>
      <w:r w:rsidRPr="00A75E53">
        <w:rPr>
          <w:rFonts w:ascii="Arial" w:eastAsia="Times New Roman" w:hAnsi="Arial" w:cs="Arial"/>
          <w:color w:val="222222"/>
        </w:rPr>
        <w:t>300 </w:t>
      </w:r>
      <w:bookmarkEnd w:id="1"/>
      <w:r w:rsidRPr="00A75E53">
        <w:rPr>
          <w:rFonts w:ascii="Arial" w:eastAsia="Times New Roman" w:hAnsi="Arial" w:cs="Arial"/>
          <w:color w:val="222222"/>
        </w:rPr>
        <w:t>μs delays, as described below:</w:t>
      </w:r>
    </w:p>
    <w:p w14:paraId="0B3E9B5C" w14:textId="10289906" w:rsidR="00A2463D" w:rsidRPr="00A75E53" w:rsidRDefault="00A2463D" w:rsidP="00D74310">
      <w:pPr>
        <w:shd w:val="clear" w:color="auto" w:fill="FFFFFF"/>
        <w:spacing w:line="360" w:lineRule="auto"/>
        <w:jc w:val="both"/>
        <w:rPr>
          <w:rFonts w:ascii="Arial" w:eastAsia="Times New Roman" w:hAnsi="Arial" w:cs="Arial"/>
          <w:color w:val="222222"/>
        </w:rPr>
      </w:pPr>
      <w:r w:rsidRPr="00A75E53">
        <w:rPr>
          <w:rFonts w:ascii="Arial" w:eastAsia="Times New Roman" w:hAnsi="Arial" w:cs="Arial"/>
          <w:color w:val="222222"/>
        </w:rPr>
        <w:t xml:space="preserve">The output of </w:t>
      </w:r>
      <w:r w:rsidRPr="00A75E53">
        <w:rPr>
          <w:rFonts w:ascii="Arial" w:eastAsia="Times New Roman" w:hAnsi="Arial" w:cs="Arial"/>
          <w:noProof/>
          <w:color w:val="222222"/>
        </w:rPr>
        <w:t>a titanium:sapphire</w:t>
      </w:r>
      <w:r w:rsidRPr="00A75E53">
        <w:rPr>
          <w:rFonts w:ascii="Arial" w:eastAsia="Times New Roman" w:hAnsi="Arial" w:cs="Arial"/>
          <w:color w:val="222222"/>
        </w:rPr>
        <w:t xml:space="preserve"> amplifier (Coherent LEGEND DUO, 4.5 mJ, 3 kHz, 100 fs) </w:t>
      </w:r>
      <w:r w:rsidRPr="00A75E53">
        <w:rPr>
          <w:rFonts w:ascii="Arial" w:eastAsia="Times New Roman" w:hAnsi="Arial" w:cs="Arial"/>
          <w:noProof/>
          <w:color w:val="222222"/>
        </w:rPr>
        <w:t>was split</w:t>
      </w:r>
      <w:r w:rsidRPr="00A75E53">
        <w:rPr>
          <w:rFonts w:ascii="Arial" w:eastAsia="Times New Roman" w:hAnsi="Arial" w:cs="Arial"/>
          <w:color w:val="222222"/>
        </w:rPr>
        <w:t xml:space="preserve"> into three beams (2 mJ, </w:t>
      </w:r>
      <w:r w:rsidRPr="00A75E53">
        <w:rPr>
          <w:rFonts w:ascii="Arial" w:eastAsia="Times New Roman" w:hAnsi="Arial" w:cs="Arial"/>
          <w:noProof/>
          <w:color w:val="222222"/>
        </w:rPr>
        <w:t>1</w:t>
      </w:r>
      <w:r w:rsidRPr="00A75E53">
        <w:rPr>
          <w:rFonts w:ascii="Arial" w:eastAsia="Times New Roman" w:hAnsi="Arial" w:cs="Arial"/>
          <w:color w:val="222222"/>
        </w:rPr>
        <w:t xml:space="preserve"> mJ, and 1.5 mJ). Two of them were used to separately pump two optical parametric amplifiers (OPA) (Light Conversion TOPAS Prime). The TOPAS 1 generates tunable pump pulses, while the </w:t>
      </w:r>
      <w:r w:rsidRPr="00A75E53">
        <w:rPr>
          <w:rFonts w:ascii="Arial" w:eastAsia="Times New Roman" w:hAnsi="Arial" w:cs="Arial"/>
          <w:noProof/>
          <w:color w:val="222222"/>
        </w:rPr>
        <w:t>TOPAS 2</w:t>
      </w:r>
      <w:r w:rsidRPr="00A75E53">
        <w:rPr>
          <w:rFonts w:ascii="Arial" w:eastAsia="Times New Roman" w:hAnsi="Arial" w:cs="Arial"/>
          <w:color w:val="222222"/>
        </w:rPr>
        <w:t xml:space="preserve"> generates </w:t>
      </w:r>
      <w:r w:rsidRPr="00A75E53">
        <w:rPr>
          <w:rFonts w:ascii="Arial" w:eastAsia="Times New Roman" w:hAnsi="Arial" w:cs="Arial"/>
          <w:noProof/>
          <w:color w:val="222222"/>
        </w:rPr>
        <w:t>signal</w:t>
      </w:r>
      <w:r w:rsidRPr="00A75E53">
        <w:rPr>
          <w:rFonts w:ascii="Arial" w:eastAsia="Times New Roman" w:hAnsi="Arial" w:cs="Arial"/>
          <w:color w:val="222222"/>
        </w:rPr>
        <w:t xml:space="preserve"> (1300 nm) and idler (2000 nm) only.</w:t>
      </w:r>
      <w:r w:rsidR="00D73195" w:rsidRPr="00D73195">
        <w:rPr>
          <w:rFonts w:ascii="Arial" w:eastAsia="Times New Roman" w:hAnsi="Arial" w:cs="Arial"/>
          <w:noProof/>
          <w:color w:val="222222"/>
        </w:rPr>
        <w:t xml:space="preserve"> </w:t>
      </w:r>
      <w:r w:rsidR="00D73195" w:rsidRPr="00A75E53">
        <w:rPr>
          <w:rFonts w:ascii="Arial" w:eastAsia="Times New Roman" w:hAnsi="Arial" w:cs="Arial"/>
          <w:noProof/>
          <w:color w:val="222222"/>
        </w:rPr>
        <w:t xml:space="preserve">For measuring TA </w:t>
      </w:r>
      <w:r w:rsidR="00320B88">
        <w:rPr>
          <w:rFonts w:ascii="Arial" w:eastAsia="Times New Roman" w:hAnsi="Arial" w:cs="Arial"/>
          <w:noProof/>
          <w:color w:val="222222"/>
        </w:rPr>
        <w:t xml:space="preserve">across the </w:t>
      </w:r>
      <w:r w:rsidR="00D73195" w:rsidRPr="00A75E53">
        <w:rPr>
          <w:rFonts w:ascii="Arial" w:eastAsia="Times New Roman" w:hAnsi="Arial" w:cs="Arial"/>
          <w:noProof/>
          <w:color w:val="222222"/>
        </w:rPr>
        <w:t>whole visible range,</w:t>
      </w:r>
      <w:r w:rsidR="00C24059">
        <w:rPr>
          <w:rFonts w:ascii="Arial" w:eastAsia="Times New Roman" w:hAnsi="Arial" w:cs="Arial"/>
          <w:noProof/>
          <w:color w:val="222222"/>
        </w:rPr>
        <w:t xml:space="preserve"> the</w:t>
      </w:r>
      <w:r w:rsidR="00D73195" w:rsidRPr="00A75E53">
        <w:rPr>
          <w:rFonts w:ascii="Arial" w:eastAsia="Times New Roman" w:hAnsi="Arial" w:cs="Arial"/>
          <w:noProof/>
          <w:color w:val="222222"/>
        </w:rPr>
        <w:t xml:space="preserve"> 1300 nm (signal) of TOPAS 2 </w:t>
      </w:r>
      <w:r w:rsidR="00320B88">
        <w:rPr>
          <w:rFonts w:ascii="Arial" w:eastAsia="Times New Roman" w:hAnsi="Arial" w:cs="Arial"/>
          <w:noProof/>
          <w:color w:val="222222"/>
        </w:rPr>
        <w:t xml:space="preserve">was used </w:t>
      </w:r>
      <w:r w:rsidR="00D73195" w:rsidRPr="00A75E53">
        <w:rPr>
          <w:rFonts w:ascii="Arial" w:eastAsia="Times New Roman" w:hAnsi="Arial" w:cs="Arial"/>
          <w:noProof/>
          <w:color w:val="222222"/>
        </w:rPr>
        <w:t>to produce</w:t>
      </w:r>
      <w:r w:rsidR="00C24059">
        <w:rPr>
          <w:rFonts w:ascii="Arial" w:eastAsia="Times New Roman" w:hAnsi="Arial" w:cs="Arial"/>
          <w:noProof/>
          <w:color w:val="222222"/>
        </w:rPr>
        <w:t xml:space="preserve"> a</w:t>
      </w:r>
      <w:r w:rsidR="00D73195" w:rsidRPr="00A75E53">
        <w:rPr>
          <w:rFonts w:ascii="Arial" w:eastAsia="Times New Roman" w:hAnsi="Arial" w:cs="Arial"/>
          <w:noProof/>
          <w:color w:val="222222"/>
        </w:rPr>
        <w:t xml:space="preserve"> white-light super continuum from 350 to 1100 nm</w:t>
      </w:r>
      <w:r w:rsidR="00320B88">
        <w:rPr>
          <w:rFonts w:ascii="Arial" w:eastAsia="Times New Roman" w:hAnsi="Arial" w:cs="Arial"/>
          <w:noProof/>
          <w:color w:val="222222"/>
        </w:rPr>
        <w:t xml:space="preserve">. </w:t>
      </w:r>
      <w:r w:rsidRPr="00A75E53">
        <w:rPr>
          <w:rFonts w:ascii="Arial" w:eastAsia="Times New Roman" w:hAnsi="Arial" w:cs="Arial"/>
          <w:color w:val="222222"/>
        </w:rPr>
        <w:t xml:space="preserve">For short delay TA measurements, the TOPAS 1 </w:t>
      </w:r>
      <w:r w:rsidR="00320B88">
        <w:rPr>
          <w:rFonts w:ascii="Arial" w:eastAsia="Times New Roman" w:hAnsi="Arial" w:cs="Arial"/>
          <w:color w:val="222222"/>
        </w:rPr>
        <w:t xml:space="preserve">was used </w:t>
      </w:r>
      <w:r w:rsidRPr="00A75E53">
        <w:rPr>
          <w:rFonts w:ascii="Arial" w:eastAsia="Times New Roman" w:hAnsi="Arial" w:cs="Arial"/>
          <w:color w:val="222222"/>
        </w:rPr>
        <w:t xml:space="preserve">for producing pump pulses </w:t>
      </w:r>
      <w:r w:rsidRPr="00A75E53">
        <w:rPr>
          <w:rFonts w:ascii="Arial" w:eastAsia="Times New Roman" w:hAnsi="Arial" w:cs="Arial"/>
          <w:noProof/>
          <w:color w:val="222222"/>
        </w:rPr>
        <w:t>while the probe pathway length to the sample was kept constant at approximately 5 meters between the output of the TOPAS1 and the sample</w:t>
      </w:r>
      <w:r w:rsidR="00320B88">
        <w:rPr>
          <w:rFonts w:ascii="Arial" w:eastAsia="Times New Roman" w:hAnsi="Arial" w:cs="Arial"/>
          <w:noProof/>
          <w:color w:val="222222"/>
        </w:rPr>
        <w:t>.</w:t>
      </w:r>
      <w:r w:rsidRPr="00A75E53">
        <w:rPr>
          <w:rFonts w:ascii="Arial" w:eastAsia="Times New Roman" w:hAnsi="Arial" w:cs="Arial"/>
          <w:noProof/>
          <w:color w:val="222222"/>
        </w:rPr>
        <w:t xml:space="preserve"> </w:t>
      </w:r>
      <w:r w:rsidR="00320B88">
        <w:rPr>
          <w:rFonts w:ascii="Arial" w:eastAsia="Times New Roman" w:hAnsi="Arial" w:cs="Arial"/>
          <w:noProof/>
          <w:color w:val="222222"/>
        </w:rPr>
        <w:t>T</w:t>
      </w:r>
      <w:r w:rsidRPr="00A75E53">
        <w:rPr>
          <w:rFonts w:ascii="Arial" w:eastAsia="Times New Roman" w:hAnsi="Arial" w:cs="Arial"/>
          <w:noProof/>
          <w:color w:val="222222"/>
        </w:rPr>
        <w:t xml:space="preserve">he pump pathway length was varied between 5.12 and 2.6 m with a broadband retroreflector mounted on automated mechanical delay stage (Newport linear stage IMS600CCHA controlled by a Newport XPS motion controller), thereby generating delays between pump and probe from -400 ps to 8 ns. </w:t>
      </w:r>
    </w:p>
    <w:p w14:paraId="7BDAD0D7" w14:textId="77777777" w:rsidR="00A2463D" w:rsidRPr="00A75E53" w:rsidRDefault="00A2463D" w:rsidP="00AA616F">
      <w:pPr>
        <w:shd w:val="clear" w:color="auto" w:fill="FFFFFF"/>
        <w:spacing w:line="360" w:lineRule="auto"/>
        <w:jc w:val="both"/>
        <w:rPr>
          <w:rFonts w:ascii="Arial" w:eastAsia="Times New Roman" w:hAnsi="Arial" w:cs="Arial"/>
          <w:color w:val="222222"/>
        </w:rPr>
      </w:pPr>
      <w:r w:rsidRPr="00A75E53">
        <w:rPr>
          <w:rFonts w:ascii="Arial" w:eastAsia="Times New Roman" w:hAnsi="Arial" w:cs="Arial"/>
          <w:noProof/>
          <w:color w:val="222222"/>
        </w:rPr>
        <w:t>For the </w:t>
      </w:r>
      <w:bookmarkStart w:id="2" w:name="m_8271932677960166493_OLE_LINK13"/>
      <w:r w:rsidRPr="00A75E53">
        <w:rPr>
          <w:rFonts w:ascii="Arial" w:eastAsia="Times New Roman" w:hAnsi="Arial" w:cs="Arial"/>
          <w:noProof/>
          <w:color w:val="222222"/>
        </w:rPr>
        <w:t>1 ns to 300 </w:t>
      </w:r>
      <w:bookmarkEnd w:id="2"/>
      <w:r w:rsidRPr="00A75E53">
        <w:rPr>
          <w:rFonts w:ascii="Arial" w:eastAsia="Times New Roman" w:hAnsi="Arial" w:cs="Arial"/>
          <w:noProof/>
          <w:color w:val="222222"/>
        </w:rPr>
        <w:t>μs delay (long delay) TA measurement, the same probe white-light supercontinuum as for the 100 fs to 8 ns delays was used. The excitation light (pump pulse) was provided by an actively Q-switched Nd:YVO4 laser (</w:t>
      </w:r>
      <w:r w:rsidRPr="00A75E53">
        <w:rPr>
          <w:rFonts w:ascii="Arial" w:eastAsia="Times New Roman" w:hAnsi="Arial" w:cs="Arial"/>
          <w:smallCaps/>
          <w:noProof/>
          <w:color w:val="222222"/>
        </w:rPr>
        <w:t>InnoLas</w:t>
      </w:r>
      <w:r w:rsidRPr="00A75E53">
        <w:rPr>
          <w:rFonts w:ascii="Arial" w:eastAsia="Times New Roman" w:hAnsi="Arial" w:cs="Arial"/>
          <w:noProof/>
          <w:color w:val="222222"/>
        </w:rPr>
        <w:t>  picolo AOT) frequency-doubled (tripled) to provide pulses at 532 nm (355 nm), and triggered by an electronic delay generator (Stanford Research Systems DG535), itself triggered by the TTL sync from the Legend DUO, allowing control of the delay between pump and probe with a jitter of roughly 100 ps.</w:t>
      </w:r>
    </w:p>
    <w:p w14:paraId="148ABFB2" w14:textId="0EF1EDB3" w:rsidR="00A2463D" w:rsidRDefault="00A2463D" w:rsidP="00AA616F">
      <w:pPr>
        <w:shd w:val="clear" w:color="auto" w:fill="FFFFFF"/>
        <w:spacing w:line="360" w:lineRule="auto"/>
        <w:jc w:val="both"/>
        <w:rPr>
          <w:rFonts w:ascii="Arial" w:eastAsia="Times New Roman" w:hAnsi="Arial" w:cs="Arial"/>
          <w:color w:val="222222"/>
        </w:rPr>
      </w:pPr>
      <w:r w:rsidRPr="00A75E53">
        <w:rPr>
          <w:rFonts w:ascii="Arial" w:eastAsia="Times New Roman" w:hAnsi="Arial" w:cs="Arial"/>
          <w:color w:val="222222"/>
        </w:rPr>
        <w:t xml:space="preserve">Pump and probe beams </w:t>
      </w:r>
      <w:r w:rsidRPr="00A75E53">
        <w:rPr>
          <w:rFonts w:ascii="Arial" w:eastAsia="Times New Roman" w:hAnsi="Arial" w:cs="Arial"/>
          <w:noProof/>
          <w:color w:val="222222"/>
        </w:rPr>
        <w:t>were focused</w:t>
      </w:r>
      <w:r w:rsidRPr="00A75E53">
        <w:rPr>
          <w:rFonts w:ascii="Arial" w:eastAsia="Times New Roman" w:hAnsi="Arial" w:cs="Arial"/>
          <w:color w:val="222222"/>
        </w:rPr>
        <w:t xml:space="preserve"> on the sample with the aid of proper optics. The transmitted fraction of the white light </w:t>
      </w:r>
      <w:r w:rsidRPr="00A75E53">
        <w:rPr>
          <w:rFonts w:ascii="Arial" w:eastAsia="Times New Roman" w:hAnsi="Arial" w:cs="Arial"/>
          <w:noProof/>
          <w:color w:val="222222"/>
        </w:rPr>
        <w:t>was guided</w:t>
      </w:r>
      <w:r w:rsidRPr="00A75E53">
        <w:rPr>
          <w:rFonts w:ascii="Arial" w:eastAsia="Times New Roman" w:hAnsi="Arial" w:cs="Arial"/>
          <w:color w:val="222222"/>
        </w:rPr>
        <w:t xml:space="preserve"> to a custom-made prism spectrograph (Entwicklungsbüro </w:t>
      </w:r>
      <w:r w:rsidRPr="00A75E53">
        <w:rPr>
          <w:rFonts w:ascii="Arial" w:eastAsia="Times New Roman" w:hAnsi="Arial" w:cs="Arial"/>
          <w:noProof/>
          <w:color w:val="222222"/>
        </w:rPr>
        <w:t>Stresing</w:t>
      </w:r>
      <w:r w:rsidRPr="00A75E53">
        <w:rPr>
          <w:rFonts w:ascii="Arial" w:eastAsia="Times New Roman" w:hAnsi="Arial" w:cs="Arial"/>
          <w:color w:val="222222"/>
        </w:rPr>
        <w:t xml:space="preserve">) where </w:t>
      </w:r>
      <w:r w:rsidRPr="00A75E53">
        <w:rPr>
          <w:rFonts w:ascii="Arial" w:eastAsia="Times New Roman" w:hAnsi="Arial" w:cs="Arial"/>
          <w:noProof/>
          <w:color w:val="222222"/>
        </w:rPr>
        <w:t>it was dispersed by a prism</w:t>
      </w:r>
      <w:r w:rsidRPr="00A75E53">
        <w:rPr>
          <w:rFonts w:ascii="Arial" w:eastAsia="Times New Roman" w:hAnsi="Arial" w:cs="Arial"/>
          <w:color w:val="222222"/>
        </w:rPr>
        <w:t xml:space="preserve"> onto a </w:t>
      </w:r>
      <w:r w:rsidRPr="00A75E53">
        <w:rPr>
          <w:rFonts w:ascii="Arial" w:eastAsia="Times New Roman" w:hAnsi="Arial" w:cs="Arial"/>
          <w:noProof/>
          <w:color w:val="222222"/>
        </w:rPr>
        <w:t>512 pixel</w:t>
      </w:r>
      <w:r w:rsidRPr="00A75E53">
        <w:rPr>
          <w:rFonts w:ascii="Arial" w:eastAsia="Times New Roman" w:hAnsi="Arial" w:cs="Arial"/>
          <w:color w:val="222222"/>
        </w:rPr>
        <w:t xml:space="preserve"> NMOS linear image sensor (</w:t>
      </w:r>
      <w:r w:rsidRPr="00A75E53">
        <w:rPr>
          <w:rFonts w:ascii="Arial" w:eastAsia="Times New Roman" w:hAnsi="Arial" w:cs="Arial"/>
          <w:smallCaps/>
          <w:color w:val="222222"/>
        </w:rPr>
        <w:t>Hamamatsu</w:t>
      </w:r>
      <w:r w:rsidRPr="00A75E53">
        <w:rPr>
          <w:rFonts w:ascii="Arial" w:eastAsia="Times New Roman" w:hAnsi="Arial" w:cs="Arial"/>
          <w:color w:val="222222"/>
        </w:rPr>
        <w:t xml:space="preserve"> S8381-512). The probe pulse repetition rate was 3 kHz, while the excitation pulses were mechanically chopped to 1.5 kHz (100 fs to 8 ns delays) or directly generated at 1.5 kHz (1 ns to </w:t>
      </w:r>
      <w:r w:rsidR="00D73195">
        <w:rPr>
          <w:rFonts w:ascii="Arial" w:eastAsia="Times New Roman" w:hAnsi="Arial" w:cs="Arial"/>
          <w:color w:val="222222"/>
        </w:rPr>
        <w:t>3</w:t>
      </w:r>
      <w:r w:rsidR="00D73195" w:rsidRPr="00A75E53">
        <w:rPr>
          <w:rFonts w:ascii="Arial" w:eastAsia="Times New Roman" w:hAnsi="Arial" w:cs="Arial"/>
          <w:color w:val="222222"/>
        </w:rPr>
        <w:t>00 </w:t>
      </w:r>
      <w:r w:rsidRPr="00A75E53">
        <w:rPr>
          <w:rFonts w:ascii="Arial" w:eastAsia="Times New Roman" w:hAnsi="Arial" w:cs="Arial"/>
          <w:color w:val="222222"/>
        </w:rPr>
        <w:t>μs delays), while the detector array was read out at 3 kHz. Adjacent diode readings corresponding to the transmission of the sample after excitation and in the absence of an excitation pulse were used to calculate ΔT/T. Measurements were averaged over several thousand shots to obtain a good signal-to-noise ratio.</w:t>
      </w:r>
    </w:p>
    <w:p w14:paraId="19ED14D8" w14:textId="481C435A" w:rsidR="00F54654" w:rsidRPr="0044237B" w:rsidRDefault="00F54654" w:rsidP="0044237B">
      <w:pPr>
        <w:pStyle w:val="Heading1"/>
        <w:tabs>
          <w:tab w:val="left" w:pos="0"/>
        </w:tabs>
        <w:spacing w:line="360" w:lineRule="auto"/>
        <w:jc w:val="both"/>
        <w:rPr>
          <w:rFonts w:cs="Arial"/>
          <w:sz w:val="22"/>
          <w:szCs w:val="22"/>
        </w:rPr>
      </w:pPr>
      <w:r w:rsidRPr="0044237B">
        <w:rPr>
          <w:rFonts w:cs="Arial"/>
          <w:color w:val="000000"/>
          <w:szCs w:val="22"/>
        </w:rPr>
        <w:t>Results and discussion</w:t>
      </w:r>
    </w:p>
    <w:p w14:paraId="7C78A2DE" w14:textId="31F7FDC1" w:rsidR="00A877F2" w:rsidRDefault="00A877F2" w:rsidP="00A877F2">
      <w:pPr>
        <w:tabs>
          <w:tab w:val="left" w:pos="0"/>
        </w:tabs>
        <w:spacing w:line="360" w:lineRule="auto"/>
        <w:jc w:val="both"/>
        <w:rPr>
          <w:rFonts w:ascii="Arial" w:hAnsi="Arial" w:cs="Arial"/>
        </w:rPr>
      </w:pPr>
      <w:r w:rsidRPr="007E45AE">
        <w:rPr>
          <w:rFonts w:ascii="Arial" w:hAnsi="Arial" w:cs="Arial"/>
        </w:rPr>
        <w:t xml:space="preserve">In Fig. </w:t>
      </w:r>
      <w:r w:rsidR="004C0D75">
        <w:rPr>
          <w:rFonts w:ascii="Arial" w:hAnsi="Arial" w:cs="Arial"/>
        </w:rPr>
        <w:t>1</w:t>
      </w:r>
      <w:r w:rsidR="006819CA">
        <w:rPr>
          <w:rFonts w:ascii="Arial" w:hAnsi="Arial" w:cs="Arial"/>
        </w:rPr>
        <w:t>b</w:t>
      </w:r>
      <w:r w:rsidRPr="007E45AE">
        <w:rPr>
          <w:rFonts w:ascii="Arial" w:hAnsi="Arial" w:cs="Arial"/>
        </w:rPr>
        <w:t xml:space="preserve">, </w:t>
      </w:r>
      <w:r>
        <w:rPr>
          <w:rFonts w:ascii="Arial" w:hAnsi="Arial" w:cs="Arial"/>
        </w:rPr>
        <w:t>the g</w:t>
      </w:r>
      <w:r w:rsidRPr="007E45AE">
        <w:rPr>
          <w:rFonts w:ascii="Arial" w:hAnsi="Arial" w:cs="Arial"/>
        </w:rPr>
        <w:t xml:space="preserve">round state absorption (GSA) spectra </w:t>
      </w:r>
      <w:r>
        <w:rPr>
          <w:rFonts w:ascii="Arial" w:hAnsi="Arial" w:cs="Arial"/>
        </w:rPr>
        <w:t>are shown</w:t>
      </w:r>
      <w:r w:rsidRPr="007E45AE">
        <w:rPr>
          <w:rFonts w:ascii="Arial" w:hAnsi="Arial" w:cs="Arial"/>
        </w:rPr>
        <w:t xml:space="preserve"> </w:t>
      </w:r>
      <w:r>
        <w:rPr>
          <w:rFonts w:ascii="Arial" w:hAnsi="Arial" w:cs="Arial"/>
        </w:rPr>
        <w:t>for</w:t>
      </w:r>
      <w:r w:rsidRPr="007E45AE">
        <w:rPr>
          <w:rFonts w:ascii="Arial" w:hAnsi="Arial" w:cs="Arial"/>
        </w:rPr>
        <w:t xml:space="preserve"> the blend and </w:t>
      </w:r>
      <w:r>
        <w:rPr>
          <w:rFonts w:ascii="Arial" w:hAnsi="Arial" w:cs="Arial"/>
        </w:rPr>
        <w:t>for</w:t>
      </w:r>
      <w:r w:rsidRPr="007E45AE">
        <w:rPr>
          <w:rFonts w:ascii="Arial" w:hAnsi="Arial" w:cs="Arial"/>
        </w:rPr>
        <w:t xml:space="preserve"> </w:t>
      </w:r>
      <w:r>
        <w:rPr>
          <w:rFonts w:ascii="Arial" w:hAnsi="Arial" w:cs="Arial"/>
        </w:rPr>
        <w:t>pure</w:t>
      </w:r>
      <w:r w:rsidRPr="007E45AE">
        <w:rPr>
          <w:rFonts w:ascii="Arial" w:hAnsi="Arial" w:cs="Arial"/>
        </w:rPr>
        <w:t xml:space="preserve"> PFO film</w:t>
      </w:r>
      <w:r>
        <w:rPr>
          <w:rFonts w:ascii="Arial" w:hAnsi="Arial" w:cs="Arial"/>
        </w:rPr>
        <w:t>s</w:t>
      </w:r>
      <w:r w:rsidRPr="007E45AE">
        <w:rPr>
          <w:rFonts w:ascii="Arial" w:hAnsi="Arial" w:cs="Arial"/>
        </w:rPr>
        <w:t xml:space="preserve"> </w:t>
      </w:r>
      <w:r>
        <w:rPr>
          <w:rFonts w:ascii="Arial" w:hAnsi="Arial" w:cs="Arial"/>
        </w:rPr>
        <w:t>(blue lines)</w:t>
      </w:r>
      <w:r w:rsidR="004C0D75">
        <w:rPr>
          <w:rFonts w:ascii="Arial" w:hAnsi="Arial" w:cs="Arial"/>
        </w:rPr>
        <w:t>, deposited at different blade speeds to ensure that higher shearing force produces more ordered films</w:t>
      </w:r>
      <w:r w:rsidRPr="007E45AE">
        <w:rPr>
          <w:rFonts w:ascii="Arial" w:hAnsi="Arial" w:cs="Arial"/>
        </w:rPr>
        <w:t xml:space="preserve">. Both </w:t>
      </w:r>
      <w:r w:rsidR="004C0D75">
        <w:rPr>
          <w:rFonts w:ascii="Arial" w:hAnsi="Arial" w:cs="Arial"/>
        </w:rPr>
        <w:t xml:space="preserve">the blend and the higher blade speed PFO films </w:t>
      </w:r>
      <w:r w:rsidRPr="007E45AE">
        <w:rPr>
          <w:rFonts w:ascii="Arial" w:hAnsi="Arial" w:cs="Arial"/>
        </w:rPr>
        <w:t>show contributions from the glassy phase of PFO, causing a broad absorption</w:t>
      </w:r>
      <w:r>
        <w:rPr>
          <w:rFonts w:ascii="Arial" w:hAnsi="Arial" w:cs="Arial"/>
        </w:rPr>
        <w:t xml:space="preserve"> band</w:t>
      </w:r>
      <w:r w:rsidRPr="007E45AE">
        <w:rPr>
          <w:rFonts w:ascii="Arial" w:hAnsi="Arial" w:cs="Arial"/>
        </w:rPr>
        <w:t xml:space="preserve"> around 3.2 eV, and a sharp feature at 2.85 eV</w:t>
      </w:r>
      <w:r>
        <w:rPr>
          <w:rFonts w:ascii="Arial" w:hAnsi="Arial" w:cs="Arial"/>
        </w:rPr>
        <w:t xml:space="preserve"> exhibiting vibronic progression, </w:t>
      </w:r>
      <w:r w:rsidRPr="007E45AE">
        <w:rPr>
          <w:rFonts w:ascii="Arial" w:hAnsi="Arial" w:cs="Arial"/>
        </w:rPr>
        <w:t>ascribed to the so-called β</w:t>
      </w:r>
      <w:r>
        <w:rPr>
          <w:rFonts w:ascii="Arial" w:hAnsi="Arial" w:cs="Arial"/>
        </w:rPr>
        <w:t>-</w:t>
      </w:r>
      <w:r w:rsidRPr="007E45AE">
        <w:rPr>
          <w:rFonts w:ascii="Arial" w:hAnsi="Arial" w:cs="Arial"/>
        </w:rPr>
        <w:t>phase</w:t>
      </w:r>
      <w:r w:rsidR="000A3956">
        <w:rPr>
          <w:rFonts w:ascii="Arial" w:hAnsi="Arial" w:cs="Arial"/>
        </w:rPr>
        <w:t xml:space="preserve">, highly organised </w:t>
      </w:r>
      <w:r w:rsidR="000B745C">
        <w:rPr>
          <w:rFonts w:ascii="Arial" w:hAnsi="Arial" w:cs="Arial"/>
        </w:rPr>
        <w:t xml:space="preserve">regions of </w:t>
      </w:r>
      <w:r w:rsidR="000B745C">
        <w:rPr>
          <w:rFonts w:ascii="Arial" w:hAnsi="Arial" w:cs="Arial"/>
        </w:rPr>
        <w:lastRenderedPageBreak/>
        <w:t>PFO chains</w:t>
      </w:r>
      <w:r w:rsidRPr="007E45AE">
        <w:rPr>
          <w:rFonts w:ascii="Arial" w:hAnsi="Arial" w:cs="Arial"/>
        </w:rPr>
        <w:t>.</w:t>
      </w:r>
      <w:r w:rsidR="000B745C">
        <w:rPr>
          <w:rFonts w:ascii="Arial" w:hAnsi="Arial" w:cs="Arial"/>
        </w:rPr>
        <w:fldChar w:fldCharType="begin" w:fldLock="1"/>
      </w:r>
      <w:r w:rsidR="000B745C">
        <w:rPr>
          <w:rFonts w:ascii="Arial" w:hAnsi="Arial" w:cs="Arial"/>
        </w:rPr>
        <w:instrText>ADDIN CSL_CITATION { "citationItems" : [ { "id" : "ITEM-1", "itemData" : { "ISSN" : "1521-4095", "author" : [ { "dropping-particle" : "", "family" : "Peet", "given" : "Jeffrey", "non-dropping-particle" : "", "parse-names" : false, "suffix" : "" }, { "dropping-particle" : "", "family" : "Brocker", "given" : "Erin", "non-dropping-particle" : "", "parse-names" : false, "suffix" : "" }, { "dropping-particle" : "", "family" : "Xu", "given" : "Yunhua", "non-dropping-particle" : "", "parse-names" : false, "suffix" : "" }, { "dropping-particle" : "", "family" : "Bazan", "given" : "Guillermo C", "non-dropping-particle" : "", "parse-names" : false, "suffix" : "" } ], "container-title" : "Advanced Materials", "id" : "ITEM-1", "issue" : "10", "issued" : { "date-parts" : [ [ "2008" ] ] }, "page" : "1882-1885", "publisher" : "Wiley Online Library", "title" : "Controlled \u03b2\u2010Phase Formation in Poly (9, 9\u2010di\u2010n\u2010octylfluorene) by Processing with Alkyl Additives", "type" : "article-journal", "volume" : "20" }, "uris" : [ "http://www.mendeley.com/documents/?uuid=09b8f4ef-0365-4004-a798-0f9da5d0b872" ] } ], "mendeley" : { "formattedCitation" : "&lt;sup&gt;25&lt;/sup&gt;", "plainTextFormattedCitation" : "25", "previouslyFormattedCitation" : "&lt;sup&gt;25&lt;/sup&gt;" }, "properties" : { "noteIndex" : 5 }, "schema" : "https://github.com/citation-style-language/schema/raw/master/csl-citation.json" }</w:instrText>
      </w:r>
      <w:r w:rsidR="000B745C">
        <w:rPr>
          <w:rFonts w:ascii="Arial" w:hAnsi="Arial" w:cs="Arial"/>
        </w:rPr>
        <w:fldChar w:fldCharType="separate"/>
      </w:r>
      <w:r w:rsidR="000B745C" w:rsidRPr="000B745C">
        <w:rPr>
          <w:rFonts w:ascii="Arial" w:hAnsi="Arial" w:cs="Arial"/>
          <w:noProof/>
          <w:vertAlign w:val="superscript"/>
        </w:rPr>
        <w:t>25</w:t>
      </w:r>
      <w:r w:rsidR="000B745C">
        <w:rPr>
          <w:rFonts w:ascii="Arial" w:hAnsi="Arial" w:cs="Arial"/>
        </w:rPr>
        <w:fldChar w:fldCharType="end"/>
      </w:r>
      <w:r w:rsidRPr="007E45AE">
        <w:rPr>
          <w:rFonts w:ascii="Arial" w:hAnsi="Arial" w:cs="Arial"/>
        </w:rPr>
        <w:t xml:space="preserve"> In this phase, the strong vibronic structuring is explained by intermolecular interaction</w:t>
      </w:r>
      <w:r>
        <w:rPr>
          <w:rFonts w:ascii="Arial" w:hAnsi="Arial" w:cs="Arial"/>
        </w:rPr>
        <w:t>,</w:t>
      </w:r>
      <w:r w:rsidRPr="007E45AE">
        <w:rPr>
          <w:rFonts w:ascii="Arial" w:hAnsi="Arial" w:cs="Arial"/>
        </w:rPr>
        <w:t xml:space="preserve"> reducing the torsional mobility towards a more planar structure with extended conjugation;</w:t>
      </w:r>
      <w:r>
        <w:rPr>
          <w:rFonts w:ascii="Arial" w:hAnsi="Arial" w:cs="Arial"/>
        </w:rPr>
        <w:fldChar w:fldCharType="begin" w:fldLock="1"/>
      </w:r>
      <w:r w:rsidR="000B745C">
        <w:rPr>
          <w:rFonts w:ascii="Arial" w:hAnsi="Arial" w:cs="Arial"/>
        </w:rPr>
        <w:instrText>ADDIN CSL_CITATION { "citationItems" : [ { "id" : "ITEM-1", "itemData" : { "DOI" : "10.1103/PhysRevB.62.15604", "ISBN" : "0163-1829", "ISSN" : "01631829", "abstract" : "We have studied the interplay between photophysics and film morphology of poly(9,9-dioctyl)fluorene (PFO) using a variety of optical probes. Upon slowly warming a spin-cast PFO film from 80 to 300 K, a fraction of the sample is transformed into a different solid phase, the \u03b2 phase. Absorption and electroabsorption measurements show that the \u03b2 phase has more extended conjugation than the glassy phase. As a consequence, excited states of the \u03b2 phase are redshifted and have higher polarizability. The photoinduced absorption spectrum of a glassy PFO film is dominated by triplet excitons, whereas both polarons and triplet excitons are seen in a sample containing a fraction of the \u03b2 phase. The dependence of the photoinduced absorption and photocurrent upon the excitation wavelength shows that there is a clear link between polaron and triplet photogeneration.", "author" : [ { "dropping-particle" : "", "family" : "Cadby", "given" : "A. J.", "non-dropping-particle" : "", "parse-names" : false, "suffix" : "" }, { "dropping-particle" : "", "family" : "Lane", "given" : "P. A.", "non-dropping-particle" : "", "parse-names" : false, "suffix" : "" }, { "dropping-particle" : "", "family" : "Mellor", "given" : "H.", "non-dropping-particle" : "", "parse-names" : false, "suffix" : "" }, { "dropping-particle" : "", "family" : "Martin", "given" : "S. J.", "non-dropping-particle" : "", "parse-names" : false, "suffix" : "" }, { "dropping-particle" : "", "family" : "Grell", "given" : "M.", "non-dropping-particle" : "", "parse-names" : false, "suffix" : "" }, { "dropping-particle" : "", "family" : "Giebeler", "given" : "C.", "non-dropping-particle" : "", "parse-names" : false, "suffix" : "" }, { "dropping-particle" : "", "family" : "Bradley", "given" : "D. D C", "non-dropping-particle" : "", "parse-names" : false, "suffix" : "" }, { "dropping-particle" : "", "family" : "Wohlgenannt", "given" : "M.", "non-dropping-particle" : "", "parse-names" : false, "suffix" : "" }, { "dropping-particle" : "", "family" : "An", "given" : "C.", "non-dropping-particle" : "", "parse-names" : false, "suffix" : "" }, { "dropping-particle" : "V.", "family" : "Vardeny", "given" : "Z.", "non-dropping-particle" : "", "parse-names" : false, "suffix" : "" } ], "container-title" : "Physical Review B - Condensed Matter and Materials Physics", "id" : "ITEM-1", "issue" : "23", "issued" : { "date-parts" : [ [ "2000" ] ] }, "page" : "15604-15609", "title" : "Film morphology and photophysics of polyfluorene", "type" : "article-journal", "volume" : "62" }, "uris" : [ "http://www.mendeley.com/documents/?uuid=e5aa577d-21f9-43eb-b0c2-c7e44c9ab4e3" ] }, { "id" : "ITEM-2", "itemData" : { "ISSN" : "0024-9297", "author" : [ { "dropping-particle" : "", "family" : "Grell", "given" : "M", "non-dropping-particle" : "", "parse-names" : false, "suffix" : "" }, { "dropping-particle" : "", "family" : "Bradley", "given" : "D D C", "non-dropping-particle" : "", "parse-names" : false, "suffix" : "" }, { "dropping-particle" : "", "family" : "Ungar", "given" : "G", "non-dropping-particle" : "", "parse-names" : false, "suffix" : "" }, { "dropping-particle" : "", "family" : "Hill", "given" : "J", "non-dropping-particle" : "", "parse-names" : false, "suffix" : "" }, { "dropping-particle" : "", "family" : "Whitehead", "given" : "K S", "non-dropping-particle" : "", "parse-names" : false, "suffix" : "" } ], "container-title" : "Macromolecules", "id" : "ITEM-2", "issue" : "18", "issued" : { "date-parts" : [ [ "1999" ] ] }, "page" : "5810-5817", "publisher" : "ACS Publications", "title" : "Interplay of physical structure and photophysics for a liquid crystalline polyfluorene", "type" : "article-journal", "volume" : "32" }, "uris" : [ "http://www.mendeley.com/documents/?uuid=3c3d6265-4d78-4e91-ae45-9b6b86c1ed2f" ] } ], "mendeley" : { "formattedCitation" : "&lt;sup&gt;26,27&lt;/sup&gt;", "plainTextFormattedCitation" : "26,27", "previouslyFormattedCitation" : "&lt;sup&gt;26,27&lt;/sup&gt;" }, "properties" : { "noteIndex" : 0 }, "schema" : "https://github.com/citation-style-language/schema/raw/master/csl-citation.json" }</w:instrText>
      </w:r>
      <w:r>
        <w:rPr>
          <w:rFonts w:ascii="Arial" w:hAnsi="Arial" w:cs="Arial"/>
        </w:rPr>
        <w:fldChar w:fldCharType="separate"/>
      </w:r>
      <w:r w:rsidR="000B745C" w:rsidRPr="000B745C">
        <w:rPr>
          <w:rFonts w:ascii="Arial" w:hAnsi="Arial" w:cs="Arial"/>
          <w:noProof/>
          <w:vertAlign w:val="superscript"/>
        </w:rPr>
        <w:t>26,27</w:t>
      </w:r>
      <w:r>
        <w:rPr>
          <w:rFonts w:ascii="Arial" w:hAnsi="Arial" w:cs="Arial"/>
        </w:rPr>
        <w:fldChar w:fldCharType="end"/>
      </w:r>
      <w:r>
        <w:rPr>
          <w:rFonts w:ascii="Arial" w:hAnsi="Arial" w:cs="Arial"/>
        </w:rPr>
        <w:t xml:space="preserve"> </w:t>
      </w:r>
      <w:r w:rsidRPr="007E45AE">
        <w:rPr>
          <w:rFonts w:ascii="Arial" w:hAnsi="Arial" w:cs="Arial"/>
        </w:rPr>
        <w:t>the concomitant anisotropic polarizability in such an ordered structure is expected to cause an additional red shift, as in the related case of regio-regular P3HT films.</w:t>
      </w:r>
      <w:r>
        <w:rPr>
          <w:rFonts w:ascii="Arial" w:hAnsi="Arial" w:cs="Arial"/>
        </w:rPr>
        <w:fldChar w:fldCharType="begin" w:fldLock="1"/>
      </w:r>
      <w:r w:rsidR="000B745C">
        <w:rPr>
          <w:rFonts w:ascii="Arial" w:hAnsi="Arial" w:cs="Arial"/>
        </w:rPr>
        <w:instrText>ADDIN CSL_CITATION { "citationItems" : [ { "id" : "ITEM-1", "itemData" : { "DOI" : "10.1103/PhysRevLett.98.206406", "ISSN" : "0031-9007", "author" : [ { "dropping-particle" : "", "family" : "Clark", "given" : "Jenny", "non-dropping-particle" : "", "parse-names" : false, "suffix" : "" }, { "dropping-particle" : "", "family" : "Silva", "given" : "Carlos", "non-dropping-particle" : "", "parse-names" : false, "suffix" : "" }, { "dropping-particle" : "", "family" : "Friend", "given" : "Richard", "non-dropping-particle" : "", "parse-names" : false, "suffix" : "" }, { "dropping-particle" : "", "family" : "Spano", "given" : "Frank", "non-dropping-particle" : "", "parse-names" : false, "suffix" : "" } ], "container-title" : "Physical Review Letters", "id" : "ITEM-1", "issue" : "20", "issued" : { "date-parts" : [ [ "2007", "5" ] ] }, "page" : "206406", "title" : "Role of Intermolecular Coupling in the Photophysics of Disordered Organic Semiconductors: Aggregate Emission in Regioregular Polythiophene", "type" : "article-journal", "volume" : "98" }, "uris" : [ "http://www.mendeley.com/documents/?uuid=a7c19da5-301a-42ae-a2e5-18d3b8250bb7" ] }, { "id" : "ITEM-2", "itemData" : { "ISSN" : "1099-0488", "author" : [ { "dropping-particle" : "", "family" : "Perevedentsev", "given" : "Aleksandr", "non-dropping-particle" : "", "parse-names" : false, "suffix" : "" }, { "dropping-particle" : "", "family" : "Chander", "given" : "Nathan", "non-dropping-particle" : "", "parse-names" : false, "suffix" : "" }, { "dropping-particle" : "", "family" : "Kim", "given" : "Ji\u2010Seon", "non-dropping-particle" : "", "parse-names" : false, "suffix" : "" }, { "dropping-particle" : "", "family" : "Bradley", "given" : "Donal D C", "non-dropping-particle" : "", "parse-names" : false, "suffix" : "" } ], "container-title" : "Journal of Polymer Science Part B: Polymer Physics", "id" : "ITEM-2", "issue" : "19", "issued" : { "date-parts" : [ [ "2016" ] ] }, "page" : "1995-2006", "publisher" : "Wiley Online Library", "title" : "Spectroscopic properties of poly (9, 9\u2010dioctylfluorene) thin films possessing varied fractions of \u03b2\u2010phase chain segments: enhanced photoluminescence efficiency via conformation structuring", "type" : "article-journal", "volume" : "54" }, "uris" : [ "http://www.mendeley.com/documents/?uuid=d111cb2d-c79e-4d46-822d-77f7e6854dae", "http://www.mendeley.com/documents/?uuid=9177bb88-c49d-45d5-86b5-1f5dfa34b903" ] } ], "mendeley" : { "formattedCitation" : "&lt;sup&gt;28,29&lt;/sup&gt;", "plainTextFormattedCitation" : "28,29", "previouslyFormattedCitation" : "&lt;sup&gt;28,29&lt;/sup&gt;" }, "properties" : { "noteIndex" : 0 }, "schema" : "https://github.com/citation-style-language/schema/raw/master/csl-citation.json" }</w:instrText>
      </w:r>
      <w:r>
        <w:rPr>
          <w:rFonts w:ascii="Arial" w:hAnsi="Arial" w:cs="Arial"/>
        </w:rPr>
        <w:fldChar w:fldCharType="separate"/>
      </w:r>
      <w:r w:rsidR="000B745C" w:rsidRPr="000B745C">
        <w:rPr>
          <w:rFonts w:ascii="Arial" w:hAnsi="Arial" w:cs="Arial"/>
          <w:noProof/>
          <w:vertAlign w:val="superscript"/>
        </w:rPr>
        <w:t>28,29</w:t>
      </w:r>
      <w:r>
        <w:rPr>
          <w:rFonts w:ascii="Arial" w:hAnsi="Arial" w:cs="Arial"/>
        </w:rPr>
        <w:fldChar w:fldCharType="end"/>
      </w:r>
      <w:r w:rsidRPr="007E45AE">
        <w:rPr>
          <w:rFonts w:ascii="Arial" w:hAnsi="Arial" w:cs="Arial"/>
        </w:rPr>
        <w:t xml:space="preserve"> Additional bands in the </w:t>
      </w:r>
      <w:r>
        <w:rPr>
          <w:rFonts w:ascii="Arial" w:hAnsi="Arial" w:cs="Arial"/>
        </w:rPr>
        <w:t>PDI:PFO</w:t>
      </w:r>
      <w:r w:rsidRPr="007E45AE">
        <w:rPr>
          <w:rFonts w:ascii="Arial" w:hAnsi="Arial" w:cs="Arial"/>
        </w:rPr>
        <w:t xml:space="preserve"> GSA spectrum at 2.35 and 2.55 eV are due to PDI and </w:t>
      </w:r>
      <w:r>
        <w:rPr>
          <w:rFonts w:ascii="Arial" w:hAnsi="Arial" w:cs="Arial"/>
        </w:rPr>
        <w:t>ar</w:t>
      </w:r>
      <w:r w:rsidRPr="007E45AE">
        <w:rPr>
          <w:rFonts w:ascii="Arial" w:hAnsi="Arial" w:cs="Arial"/>
        </w:rPr>
        <w:t>e analy</w:t>
      </w:r>
      <w:r w:rsidR="00F24EA0">
        <w:rPr>
          <w:rFonts w:ascii="Arial" w:hAnsi="Arial" w:cs="Arial"/>
        </w:rPr>
        <w:t>s</w:t>
      </w:r>
      <w:r w:rsidRPr="007E45AE">
        <w:rPr>
          <w:rFonts w:ascii="Arial" w:hAnsi="Arial" w:cs="Arial"/>
        </w:rPr>
        <w:t xml:space="preserve">ed in the next section. </w:t>
      </w:r>
      <w:r>
        <w:rPr>
          <w:rFonts w:ascii="Arial" w:hAnsi="Arial" w:cs="Arial"/>
        </w:rPr>
        <w:t>The GSA spectral features in the range 2.75 - 3.5 eV are due to the lowest energetic S</w:t>
      </w:r>
      <w:r>
        <w:rPr>
          <w:rFonts w:ascii="Arial" w:hAnsi="Arial" w:cs="Arial"/>
          <w:vertAlign w:val="subscript"/>
        </w:rPr>
        <w:t>0</w:t>
      </w:r>
      <w:r>
        <w:rPr>
          <w:rFonts w:ascii="Arial" w:hAnsi="Arial" w:cs="Arial"/>
        </w:rPr>
        <w:t>-S</w:t>
      </w:r>
      <w:r>
        <w:rPr>
          <w:rFonts w:ascii="Arial" w:hAnsi="Arial" w:cs="Arial"/>
          <w:vertAlign w:val="subscript"/>
        </w:rPr>
        <w:t>1</w:t>
      </w:r>
      <w:r>
        <w:rPr>
          <w:rFonts w:ascii="Arial" w:hAnsi="Arial" w:cs="Arial"/>
        </w:rPr>
        <w:t xml:space="preserve"> absorption of PFO. </w:t>
      </w:r>
    </w:p>
    <w:p w14:paraId="3597AE2F" w14:textId="26455AF8" w:rsidR="0024699A" w:rsidRDefault="006819CA" w:rsidP="0024699A">
      <w:pPr>
        <w:tabs>
          <w:tab w:val="left" w:pos="0"/>
        </w:tabs>
        <w:spacing w:line="360" w:lineRule="auto"/>
        <w:jc w:val="both"/>
        <w:rPr>
          <w:rFonts w:ascii="Arial" w:hAnsi="Arial" w:cs="Arial"/>
        </w:rPr>
      </w:pPr>
      <w:r>
        <w:rPr>
          <w:rFonts w:ascii="Arial" w:hAnsi="Arial" w:cs="Arial"/>
          <w:noProof/>
          <w:lang w:eastAsia="en-GB"/>
        </w:rPr>
        <w:drawing>
          <wp:inline distT="0" distB="0" distL="0" distR="0" wp14:anchorId="72CCAA31" wp14:editId="19E3E158">
            <wp:extent cx="5665802" cy="3155837"/>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321" cy="3167266"/>
                    </a:xfrm>
                    <a:prstGeom prst="rect">
                      <a:avLst/>
                    </a:prstGeom>
                    <a:noFill/>
                  </pic:spPr>
                </pic:pic>
              </a:graphicData>
            </a:graphic>
          </wp:inline>
        </w:drawing>
      </w:r>
    </w:p>
    <w:p w14:paraId="17020B55" w14:textId="1960AB8D" w:rsidR="0024699A" w:rsidRPr="007E45AE" w:rsidRDefault="0024699A" w:rsidP="0024699A">
      <w:pPr>
        <w:tabs>
          <w:tab w:val="left" w:pos="0"/>
        </w:tabs>
        <w:spacing w:line="360" w:lineRule="auto"/>
        <w:jc w:val="both"/>
        <w:rPr>
          <w:rFonts w:ascii="Arial" w:hAnsi="Arial" w:cs="Arial"/>
        </w:rPr>
      </w:pPr>
      <w:r w:rsidRPr="007E45AE">
        <w:rPr>
          <w:rFonts w:ascii="Arial" w:hAnsi="Arial" w:cs="Arial"/>
          <w:b/>
        </w:rPr>
        <w:t xml:space="preserve">Figure </w:t>
      </w:r>
      <w:r w:rsidR="00115CAA">
        <w:rPr>
          <w:rFonts w:ascii="Arial" w:hAnsi="Arial" w:cs="Arial"/>
          <w:b/>
        </w:rPr>
        <w:t>1</w:t>
      </w:r>
      <w:r w:rsidRPr="007E45AE">
        <w:rPr>
          <w:rFonts w:ascii="Arial" w:hAnsi="Arial" w:cs="Arial"/>
          <w:b/>
        </w:rPr>
        <w:t>.</w:t>
      </w:r>
      <w:r w:rsidRPr="007E45AE">
        <w:rPr>
          <w:rFonts w:ascii="Arial" w:hAnsi="Arial" w:cs="Arial"/>
        </w:rPr>
        <w:t xml:space="preserve"> </w:t>
      </w:r>
      <w:r w:rsidR="006819CA">
        <w:rPr>
          <w:rFonts w:ascii="Arial" w:hAnsi="Arial" w:cs="Arial"/>
        </w:rPr>
        <w:t xml:space="preserve">a) Chemical structures of PFO and PDI used in this study. b) </w:t>
      </w:r>
      <w:r w:rsidRPr="007E45AE">
        <w:rPr>
          <w:rFonts w:ascii="Arial" w:hAnsi="Arial" w:cs="Arial"/>
        </w:rPr>
        <w:t>Absorption spectra</w:t>
      </w:r>
      <w:r>
        <w:rPr>
          <w:rFonts w:ascii="Arial" w:hAnsi="Arial" w:cs="Arial"/>
        </w:rPr>
        <w:t xml:space="preserve"> and their inverted second derivatives (blue and orange, respectively)</w:t>
      </w:r>
      <w:r w:rsidRPr="007E45AE">
        <w:rPr>
          <w:rFonts w:ascii="Arial" w:hAnsi="Arial" w:cs="Arial"/>
        </w:rPr>
        <w:t xml:space="preserve"> of </w:t>
      </w:r>
      <w:r>
        <w:rPr>
          <w:rFonts w:ascii="Arial" w:hAnsi="Arial" w:cs="Arial"/>
        </w:rPr>
        <w:t>pure glassy</w:t>
      </w:r>
      <w:r w:rsidRPr="007E45AE">
        <w:rPr>
          <w:rFonts w:ascii="Arial" w:hAnsi="Arial" w:cs="Arial"/>
        </w:rPr>
        <w:t xml:space="preserve"> PFO</w:t>
      </w:r>
      <w:r>
        <w:rPr>
          <w:rFonts w:ascii="Arial" w:hAnsi="Arial" w:cs="Arial"/>
        </w:rPr>
        <w:t>, PFO containing β</w:t>
      </w:r>
      <w:r w:rsidR="000B745C">
        <w:rPr>
          <w:rFonts w:ascii="Arial" w:hAnsi="Arial" w:cs="Arial"/>
        </w:rPr>
        <w:t>-</w:t>
      </w:r>
      <w:r>
        <w:rPr>
          <w:rFonts w:ascii="Arial" w:hAnsi="Arial" w:cs="Arial"/>
        </w:rPr>
        <w:t>phase</w:t>
      </w:r>
      <w:r w:rsidR="008C1380">
        <w:rPr>
          <w:rFonts w:ascii="Arial" w:hAnsi="Arial" w:cs="Arial"/>
        </w:rPr>
        <w:t xml:space="preserve"> (deposited at a higher blade speed)</w:t>
      </w:r>
      <w:r>
        <w:rPr>
          <w:rFonts w:ascii="Arial" w:hAnsi="Arial" w:cs="Arial"/>
        </w:rPr>
        <w:t>,</w:t>
      </w:r>
      <w:r w:rsidRPr="007E45AE">
        <w:rPr>
          <w:rFonts w:ascii="Arial" w:hAnsi="Arial" w:cs="Arial"/>
        </w:rPr>
        <w:t xml:space="preserve"> and </w:t>
      </w:r>
      <w:r w:rsidR="008C1380">
        <w:rPr>
          <w:rFonts w:ascii="Arial" w:hAnsi="Arial" w:cs="Arial"/>
        </w:rPr>
        <w:t>PDI:PFO</w:t>
      </w:r>
      <w:r w:rsidRPr="007E45AE">
        <w:rPr>
          <w:rFonts w:ascii="Arial" w:hAnsi="Arial" w:cs="Arial"/>
        </w:rPr>
        <w:t>.</w:t>
      </w:r>
      <w:r w:rsidR="00502733">
        <w:rPr>
          <w:rFonts w:ascii="Arial" w:hAnsi="Arial" w:cs="Arial"/>
        </w:rPr>
        <w:t xml:space="preserve"> </w:t>
      </w:r>
      <w:r w:rsidR="006819CA">
        <w:rPr>
          <w:rFonts w:ascii="Arial" w:hAnsi="Arial" w:cs="Arial"/>
        </w:rPr>
        <w:t>c</w:t>
      </w:r>
      <w:r w:rsidRPr="007E45AE">
        <w:rPr>
          <w:rFonts w:ascii="Arial" w:hAnsi="Arial" w:cs="Arial"/>
        </w:rPr>
        <w:t>) Absorption spectr</w:t>
      </w:r>
      <w:r w:rsidR="00A40383">
        <w:rPr>
          <w:rFonts w:ascii="Arial" w:hAnsi="Arial" w:cs="Arial"/>
        </w:rPr>
        <w:t>um</w:t>
      </w:r>
      <w:r w:rsidRPr="007E45AE">
        <w:rPr>
          <w:rFonts w:ascii="Arial" w:hAnsi="Arial" w:cs="Arial"/>
        </w:rPr>
        <w:t xml:space="preserve"> of PDI in PS (black line)</w:t>
      </w:r>
      <w:r w:rsidR="00A40383">
        <w:rPr>
          <w:rFonts w:ascii="Arial" w:hAnsi="Arial" w:cs="Arial"/>
        </w:rPr>
        <w:t xml:space="preserve">; scaled PDI:PFO spectrum after subtraction of  PFO spectrum (containing β phase and glassy phase) </w:t>
      </w:r>
      <w:r w:rsidRPr="007E45AE">
        <w:rPr>
          <w:rFonts w:ascii="Arial" w:hAnsi="Arial" w:cs="Arial"/>
        </w:rPr>
        <w:t xml:space="preserve">and </w:t>
      </w:r>
      <w:r w:rsidR="00A40383">
        <w:rPr>
          <w:rFonts w:ascii="Arial" w:hAnsi="Arial" w:cs="Arial"/>
        </w:rPr>
        <w:t>spectra of</w:t>
      </w:r>
      <w:r w:rsidRPr="007E45AE">
        <w:rPr>
          <w:rFonts w:ascii="Arial" w:hAnsi="Arial" w:cs="Arial"/>
        </w:rPr>
        <w:t xml:space="preserve"> PDI solution in toluene and PDI nanoc</w:t>
      </w:r>
      <w:r>
        <w:rPr>
          <w:rFonts w:ascii="Arial" w:hAnsi="Arial" w:cs="Arial"/>
        </w:rPr>
        <w:t>r</w:t>
      </w:r>
      <w:r w:rsidRPr="007E45AE">
        <w:rPr>
          <w:rFonts w:ascii="Arial" w:hAnsi="Arial" w:cs="Arial"/>
        </w:rPr>
        <w:t>ystals (blue and p</w:t>
      </w:r>
      <w:r>
        <w:rPr>
          <w:rFonts w:ascii="Arial" w:hAnsi="Arial" w:cs="Arial"/>
        </w:rPr>
        <w:t>ink</w:t>
      </w:r>
      <w:r w:rsidRPr="007E45AE">
        <w:rPr>
          <w:rFonts w:ascii="Arial" w:hAnsi="Arial" w:cs="Arial"/>
        </w:rPr>
        <w:t xml:space="preserve"> curve</w:t>
      </w:r>
      <w:r>
        <w:rPr>
          <w:rFonts w:ascii="Arial" w:hAnsi="Arial" w:cs="Arial"/>
        </w:rPr>
        <w:t>s</w:t>
      </w:r>
      <w:r w:rsidRPr="007E45AE">
        <w:rPr>
          <w:rFonts w:ascii="Arial" w:hAnsi="Arial" w:cs="Arial"/>
        </w:rPr>
        <w:t xml:space="preserve">, respectively). </w:t>
      </w:r>
      <w:r w:rsidR="006819CA">
        <w:rPr>
          <w:rFonts w:ascii="Arial" w:hAnsi="Arial" w:cs="Arial"/>
        </w:rPr>
        <w:t>d</w:t>
      </w:r>
      <w:r w:rsidRPr="007E45AE">
        <w:rPr>
          <w:rFonts w:ascii="Arial" w:hAnsi="Arial" w:cs="Arial"/>
        </w:rPr>
        <w:t xml:space="preserve">) Photoluminescence spectra of PFO and PDI reference films, and of </w:t>
      </w:r>
      <w:r w:rsidR="00200F05">
        <w:rPr>
          <w:rFonts w:ascii="Arial" w:hAnsi="Arial" w:cs="Arial"/>
        </w:rPr>
        <w:t>PDI:PFO</w:t>
      </w:r>
      <w:r w:rsidRPr="007E45AE">
        <w:rPr>
          <w:rFonts w:ascii="Arial" w:hAnsi="Arial" w:cs="Arial"/>
        </w:rPr>
        <w:t xml:space="preserve"> (black, red and green lines, respectively). The curves are vertically shifted for clarity, with </w:t>
      </w:r>
      <w:r>
        <w:rPr>
          <w:rFonts w:ascii="Arial" w:hAnsi="Arial" w:cs="Arial"/>
        </w:rPr>
        <w:t xml:space="preserve">the </w:t>
      </w:r>
      <w:r w:rsidRPr="007E45AE">
        <w:rPr>
          <w:rFonts w:ascii="Arial" w:hAnsi="Arial" w:cs="Arial"/>
        </w:rPr>
        <w:t>baseline in all cases given by a thin dashed line</w:t>
      </w:r>
      <w:r>
        <w:rPr>
          <w:rFonts w:ascii="Arial" w:hAnsi="Arial" w:cs="Arial"/>
        </w:rPr>
        <w:t xml:space="preserve"> of same colour</w:t>
      </w:r>
      <w:r w:rsidRPr="007E45AE">
        <w:rPr>
          <w:rFonts w:ascii="Arial" w:hAnsi="Arial" w:cs="Arial"/>
        </w:rPr>
        <w:t>.</w:t>
      </w:r>
      <w:r w:rsidR="00A877F2">
        <w:rPr>
          <w:rFonts w:ascii="Arial" w:hAnsi="Arial" w:cs="Arial"/>
        </w:rPr>
        <w:t xml:space="preserve"> </w:t>
      </w:r>
    </w:p>
    <w:p w14:paraId="01BA6759" w14:textId="5C180618" w:rsidR="0024699A" w:rsidRDefault="0024699A" w:rsidP="0024699A">
      <w:pPr>
        <w:tabs>
          <w:tab w:val="left" w:pos="0"/>
        </w:tabs>
        <w:spacing w:line="360" w:lineRule="auto"/>
        <w:jc w:val="both"/>
        <w:rPr>
          <w:rFonts w:ascii="Arial" w:eastAsiaTheme="minorEastAsia" w:hAnsi="Arial" w:cs="Arial"/>
        </w:rPr>
      </w:pPr>
      <w:r>
        <w:rPr>
          <w:rFonts w:ascii="Arial" w:hAnsi="Arial" w:cs="Arial"/>
        </w:rPr>
        <w:t>Orange curves in Fig.</w:t>
      </w:r>
      <w:r w:rsidR="006819CA">
        <w:rPr>
          <w:rFonts w:ascii="Arial" w:hAnsi="Arial" w:cs="Arial"/>
        </w:rPr>
        <w:t>1b</w:t>
      </w:r>
      <w:r>
        <w:rPr>
          <w:rFonts w:ascii="Arial" w:hAnsi="Arial" w:cs="Arial"/>
        </w:rPr>
        <w:t xml:space="preserve"> are inverted second derivatives of the GSA spectra, increasing band separation and thus highlighting vibronic structures. For the samples containing the β</w:t>
      </w:r>
      <w:r w:rsidR="000B745C">
        <w:rPr>
          <w:rFonts w:ascii="Arial" w:hAnsi="Arial" w:cs="Arial"/>
        </w:rPr>
        <w:t>-</w:t>
      </w:r>
      <w:r>
        <w:rPr>
          <w:rFonts w:ascii="Arial" w:hAnsi="Arial" w:cs="Arial"/>
        </w:rPr>
        <w:t>phase, we find a clear vibronic progression with the (0-1) vibronic transition at 3.05 eV, offset against the (0-0) transition of the β</w:t>
      </w:r>
      <w:r w:rsidR="000B745C">
        <w:rPr>
          <w:rFonts w:ascii="Arial" w:hAnsi="Arial" w:cs="Arial"/>
        </w:rPr>
        <w:t>-</w:t>
      </w:r>
      <w:r>
        <w:rPr>
          <w:rFonts w:ascii="Arial" w:hAnsi="Arial" w:cs="Arial"/>
        </w:rPr>
        <w:t xml:space="preserve">phase by </w:t>
      </w:r>
      <w:r w:rsidR="00CF5547">
        <w:rPr>
          <w:rFonts w:ascii="Arial" w:hAnsi="Arial" w:cs="Arial"/>
        </w:rPr>
        <w:t xml:space="preserve">about </w:t>
      </w:r>
      <w:r>
        <w:rPr>
          <w:rFonts w:ascii="Arial" w:hAnsi="Arial" w:cs="Arial"/>
        </w:rPr>
        <w:t>0.2 eV. In contrast, the PFO sample containing only the glassy phase shows a single maximum at 3.08 eV in the second derivative spectrum, which can be considered as the strongly disordered (0-0) transition of the glassy phase, given the fact that the (0-0) transition of PL from the glassy phase is at 2.93 eV</w:t>
      </w:r>
      <w:r w:rsidR="00200F05">
        <w:rPr>
          <w:rFonts w:ascii="Arial" w:hAnsi="Arial" w:cs="Arial"/>
        </w:rPr>
        <w:t>.</w:t>
      </w:r>
      <w:r w:rsidR="00200F05">
        <w:rPr>
          <w:rFonts w:ascii="Arial" w:hAnsi="Arial" w:cs="Arial"/>
        </w:rPr>
        <w:fldChar w:fldCharType="begin" w:fldLock="1"/>
      </w:r>
      <w:r w:rsidR="000B745C">
        <w:rPr>
          <w:rFonts w:ascii="Arial" w:hAnsi="Arial" w:cs="Arial"/>
        </w:rPr>
        <w:instrText>ADDIN CSL_CITATION { "citationItems" : [ { "id" : "ITEM-1", "itemData" : { "ISSN" : "1099-0488", "author" : [ { "dropping-particle" : "", "family" : "Perevedentsev", "given" : "Aleksandr", "non-dropping-particle" : "", "parse-names" : false, "suffix" : "" }, { "dropping-particle" : "", "family" : "Chander", "given" : "Nathan", "non-dropping-particle" : "", "parse-names" : false, "suffix" : "" }, { "dropping-particle" : "", "family" : "Kim", "given" : "Ji\u2010Seon", "non-dropping-particle" : "", "parse-names" : false, "suffix" : "" }, { "dropping-particle" : "", "family" : "Bradley", "given" : "Donal D C", "non-dropping-particle" : "", "parse-names" : false, "suffix" : "" } ], "container-title" : "Journal of Polymer Science Part B: Polymer Physics", "id" : "ITEM-1", "issue" : "19", "issued" : { "date-parts" : [ [ "2016" ] ] }, "page" : "1995-2006", "publisher" : "Wiley Online Library", "title" : "Spectroscopic properties of poly (9, 9\u2010dioctylfluorene) thin films possessing varied fractions of \u03b2\u2010phase chain segments: enhanced photoluminescence efficiency via conformation structuring", "type" : "article-journal", "volume" : "54" }, "uris" : [ "http://www.mendeley.com/documents/?uuid=9177bb88-c49d-45d5-86b5-1f5dfa34b903", "http://www.mendeley.com/documents/?uuid=d111cb2d-c79e-4d46-822d-77f7e6854dae" ] } ], "mendeley" : { "formattedCitation" : "&lt;sup&gt;29&lt;/sup&gt;", "plainTextFormattedCitation" : "29", "previouslyFormattedCitation" : "&lt;sup&gt;29&lt;/sup&gt;" }, "properties" : { "noteIndex" : 0 }, "schema" : "https://github.com/citation-style-language/schema/raw/master/csl-citation.json" }</w:instrText>
      </w:r>
      <w:r w:rsidR="00200F05">
        <w:rPr>
          <w:rFonts w:ascii="Arial" w:hAnsi="Arial" w:cs="Arial"/>
        </w:rPr>
        <w:fldChar w:fldCharType="separate"/>
      </w:r>
      <w:r w:rsidR="000B745C" w:rsidRPr="000B745C">
        <w:rPr>
          <w:rFonts w:ascii="Arial" w:hAnsi="Arial" w:cs="Arial"/>
          <w:noProof/>
          <w:vertAlign w:val="superscript"/>
        </w:rPr>
        <w:t>29</w:t>
      </w:r>
      <w:r w:rsidR="00200F05">
        <w:rPr>
          <w:rFonts w:ascii="Arial" w:hAnsi="Arial" w:cs="Arial"/>
        </w:rPr>
        <w:fldChar w:fldCharType="end"/>
      </w:r>
      <w:r>
        <w:rPr>
          <w:rFonts w:ascii="Arial" w:hAnsi="Arial" w:cs="Arial"/>
        </w:rPr>
        <w:t xml:space="preserve"> </w:t>
      </w:r>
    </w:p>
    <w:p w14:paraId="671B67FE" w14:textId="2D7A8B01" w:rsidR="0024699A" w:rsidRPr="007E45AE" w:rsidRDefault="0024699A" w:rsidP="0024699A">
      <w:pPr>
        <w:tabs>
          <w:tab w:val="left" w:pos="0"/>
        </w:tabs>
        <w:spacing w:line="360" w:lineRule="auto"/>
        <w:jc w:val="both"/>
        <w:rPr>
          <w:rFonts w:ascii="Arial" w:eastAsiaTheme="minorEastAsia" w:hAnsi="Arial" w:cs="Arial"/>
        </w:rPr>
      </w:pPr>
      <w:r w:rsidRPr="007E45AE">
        <w:rPr>
          <w:rFonts w:ascii="Arial" w:eastAsiaTheme="minorEastAsia" w:hAnsi="Arial" w:cs="Arial"/>
        </w:rPr>
        <w:lastRenderedPageBreak/>
        <w:t xml:space="preserve">In Fig. </w:t>
      </w:r>
      <w:r w:rsidR="006819CA">
        <w:rPr>
          <w:rFonts w:ascii="Arial" w:eastAsiaTheme="minorEastAsia" w:hAnsi="Arial" w:cs="Arial"/>
        </w:rPr>
        <w:t>1c</w:t>
      </w:r>
      <w:r w:rsidRPr="007E45AE">
        <w:rPr>
          <w:rFonts w:ascii="Arial" w:eastAsiaTheme="minorEastAsia" w:hAnsi="Arial" w:cs="Arial"/>
        </w:rPr>
        <w:t xml:space="preserve">, we compare the </w:t>
      </w:r>
      <w:r w:rsidR="00F24EA0">
        <w:rPr>
          <w:rFonts w:ascii="Arial" w:eastAsiaTheme="minorEastAsia" w:hAnsi="Arial" w:cs="Arial"/>
        </w:rPr>
        <w:t xml:space="preserve">residual </w:t>
      </w:r>
      <w:r w:rsidRPr="007E45AE">
        <w:rPr>
          <w:rFonts w:ascii="Arial" w:eastAsiaTheme="minorEastAsia" w:hAnsi="Arial" w:cs="Arial"/>
        </w:rPr>
        <w:t>PDI</w:t>
      </w:r>
      <w:r>
        <w:rPr>
          <w:rFonts w:ascii="Arial" w:eastAsiaTheme="minorEastAsia" w:hAnsi="Arial" w:cs="Arial"/>
        </w:rPr>
        <w:t>:PFO</w:t>
      </w:r>
      <w:r w:rsidR="00F24EA0">
        <w:rPr>
          <w:rFonts w:ascii="Arial" w:eastAsiaTheme="minorEastAsia" w:hAnsi="Arial" w:cs="Arial"/>
        </w:rPr>
        <w:t xml:space="preserve"> spectrum after subtraction of PFO absorption </w:t>
      </w:r>
      <w:r w:rsidRPr="007E45AE">
        <w:rPr>
          <w:rFonts w:ascii="Arial" w:eastAsiaTheme="minorEastAsia" w:hAnsi="Arial" w:cs="Arial"/>
        </w:rPr>
        <w:t>to a PDI reference film. They show very similar spectral features in the region of 2.0-2.5 eV, namely sharp vibronic progression</w:t>
      </w:r>
      <w:r>
        <w:rPr>
          <w:rFonts w:ascii="Arial" w:eastAsiaTheme="minorEastAsia" w:hAnsi="Arial" w:cs="Arial"/>
        </w:rPr>
        <w:t>s</w:t>
      </w:r>
      <w:r w:rsidRPr="007E45AE">
        <w:rPr>
          <w:rFonts w:ascii="Arial" w:eastAsiaTheme="minorEastAsia" w:hAnsi="Arial" w:cs="Arial"/>
        </w:rPr>
        <w:t xml:space="preserve"> at 2.35, 2.55, and 2.65 eV</w:t>
      </w:r>
      <w:r>
        <w:rPr>
          <w:rFonts w:ascii="Arial" w:eastAsiaTheme="minorEastAsia" w:hAnsi="Arial" w:cs="Arial"/>
        </w:rPr>
        <w:t>,</w:t>
      </w:r>
      <w:r w:rsidRPr="007E45AE">
        <w:rPr>
          <w:rFonts w:ascii="Arial" w:eastAsiaTheme="minorEastAsia" w:hAnsi="Arial" w:cs="Arial"/>
        </w:rPr>
        <w:t xml:space="preserve"> which agrees with the GSA spectrum of PDI in </w:t>
      </w:r>
      <w:r>
        <w:rPr>
          <w:rFonts w:ascii="Arial" w:eastAsiaTheme="minorEastAsia" w:hAnsi="Arial" w:cs="Arial"/>
        </w:rPr>
        <w:t>t</w:t>
      </w:r>
      <w:r w:rsidRPr="007E45AE">
        <w:rPr>
          <w:rFonts w:ascii="Arial" w:eastAsiaTheme="minorEastAsia" w:hAnsi="Arial" w:cs="Arial"/>
        </w:rPr>
        <w:t>oluene solution (blue curve), and an unstructured broader absorption around 2.1 eV caused by face-to face dimers of PDI molecules</w:t>
      </w:r>
      <w:r>
        <w:rPr>
          <w:rFonts w:ascii="Arial" w:eastAsiaTheme="minorEastAsia" w:hAnsi="Arial" w:cs="Arial"/>
        </w:rPr>
        <w:t xml:space="preserve">, matching </w:t>
      </w:r>
      <w:r w:rsidRPr="007E45AE">
        <w:rPr>
          <w:rFonts w:ascii="Arial" w:eastAsiaTheme="minorEastAsia" w:hAnsi="Arial" w:cs="Arial"/>
        </w:rPr>
        <w:t>the red part of a PDI nanocrystal (</w:t>
      </w:r>
      <w:r>
        <w:rPr>
          <w:rFonts w:ascii="Arial" w:eastAsiaTheme="minorEastAsia" w:hAnsi="Arial" w:cs="Arial"/>
        </w:rPr>
        <w:t>pink</w:t>
      </w:r>
      <w:r w:rsidRPr="007E45AE">
        <w:rPr>
          <w:rFonts w:ascii="Arial" w:eastAsiaTheme="minorEastAsia" w:hAnsi="Arial" w:cs="Arial"/>
        </w:rPr>
        <w:t xml:space="preserve"> line</w:t>
      </w:r>
      <w:r>
        <w:rPr>
          <w:rFonts w:ascii="Arial" w:eastAsiaTheme="minorEastAsia" w:hAnsi="Arial" w:cs="Arial"/>
        </w:rPr>
        <w:t xml:space="preserve">, Figure </w:t>
      </w:r>
      <w:r w:rsidR="00115CAA">
        <w:rPr>
          <w:rFonts w:ascii="Arial" w:eastAsiaTheme="minorEastAsia" w:hAnsi="Arial" w:cs="Arial"/>
        </w:rPr>
        <w:t>1c</w:t>
      </w:r>
      <w:r w:rsidRPr="007E45AE">
        <w:rPr>
          <w:rFonts w:ascii="Arial" w:eastAsiaTheme="minorEastAsia" w:hAnsi="Arial" w:cs="Arial"/>
        </w:rPr>
        <w:t xml:space="preserve">). From this, we conclude that the PDI </w:t>
      </w:r>
      <w:r w:rsidR="00200F05">
        <w:rPr>
          <w:rFonts w:ascii="Arial" w:eastAsiaTheme="minorEastAsia" w:hAnsi="Arial" w:cs="Arial"/>
        </w:rPr>
        <w:t xml:space="preserve">crystal </w:t>
      </w:r>
      <w:r w:rsidRPr="007E45AE">
        <w:rPr>
          <w:rFonts w:ascii="Arial" w:eastAsiaTheme="minorEastAsia" w:hAnsi="Arial" w:cs="Arial"/>
        </w:rPr>
        <w:t xml:space="preserve">in </w:t>
      </w:r>
      <w:r w:rsidRPr="00AA7325">
        <w:rPr>
          <w:rFonts w:ascii="Arial" w:eastAsiaTheme="minorEastAsia" w:hAnsi="Arial" w:cs="Arial"/>
        </w:rPr>
        <w:t xml:space="preserve">the </w:t>
      </w:r>
      <w:r w:rsidRPr="000804BC">
        <w:rPr>
          <w:rFonts w:ascii="Arial" w:hAnsi="Arial" w:cs="Arial"/>
        </w:rPr>
        <w:t>intercalated</w:t>
      </w:r>
      <w:r>
        <w:rPr>
          <w:rFonts w:ascii="Arial" w:hAnsi="Arial" w:cs="Arial"/>
        </w:rPr>
        <w:t xml:space="preserve"> PDI:PFO phase</w:t>
      </w:r>
      <w:r w:rsidR="00200F05">
        <w:rPr>
          <w:rFonts w:ascii="Arial" w:eastAsiaTheme="minorEastAsia" w:hAnsi="Arial" w:cs="Arial"/>
        </w:rPr>
        <w:t xml:space="preserve"> </w:t>
      </w:r>
      <w:r w:rsidRPr="007E45AE">
        <w:rPr>
          <w:rFonts w:ascii="Arial" w:eastAsiaTheme="minorEastAsia" w:hAnsi="Arial" w:cs="Arial"/>
        </w:rPr>
        <w:t>does not lead to a significant change in π – π interaction between monomers.</w:t>
      </w:r>
      <w:r>
        <w:rPr>
          <w:rFonts w:ascii="Arial" w:eastAsiaTheme="minorEastAsia" w:hAnsi="Arial" w:cs="Arial"/>
        </w:rPr>
        <w:t xml:space="preserve"> For both the PDI reference and the blends, the ratio of the (0-1) and the (0-0) transition is significantly below the value of 1.61 found in toluene solution, demonstrating significant H-type excitonic coupling between the monomers.</w:t>
      </w:r>
      <w:r>
        <w:rPr>
          <w:rStyle w:val="EndnoteReference"/>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"DOI" : "10.1039/C5FD00052A", "ISBN" : "1359-6640 (Print)\\r1359-6640 (Linking)", "ISSN" : "1359-6640", "PMID" : "26399996", "author" : [ { "dropping-particle" : "", "family" : "Nowak-Kr\u00f3l", "given" : "Agnieszka", "non-dropping-particle" : "", "parse-names" : false, "suffix" : "" }, { "dropping-particle" : "", "family" : "Fimmel", "given" : "Benjamin", "non-dropping-particle" : "", "parse-names" : false, "suffix" : "" }, { "dropping-particle" : "", "family" : "Son", "given" : "Minjung", "non-dropping-particle" : "", "parse-names" : false, "suffix" : "" }, { "dropping-particle" : "", "family" : "Kim", "given" : "Dongho", "non-dropping-particle" : "", "parse-names" : false, "suffix" : "" }, { "dropping-particle" : "", "family" : "W\u00fcrthner", "given" : "Frank", "non-dropping-particle" : "", "parse-names" : false, "suffix" : "" } ], "container-title" : "Faraday Discuss.", "id" : "ITEM-1", "issued" : { "date-parts" : [ [ "2015" ] ] }, "page" : "1-21", "title" : "Photoinduced electron transfer (PET) versus excimer formation in supramolecular p/n-heterojunctions of perylene bisimide dyes and implications for organic photovoltaics", "type" : "article-journal" }, "uris" : [ "http://www.mendeley.com/documents/?uuid=a457fa77-354f-457a-8e22-b2d2028c4ae9" ] } ], "mendeley" : { "formattedCitation" : "&lt;sup&gt;30&lt;/sup&gt;", "plainTextFormattedCitation" : "30", "previouslyFormattedCitation" : "&lt;sup&gt;30&lt;/sup&gt;" }, "properties" : { "noteIndex" : 0 }, "schema" : "https://github.com/citation-style-language/schema/raw/master/csl-citation.json" }</w:instrText>
      </w:r>
      <w:r>
        <w:rPr>
          <w:rStyle w:val="EndnoteReference"/>
          <w:rFonts w:ascii="Arial" w:eastAsiaTheme="minorEastAsia" w:hAnsi="Arial" w:cs="Arial"/>
        </w:rPr>
        <w:fldChar w:fldCharType="separate"/>
      </w:r>
      <w:r w:rsidR="000B745C" w:rsidRPr="000B745C">
        <w:rPr>
          <w:rFonts w:ascii="Arial" w:eastAsiaTheme="minorEastAsia" w:hAnsi="Arial" w:cs="Arial"/>
          <w:noProof/>
          <w:vertAlign w:val="superscript"/>
        </w:rPr>
        <w:t>30</w:t>
      </w:r>
      <w:r>
        <w:rPr>
          <w:rStyle w:val="EndnoteReference"/>
          <w:rFonts w:ascii="Arial" w:eastAsiaTheme="minorEastAsia" w:hAnsi="Arial" w:cs="Arial"/>
        </w:rPr>
        <w:fldChar w:fldCharType="end"/>
      </w:r>
    </w:p>
    <w:p w14:paraId="217170FE" w14:textId="345A7DAA" w:rsidR="0024699A" w:rsidRPr="007E45AE" w:rsidRDefault="0024699A" w:rsidP="0024699A">
      <w:pPr>
        <w:tabs>
          <w:tab w:val="left" w:pos="0"/>
        </w:tabs>
        <w:spacing w:line="360" w:lineRule="auto"/>
        <w:jc w:val="both"/>
        <w:rPr>
          <w:rFonts w:ascii="Arial" w:hAnsi="Arial" w:cs="Arial"/>
        </w:rPr>
      </w:pPr>
      <w:r w:rsidRPr="007E45AE">
        <w:rPr>
          <w:rFonts w:ascii="Arial" w:hAnsi="Arial" w:cs="Arial"/>
        </w:rPr>
        <w:t xml:space="preserve">Photoluminescence (PL) spectra of the samples are </w:t>
      </w:r>
      <w:r>
        <w:rPr>
          <w:rFonts w:ascii="Arial" w:hAnsi="Arial" w:cs="Arial"/>
        </w:rPr>
        <w:t xml:space="preserve">shown </w:t>
      </w:r>
      <w:r w:rsidRPr="007E45AE">
        <w:rPr>
          <w:rFonts w:ascii="Arial" w:hAnsi="Arial" w:cs="Arial"/>
        </w:rPr>
        <w:t xml:space="preserve">in Fig. </w:t>
      </w:r>
      <w:r w:rsidR="00DA3534">
        <w:rPr>
          <w:rFonts w:ascii="Arial" w:hAnsi="Arial" w:cs="Arial"/>
        </w:rPr>
        <w:t>1</w:t>
      </w:r>
      <w:r w:rsidR="006819CA">
        <w:rPr>
          <w:rFonts w:ascii="Arial" w:hAnsi="Arial" w:cs="Arial"/>
        </w:rPr>
        <w:t>d</w:t>
      </w:r>
      <w:r w:rsidRPr="007E45AE">
        <w:rPr>
          <w:rFonts w:ascii="Arial" w:hAnsi="Arial" w:cs="Arial"/>
        </w:rPr>
        <w:t xml:space="preserve">. The PL spectrum of pure PFO (deposited at </w:t>
      </w:r>
      <w:r>
        <w:rPr>
          <w:rFonts w:ascii="Arial" w:hAnsi="Arial" w:cs="Arial"/>
        </w:rPr>
        <w:t>3</w:t>
      </w:r>
      <w:r w:rsidRPr="007E45AE">
        <w:rPr>
          <w:rFonts w:ascii="Arial" w:hAnsi="Arial" w:cs="Arial"/>
        </w:rPr>
        <w:t>0 mm</w:t>
      </w:r>
      <w:r>
        <w:rPr>
          <w:rFonts w:ascii="Arial" w:hAnsi="Arial" w:cs="Arial"/>
        </w:rPr>
        <w:t xml:space="preserve"> s</w:t>
      </w:r>
      <w:r w:rsidRPr="009E5E77">
        <w:rPr>
          <w:rFonts w:ascii="Arial" w:hAnsi="Arial" w:cs="Arial"/>
          <w:vertAlign w:val="superscript"/>
        </w:rPr>
        <w:t>-1</w:t>
      </w:r>
      <w:r w:rsidRPr="007E45AE">
        <w:rPr>
          <w:rFonts w:ascii="Arial" w:hAnsi="Arial" w:cs="Arial"/>
        </w:rPr>
        <w:t xml:space="preserve"> blade speed, black curve)</w:t>
      </w:r>
      <w:r>
        <w:rPr>
          <w:rFonts w:ascii="Arial" w:hAnsi="Arial" w:cs="Arial"/>
        </w:rPr>
        <w:t xml:space="preserve"> shows a (0-0) vibronic transition at 2.85 eV, followed by a vibronic progression with an energetic offset of 0.18 eV between the vibronic transitions</w:t>
      </w:r>
      <w:r w:rsidRPr="007E45AE">
        <w:rPr>
          <w:rFonts w:ascii="Arial" w:hAnsi="Arial" w:cs="Arial"/>
        </w:rPr>
        <w:t>. Due to reabsorption of the emitted PL at the absorption edge, the (0</w:t>
      </w:r>
      <w:r>
        <w:rPr>
          <w:rFonts w:ascii="Arial" w:hAnsi="Arial" w:cs="Arial"/>
        </w:rPr>
        <w:t>-</w:t>
      </w:r>
      <w:r w:rsidRPr="007E45AE">
        <w:rPr>
          <w:rFonts w:ascii="Arial" w:hAnsi="Arial" w:cs="Arial"/>
        </w:rPr>
        <w:t>0) transition at 2.85 eV is significantly narrowed compared to the other vibronic transitions.</w:t>
      </w:r>
      <w:r>
        <w:rPr>
          <w:rFonts w:ascii="Arial" w:hAnsi="Arial" w:cs="Arial"/>
        </w:rPr>
        <w:t xml:space="preserve"> </w:t>
      </w:r>
      <w:r w:rsidRPr="007E45AE">
        <w:rPr>
          <w:rFonts w:ascii="Arial" w:hAnsi="Arial" w:cs="Arial"/>
        </w:rPr>
        <w:t xml:space="preserve">The PL spectrum of </w:t>
      </w:r>
      <w:r>
        <w:rPr>
          <w:rFonts w:ascii="Arial" w:hAnsi="Arial" w:cs="Arial"/>
        </w:rPr>
        <w:t>the</w:t>
      </w:r>
      <w:r w:rsidRPr="007E45AE">
        <w:rPr>
          <w:rFonts w:ascii="Arial" w:hAnsi="Arial" w:cs="Arial"/>
        </w:rPr>
        <w:t xml:space="preserve"> PDI</w:t>
      </w:r>
      <w:r>
        <w:rPr>
          <w:rFonts w:ascii="Arial" w:hAnsi="Arial" w:cs="Arial"/>
        </w:rPr>
        <w:t>:</w:t>
      </w:r>
      <w:r w:rsidRPr="007E45AE">
        <w:rPr>
          <w:rFonts w:ascii="Arial" w:hAnsi="Arial" w:cs="Arial"/>
        </w:rPr>
        <w:t>PS film (red curve in Fig</w:t>
      </w:r>
      <w:r w:rsidR="00A16563">
        <w:rPr>
          <w:rFonts w:ascii="Arial" w:hAnsi="Arial" w:cs="Arial"/>
        </w:rPr>
        <w:t xml:space="preserve">. </w:t>
      </w:r>
      <w:r w:rsidR="00115CAA">
        <w:rPr>
          <w:rFonts w:ascii="Arial" w:hAnsi="Arial" w:cs="Arial"/>
        </w:rPr>
        <w:t>1d</w:t>
      </w:r>
      <w:r w:rsidRPr="007E45AE">
        <w:rPr>
          <w:rFonts w:ascii="Arial" w:hAnsi="Arial" w:cs="Arial"/>
        </w:rPr>
        <w:t xml:space="preserve">) shows a broad band at 2.0 eV characteristic </w:t>
      </w:r>
      <w:r>
        <w:rPr>
          <w:rFonts w:ascii="Arial" w:hAnsi="Arial" w:cs="Arial"/>
        </w:rPr>
        <w:t xml:space="preserve">of </w:t>
      </w:r>
      <w:r w:rsidRPr="007E45AE">
        <w:rPr>
          <w:rFonts w:ascii="Arial" w:hAnsi="Arial" w:cs="Arial"/>
        </w:rPr>
        <w:t>excimer emission.</w:t>
      </w:r>
      <w:r>
        <w:rPr>
          <w:rFonts w:ascii="Arial" w:hAnsi="Arial" w:cs="Arial"/>
        </w:rPr>
        <w:fldChar w:fldCharType="begin" w:fldLock="1"/>
      </w:r>
      <w:r w:rsidR="000B745C">
        <w:rPr>
          <w:rFonts w:ascii="Arial" w:hAnsi="Arial" w:cs="Arial"/>
        </w:rPr>
        <w:instrText>ADDIN CSL_CITATION { "citationItems" : [ { "id" : "ITEM-1", "itemData" : { "DOI" : "10.1039/C5FD00052A", "ISBN" : "1359-6640 (Print)\\r1359-6640 (Linking)", "ISSN" : "1359-6640", "PMID" : "26399996", "author" : [ { "dropping-particle" : "", "family" : "Nowak-Kr\u00f3l", "given" : "Agnieszka", "non-dropping-particle" : "", "parse-names" : false, "suffix" : "" }, { "dropping-particle" : "", "family" : "Fimmel", "given" : "Benjamin", "non-dropping-particle" : "", "parse-names" : false, "suffix" : "" }, { "dropping-particle" : "", "family" : "Son", "given" : "Minjung", "non-dropping-particle" : "", "parse-names" : false, "suffix" : "" }, { "dropping-particle" : "", "family" : "Kim", "given" : "Dongho", "non-dropping-particle" : "", "parse-names" : false, "suffix" : "" }, { "dropping-particle" : "", "family" : "W\u00fcrthner", "given" : "Frank", "non-dropping-particle" : "", "parse-names" : false, "suffix" : "" } ], "container-title" : "Faraday Discuss.", "id" : "ITEM-1", "issued" : { "date-parts" : [ [ "2015" ] ] }, "page" : "1-21", "title" : "Photoinduced electron transfer (PET) versus excimer formation in supramolecular p/n-heterojunctions of perylene bisimide dyes and implications for organic photovoltaics", "type" : "article-journal" }, "uris" : [ "http://www.mendeley.com/documents/?uuid=a457fa77-354f-457a-8e22-b2d2028c4ae9" ] } ], "mendeley" : { "formattedCitation" : "&lt;sup&gt;30&lt;/sup&gt;", "plainTextFormattedCitation" : "30", "previouslyFormattedCitation" : "&lt;sup&gt;30&lt;/sup&gt;" }, "properties" : { "noteIndex" : 0 }, "schema" : "https://github.com/citation-style-language/schema/raw/master/csl-citation.json" }</w:instrText>
      </w:r>
      <w:r>
        <w:rPr>
          <w:rFonts w:ascii="Arial" w:hAnsi="Arial" w:cs="Arial"/>
        </w:rPr>
        <w:fldChar w:fldCharType="separate"/>
      </w:r>
      <w:r w:rsidR="000B745C" w:rsidRPr="000B745C">
        <w:rPr>
          <w:rFonts w:ascii="Arial" w:hAnsi="Arial" w:cs="Arial"/>
          <w:noProof/>
          <w:vertAlign w:val="superscript"/>
        </w:rPr>
        <w:t>30</w:t>
      </w:r>
      <w:r>
        <w:rPr>
          <w:rFonts w:ascii="Arial" w:hAnsi="Arial" w:cs="Arial"/>
        </w:rPr>
        <w:fldChar w:fldCharType="end"/>
      </w:r>
      <w:r>
        <w:rPr>
          <w:rFonts w:ascii="Arial" w:hAnsi="Arial" w:cs="Arial"/>
        </w:rPr>
        <w:t xml:space="preserve"> </w:t>
      </w:r>
      <w:r w:rsidRPr="007E45AE">
        <w:rPr>
          <w:rFonts w:ascii="Arial" w:hAnsi="Arial" w:cs="Arial"/>
        </w:rPr>
        <w:t xml:space="preserve">A small secondary band at 2.35 eV </w:t>
      </w:r>
      <w:r>
        <w:rPr>
          <w:rFonts w:ascii="Arial" w:hAnsi="Arial" w:cs="Arial"/>
        </w:rPr>
        <w:t>was</w:t>
      </w:r>
      <w:r w:rsidRPr="007E45AE">
        <w:rPr>
          <w:rFonts w:ascii="Arial" w:hAnsi="Arial" w:cs="Arial"/>
        </w:rPr>
        <w:t xml:space="preserve"> assigned to PL from the excited state</w:t>
      </w:r>
      <w:r>
        <w:rPr>
          <w:rFonts w:ascii="Arial" w:hAnsi="Arial" w:cs="Arial"/>
        </w:rPr>
        <w:t xml:space="preserve"> of the monomer</w:t>
      </w:r>
      <w:r w:rsidRPr="007E45AE">
        <w:rPr>
          <w:rFonts w:ascii="Arial" w:hAnsi="Arial" w:cs="Arial"/>
        </w:rPr>
        <w:t>.</w:t>
      </w:r>
    </w:p>
    <w:p w14:paraId="645948DC" w14:textId="12F10F01" w:rsidR="0024699A" w:rsidRDefault="0024699A">
      <w:pPr>
        <w:tabs>
          <w:tab w:val="left" w:pos="0"/>
        </w:tabs>
        <w:spacing w:line="360" w:lineRule="auto"/>
        <w:jc w:val="both"/>
        <w:rPr>
          <w:rFonts w:ascii="Arial" w:hAnsi="Arial" w:cs="Arial"/>
        </w:rPr>
      </w:pPr>
      <w:r w:rsidRPr="007E45AE">
        <w:rPr>
          <w:rFonts w:ascii="Arial" w:hAnsi="Arial" w:cs="Arial"/>
        </w:rPr>
        <w:t>The PL spectrum of the blend</w:t>
      </w:r>
      <w:r>
        <w:rPr>
          <w:rFonts w:ascii="Arial" w:hAnsi="Arial" w:cs="Arial"/>
        </w:rPr>
        <w:t xml:space="preserve"> (</w:t>
      </w:r>
      <w:r w:rsidRPr="007E45AE">
        <w:rPr>
          <w:rFonts w:ascii="Arial" w:hAnsi="Arial" w:cs="Arial"/>
        </w:rPr>
        <w:t xml:space="preserve">Fig. </w:t>
      </w:r>
      <w:r w:rsidR="006819CA">
        <w:rPr>
          <w:rFonts w:ascii="Arial" w:hAnsi="Arial" w:cs="Arial"/>
        </w:rPr>
        <w:t>1d</w:t>
      </w:r>
      <w:r>
        <w:rPr>
          <w:rFonts w:ascii="Arial" w:hAnsi="Arial" w:cs="Arial"/>
        </w:rPr>
        <w:t>) exhibits f</w:t>
      </w:r>
      <w:r w:rsidRPr="00A745A4">
        <w:rPr>
          <w:rFonts w:ascii="Arial" w:hAnsi="Arial" w:cs="Arial"/>
        </w:rPr>
        <w:t>eatures of the PL spectra of both</w:t>
      </w:r>
      <w:r>
        <w:rPr>
          <w:rFonts w:ascii="Arial" w:hAnsi="Arial" w:cs="Arial"/>
        </w:rPr>
        <w:t xml:space="preserve"> </w:t>
      </w:r>
      <w:r w:rsidRPr="00A745A4">
        <w:rPr>
          <w:rFonts w:ascii="Arial" w:hAnsi="Arial" w:cs="Arial"/>
        </w:rPr>
        <w:t>PFO and PDI</w:t>
      </w:r>
      <w:r>
        <w:rPr>
          <w:rFonts w:ascii="Arial" w:hAnsi="Arial" w:cs="Arial"/>
        </w:rPr>
        <w:t>:PS</w:t>
      </w:r>
      <w:r w:rsidRPr="00A745A4">
        <w:rPr>
          <w:rFonts w:ascii="Arial" w:hAnsi="Arial" w:cs="Arial"/>
        </w:rPr>
        <w:t xml:space="preserve">, from which </w:t>
      </w:r>
      <w:r>
        <w:rPr>
          <w:rFonts w:ascii="Arial" w:hAnsi="Arial" w:cs="Arial"/>
        </w:rPr>
        <w:t>one can conclude</w:t>
      </w:r>
      <w:r w:rsidRPr="00A745A4">
        <w:rPr>
          <w:rFonts w:ascii="Arial" w:hAnsi="Arial" w:cs="Arial"/>
        </w:rPr>
        <w:t xml:space="preserve"> </w:t>
      </w:r>
      <w:r>
        <w:rPr>
          <w:rFonts w:ascii="Arial" w:hAnsi="Arial" w:cs="Arial"/>
        </w:rPr>
        <w:t xml:space="preserve">that: </w:t>
      </w:r>
      <w:r w:rsidRPr="00A745A4">
        <w:rPr>
          <w:rFonts w:ascii="Arial" w:hAnsi="Arial" w:cs="Arial"/>
        </w:rPr>
        <w:t>(</w:t>
      </w:r>
      <w:r>
        <w:rPr>
          <w:rFonts w:ascii="Arial" w:hAnsi="Arial" w:cs="Arial"/>
        </w:rPr>
        <w:t>i</w:t>
      </w:r>
      <w:r w:rsidRPr="00A745A4">
        <w:rPr>
          <w:rFonts w:ascii="Arial" w:hAnsi="Arial" w:cs="Arial"/>
        </w:rPr>
        <w:t xml:space="preserve">) the quenching of PFO excitons by PDI does not occur </w:t>
      </w:r>
      <w:r>
        <w:rPr>
          <w:rFonts w:ascii="Arial" w:hAnsi="Arial" w:cs="Arial"/>
        </w:rPr>
        <w:t xml:space="preserve">with </w:t>
      </w:r>
      <w:r w:rsidRPr="00A745A4">
        <w:rPr>
          <w:rFonts w:ascii="Arial" w:hAnsi="Arial" w:cs="Arial"/>
        </w:rPr>
        <w:t>100% efficiency, (</w:t>
      </w:r>
      <w:r>
        <w:rPr>
          <w:rFonts w:ascii="Arial" w:hAnsi="Arial" w:cs="Arial"/>
        </w:rPr>
        <w:t>ii</w:t>
      </w:r>
      <w:r w:rsidRPr="00A745A4">
        <w:rPr>
          <w:rFonts w:ascii="Arial" w:hAnsi="Arial" w:cs="Arial"/>
        </w:rPr>
        <w:t>) one pathway for the quenching of PFO excitons is excitation energy transfer towards PDI</w:t>
      </w:r>
      <w:r>
        <w:rPr>
          <w:rFonts w:ascii="Arial" w:hAnsi="Arial" w:cs="Arial"/>
        </w:rPr>
        <w:t>,</w:t>
      </w:r>
      <w:r w:rsidRPr="00A745A4">
        <w:rPr>
          <w:rFonts w:ascii="Arial" w:hAnsi="Arial" w:cs="Arial"/>
        </w:rPr>
        <w:t xml:space="preserve"> and (</w:t>
      </w:r>
      <w:r>
        <w:rPr>
          <w:rFonts w:ascii="Arial" w:hAnsi="Arial" w:cs="Arial"/>
        </w:rPr>
        <w:t>iii</w:t>
      </w:r>
      <w:r w:rsidRPr="00A745A4">
        <w:rPr>
          <w:rFonts w:ascii="Arial" w:hAnsi="Arial" w:cs="Arial"/>
        </w:rPr>
        <w:t>) there is no significant contribution of the</w:t>
      </w:r>
      <w:r>
        <w:rPr>
          <w:rFonts w:ascii="Arial" w:hAnsi="Arial" w:cs="Arial"/>
        </w:rPr>
        <w:t xml:space="preserve"> </w:t>
      </w:r>
      <w:r w:rsidRPr="007E45AE">
        <w:rPr>
          <w:rFonts w:ascii="Arial" w:hAnsi="Arial" w:cs="Arial"/>
        </w:rPr>
        <w:t xml:space="preserve">PL of the </w:t>
      </w:r>
      <w:r>
        <w:rPr>
          <w:rFonts w:ascii="Arial" w:hAnsi="Arial" w:cs="Arial"/>
        </w:rPr>
        <w:t>intercalated PDI:PFO phase</w:t>
      </w:r>
      <w:r w:rsidRPr="007E45AE">
        <w:rPr>
          <w:rFonts w:ascii="Arial" w:hAnsi="Arial" w:cs="Arial"/>
        </w:rPr>
        <w:t xml:space="preserve">, such as emission from an interfacial charge transfer state. </w:t>
      </w:r>
      <w:r>
        <w:rPr>
          <w:rFonts w:ascii="Arial" w:hAnsi="Arial" w:cs="Arial"/>
        </w:rPr>
        <w:t>The</w:t>
      </w:r>
      <w:r w:rsidRPr="007E45AE">
        <w:rPr>
          <w:rFonts w:ascii="Arial" w:hAnsi="Arial" w:cs="Arial"/>
        </w:rPr>
        <w:t xml:space="preserve"> yields of these quenching processes</w:t>
      </w:r>
      <w:r>
        <w:rPr>
          <w:rFonts w:ascii="Arial" w:hAnsi="Arial" w:cs="Arial"/>
        </w:rPr>
        <w:t xml:space="preserve"> were not quantified here</w:t>
      </w:r>
      <w:r w:rsidRPr="007E45AE">
        <w:rPr>
          <w:rFonts w:ascii="Arial" w:hAnsi="Arial" w:cs="Arial"/>
        </w:rPr>
        <w:t>. We note</w:t>
      </w:r>
      <w:r>
        <w:rPr>
          <w:rFonts w:ascii="Arial" w:hAnsi="Arial" w:cs="Arial"/>
        </w:rPr>
        <w:t>,</w:t>
      </w:r>
      <w:r w:rsidRPr="007E45AE">
        <w:rPr>
          <w:rFonts w:ascii="Arial" w:hAnsi="Arial" w:cs="Arial"/>
        </w:rPr>
        <w:t xml:space="preserve"> however</w:t>
      </w:r>
      <w:r>
        <w:rPr>
          <w:rFonts w:ascii="Arial" w:hAnsi="Arial" w:cs="Arial"/>
        </w:rPr>
        <w:t>,</w:t>
      </w:r>
      <w:r w:rsidRPr="007E45AE">
        <w:rPr>
          <w:rFonts w:ascii="Arial" w:hAnsi="Arial" w:cs="Arial"/>
        </w:rPr>
        <w:t xml:space="preserve"> that the absence of CT emission is in agreement with a lifetime of the charge-separated state extending </w:t>
      </w:r>
      <w:r>
        <w:rPr>
          <w:rFonts w:ascii="Arial" w:hAnsi="Arial" w:cs="Arial"/>
        </w:rPr>
        <w:t xml:space="preserve">to several </w:t>
      </w:r>
      <w:r w:rsidRPr="007E45AE">
        <w:rPr>
          <w:rFonts w:ascii="Arial" w:hAnsi="Arial" w:cs="Arial"/>
        </w:rPr>
        <w:t>microseconds (see ESI</w:t>
      </w:r>
      <w:r w:rsidR="004B0C24">
        <w:rPr>
          <w:rFonts w:ascii="Arial" w:hAnsi="Arial" w:cs="Arial"/>
        </w:rPr>
        <w:t>, part</w:t>
      </w:r>
      <w:r w:rsidR="002C0AEC">
        <w:rPr>
          <w:rFonts w:ascii="Arial" w:hAnsi="Arial" w:cs="Arial"/>
        </w:rPr>
        <w:t xml:space="preserve"> H</w:t>
      </w:r>
      <w:r w:rsidRPr="007E45AE">
        <w:rPr>
          <w:rFonts w:ascii="Arial" w:hAnsi="Arial" w:cs="Arial"/>
        </w:rPr>
        <w:t xml:space="preserve">). </w:t>
      </w:r>
    </w:p>
    <w:p w14:paraId="4130F4A3" w14:textId="321417BD" w:rsidR="00F24EA0" w:rsidRDefault="00E15362">
      <w:pPr>
        <w:tabs>
          <w:tab w:val="left" w:pos="0"/>
        </w:tabs>
        <w:spacing w:line="360" w:lineRule="auto"/>
        <w:jc w:val="both"/>
        <w:rPr>
          <w:rFonts w:ascii="Arial" w:hAnsi="Arial" w:cs="Arial"/>
        </w:rPr>
      </w:pPr>
      <w:r>
        <w:rPr>
          <w:rFonts w:ascii="Arial" w:hAnsi="Arial" w:cs="Arial"/>
        </w:rPr>
        <w:t>Indeed, t</w:t>
      </w:r>
      <w:r w:rsidR="00F24EA0">
        <w:rPr>
          <w:rFonts w:ascii="Arial" w:hAnsi="Arial" w:cs="Arial"/>
        </w:rPr>
        <w:t>he</w:t>
      </w:r>
      <w:r>
        <w:rPr>
          <w:rFonts w:ascii="Arial" w:hAnsi="Arial" w:cs="Arial"/>
        </w:rPr>
        <w:t xml:space="preserve"> fluorescence microscopy</w:t>
      </w:r>
      <w:r w:rsidR="00F24EA0">
        <w:rPr>
          <w:rFonts w:ascii="Arial" w:hAnsi="Arial" w:cs="Arial"/>
        </w:rPr>
        <w:t xml:space="preserve"> image (following excitation at</w:t>
      </w:r>
      <w:r w:rsidR="00F24EA0" w:rsidRPr="0044237B">
        <w:rPr>
          <w:rFonts w:ascii="Arial" w:hAnsi="Arial" w:cs="Arial"/>
        </w:rPr>
        <w:t xml:space="preserve"> 370 nm) of PDI:PFO film</w:t>
      </w:r>
      <w:r w:rsidR="00F24EA0">
        <w:rPr>
          <w:rFonts w:ascii="Arial" w:hAnsi="Arial" w:cs="Arial"/>
        </w:rPr>
        <w:t>s</w:t>
      </w:r>
      <w:r w:rsidR="00F24EA0" w:rsidRPr="0044237B">
        <w:rPr>
          <w:rFonts w:ascii="Arial" w:hAnsi="Arial" w:cs="Arial"/>
        </w:rPr>
        <w:t xml:space="preserve"> </w:t>
      </w:r>
      <w:r>
        <w:rPr>
          <w:rFonts w:ascii="Arial" w:hAnsi="Arial" w:cs="Arial"/>
        </w:rPr>
        <w:t xml:space="preserve">shows </w:t>
      </w:r>
      <w:r w:rsidRPr="0044237B">
        <w:rPr>
          <w:rFonts w:ascii="Arial" w:hAnsi="Arial" w:cs="Arial"/>
        </w:rPr>
        <w:t>mixed blue and red emission from both components</w:t>
      </w:r>
      <w:r w:rsidR="006819CA">
        <w:rPr>
          <w:rFonts w:ascii="Arial" w:hAnsi="Arial" w:cs="Arial"/>
        </w:rPr>
        <w:t xml:space="preserve"> (Fig. 2a)</w:t>
      </w:r>
      <w:r>
        <w:rPr>
          <w:rFonts w:ascii="Arial" w:hAnsi="Arial" w:cs="Arial"/>
        </w:rPr>
        <w:t xml:space="preserve">. The blend </w:t>
      </w:r>
      <w:r w:rsidRPr="0044237B">
        <w:rPr>
          <w:rFonts w:ascii="Arial" w:hAnsi="Arial" w:cs="Arial"/>
        </w:rPr>
        <w:t>consists of similarly shaped dendritic crystals</w:t>
      </w:r>
      <w:r>
        <w:rPr>
          <w:rFonts w:ascii="Arial" w:hAnsi="Arial" w:cs="Arial"/>
        </w:rPr>
        <w:t>,</w:t>
      </w:r>
      <w:r w:rsidRPr="0044237B">
        <w:rPr>
          <w:rFonts w:ascii="Arial" w:hAnsi="Arial" w:cs="Arial"/>
        </w:rPr>
        <w:t xml:space="preserve"> </w:t>
      </w:r>
      <w:r>
        <w:rPr>
          <w:rFonts w:ascii="Arial" w:hAnsi="Arial" w:cs="Arial"/>
        </w:rPr>
        <w:t>400-500</w:t>
      </w:r>
      <w:r w:rsidRPr="0044237B">
        <w:rPr>
          <w:rFonts w:ascii="Arial" w:hAnsi="Arial" w:cs="Arial"/>
        </w:rPr>
        <w:t xml:space="preserve"> µm long, with which show some spatial correlation</w:t>
      </w:r>
      <w:r>
        <w:rPr>
          <w:rFonts w:ascii="Arial" w:hAnsi="Arial" w:cs="Arial"/>
        </w:rPr>
        <w:t xml:space="preserve"> of emission</w:t>
      </w:r>
      <w:r w:rsidR="00F24EA0" w:rsidRPr="0044237B">
        <w:rPr>
          <w:rFonts w:ascii="Arial" w:hAnsi="Arial" w:cs="Arial"/>
        </w:rPr>
        <w:t xml:space="preserve">: while the PDI excimer emission is more visible in the origin of the dendrites, the blue PFO emission becomes relatively stronger in its branches. </w:t>
      </w:r>
      <w:r w:rsidR="00F24EA0">
        <w:rPr>
          <w:rFonts w:ascii="Arial" w:hAnsi="Arial" w:cs="Arial"/>
        </w:rPr>
        <w:t>H</w:t>
      </w:r>
      <w:r w:rsidR="00F24EA0" w:rsidRPr="0044237B">
        <w:rPr>
          <w:rFonts w:ascii="Arial" w:hAnsi="Arial" w:cs="Arial"/>
        </w:rPr>
        <w:t>owever</w:t>
      </w:r>
      <w:r w:rsidR="00F24EA0">
        <w:rPr>
          <w:rFonts w:ascii="Arial" w:hAnsi="Arial" w:cs="Arial"/>
        </w:rPr>
        <w:t>,</w:t>
      </w:r>
      <w:r w:rsidR="00F24EA0" w:rsidRPr="0044237B">
        <w:rPr>
          <w:rFonts w:ascii="Arial" w:hAnsi="Arial" w:cs="Arial"/>
        </w:rPr>
        <w:t xml:space="preserve"> there is significant PDI emission even in the regions dominated by PFO emission allowing us to study photoexcitation dynamics occurring on </w:t>
      </w:r>
      <w:r w:rsidR="00F24EA0">
        <w:rPr>
          <w:rFonts w:ascii="Arial" w:hAnsi="Arial" w:cs="Arial"/>
        </w:rPr>
        <w:t>the</w:t>
      </w:r>
      <w:r w:rsidR="00F24EA0" w:rsidRPr="0044237B">
        <w:rPr>
          <w:rFonts w:ascii="Arial" w:hAnsi="Arial" w:cs="Arial"/>
        </w:rPr>
        <w:t xml:space="preserve"> nanoscale between PFO and PDI</w:t>
      </w:r>
      <w:r w:rsidR="00F24EA0">
        <w:rPr>
          <w:rFonts w:ascii="Arial" w:hAnsi="Arial" w:cs="Arial"/>
        </w:rPr>
        <w:t xml:space="preserve">. </w:t>
      </w:r>
      <w:r>
        <w:rPr>
          <w:rFonts w:ascii="Arial" w:hAnsi="Arial" w:cs="Arial"/>
        </w:rPr>
        <w:t>At the same time, t</w:t>
      </w:r>
      <w:r w:rsidRPr="0044237B">
        <w:rPr>
          <w:rFonts w:ascii="Arial" w:hAnsi="Arial" w:cs="Arial"/>
        </w:rPr>
        <w:t>he pure PDI film (Fig</w:t>
      </w:r>
      <w:r>
        <w:rPr>
          <w:rFonts w:ascii="Arial" w:hAnsi="Arial" w:cs="Arial"/>
        </w:rPr>
        <w:t>.</w:t>
      </w:r>
      <w:r w:rsidR="006819CA">
        <w:rPr>
          <w:rFonts w:ascii="Arial" w:hAnsi="Arial" w:cs="Arial"/>
        </w:rPr>
        <w:t>2</w:t>
      </w:r>
      <w:r>
        <w:rPr>
          <w:rFonts w:ascii="Arial" w:hAnsi="Arial" w:cs="Arial"/>
        </w:rPr>
        <w:t>b</w:t>
      </w:r>
      <w:r w:rsidRPr="0044237B">
        <w:rPr>
          <w:rFonts w:ascii="Arial" w:hAnsi="Arial" w:cs="Arial"/>
        </w:rPr>
        <w:t>) consists of non-homogenously distributed well-defined dendritic crystals with homogeneous red excimer emission</w:t>
      </w:r>
      <w:r>
        <w:rPr>
          <w:rFonts w:ascii="Arial" w:hAnsi="Arial" w:cs="Arial"/>
        </w:rPr>
        <w:t>.</w:t>
      </w:r>
    </w:p>
    <w:p w14:paraId="300D17A2" w14:textId="3A0886E0" w:rsidR="006819CA" w:rsidRDefault="006819CA">
      <w:pPr>
        <w:tabs>
          <w:tab w:val="left" w:pos="0"/>
        </w:tabs>
        <w:spacing w:line="360" w:lineRule="auto"/>
        <w:jc w:val="both"/>
        <w:rPr>
          <w:rFonts w:ascii="Arial" w:hAnsi="Arial" w:cs="Arial"/>
        </w:rPr>
      </w:pPr>
      <w:r>
        <w:rPr>
          <w:rFonts w:ascii="Arial" w:hAnsi="Arial" w:cs="Arial"/>
          <w:noProof/>
          <w:lang w:eastAsia="en-GB"/>
        </w:rPr>
        <w:lastRenderedPageBreak/>
        <w:drawing>
          <wp:inline distT="0" distB="0" distL="0" distR="0" wp14:anchorId="2E6505BD" wp14:editId="445EEB62">
            <wp:extent cx="3626908" cy="1765189"/>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3354" cy="1773193"/>
                    </a:xfrm>
                    <a:prstGeom prst="rect">
                      <a:avLst/>
                    </a:prstGeom>
                    <a:noFill/>
                  </pic:spPr>
                </pic:pic>
              </a:graphicData>
            </a:graphic>
          </wp:inline>
        </w:drawing>
      </w:r>
    </w:p>
    <w:p w14:paraId="301047FE" w14:textId="31380764" w:rsidR="006819CA" w:rsidRPr="0074596D" w:rsidRDefault="006819CA" w:rsidP="006819CA">
      <w:pPr>
        <w:tabs>
          <w:tab w:val="left" w:pos="0"/>
        </w:tabs>
        <w:spacing w:line="360" w:lineRule="auto"/>
        <w:jc w:val="both"/>
        <w:rPr>
          <w:rFonts w:ascii="Arial" w:hAnsi="Arial" w:cs="Arial"/>
        </w:rPr>
      </w:pPr>
      <w:r w:rsidRPr="0044237B">
        <w:rPr>
          <w:rFonts w:ascii="Arial" w:hAnsi="Arial" w:cs="Arial"/>
          <w:b/>
        </w:rPr>
        <w:t xml:space="preserve">Figure </w:t>
      </w:r>
      <w:r>
        <w:rPr>
          <w:rFonts w:ascii="Arial" w:hAnsi="Arial" w:cs="Arial"/>
          <w:b/>
        </w:rPr>
        <w:t>2</w:t>
      </w:r>
      <w:r w:rsidRPr="0044237B">
        <w:rPr>
          <w:rFonts w:ascii="Arial" w:hAnsi="Arial" w:cs="Arial"/>
          <w:b/>
        </w:rPr>
        <w:t>.</w:t>
      </w:r>
      <w:r>
        <w:rPr>
          <w:rFonts w:ascii="Arial" w:hAnsi="Arial" w:cs="Arial"/>
        </w:rPr>
        <w:t xml:space="preserve"> </w:t>
      </w:r>
      <w:r w:rsidRPr="0074596D">
        <w:rPr>
          <w:rFonts w:ascii="Arial" w:hAnsi="Arial" w:cs="Arial"/>
        </w:rPr>
        <w:t xml:space="preserve">Fluorescence microscopy images of </w:t>
      </w:r>
      <w:r>
        <w:rPr>
          <w:rFonts w:ascii="Arial" w:hAnsi="Arial" w:cs="Arial"/>
        </w:rPr>
        <w:t>the</w:t>
      </w:r>
      <w:r w:rsidRPr="0074596D">
        <w:rPr>
          <w:rFonts w:ascii="Arial" w:hAnsi="Arial" w:cs="Arial"/>
        </w:rPr>
        <w:t xml:space="preserve"> PDI:PFO blend </w:t>
      </w:r>
      <w:r>
        <w:rPr>
          <w:rFonts w:ascii="Arial" w:hAnsi="Arial" w:cs="Arial"/>
        </w:rPr>
        <w:t>(a</w:t>
      </w:r>
      <w:r w:rsidRPr="0074596D">
        <w:rPr>
          <w:rFonts w:ascii="Arial" w:hAnsi="Arial" w:cs="Arial"/>
        </w:rPr>
        <w:t>)</w:t>
      </w:r>
      <w:r>
        <w:rPr>
          <w:rFonts w:ascii="Arial" w:hAnsi="Arial" w:cs="Arial"/>
        </w:rPr>
        <w:t xml:space="preserve"> and </w:t>
      </w:r>
      <w:r w:rsidRPr="0074596D">
        <w:rPr>
          <w:rFonts w:ascii="Arial" w:hAnsi="Arial" w:cs="Arial"/>
        </w:rPr>
        <w:t xml:space="preserve">pure </w:t>
      </w:r>
      <w:r>
        <w:rPr>
          <w:rFonts w:ascii="Arial" w:hAnsi="Arial" w:cs="Arial"/>
        </w:rPr>
        <w:t>PDI reference film (a</w:t>
      </w:r>
      <w:r w:rsidRPr="0074596D">
        <w:rPr>
          <w:rFonts w:ascii="Arial" w:hAnsi="Arial" w:cs="Arial"/>
        </w:rPr>
        <w:t xml:space="preserve">) and. Scale bar is equal to </w:t>
      </w:r>
      <w:r>
        <w:rPr>
          <w:rFonts w:ascii="Arial" w:hAnsi="Arial" w:cs="Arial"/>
        </w:rPr>
        <w:t>20</w:t>
      </w:r>
      <w:r w:rsidRPr="0074596D">
        <w:rPr>
          <w:rFonts w:ascii="Arial" w:hAnsi="Arial" w:cs="Arial"/>
        </w:rPr>
        <w:t>0 µm.</w:t>
      </w:r>
    </w:p>
    <w:p w14:paraId="1FD28A93" w14:textId="2DC131FC" w:rsidR="00E15362" w:rsidRPr="0044237B" w:rsidRDefault="00E15362" w:rsidP="00E15362">
      <w:pPr>
        <w:spacing w:line="360" w:lineRule="auto"/>
        <w:jc w:val="both"/>
        <w:rPr>
          <w:rFonts w:ascii="Arial" w:hAnsi="Arial" w:cs="Arial"/>
        </w:rPr>
      </w:pPr>
      <w:r w:rsidRPr="0074596D">
        <w:rPr>
          <w:rFonts w:ascii="Arial" w:hAnsi="Arial" w:cs="Arial"/>
        </w:rPr>
        <w:t xml:space="preserve">In order to evaluate the morphology and interactions between the PDI </w:t>
      </w:r>
      <w:r>
        <w:rPr>
          <w:rFonts w:ascii="Arial" w:hAnsi="Arial" w:cs="Arial"/>
        </w:rPr>
        <w:t xml:space="preserve">and </w:t>
      </w:r>
      <w:r w:rsidRPr="0074596D">
        <w:rPr>
          <w:rFonts w:ascii="Arial" w:hAnsi="Arial" w:cs="Arial"/>
        </w:rPr>
        <w:t>PFO components within the blend</w:t>
      </w:r>
      <w:r>
        <w:rPr>
          <w:rFonts w:ascii="Arial" w:hAnsi="Arial" w:cs="Arial"/>
        </w:rPr>
        <w:t xml:space="preserve"> with a large amount of agglomerated crystals</w:t>
      </w:r>
      <w:r w:rsidRPr="0074596D">
        <w:rPr>
          <w:rFonts w:ascii="Arial" w:hAnsi="Arial" w:cs="Arial"/>
        </w:rPr>
        <w:t xml:space="preserve">, </w:t>
      </w:r>
      <w:r>
        <w:rPr>
          <w:rFonts w:ascii="Arial" w:hAnsi="Arial" w:cs="Arial"/>
        </w:rPr>
        <w:t xml:space="preserve">we conducted </w:t>
      </w:r>
      <w:r w:rsidRPr="0074596D">
        <w:rPr>
          <w:rFonts w:ascii="Arial" w:hAnsi="Arial" w:cs="Arial"/>
        </w:rPr>
        <w:t xml:space="preserve">GIWAXS </w:t>
      </w:r>
      <w:r>
        <w:rPr>
          <w:rFonts w:ascii="Arial" w:hAnsi="Arial" w:cs="Arial"/>
        </w:rPr>
        <w:t>measurements</w:t>
      </w:r>
      <w:r w:rsidRPr="0074596D">
        <w:rPr>
          <w:rFonts w:ascii="Arial" w:hAnsi="Arial" w:cs="Arial"/>
        </w:rPr>
        <w:t xml:space="preserve"> (Fi</w:t>
      </w:r>
      <w:r>
        <w:rPr>
          <w:rFonts w:ascii="Arial" w:hAnsi="Arial" w:cs="Arial"/>
        </w:rPr>
        <w:t>g.</w:t>
      </w:r>
      <w:r w:rsidRPr="0074596D">
        <w:rPr>
          <w:rFonts w:ascii="Arial" w:hAnsi="Arial" w:cs="Arial"/>
        </w:rPr>
        <w:t xml:space="preserve"> </w:t>
      </w:r>
      <w:r w:rsidR="006819CA">
        <w:rPr>
          <w:rFonts w:ascii="Arial" w:hAnsi="Arial" w:cs="Arial"/>
        </w:rPr>
        <w:t>3</w:t>
      </w:r>
      <w:r>
        <w:rPr>
          <w:rFonts w:ascii="Arial" w:hAnsi="Arial" w:cs="Arial"/>
        </w:rPr>
        <w:t>).</w:t>
      </w:r>
      <w:r w:rsidRPr="0074596D">
        <w:rPr>
          <w:rFonts w:ascii="Arial" w:hAnsi="Arial" w:cs="Arial"/>
        </w:rPr>
        <w:t xml:space="preserve"> The pattern of the blend film is</w:t>
      </w:r>
      <w:r>
        <w:rPr>
          <w:rFonts w:ascii="Arial" w:hAnsi="Arial" w:cs="Arial"/>
        </w:rPr>
        <w:t xml:space="preserve"> significantly</w:t>
      </w:r>
      <w:r w:rsidRPr="0074596D">
        <w:rPr>
          <w:rFonts w:ascii="Arial" w:hAnsi="Arial" w:cs="Arial"/>
        </w:rPr>
        <w:t xml:space="preserve"> different from the scattering pattern of the PDI, although a single peak of </w:t>
      </w:r>
      <w:r>
        <w:rPr>
          <w:rFonts w:ascii="Arial" w:hAnsi="Arial" w:cs="Arial"/>
        </w:rPr>
        <w:t>the</w:t>
      </w:r>
      <w:r w:rsidRPr="0074596D">
        <w:rPr>
          <w:rFonts w:ascii="Arial" w:hAnsi="Arial" w:cs="Arial"/>
        </w:rPr>
        <w:t xml:space="preserve"> original </w:t>
      </w:r>
      <w:r>
        <w:rPr>
          <w:rFonts w:ascii="Arial" w:hAnsi="Arial" w:cs="Arial"/>
        </w:rPr>
        <w:t xml:space="preserve">PDI </w:t>
      </w:r>
      <w:r w:rsidRPr="0074596D">
        <w:rPr>
          <w:rFonts w:ascii="Arial" w:hAnsi="Arial" w:cs="Arial"/>
        </w:rPr>
        <w:t>pattern is observed at</w:t>
      </w:r>
      <w:r>
        <w:rPr>
          <w:rFonts w:ascii="Arial" w:hAnsi="Arial" w:cs="Arial"/>
        </w:rPr>
        <w:t xml:space="preserve"> q=</w:t>
      </w:r>
      <w:r w:rsidRPr="0074596D">
        <w:rPr>
          <w:rFonts w:ascii="Arial" w:hAnsi="Arial" w:cs="Arial"/>
        </w:rPr>
        <w:t xml:space="preserve"> 3.8 nm</w:t>
      </w:r>
      <w:r w:rsidRPr="0074596D">
        <w:rPr>
          <w:rFonts w:ascii="Arial" w:hAnsi="Arial" w:cs="Arial"/>
          <w:vertAlign w:val="superscript"/>
        </w:rPr>
        <w:t>-1</w:t>
      </w:r>
      <w:r w:rsidRPr="0074596D">
        <w:rPr>
          <w:rFonts w:ascii="Arial" w:hAnsi="Arial" w:cs="Arial"/>
        </w:rPr>
        <w:t xml:space="preserve">, indicating that </w:t>
      </w:r>
      <w:r>
        <w:rPr>
          <w:rFonts w:ascii="Arial" w:hAnsi="Arial" w:cs="Arial"/>
        </w:rPr>
        <w:t>regular</w:t>
      </w:r>
      <w:r w:rsidRPr="0074596D">
        <w:rPr>
          <w:rFonts w:ascii="Arial" w:hAnsi="Arial" w:cs="Arial"/>
        </w:rPr>
        <w:t xml:space="preserve"> PDI crystals are </w:t>
      </w:r>
      <w:r w:rsidR="000B745C">
        <w:rPr>
          <w:rFonts w:ascii="Arial" w:hAnsi="Arial" w:cs="Arial"/>
        </w:rPr>
        <w:t xml:space="preserve">also </w:t>
      </w:r>
      <w:r w:rsidRPr="0074596D">
        <w:rPr>
          <w:rFonts w:ascii="Arial" w:hAnsi="Arial" w:cs="Arial"/>
        </w:rPr>
        <w:t>present. Additional peaks at 3.5 nm</w:t>
      </w:r>
      <w:r w:rsidRPr="0074596D">
        <w:rPr>
          <w:rFonts w:ascii="Arial" w:hAnsi="Arial" w:cs="Arial"/>
          <w:vertAlign w:val="superscript"/>
        </w:rPr>
        <w:t>-1</w:t>
      </w:r>
      <w:r w:rsidRPr="0074596D">
        <w:rPr>
          <w:rFonts w:ascii="Arial" w:hAnsi="Arial" w:cs="Arial"/>
        </w:rPr>
        <w:t xml:space="preserve"> and 6.23 nm</w:t>
      </w:r>
      <w:r w:rsidRPr="0074596D">
        <w:rPr>
          <w:rFonts w:ascii="Arial" w:hAnsi="Arial" w:cs="Arial"/>
          <w:vertAlign w:val="superscript"/>
        </w:rPr>
        <w:t>-1</w:t>
      </w:r>
      <w:r w:rsidRPr="0074596D">
        <w:rPr>
          <w:rFonts w:ascii="Arial" w:hAnsi="Arial" w:cs="Arial"/>
        </w:rPr>
        <w:t xml:space="preserve"> cannot be attributed to crystallization of PDI</w:t>
      </w:r>
      <w:r>
        <w:rPr>
          <w:rFonts w:ascii="Arial" w:hAnsi="Arial" w:cs="Arial"/>
        </w:rPr>
        <w:t xml:space="preserve"> alone </w:t>
      </w:r>
      <w:r w:rsidRPr="0074596D">
        <w:rPr>
          <w:rFonts w:ascii="Arial" w:hAnsi="Arial" w:cs="Arial"/>
        </w:rPr>
        <w:t xml:space="preserve">and </w:t>
      </w:r>
      <w:r>
        <w:rPr>
          <w:rFonts w:ascii="Arial" w:hAnsi="Arial" w:cs="Arial"/>
        </w:rPr>
        <w:t>are</w:t>
      </w:r>
      <w:r w:rsidRPr="0074596D">
        <w:rPr>
          <w:rFonts w:ascii="Arial" w:hAnsi="Arial" w:cs="Arial"/>
        </w:rPr>
        <w:t xml:space="preserve"> therefore a result of interaction of PDI with PFO</w:t>
      </w:r>
      <w:r>
        <w:rPr>
          <w:rFonts w:ascii="Arial" w:hAnsi="Arial" w:cs="Arial"/>
        </w:rPr>
        <w:t>. The</w:t>
      </w:r>
      <w:r w:rsidRPr="0074596D">
        <w:rPr>
          <w:rFonts w:ascii="Arial" w:hAnsi="Arial" w:cs="Arial"/>
        </w:rPr>
        <w:t xml:space="preserve"> </w:t>
      </w:r>
      <w:r>
        <w:rPr>
          <w:rFonts w:ascii="Arial" w:hAnsi="Arial" w:cs="Arial"/>
        </w:rPr>
        <w:t xml:space="preserve">d </w:t>
      </w:r>
      <w:r w:rsidRPr="0074596D">
        <w:rPr>
          <w:rFonts w:ascii="Arial" w:hAnsi="Arial" w:cs="Arial"/>
        </w:rPr>
        <w:t xml:space="preserve">spacing of the first order peak in the </w:t>
      </w:r>
      <w:r>
        <w:rPr>
          <w:rFonts w:ascii="Arial" w:hAnsi="Arial" w:cs="Arial"/>
        </w:rPr>
        <w:t>blend film</w:t>
      </w:r>
      <w:r w:rsidRPr="0074596D">
        <w:rPr>
          <w:rFonts w:ascii="Arial" w:hAnsi="Arial" w:cs="Arial"/>
        </w:rPr>
        <w:t xml:space="preserve"> is slightly higher</w:t>
      </w:r>
      <w:r w:rsidR="004C0D75">
        <w:rPr>
          <w:rFonts w:ascii="Arial" w:hAnsi="Arial" w:cs="Arial"/>
        </w:rPr>
        <w:t xml:space="preserve"> (</w:t>
      </w:r>
      <w:r>
        <w:rPr>
          <w:rFonts w:ascii="Arial" w:hAnsi="Arial" w:cs="Arial"/>
        </w:rPr>
        <w:t>d=</w:t>
      </w:r>
      <w:r w:rsidRPr="0074596D">
        <w:rPr>
          <w:rFonts w:ascii="Arial" w:hAnsi="Arial" w:cs="Arial"/>
        </w:rPr>
        <w:t xml:space="preserve">17.7 Å </w:t>
      </w:r>
      <w:r>
        <w:rPr>
          <w:rFonts w:ascii="Arial" w:hAnsi="Arial" w:cs="Arial"/>
        </w:rPr>
        <w:t xml:space="preserve">compared to </w:t>
      </w:r>
      <w:r w:rsidRPr="0074596D">
        <w:rPr>
          <w:rFonts w:ascii="Arial" w:hAnsi="Arial" w:cs="Arial"/>
        </w:rPr>
        <w:t>16.6 Å</w:t>
      </w:r>
      <w:r w:rsidR="004C0D75">
        <w:rPr>
          <w:rFonts w:ascii="Arial" w:hAnsi="Arial" w:cs="Arial"/>
        </w:rPr>
        <w:t>),</w:t>
      </w:r>
      <w:r w:rsidRPr="0074596D">
        <w:rPr>
          <w:rFonts w:ascii="Arial" w:hAnsi="Arial" w:cs="Arial"/>
        </w:rPr>
        <w:t xml:space="preserve"> </w:t>
      </w:r>
      <w:r>
        <w:rPr>
          <w:rFonts w:ascii="Arial" w:hAnsi="Arial" w:cs="Arial"/>
        </w:rPr>
        <w:t>reflecting an increased tilting angle</w:t>
      </w:r>
      <w:r w:rsidRPr="0074596D">
        <w:rPr>
          <w:rFonts w:ascii="Arial" w:hAnsi="Arial" w:cs="Arial"/>
        </w:rPr>
        <w:t xml:space="preserve"> between the PDI stacks.</w:t>
      </w:r>
      <w:r>
        <w:rPr>
          <w:rFonts w:ascii="Arial" w:hAnsi="Arial" w:cs="Arial"/>
        </w:rPr>
        <w:fldChar w:fldCharType="begin" w:fldLock="1"/>
      </w:r>
      <w:r w:rsidR="000B745C">
        <w:rPr>
          <w:rFonts w:ascii="Arial" w:hAnsi="Arial" w:cs="Arial"/>
        </w:rPr>
        <w:instrText>ADDIN CSL_CITATION { "citationItems" : [ { "id" : "ITEM-1", "itemData" : { "ISSN" : "1600-5368", "author" : [ { "dropping-particle" : "", "family" : "Maniukiewicz", "given" : "Waldemar", "non-dropping-particle" : "", "parse-names" : false, "suffix" : "" }, { "dropping-particle" : "", "family" : "Bojarska", "given" : "Joanna", "non-dropping-particle" : "", "parse-names" : false, "suffix" : "" }, { "dropping-particle" : "", "family" : "Olczak", "given" : "Andrzej", "non-dropping-particle" : "", "parse-names" : false, "suffix" : "" }, { "dropping-particle" : "", "family" : "Dobruchowska", "given" : "Ewa", "non-dropping-particle" : "", "parse-names" : false, "suffix" : "" }, { "dropping-particle" : "", "family" : "Wiatrowski", "given" : "Micha\u0142", "non-dropping-particle" : "", "parse-names" : false, "suffix" : "" } ], "container-title" : "Acta Crystallographica Section E: Structure Reports Online", "id" : "ITEM-1", "issue" : "10", "issued" : { "date-parts" : [ [ "2010" ] ] }, "page" : "o2570-o2571", "publisher" : "International Union of Crystallography", "title" : "2, 9-Di-3-pentylanthra [1, 9-def: 6, 5, 10-d\u2032 e\u2032 f\u2032] diisoquinoline-1, 3, 8, 10-tetrone", "type" : "article-journal", "volume" : "66" }, "uris" : [ "http://www.mendeley.com/documents/?uuid=3789b2f9-651f-46c2-89ed-ff41a947e228" ] } ], "mendeley" : { "formattedCitation" : "&lt;sup&gt;31&lt;/sup&gt;", "plainTextFormattedCitation" : "31", "previouslyFormattedCitation" : "&lt;sup&gt;31&lt;/sup&gt;" }, "properties" : { "noteIndex" : 0 }, "schema" : "https://github.com/citation-style-language/schema/raw/master/csl-citation.json" }</w:instrText>
      </w:r>
      <w:r>
        <w:rPr>
          <w:rFonts w:ascii="Arial" w:hAnsi="Arial" w:cs="Arial"/>
        </w:rPr>
        <w:fldChar w:fldCharType="separate"/>
      </w:r>
      <w:r w:rsidR="000B745C" w:rsidRPr="000B745C">
        <w:rPr>
          <w:rFonts w:ascii="Arial" w:hAnsi="Arial" w:cs="Arial"/>
          <w:noProof/>
          <w:vertAlign w:val="superscript"/>
        </w:rPr>
        <w:t>31</w:t>
      </w:r>
      <w:r>
        <w:rPr>
          <w:rFonts w:ascii="Arial" w:hAnsi="Arial" w:cs="Arial"/>
        </w:rPr>
        <w:fldChar w:fldCharType="end"/>
      </w:r>
      <w:r w:rsidRPr="0074596D">
        <w:rPr>
          <w:rFonts w:ascii="Arial" w:hAnsi="Arial" w:cs="Arial"/>
        </w:rPr>
        <w:t xml:space="preserve"> </w:t>
      </w:r>
      <w:r w:rsidRPr="003F551D">
        <w:rPr>
          <w:rFonts w:ascii="Arial" w:hAnsi="Arial" w:cs="Arial"/>
        </w:rPr>
        <w:t xml:space="preserve">Furthermore, the peak originating from PFO </w:t>
      </w:r>
      <w:r w:rsidR="0088636A" w:rsidRPr="00510F50">
        <w:rPr>
          <w:rFonts w:ascii="Arial" w:hAnsi="Arial" w:cs="Arial"/>
        </w:rPr>
        <w:t>β-phase</w:t>
      </w:r>
      <w:r w:rsidR="0088636A" w:rsidRPr="003F551D">
        <w:rPr>
          <w:rFonts w:ascii="Arial" w:hAnsi="Arial" w:cs="Arial"/>
        </w:rPr>
        <w:t xml:space="preserve"> </w:t>
      </w:r>
      <w:r w:rsidRPr="003F551D">
        <w:rPr>
          <w:rFonts w:ascii="Arial" w:hAnsi="Arial" w:cs="Arial"/>
        </w:rPr>
        <w:t>contributions to the scattering pattern of the blend is pronounced at q = 5.05 nm</w:t>
      </w:r>
      <w:r w:rsidRPr="00510F50">
        <w:rPr>
          <w:rFonts w:ascii="Arial" w:hAnsi="Arial" w:cs="Arial"/>
          <w:vertAlign w:val="superscript"/>
        </w:rPr>
        <w:t>-1</w:t>
      </w:r>
      <w:r w:rsidRPr="00510F50">
        <w:rPr>
          <w:rFonts w:ascii="Arial" w:hAnsi="Arial" w:cs="Arial"/>
        </w:rPr>
        <w:t>.</w:t>
      </w:r>
      <w:r w:rsidRPr="003F551D">
        <w:rPr>
          <w:rFonts w:ascii="Arial" w:hAnsi="Arial" w:cs="Arial"/>
        </w:rPr>
        <w:fldChar w:fldCharType="begin" w:fldLock="1"/>
      </w:r>
      <w:r w:rsidR="000B745C">
        <w:rPr>
          <w:rFonts w:ascii="Arial" w:hAnsi="Arial" w:cs="Arial"/>
        </w:rPr>
        <w:instrText>ADDIN CSL_CITATION { "citationItems" : [ { "id" : "ITEM-1", "itemData" : { "ISSN" : "0024-9297", "author" : [ { "dropping-particle" : "", "family" : "Grell", "given" : "M", "non-dropping-particle" : "", "parse-names" : false, "suffix" : "" }, { "dropping-particle" : "", "family" : "Bradley", "given" : "D D C", "non-dropping-particle" : "", "parse-names" : false, "suffix" : "" }, { "dropping-particle" : "", "family" : "Ungar", "given" : "G", "non-dropping-particle" : "", "parse-names" : false, "suffix" : "" }, { "dropping-particle" : "", "family" : "Hill", "given" : "J", "non-dropping-particle" : "", "parse-names" : false, "suffix" : "" }, { "dropping-particle" : "", "family" : "Whitehead", "given" : "K S", "non-dropping-particle" : "", "parse-names" : false, "suffix" : "" } ], "container-title" : "Macromolecules", "id" : "ITEM-1", "issue" : "18", "issued" : { "date-parts" : [ [ "1999" ] ] }, "page" : "5810-5817", "publisher" : "ACS Publications", "title" : "Interplay of physical structure and photophysics for a liquid crystalline polyfluorene", "type" : "article-journal", "volume" : "32" }, "uris" : [ "http://www.mendeley.com/documents/?uuid=3c3d6265-4d78-4e91-ae45-9b6b86c1ed2f" ] }, { "id" : "ITEM-2", "itemData" : { "ISSN" : "0024-9297", "author" : [ { "dropping-particle" : "", "family" : "Misaki", "given" : "Masahiro", "non-dropping-particle" : "", "parse-names" : false, "suffix" : "" }, { "dropping-particle" : "", "family" : "Ueda", "given" : "Yasukiyo", "non-dropping-particle" : "", "parse-names" : false, "suffix" : "" }, { "dropping-particle" : "", "family" : "Nagamatsu", "given" : "Shuichi", "non-dropping-particle" : "", "parse-names" : false, "suffix" : "" }, { "dropping-particle" : "", "family" : "Yoshida", "given" : "Yuji", "non-dropping-particle" : "", "parse-names" : false, "suffix" : "" }, { "dropping-particle" : "", "family" : "Tanigaki", "given" : "Nobutaka", "non-dropping-particle" : "", "parse-names" : false, "suffix" : "" }, { "dropping-particle" : "", "family" : "Yase", "given" : "Kiyoshi", "non-dropping-particle" : "", "parse-names" : false, "suffix" : "" } ], "container-title" : "Macromolecules", "id" : "ITEM-2", "issue" : "18", "issued" : { "date-parts" : [ [ "2004" ] ] }, "page" : "6926-6931", "publisher" : "ACS Publications", "title" : "Formation of single-crystal-like poly (9, 9-dioctylfluorene) thin film by the friction-transfer technique with subsequent thermal treatments", "type" : "article-journal", "volume" : "37" }, "uris" : [ "http://www.mendeley.com/documents/?uuid=2ab8d767-8062-4010-8477-ca902a14c6d3" ] }, { "id" : "ITEM-3", "itemData" : { "ISSN" : "0024-9297", "author" : [ { "dropping-particle" : "", "family" : "Brinkmann", "given" : "Martin", "non-dropping-particle" : "", "parse-names" : false, "suffix" : "" }, { "dropping-particle" : "", "family" : "Charoenthai", "given" : "Nipaphat", "non-dropping-particle" : "", "parse-names" : false, "suffix" : "" }, { "dropping-particle" : "", "family" : "Traiphol", "given" : "Rakchart", "non-dropping-particle" : "", "parse-names" : false, "suffix" : "" }, { "dropping-particle" : "", "family" : "Piyakulawat", "given" : "Phimwipha", "non-dropping-particle" : "", "parse-names" : false, "suffix" : "" }, { "dropping-particle" : "", "family" : "Wlosnewski", "given" : "Joerg", "non-dropping-particle" : "", "parse-names" : false, "suffix" : "" }, { "dropping-particle" : "", "family" : "Asawapirom", "given" : "Udom", "non-dropping-particle" : "", "parse-names" : false, "suffix" : "" } ], "container-title" : "Macromolecules", "id" : "ITEM-3", "issue" : "21", "issued" : { "date-parts" : [ [ "2009" ] ] }, "page" : "8298-8306", "publisher" : "ACS Publications", "title" : "Structure and Morphology in Highly Oriented Films of Poly (9, 9-bis (n-octyl) fluorene-2, 7-diyl) and Poly (9, 9-bis (2-ethylhexyl) fluorene-2, 7-diyl) Grown on Friction Transferred Poly (tetrafluoroethylene)", "type" : "article-journal", "volume" : "42" }, "uris" : [ "http://www.mendeley.com/documents/?uuid=f9d50b41-1ff4-45c6-9e1d-ee3e20b513f0" ] } ], "mendeley" : { "formattedCitation" : "&lt;sup&gt;27,32,33&lt;/sup&gt;", "plainTextFormattedCitation" : "27,32,33", "previouslyFormattedCitation" : "&lt;sup&gt;27,32,33&lt;/sup&gt;" }, "properties" : { "noteIndex" : 0 }, "schema" : "https://github.com/citation-style-language/schema/raw/master/csl-citation.json" }</w:instrText>
      </w:r>
      <w:r w:rsidRPr="003F551D">
        <w:rPr>
          <w:rFonts w:ascii="Arial" w:hAnsi="Arial" w:cs="Arial"/>
        </w:rPr>
        <w:fldChar w:fldCharType="separate"/>
      </w:r>
      <w:r w:rsidR="000B745C" w:rsidRPr="000B745C">
        <w:rPr>
          <w:rFonts w:ascii="Arial" w:hAnsi="Arial" w:cs="Arial"/>
          <w:noProof/>
          <w:vertAlign w:val="superscript"/>
        </w:rPr>
        <w:t>27,32,33</w:t>
      </w:r>
      <w:r w:rsidRPr="003F551D">
        <w:rPr>
          <w:rFonts w:ascii="Arial" w:hAnsi="Arial" w:cs="Arial"/>
        </w:rPr>
        <w:fldChar w:fldCharType="end"/>
      </w:r>
      <w:r w:rsidRPr="003F551D">
        <w:rPr>
          <w:rFonts w:ascii="Arial" w:hAnsi="Arial" w:cs="Arial"/>
        </w:rPr>
        <w:t xml:space="preserve"> As shown in the 2D GIWAXS images (</w:t>
      </w:r>
      <w:r w:rsidRPr="00510F50">
        <w:rPr>
          <w:rFonts w:ascii="Arial" w:hAnsi="Arial" w:cs="Arial"/>
        </w:rPr>
        <w:t xml:space="preserve">Fig. </w:t>
      </w:r>
      <w:r w:rsidR="006819CA">
        <w:rPr>
          <w:rFonts w:ascii="Arial" w:hAnsi="Arial" w:cs="Arial"/>
        </w:rPr>
        <w:t>3</w:t>
      </w:r>
      <w:r w:rsidRPr="00510F50">
        <w:rPr>
          <w:rFonts w:ascii="Arial" w:hAnsi="Arial" w:cs="Arial"/>
        </w:rPr>
        <w:t xml:space="preserve">a), PFO features exist both as parallel, and as perpendicular to the stacks of PDI. The morphology of the crystalline structures observed in the PDI:PFO </w:t>
      </w:r>
      <w:r>
        <w:rPr>
          <w:rFonts w:ascii="Arial" w:hAnsi="Arial" w:cs="Arial"/>
        </w:rPr>
        <w:t>blend</w:t>
      </w:r>
      <w:r w:rsidRPr="00510F50">
        <w:rPr>
          <w:rFonts w:ascii="Arial" w:hAnsi="Arial" w:cs="Arial"/>
        </w:rPr>
        <w:t xml:space="preserve"> likely consist</w:t>
      </w:r>
      <w:r>
        <w:rPr>
          <w:rFonts w:ascii="Arial" w:hAnsi="Arial" w:cs="Arial"/>
        </w:rPr>
        <w:t>s</w:t>
      </w:r>
      <w:r w:rsidRPr="00510F50">
        <w:rPr>
          <w:rFonts w:ascii="Arial" w:hAnsi="Arial" w:cs="Arial"/>
        </w:rPr>
        <w:t xml:space="preserve"> of </w:t>
      </w:r>
      <w:r w:rsidRPr="000062DE">
        <w:rPr>
          <w:rFonts w:ascii="Arial" w:hAnsi="Arial" w:cs="Arial"/>
        </w:rPr>
        <w:t xml:space="preserve">agglomerated PDI crystals intercalated with a PFO </w:t>
      </w:r>
      <w:r w:rsidRPr="003F551D">
        <w:rPr>
          <w:rFonts w:ascii="Arial" w:hAnsi="Arial" w:cs="Arial"/>
        </w:rPr>
        <w:t>β-phase</w:t>
      </w:r>
      <w:r w:rsidRPr="000062DE">
        <w:rPr>
          <w:rFonts w:ascii="Arial" w:hAnsi="Arial" w:cs="Arial"/>
        </w:rPr>
        <w:t xml:space="preserve"> that </w:t>
      </w:r>
      <w:r>
        <w:rPr>
          <w:rFonts w:ascii="Arial" w:hAnsi="Arial" w:cs="Arial"/>
        </w:rPr>
        <w:t xml:space="preserve">are able to </w:t>
      </w:r>
      <w:r w:rsidRPr="000062DE">
        <w:rPr>
          <w:rFonts w:ascii="Arial" w:hAnsi="Arial" w:cs="Arial"/>
        </w:rPr>
        <w:t>organise into much larger scale features</w:t>
      </w:r>
      <w:r w:rsidRPr="00510F50">
        <w:rPr>
          <w:rFonts w:ascii="Arial" w:hAnsi="Arial" w:cs="Arial"/>
        </w:rPr>
        <w:t xml:space="preserve"> that thus posses</w:t>
      </w:r>
      <w:r>
        <w:rPr>
          <w:rFonts w:ascii="Arial" w:hAnsi="Arial" w:cs="Arial"/>
        </w:rPr>
        <w:t>s</w:t>
      </w:r>
      <w:r w:rsidRPr="000062DE">
        <w:rPr>
          <w:rFonts w:ascii="Arial" w:hAnsi="Arial" w:cs="Arial"/>
        </w:rPr>
        <w:t xml:space="preserve"> </w:t>
      </w:r>
      <w:r w:rsidRPr="003F551D">
        <w:rPr>
          <w:rFonts w:ascii="Arial" w:hAnsi="Arial" w:cs="Arial"/>
        </w:rPr>
        <w:t xml:space="preserve">mixed blue and red emission </w:t>
      </w:r>
      <w:r>
        <w:rPr>
          <w:rFonts w:ascii="Arial" w:hAnsi="Arial" w:cs="Arial"/>
        </w:rPr>
        <w:t xml:space="preserve">arising </w:t>
      </w:r>
      <w:r w:rsidRPr="003F551D">
        <w:rPr>
          <w:rFonts w:ascii="Arial" w:hAnsi="Arial" w:cs="Arial"/>
        </w:rPr>
        <w:t>from</w:t>
      </w:r>
      <w:r>
        <w:rPr>
          <w:rFonts w:ascii="Arial" w:hAnsi="Arial" w:cs="Arial"/>
        </w:rPr>
        <w:t xml:space="preserve"> contributions of</w:t>
      </w:r>
      <w:r w:rsidRPr="003F551D">
        <w:rPr>
          <w:rFonts w:ascii="Arial" w:hAnsi="Arial" w:cs="Arial"/>
        </w:rPr>
        <w:t xml:space="preserve"> both components.</w:t>
      </w:r>
      <w:r>
        <w:rPr>
          <w:rFonts w:ascii="Arial" w:hAnsi="Arial" w:cs="Arial"/>
        </w:rPr>
        <w:t xml:space="preserve"> For simplicity, this phase will subsequently be referred to as the intercalated PDI:PFO phase, with</w:t>
      </w:r>
      <w:r w:rsidRPr="000062DE">
        <w:rPr>
          <w:rFonts w:ascii="Arial" w:hAnsi="Arial" w:cs="Arial"/>
        </w:rPr>
        <w:t xml:space="preserve">  </w:t>
      </w:r>
      <w:r>
        <w:rPr>
          <w:rFonts w:ascii="Arial" w:hAnsi="Arial" w:cs="Arial"/>
        </w:rPr>
        <w:t>a</w:t>
      </w:r>
      <w:r w:rsidRPr="003F551D">
        <w:rPr>
          <w:rFonts w:ascii="Arial" w:hAnsi="Arial" w:cs="Arial"/>
        </w:rPr>
        <w:t xml:space="preserve"> tentative model for the organisation of components </w:t>
      </w:r>
      <w:r>
        <w:rPr>
          <w:rFonts w:ascii="Arial" w:hAnsi="Arial" w:cs="Arial"/>
        </w:rPr>
        <w:t xml:space="preserve">in this phase shown in </w:t>
      </w:r>
      <w:r w:rsidRPr="0044237B">
        <w:rPr>
          <w:rFonts w:ascii="Arial" w:hAnsi="Arial" w:cs="Arial"/>
        </w:rPr>
        <w:t>Fig</w:t>
      </w:r>
      <w:r>
        <w:rPr>
          <w:rFonts w:ascii="Arial" w:hAnsi="Arial" w:cs="Arial"/>
        </w:rPr>
        <w:t>.</w:t>
      </w:r>
      <w:r w:rsidRPr="0044237B">
        <w:rPr>
          <w:rFonts w:ascii="Arial" w:hAnsi="Arial" w:cs="Arial"/>
        </w:rPr>
        <w:t xml:space="preserve"> </w:t>
      </w:r>
      <w:r w:rsidR="006819CA">
        <w:rPr>
          <w:rFonts w:ascii="Arial" w:hAnsi="Arial" w:cs="Arial"/>
        </w:rPr>
        <w:t>3</w:t>
      </w:r>
      <w:r>
        <w:rPr>
          <w:rFonts w:ascii="Arial" w:hAnsi="Arial" w:cs="Arial"/>
        </w:rPr>
        <w:t>c</w:t>
      </w:r>
      <w:r w:rsidRPr="0044237B">
        <w:rPr>
          <w:rFonts w:ascii="Arial" w:hAnsi="Arial" w:cs="Arial"/>
        </w:rPr>
        <w:t>, where the intimate interplay between the PDI and PFO side chains is the driving force for reorganisation of PDI molecules into a more ‘relaxed’ state. Scattering components are distributed within the amorphous PFO matrix</w:t>
      </w:r>
      <w:r>
        <w:rPr>
          <w:rFonts w:ascii="Arial" w:hAnsi="Arial" w:cs="Arial"/>
        </w:rPr>
        <w:t>,</w:t>
      </w:r>
      <w:r w:rsidRPr="0044237B">
        <w:rPr>
          <w:rFonts w:ascii="Arial" w:hAnsi="Arial" w:cs="Arial"/>
        </w:rPr>
        <w:t xml:space="preserve"> which is not detectable by GIWAXS, but by </w:t>
      </w:r>
      <w:r>
        <w:rPr>
          <w:rFonts w:ascii="Arial" w:hAnsi="Arial" w:cs="Arial"/>
        </w:rPr>
        <w:t xml:space="preserve">steady-state UV-Vis </w:t>
      </w:r>
      <w:r w:rsidRPr="0044237B">
        <w:rPr>
          <w:rFonts w:ascii="Arial" w:hAnsi="Arial" w:cs="Arial"/>
        </w:rPr>
        <w:t xml:space="preserve">absorption spectroscopy (discussed </w:t>
      </w:r>
      <w:r w:rsidR="0088636A">
        <w:rPr>
          <w:rFonts w:ascii="Arial" w:hAnsi="Arial" w:cs="Arial"/>
        </w:rPr>
        <w:t>before</w:t>
      </w:r>
      <w:r w:rsidRPr="0044237B">
        <w:rPr>
          <w:rFonts w:ascii="Arial" w:hAnsi="Arial" w:cs="Arial"/>
        </w:rPr>
        <w:t xml:space="preserve">). </w:t>
      </w:r>
    </w:p>
    <w:p w14:paraId="6B1ADF6C" w14:textId="5CD10F24" w:rsidR="00E15362" w:rsidRDefault="00E15362" w:rsidP="00E15362">
      <w:pPr>
        <w:spacing w:line="360" w:lineRule="auto"/>
        <w:jc w:val="both"/>
        <w:rPr>
          <w:rFonts w:ascii="Arial" w:hAnsi="Arial" w:cs="Arial"/>
        </w:rPr>
      </w:pPr>
      <w:r w:rsidRPr="0044237B">
        <w:rPr>
          <w:rFonts w:ascii="Arial" w:hAnsi="Arial" w:cs="Arial"/>
        </w:rPr>
        <w:t xml:space="preserve">To assess the size of single crystalline domains, the crystal correlation length (CCL) was calculated according to the </w:t>
      </w:r>
      <w:r>
        <w:rPr>
          <w:rFonts w:ascii="Arial" w:hAnsi="Arial" w:cs="Arial"/>
        </w:rPr>
        <w:t>Scherrer</w:t>
      </w:r>
      <w:r w:rsidRPr="0044237B">
        <w:rPr>
          <w:rFonts w:ascii="Arial" w:hAnsi="Arial" w:cs="Arial"/>
        </w:rPr>
        <w:t xml:space="preserve"> equation</w:t>
      </w:r>
      <w:r w:rsidRPr="0044237B">
        <w:rPr>
          <w:rFonts w:ascii="Arial" w:eastAsia="TimesNewRoman" w:hAnsi="Arial" w:cs="Arial"/>
        </w:rPr>
        <w:fldChar w:fldCharType="begin" w:fldLock="1"/>
      </w:r>
      <w:r w:rsidR="000B745C">
        <w:rPr>
          <w:rFonts w:ascii="Arial" w:eastAsia="TimesNewRoman" w:hAnsi="Arial" w:cs="Arial"/>
        </w:rPr>
        <w:instrText>ADDIN CSL_CITATION { "citationItems" : [ { "id" : "ITEM-1", "itemData" : { "DOI" : "10.1021/cm5010483", "ISSN" : "0897-4756", "abstract" : "The photovoltaic performance and charge generation dynamics in thin film bulk heterojunction organic photovoltaic (BHJ OPV) devices comprising the small molecule donor 7,7?-(4,4-bis(2-ethylhexyl)-4H-silolo[3,2-b:4,5-b?]dithiophene-2,6-diyl)bis(6-fluoro-4-(5?-hexyl-[2,2?-bithiophen]-5-yl)benzo[c][1,2,5]thiadiazole) (p-DTS(FBTTh2)2) and a perylene diimide (PDI) electron acceptor are investigated with and without the processing additive 1,8-diiodooctane (DIO). UV?vis absorption spectroscopy indicates that the use of DIO during processing increases the structural order of both p-DTS(FBTTh2)2 and PDI compared to films cast from chlorobenzene alone. Excitation intensity dependent broadband vis?NIR transient absorption pump?probe experiments over a dynamic range from 100 fs to 100 ?s reveal that, in blends processed without DIO, essentially none of the interfacial charge transfer states generated after exciton dissociation at the donor?acceptor interface split into spatially separated charge carriers. In contrast, in blends processed with 0.4 vol% DIO, geminate recombination is significantly reduced, and spatially separated charge carriers are generated. It appears that the drastic increase in the power conversion efficiency in p-DTS(FBTTh2)2:PDI BHJ OPV devices upon the use of DIO, from 0.13% to 3.1%, is a consequence of the increased solid state order of both p-DTS(FBTTh2)2 and PDI, which leads to a significant improvement of the exciton dissociation efficiency and makes this system among the most efficient non-fullerene BHJ organic solar cells to date.\\nThe photovoltaic performance and charge generation dynamics in thin film bulk heterojunction organic photovoltaic (BHJ OPV) devices comprising the small molecule donor 7,7?-(4,4-bis(2-ethylhexyl)-4H-silolo[3,2-b:4,5-b?]dithiophene-2,6-diyl)bis(6-fluoro-4-(5?-hexyl-[2,2?-bithiophen]-5-yl)benzo[c][1,2,5]thiadiazole) (p-DTS(FBTTh2)2) and a perylene diimide (PDI) electron acceptor are investigated with and without the processing additive 1,8-diiodooctane (DIO). UV?vis absorption spectroscopy indicates that the use of DIO during processing increases the structural order of both p-DTS(FBTTh2)2 and PDI compared to films cast from chlorobenzene alone. Excitation intensity dependent broadband vis?NIR transient absorption pump?probe experiments over a dynamic range from 100 fs to 100 ?s reveal that, in blends processed without DIO, essentially none of the interfacial charge transfer states generated after exciton diss\u2026", "author" : [ { "dropping-particle" : "", "family" : "Sharenko", "given" : "Alexander", "non-dropping-particle" : "", "parse-names" : false, "suffix" : "" }, { "dropping-particle" : "", "family" : "Gehrig", "given" : "Dominik", "non-dropping-particle" : "", "parse-names" : false, "suffix" : "" }, { "dropping-particle" : "", "family" : "Laquai", "given" : "Fr\u00e9d\u00e9ric", "non-dropping-particle" : "", "parse-names" : false, "suffix" : "" }, { "dropping-particle" : "", "family" : "Nguyen", "given" : "Thuc-Quyen", "non-dropping-particle" : "", "parse-names" : false, "suffix" : "" } ], "container-title" : "Chemistry of Materials", "id" : "ITEM-1", "issued" : { "date-parts" : [ [ "2014" ] ] }, "page" : "4109-4118", "title" : "The Effect of Solvent Additive on the Charge Generation and Photovoltaic Performance of a Solution-Processed Small Molecule:Perylene Diimide Bulk Heterojunction Solar Cell", "type" : "article-journal", "volume" : "26" }, "uris" : [ "http://www.mendeley.com/documents/?uuid=5f2381ba-68fb-4e1c-8fef-7e10961081db" ] }, { "id" : "ITEM-2", "itemData" : { "ISBN" : "0195113217", "author" : [ { "dropping-particle" : "", "family" : "Roe", "given" : "Ryong-Joon", "non-dropping-particle" : "", "parse-names" : false, "suffix" : "" } ], "id" : "ITEM-2", "issued" : { "date-parts" : [ [ "2000" ] ] }, "publisher" : "Oxford University Press on Demand", "title" : "Methods of X-ray and neutron scattering in polymer science", "type" : "book", "volume" : "739" }, "uris" : [ "http://www.mendeley.com/documents/?uuid=5c53a2d7-2e95-4c68-a6cf-9d096f1ad8e1" ] } ], "mendeley" : { "formattedCitation" : "&lt;sup&gt;21,34&lt;/sup&gt;", "plainTextFormattedCitation" : "21,34", "previouslyFormattedCitation" : "&lt;sup&gt;21,34&lt;/sup&gt;" }, "properties" : { "noteIndex" : 0 }, "schema" : "https://github.com/citation-style-language/schema/raw/master/csl-citation.json" }</w:instrText>
      </w:r>
      <w:r w:rsidRPr="0044237B">
        <w:rPr>
          <w:rFonts w:ascii="Arial" w:eastAsia="TimesNewRoman" w:hAnsi="Arial" w:cs="Arial"/>
        </w:rPr>
        <w:fldChar w:fldCharType="separate"/>
      </w:r>
      <w:r w:rsidR="000B745C" w:rsidRPr="000B745C">
        <w:rPr>
          <w:rFonts w:ascii="Arial" w:eastAsia="TimesNewRoman" w:hAnsi="Arial" w:cs="Arial"/>
          <w:noProof/>
          <w:vertAlign w:val="superscript"/>
        </w:rPr>
        <w:t>21,34</w:t>
      </w:r>
      <w:r w:rsidRPr="0044237B">
        <w:rPr>
          <w:rFonts w:ascii="Arial" w:eastAsia="TimesNewRoman" w:hAnsi="Arial" w:cs="Arial"/>
        </w:rPr>
        <w:fldChar w:fldCharType="end"/>
      </w:r>
      <w:r w:rsidRPr="0044237B">
        <w:rPr>
          <w:rFonts w:ascii="Arial" w:hAnsi="Arial" w:cs="Arial"/>
        </w:rPr>
        <w:t xml:space="preserve"> </w:t>
      </w:r>
      <w:r>
        <w:rPr>
          <w:rFonts w:ascii="Arial" w:hAnsi="Arial" w:cs="Arial"/>
        </w:rPr>
        <w:t>(ignoring instrumental resolution)</w:t>
      </w:r>
      <w:r w:rsidRPr="0044237B">
        <w:rPr>
          <w:rFonts w:ascii="Arial" w:hAnsi="Arial" w:cs="Arial"/>
        </w:rPr>
        <w:t xml:space="preserve"> for the ‘original’ PDI structure (at 3.8 nm</w:t>
      </w:r>
      <w:r w:rsidRPr="0044237B">
        <w:rPr>
          <w:rFonts w:ascii="Arial" w:hAnsi="Arial" w:cs="Arial"/>
          <w:vertAlign w:val="superscript"/>
        </w:rPr>
        <w:t>-1</w:t>
      </w:r>
      <w:r w:rsidRPr="0044237B">
        <w:rPr>
          <w:rFonts w:ascii="Arial" w:hAnsi="Arial" w:cs="Arial"/>
        </w:rPr>
        <w:t>) the ‘relaxed’ PDI structure (3.5 nm</w:t>
      </w:r>
      <w:r w:rsidRPr="0044237B">
        <w:rPr>
          <w:rFonts w:ascii="Arial" w:hAnsi="Arial" w:cs="Arial"/>
          <w:vertAlign w:val="superscript"/>
        </w:rPr>
        <w:t>-1</w:t>
      </w:r>
      <w:r w:rsidRPr="0044237B">
        <w:rPr>
          <w:rFonts w:ascii="Arial" w:hAnsi="Arial" w:cs="Arial"/>
        </w:rPr>
        <w:t>) for the blend</w:t>
      </w:r>
      <w:r w:rsidR="006819CA">
        <w:rPr>
          <w:rFonts w:ascii="Arial" w:hAnsi="Arial" w:cs="Arial"/>
        </w:rPr>
        <w:t xml:space="preserve"> (Fig.3c)</w:t>
      </w:r>
      <w:r w:rsidRPr="0044237B">
        <w:rPr>
          <w:rFonts w:ascii="Arial" w:hAnsi="Arial" w:cs="Arial"/>
        </w:rPr>
        <w:t xml:space="preserve">. The CCL for the ‘original’ PDI in the reference films </w:t>
      </w:r>
      <w:r>
        <w:rPr>
          <w:rFonts w:ascii="Arial" w:hAnsi="Arial" w:cs="Arial"/>
        </w:rPr>
        <w:t>we</w:t>
      </w:r>
      <w:r w:rsidRPr="0044237B">
        <w:rPr>
          <w:rFonts w:ascii="Arial" w:hAnsi="Arial" w:cs="Arial"/>
        </w:rPr>
        <w:t>re 60 nm, whereas it decrease</w:t>
      </w:r>
      <w:r>
        <w:rPr>
          <w:rFonts w:ascii="Arial" w:hAnsi="Arial" w:cs="Arial"/>
        </w:rPr>
        <w:t>d</w:t>
      </w:r>
      <w:r w:rsidRPr="0044237B">
        <w:rPr>
          <w:rFonts w:ascii="Arial" w:hAnsi="Arial" w:cs="Arial"/>
        </w:rPr>
        <w:t xml:space="preserve"> to 26 nm</w:t>
      </w:r>
      <w:r>
        <w:rPr>
          <w:rFonts w:ascii="Arial" w:hAnsi="Arial" w:cs="Arial"/>
        </w:rPr>
        <w:t xml:space="preserve"> in the blend</w:t>
      </w:r>
      <w:r w:rsidRPr="0044237B">
        <w:rPr>
          <w:rFonts w:ascii="Arial" w:hAnsi="Arial" w:cs="Arial"/>
        </w:rPr>
        <w:t xml:space="preserve">. The ‘relaxed’ PDI crystal length </w:t>
      </w:r>
      <w:r>
        <w:rPr>
          <w:rFonts w:ascii="Arial" w:hAnsi="Arial" w:cs="Arial"/>
        </w:rPr>
        <w:t>was</w:t>
      </w:r>
      <w:r w:rsidRPr="0044237B">
        <w:rPr>
          <w:rFonts w:ascii="Arial" w:hAnsi="Arial" w:cs="Arial"/>
        </w:rPr>
        <w:t xml:space="preserve"> 38 nm. </w:t>
      </w:r>
      <w:r>
        <w:rPr>
          <w:rFonts w:ascii="Arial" w:hAnsi="Arial" w:cs="Arial"/>
        </w:rPr>
        <w:t>Applying</w:t>
      </w:r>
      <w:r w:rsidRPr="0044237B">
        <w:rPr>
          <w:rFonts w:ascii="Arial" w:hAnsi="Arial" w:cs="Arial"/>
        </w:rPr>
        <w:t xml:space="preserve"> the calculations to the first order peak of β-PFO</w:t>
      </w:r>
      <w:r>
        <w:rPr>
          <w:rFonts w:ascii="Arial" w:hAnsi="Arial" w:cs="Arial"/>
        </w:rPr>
        <w:t xml:space="preserve"> in the blends</w:t>
      </w:r>
      <w:r w:rsidRPr="0044237B">
        <w:rPr>
          <w:rFonts w:ascii="Arial" w:hAnsi="Arial" w:cs="Arial"/>
        </w:rPr>
        <w:t xml:space="preserve"> yield</w:t>
      </w:r>
      <w:r>
        <w:rPr>
          <w:rFonts w:ascii="Arial" w:hAnsi="Arial" w:cs="Arial"/>
        </w:rPr>
        <w:t>ed</w:t>
      </w:r>
      <w:r w:rsidRPr="0044237B">
        <w:rPr>
          <w:rFonts w:ascii="Arial" w:hAnsi="Arial" w:cs="Arial"/>
        </w:rPr>
        <w:t xml:space="preserve"> an approximate length of PFO ordered regions of 14 nm. </w:t>
      </w:r>
    </w:p>
    <w:p w14:paraId="00FA3104" w14:textId="77777777" w:rsidR="00E15362" w:rsidRPr="0044237B" w:rsidRDefault="00E15362" w:rsidP="00E15362">
      <w:pPr>
        <w:spacing w:line="360" w:lineRule="auto"/>
        <w:jc w:val="both"/>
        <w:rPr>
          <w:rFonts w:ascii="Arial" w:hAnsi="Arial" w:cs="Arial"/>
        </w:rPr>
      </w:pPr>
      <w:r>
        <w:rPr>
          <w:rFonts w:ascii="Arial" w:hAnsi="Arial" w:cs="Arial"/>
          <w:noProof/>
          <w:lang w:eastAsia="en-GB"/>
        </w:rPr>
        <w:lastRenderedPageBreak/>
        <w:drawing>
          <wp:inline distT="0" distB="0" distL="0" distR="0" wp14:anchorId="73D8FAE3" wp14:editId="661DCF6F">
            <wp:extent cx="5612524" cy="547564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7477" cy="5480479"/>
                    </a:xfrm>
                    <a:prstGeom prst="rect">
                      <a:avLst/>
                    </a:prstGeom>
                    <a:noFill/>
                  </pic:spPr>
                </pic:pic>
              </a:graphicData>
            </a:graphic>
          </wp:inline>
        </w:drawing>
      </w:r>
    </w:p>
    <w:p w14:paraId="193726D2" w14:textId="1A3CC403" w:rsidR="00E15362" w:rsidRPr="007E45AE" w:rsidRDefault="00E15362" w:rsidP="00E15362">
      <w:pPr>
        <w:tabs>
          <w:tab w:val="left" w:pos="0"/>
        </w:tabs>
        <w:spacing w:line="360" w:lineRule="auto"/>
        <w:jc w:val="both"/>
        <w:rPr>
          <w:rFonts w:ascii="Arial" w:hAnsi="Arial" w:cs="Arial"/>
        </w:rPr>
      </w:pPr>
      <w:r>
        <w:rPr>
          <w:rFonts w:ascii="Arial" w:hAnsi="Arial" w:cs="Arial"/>
          <w:b/>
        </w:rPr>
        <w:t xml:space="preserve">Figure </w:t>
      </w:r>
      <w:r w:rsidR="006819CA">
        <w:rPr>
          <w:rFonts w:ascii="Arial" w:hAnsi="Arial" w:cs="Arial"/>
          <w:b/>
        </w:rPr>
        <w:t>3</w:t>
      </w:r>
      <w:r>
        <w:rPr>
          <w:rFonts w:ascii="Arial" w:hAnsi="Arial" w:cs="Arial"/>
          <w:b/>
        </w:rPr>
        <w:t xml:space="preserve">. </w:t>
      </w:r>
      <w:r w:rsidRPr="007404C8">
        <w:rPr>
          <w:rFonts w:ascii="Arial" w:hAnsi="Arial" w:cs="Arial"/>
        </w:rPr>
        <w:t xml:space="preserve">a) </w:t>
      </w:r>
      <w:r w:rsidRPr="000C192E">
        <w:rPr>
          <w:rFonts w:ascii="Arial" w:hAnsi="Arial" w:cs="Arial"/>
        </w:rPr>
        <w:t xml:space="preserve">2D GIWAXS images of </w:t>
      </w:r>
      <w:r>
        <w:rPr>
          <w:rFonts w:ascii="Arial" w:hAnsi="Arial" w:cs="Arial"/>
        </w:rPr>
        <w:t>PDI:PFO blend, PDI:PS and PFO</w:t>
      </w:r>
      <w:r w:rsidRPr="000C192E">
        <w:rPr>
          <w:rFonts w:ascii="Arial" w:hAnsi="Arial" w:cs="Arial"/>
        </w:rPr>
        <w:t xml:space="preserve"> films</w:t>
      </w:r>
      <w:r>
        <w:rPr>
          <w:rFonts w:ascii="Arial" w:hAnsi="Arial" w:cs="Arial"/>
        </w:rPr>
        <w:t xml:space="preserve">. </w:t>
      </w:r>
      <w:r w:rsidRPr="007404C8">
        <w:rPr>
          <w:rFonts w:ascii="Arial" w:hAnsi="Arial" w:cs="Arial"/>
        </w:rPr>
        <w:t>b)</w:t>
      </w:r>
      <w:r w:rsidRPr="007E45AE">
        <w:rPr>
          <w:rFonts w:ascii="Arial" w:hAnsi="Arial" w:cs="Arial"/>
        </w:rPr>
        <w:t xml:space="preserve"> 1D</w:t>
      </w:r>
      <w:r>
        <w:rPr>
          <w:rFonts w:ascii="Arial" w:hAnsi="Arial" w:cs="Arial"/>
        </w:rPr>
        <w:t xml:space="preserve"> radially integrated</w:t>
      </w:r>
      <w:r w:rsidRPr="007E45AE">
        <w:rPr>
          <w:rFonts w:ascii="Arial" w:hAnsi="Arial" w:cs="Arial"/>
        </w:rPr>
        <w:t xml:space="preserve"> GIWAXS </w:t>
      </w:r>
      <w:r>
        <w:rPr>
          <w:rFonts w:ascii="Arial" w:hAnsi="Arial" w:cs="Arial"/>
        </w:rPr>
        <w:t>of</w:t>
      </w:r>
      <w:r w:rsidRPr="007E45AE">
        <w:rPr>
          <w:rFonts w:ascii="Arial" w:hAnsi="Arial" w:cs="Arial"/>
        </w:rPr>
        <w:t xml:space="preserve"> </w:t>
      </w:r>
      <w:r>
        <w:rPr>
          <w:rFonts w:ascii="Arial" w:hAnsi="Arial" w:cs="Arial"/>
        </w:rPr>
        <w:t xml:space="preserve">PDI:PFO </w:t>
      </w:r>
      <w:r w:rsidRPr="00A745A4">
        <w:rPr>
          <w:rFonts w:ascii="Arial" w:hAnsi="Arial" w:cs="Arial"/>
        </w:rPr>
        <w:t>(orange</w:t>
      </w:r>
      <w:r>
        <w:rPr>
          <w:rFonts w:ascii="Arial" w:hAnsi="Arial" w:cs="Arial"/>
        </w:rPr>
        <w:t>)</w:t>
      </w:r>
      <w:r w:rsidRPr="007E45AE">
        <w:rPr>
          <w:rFonts w:ascii="Arial" w:hAnsi="Arial" w:cs="Arial"/>
        </w:rPr>
        <w:t>,</w:t>
      </w:r>
      <w:r>
        <w:rPr>
          <w:rFonts w:ascii="Arial" w:hAnsi="Arial" w:cs="Arial"/>
        </w:rPr>
        <w:t xml:space="preserve"> PDI:PS reference</w:t>
      </w:r>
      <w:r w:rsidRPr="00A745A4">
        <w:rPr>
          <w:rFonts w:ascii="Arial" w:hAnsi="Arial" w:cs="Arial"/>
        </w:rPr>
        <w:t xml:space="preserve"> </w:t>
      </w:r>
      <w:r>
        <w:rPr>
          <w:rFonts w:ascii="Arial" w:hAnsi="Arial" w:cs="Arial"/>
        </w:rPr>
        <w:t>(</w:t>
      </w:r>
      <w:r w:rsidRPr="00A745A4">
        <w:rPr>
          <w:rFonts w:ascii="Arial" w:hAnsi="Arial" w:cs="Arial"/>
        </w:rPr>
        <w:t>black</w:t>
      </w:r>
      <w:r>
        <w:rPr>
          <w:rFonts w:ascii="Arial" w:hAnsi="Arial" w:cs="Arial"/>
        </w:rPr>
        <w:t>)</w:t>
      </w:r>
      <w:r w:rsidRPr="007E45AE">
        <w:rPr>
          <w:rFonts w:ascii="Arial" w:hAnsi="Arial" w:cs="Arial"/>
        </w:rPr>
        <w:t xml:space="preserve"> and</w:t>
      </w:r>
      <w:r>
        <w:rPr>
          <w:rFonts w:ascii="Arial" w:hAnsi="Arial" w:cs="Arial"/>
        </w:rPr>
        <w:t xml:space="preserve"> PFO reference (</w:t>
      </w:r>
      <w:r w:rsidRPr="007E45AE">
        <w:rPr>
          <w:rFonts w:ascii="Arial" w:hAnsi="Arial" w:cs="Arial"/>
        </w:rPr>
        <w:t>purple</w:t>
      </w:r>
      <w:r>
        <w:rPr>
          <w:rFonts w:ascii="Arial" w:hAnsi="Arial" w:cs="Arial"/>
        </w:rPr>
        <w:t>)</w:t>
      </w:r>
      <w:r w:rsidRPr="00A745A4">
        <w:rPr>
          <w:rFonts w:ascii="Arial" w:hAnsi="Arial" w:cs="Arial"/>
        </w:rPr>
        <w:t xml:space="preserve">. </w:t>
      </w:r>
      <w:r w:rsidRPr="007404C8">
        <w:rPr>
          <w:rFonts w:ascii="Arial" w:hAnsi="Arial" w:cs="Arial"/>
        </w:rPr>
        <w:t xml:space="preserve">c) </w:t>
      </w:r>
      <w:r w:rsidRPr="00A745A4">
        <w:rPr>
          <w:rFonts w:ascii="Arial" w:hAnsi="Arial" w:cs="Arial"/>
        </w:rPr>
        <w:t xml:space="preserve">Tentative model proposed for the organisation of components within the </w:t>
      </w:r>
      <w:r>
        <w:rPr>
          <w:rFonts w:ascii="Arial" w:hAnsi="Arial" w:cs="Arial"/>
        </w:rPr>
        <w:t xml:space="preserve">intercalated </w:t>
      </w:r>
      <w:r w:rsidRPr="004C0D75">
        <w:rPr>
          <w:rFonts w:ascii="Arial" w:hAnsi="Arial" w:cs="Arial"/>
        </w:rPr>
        <w:t>PDI:PFO phase</w:t>
      </w:r>
      <w:r w:rsidRPr="00AA7325">
        <w:rPr>
          <w:rFonts w:ascii="Arial" w:hAnsi="Arial" w:cs="Arial"/>
        </w:rPr>
        <w:t>.</w:t>
      </w:r>
      <w:r w:rsidRPr="007E45AE">
        <w:rPr>
          <w:rFonts w:ascii="Arial" w:hAnsi="Arial" w:cs="Arial"/>
        </w:rPr>
        <w:t xml:space="preserve"> </w:t>
      </w:r>
    </w:p>
    <w:p w14:paraId="294038DF" w14:textId="77777777" w:rsidR="00E15362" w:rsidRDefault="00E15362">
      <w:pPr>
        <w:tabs>
          <w:tab w:val="left" w:pos="0"/>
        </w:tabs>
        <w:spacing w:line="360" w:lineRule="auto"/>
        <w:jc w:val="both"/>
        <w:rPr>
          <w:rFonts w:ascii="Arial" w:hAnsi="Arial" w:cs="Arial"/>
        </w:rPr>
      </w:pPr>
    </w:p>
    <w:p w14:paraId="0EFA20C2" w14:textId="3B7EEE8D" w:rsidR="007E112E" w:rsidRPr="007E45AE" w:rsidRDefault="006819CA">
      <w:pPr>
        <w:tabs>
          <w:tab w:val="left" w:pos="0"/>
        </w:tabs>
        <w:spacing w:line="360" w:lineRule="auto"/>
        <w:jc w:val="both"/>
        <w:rPr>
          <w:rFonts w:ascii="Arial" w:hAnsi="Arial" w:cs="Arial"/>
          <w:lang w:val="en-US"/>
        </w:rPr>
      </w:pPr>
      <w:r>
        <w:rPr>
          <w:rFonts w:ascii="Arial" w:hAnsi="Arial" w:cs="Arial"/>
        </w:rPr>
        <w:t>I</w:t>
      </w:r>
      <w:r w:rsidRPr="007E45AE">
        <w:rPr>
          <w:rFonts w:ascii="Arial" w:hAnsi="Arial" w:cs="Arial"/>
          <w:lang w:val="en-US"/>
        </w:rPr>
        <w:t xml:space="preserve">n order to elucidate the </w:t>
      </w:r>
      <w:r>
        <w:rPr>
          <w:rFonts w:ascii="Arial" w:hAnsi="Arial" w:cs="Arial"/>
          <w:lang w:val="en-US"/>
        </w:rPr>
        <w:t xml:space="preserve">actual </w:t>
      </w:r>
      <w:r w:rsidRPr="007E45AE">
        <w:rPr>
          <w:rFonts w:ascii="Arial" w:hAnsi="Arial" w:cs="Arial"/>
          <w:lang w:val="en-US"/>
        </w:rPr>
        <w:t xml:space="preserve">photoexcitation dynamics in </w:t>
      </w:r>
      <w:r>
        <w:rPr>
          <w:rFonts w:ascii="Arial" w:hAnsi="Arial" w:cs="Arial"/>
          <w:lang w:val="en-US"/>
        </w:rPr>
        <w:t>neat films and blends</w:t>
      </w:r>
      <w:r w:rsidR="00A16563">
        <w:rPr>
          <w:rFonts w:ascii="Arial" w:hAnsi="Arial" w:cs="Arial"/>
          <w:lang w:val="en-US"/>
        </w:rPr>
        <w:t>, f</w:t>
      </w:r>
      <w:r w:rsidR="007E112E" w:rsidRPr="007E45AE">
        <w:rPr>
          <w:rFonts w:ascii="Arial" w:hAnsi="Arial" w:cs="Arial"/>
          <w:lang w:val="en-US"/>
        </w:rPr>
        <w:t xml:space="preserve">emtosecond transient absorption (TA) spectroscopy experiments were performed. According to </w:t>
      </w:r>
      <w:r w:rsidR="00D73195" w:rsidRPr="007E45AE">
        <w:rPr>
          <w:rFonts w:ascii="Arial" w:hAnsi="Arial" w:cs="Arial"/>
          <w:lang w:val="en-US"/>
        </w:rPr>
        <w:t>Fig</w:t>
      </w:r>
      <w:r w:rsidR="00D73195">
        <w:rPr>
          <w:rFonts w:ascii="Arial" w:hAnsi="Arial" w:cs="Arial"/>
          <w:lang w:val="en-US"/>
        </w:rPr>
        <w:t>.</w:t>
      </w:r>
      <w:r w:rsidR="00D73195" w:rsidRPr="007E45AE">
        <w:rPr>
          <w:rFonts w:ascii="Arial" w:hAnsi="Arial" w:cs="Arial"/>
          <w:lang w:val="en-US"/>
        </w:rPr>
        <w:t xml:space="preserve"> </w:t>
      </w:r>
      <w:r>
        <w:rPr>
          <w:rFonts w:ascii="Arial" w:hAnsi="Arial" w:cs="Arial"/>
          <w:lang w:val="en-US"/>
        </w:rPr>
        <w:t>1b</w:t>
      </w:r>
      <w:r w:rsidR="007E112E" w:rsidRPr="007E45AE">
        <w:rPr>
          <w:rFonts w:ascii="Arial" w:hAnsi="Arial" w:cs="Arial"/>
          <w:lang w:val="en-US"/>
        </w:rPr>
        <w:t xml:space="preserve">, </w:t>
      </w:r>
      <w:r w:rsidR="00E33C24" w:rsidRPr="007E45AE">
        <w:rPr>
          <w:rFonts w:ascii="Arial" w:hAnsi="Arial" w:cs="Arial"/>
          <w:lang w:val="en-US"/>
        </w:rPr>
        <w:t>either the PFO or PDI phases</w:t>
      </w:r>
      <w:r w:rsidR="00E33C24" w:rsidRPr="007E45AE" w:rsidDel="00E33C24">
        <w:rPr>
          <w:rFonts w:ascii="Arial" w:hAnsi="Arial" w:cs="Arial"/>
          <w:lang w:val="en-US"/>
        </w:rPr>
        <w:t xml:space="preserve"> </w:t>
      </w:r>
      <w:r w:rsidR="00E33C24">
        <w:rPr>
          <w:rFonts w:ascii="Arial" w:hAnsi="Arial" w:cs="Arial"/>
          <w:lang w:val="en-US"/>
        </w:rPr>
        <w:t xml:space="preserve">can be selectively </w:t>
      </w:r>
      <w:r w:rsidR="007E112E" w:rsidRPr="007E45AE">
        <w:rPr>
          <w:rFonts w:ascii="Arial" w:hAnsi="Arial" w:cs="Arial"/>
          <w:lang w:val="en-US"/>
        </w:rPr>
        <w:t>excite</w:t>
      </w:r>
      <w:r w:rsidR="00E33C24">
        <w:rPr>
          <w:rFonts w:ascii="Arial" w:hAnsi="Arial" w:cs="Arial"/>
          <w:lang w:val="en-US"/>
        </w:rPr>
        <w:t>d</w:t>
      </w:r>
      <w:r w:rsidR="007E112E" w:rsidRPr="007E45AE">
        <w:rPr>
          <w:rFonts w:ascii="Arial" w:hAnsi="Arial" w:cs="Arial"/>
          <w:lang w:val="en-US"/>
        </w:rPr>
        <w:t xml:space="preserve"> at 370 nm or 520 nm, respectively. In </w:t>
      </w:r>
      <w:r w:rsidR="00D73195" w:rsidRPr="007E45AE">
        <w:rPr>
          <w:rFonts w:ascii="Arial" w:hAnsi="Arial" w:cs="Arial"/>
          <w:lang w:val="en-US"/>
        </w:rPr>
        <w:t>Fig</w:t>
      </w:r>
      <w:r w:rsidR="00D73195">
        <w:rPr>
          <w:rFonts w:ascii="Arial" w:hAnsi="Arial" w:cs="Arial"/>
          <w:lang w:val="en-US"/>
        </w:rPr>
        <w:t>.</w:t>
      </w:r>
      <w:r w:rsidR="00D73195" w:rsidRPr="007E45AE">
        <w:rPr>
          <w:rFonts w:ascii="Arial" w:hAnsi="Arial" w:cs="Arial"/>
          <w:lang w:val="en-US"/>
        </w:rPr>
        <w:t xml:space="preserve"> </w:t>
      </w:r>
      <w:r w:rsidR="00267F0C" w:rsidRPr="007E45AE">
        <w:rPr>
          <w:rFonts w:ascii="Arial" w:hAnsi="Arial" w:cs="Arial"/>
          <w:lang w:val="en-US"/>
        </w:rPr>
        <w:t>4</w:t>
      </w:r>
      <w:r w:rsidR="007E112E" w:rsidRPr="007E45AE">
        <w:rPr>
          <w:rFonts w:ascii="Arial" w:hAnsi="Arial" w:cs="Arial"/>
          <w:lang w:val="en-US"/>
        </w:rPr>
        <w:t xml:space="preserve">, </w:t>
      </w:r>
      <w:r w:rsidR="00E33C24">
        <w:rPr>
          <w:rFonts w:ascii="Arial" w:hAnsi="Arial" w:cs="Arial"/>
          <w:lang w:val="en-US"/>
        </w:rPr>
        <w:t>T</w:t>
      </w:r>
      <w:r w:rsidR="007E112E" w:rsidRPr="007E45AE">
        <w:rPr>
          <w:rFonts w:ascii="Arial" w:hAnsi="Arial" w:cs="Arial"/>
          <w:lang w:val="en-US"/>
        </w:rPr>
        <w:t xml:space="preserve">A spectra of neat PFO and a </w:t>
      </w:r>
      <w:r w:rsidR="00135F8C">
        <w:rPr>
          <w:rFonts w:ascii="Arial" w:hAnsi="Arial" w:cs="Arial"/>
          <w:lang w:val="en-US"/>
        </w:rPr>
        <w:t>PDI:PFO</w:t>
      </w:r>
      <w:r w:rsidR="007E112E" w:rsidRPr="007E45AE">
        <w:rPr>
          <w:rFonts w:ascii="Arial" w:hAnsi="Arial" w:cs="Arial"/>
          <w:lang w:val="en-US"/>
        </w:rPr>
        <w:t xml:space="preserve"> blend </w:t>
      </w:r>
      <w:r w:rsidR="00E33C24">
        <w:rPr>
          <w:rFonts w:ascii="Arial" w:hAnsi="Arial" w:cs="Arial"/>
          <w:lang w:val="en-US"/>
        </w:rPr>
        <w:t xml:space="preserve">are shown </w:t>
      </w:r>
      <w:r w:rsidR="007E112E" w:rsidRPr="007E45AE">
        <w:rPr>
          <w:rFonts w:ascii="Arial" w:hAnsi="Arial" w:cs="Arial"/>
          <w:lang w:val="en-US"/>
        </w:rPr>
        <w:t>(symbols in panels a and b, respectively) after exciting selectively the PFO phase at 370 nm. For pump-probe delay times t &lt; 1ps, the spectra of the neat film and the blend are virtually identical, confirming the exclusive excitation o</w:t>
      </w:r>
      <w:r w:rsidR="00267F0C" w:rsidRPr="007E45AE">
        <w:rPr>
          <w:rFonts w:ascii="Arial" w:hAnsi="Arial" w:cs="Arial"/>
          <w:lang w:val="en-US"/>
        </w:rPr>
        <w:t xml:space="preserve">f PFO (black symbols </w:t>
      </w:r>
      <w:r w:rsidR="00267F0C" w:rsidRPr="009E5E77">
        <w:rPr>
          <w:rFonts w:ascii="Arial" w:hAnsi="Arial" w:cs="Arial"/>
          <w:lang w:val="en-US"/>
        </w:rPr>
        <w:t>in Figure 4</w:t>
      </w:r>
      <w:r w:rsidR="007E112E" w:rsidRPr="009E5E77">
        <w:rPr>
          <w:rFonts w:ascii="Arial" w:hAnsi="Arial" w:cs="Arial"/>
          <w:lang w:val="en-US"/>
        </w:rPr>
        <w:t>b</w:t>
      </w:r>
      <w:r w:rsidR="007E112E" w:rsidRPr="007E45AE">
        <w:rPr>
          <w:rFonts w:ascii="Arial" w:hAnsi="Arial" w:cs="Arial"/>
          <w:lang w:val="en-US"/>
        </w:rPr>
        <w:t xml:space="preserve"> and a, respectively). In the near-infrared (NIR) spectral region, </w:t>
      </w:r>
      <w:r w:rsidR="00E33C24">
        <w:rPr>
          <w:rFonts w:ascii="Arial" w:hAnsi="Arial" w:cs="Arial"/>
          <w:lang w:val="en-US"/>
        </w:rPr>
        <w:t>a</w:t>
      </w:r>
      <w:r w:rsidR="007E112E" w:rsidRPr="007E45AE">
        <w:rPr>
          <w:rFonts w:ascii="Arial" w:hAnsi="Arial" w:cs="Arial"/>
          <w:lang w:val="en-US"/>
        </w:rPr>
        <w:t xml:space="preserve"> broad and strong positive band </w:t>
      </w:r>
      <w:r w:rsidR="00E33C24">
        <w:rPr>
          <w:rFonts w:ascii="Arial" w:hAnsi="Arial" w:cs="Arial"/>
          <w:lang w:val="en-US"/>
        </w:rPr>
        <w:t xml:space="preserve">is observed </w:t>
      </w:r>
      <w:r w:rsidR="007E112E" w:rsidRPr="007E45AE">
        <w:rPr>
          <w:rFonts w:ascii="Arial" w:hAnsi="Arial" w:cs="Arial"/>
          <w:lang w:val="en-US"/>
        </w:rPr>
        <w:t xml:space="preserve">at 1.55 eV, which </w:t>
      </w:r>
      <w:r w:rsidR="00E33C24">
        <w:rPr>
          <w:rFonts w:ascii="Arial" w:hAnsi="Arial" w:cs="Arial"/>
          <w:lang w:val="en-US"/>
        </w:rPr>
        <w:t>was</w:t>
      </w:r>
      <w:r w:rsidR="00E33C24" w:rsidRPr="007E45AE">
        <w:rPr>
          <w:rFonts w:ascii="Arial" w:hAnsi="Arial" w:cs="Arial"/>
          <w:lang w:val="en-US"/>
        </w:rPr>
        <w:t xml:space="preserve"> </w:t>
      </w:r>
      <w:r w:rsidR="007E112E" w:rsidRPr="007E45AE">
        <w:rPr>
          <w:rFonts w:ascii="Arial" w:hAnsi="Arial" w:cs="Arial"/>
          <w:lang w:val="en-US"/>
        </w:rPr>
        <w:t>assign</w:t>
      </w:r>
      <w:r w:rsidR="00E33C24">
        <w:rPr>
          <w:rFonts w:ascii="Arial" w:hAnsi="Arial" w:cs="Arial"/>
          <w:lang w:val="en-US"/>
        </w:rPr>
        <w:t>ed</w:t>
      </w:r>
      <w:r w:rsidR="007E112E" w:rsidRPr="007E45AE">
        <w:rPr>
          <w:rFonts w:ascii="Arial" w:hAnsi="Arial" w:cs="Arial"/>
          <w:lang w:val="en-US"/>
        </w:rPr>
        <w:t xml:space="preserve"> to photoinduced absorption (PA) </w:t>
      </w:r>
      <w:r w:rsidR="007E112E" w:rsidRPr="007E45AE">
        <w:rPr>
          <w:rFonts w:ascii="Arial" w:hAnsi="Arial" w:cs="Arial"/>
          <w:lang w:val="en-US"/>
        </w:rPr>
        <w:lastRenderedPageBreak/>
        <w:t>from the singlet exciton S</w:t>
      </w:r>
      <w:r w:rsidR="007E112E" w:rsidRPr="007E45AE">
        <w:rPr>
          <w:rFonts w:ascii="Arial" w:hAnsi="Arial" w:cs="Arial"/>
          <w:vertAlign w:val="subscript"/>
          <w:lang w:val="en-US"/>
        </w:rPr>
        <w:t>1</w:t>
      </w:r>
      <w:r w:rsidR="007E112E" w:rsidRPr="007E45AE">
        <w:rPr>
          <w:rFonts w:ascii="Arial" w:hAnsi="Arial" w:cs="Arial"/>
          <w:lang w:val="en-US"/>
        </w:rPr>
        <w:t xml:space="preserve"> to higher-lying singlet states.</w:t>
      </w:r>
      <w:r w:rsidR="007E112E" w:rsidRPr="007E45AE">
        <w:rPr>
          <w:rFonts w:ascii="Arial" w:hAnsi="Arial" w:cs="Arial"/>
          <w:lang w:val="en-US"/>
        </w:rPr>
        <w:fldChar w:fldCharType="begin" w:fldLock="1"/>
      </w:r>
      <w:r w:rsidR="000B745C">
        <w:rPr>
          <w:rFonts w:ascii="Arial" w:hAnsi="Arial" w:cs="Arial"/>
          <w:lang w:val="en-US"/>
        </w:rPr>
        <w:instrText>ADDIN CSL_CITATION { "citationItems" : [ { "id" : "ITEM-1", "itemData" : { "author" : [ { "dropping-particle" : "", "family" : "Cabanillas-Gonzalez", "given" : "J", "non-dropping-particle" : "", "parse-names" : false, "suffix" : "" }, { "dropping-particle" : "", "family" : "Virgili", "given" : "T", "non-dropping-particle" : "", "parse-names" : false, "suffix" : "" }, { "dropping-particle" : "", "family" : "Lanzani", "given" : "G", "non-dropping-particle" : "", "parse-names" : false, "suffix" : "" }, { "dropping-particle" : "", "family" : "Yeates", "given" : "S", "non-dropping-particle" : "", "parse-names" : false, "suffix" : "" }, { "dropping-particle" : "", "family" : "Ariu", "given" : "M", "non-dropping-particle" : "", "parse-names" : false, "suffix" : "" }, { "dropping-particle" : "", "family" : "Nelson", "given" : "J", "non-dropping-particle" : "", "parse-names" : false, "suffix" : "" }, { "dropping-particle" : "", "family" : "Bradley", "given" : "D D C", "non-dropping-particle" : "", "parse-names" : false, "suffix" : "" } ], "container-title" : "Physical Review B", "id" : "ITEM-1", "issue" : "1", "issued" : { "date-parts" : [ [ "2005" ] ] }, "page" : "14211", "publisher" : "APS", "title" : "Photophysics of charge transfer in a polyfluorene/violanthrone blend", "type" : "article-journal", "volume" : "71" }, "uris" : [ "http://www.mendeley.com/documents/?uuid=3da15c72-cb60-4713-a4ef-e9074feb3772", "http://www.mendeley.com/documents/?uuid=a6eba5d7-9b94-4467-b5b6-74a2d6e91341" ] }, { "id" : "ITEM-2", "itemData" : { "author" : [ { "dropping-particle" : "", "family" : "Virgili", "given" : "T", "non-dropping-particle" : "", "parse-names" : false, "suffix" : "" }, { "dropping-particle" : "", "family" : "Marinotto", "given" : "D", "non-dropping-particle" : "", "parse-names" : false, "suffix" : "" }, { "dropping-particle" : "", "family" : "Manzoni", "given" : "C", "non-dropping-particle" : "", "parse-names" : false, "suffix" : "" }, { "dropping-particle" : "", "family" : "Cerullo", "given" : "G", "non-dropping-particle" : "", "parse-names" : false, "suffix" : "" }, { "dropping-particle" : "", "family" : "Lanzani", "given" : "G", "non-dropping-particle" : "", "parse-names" : false, "suffix" : "" } ], "container-title" : "Physical review letters", "id" : "ITEM-2", "issue" : "11", "issued" : { "date-parts" : [ [ "2005" ] ] }, "page" : "117402", "publisher" : "APS", "title" : "Ultrafast intrachain photoexcitation of polymeric semiconductors", "type" : "article-journal", "volume" : "94" }, "uris" : [ "http://www.mendeley.com/documents/?uuid=68393148-3e0d-4b98-a387-578d93624ba7", "http://www.mendeley.com/documents/?uuid=d66791f7-6067-4033-9c9c-5ee6d85a363d" ] }, { "id" : "ITEM-3", "itemData" : { "ISSN" : "0009-2614", "author" : [ { "dropping-particle" : "", "family" : "Korovyanko", "given" : "O J", "non-dropping-particle" : "", "parse-names" : false, "suffix" : "" }, { "dropping-particle" : "V", "family" : "Vardeny", "given" : "Z", "non-dropping-particle" : "", "parse-names" : false, "suffix" : "" } ], "container-title" : "Chemical physics letters", "id" : "ITEM-3", "issue" : "3", "issued" : { "date-parts" : [ [ "2002" ] ] }, "page" : "361-367", "publisher" : "Elsevier", "title" : "Film morphology and ultrafast photoexcitation dynamics in polyfluorene", "type" : "article-journal", "volume" : "356" }, "uris" : [ "http://www.mendeley.com/documents/?uuid=ffafb6e0-e2f1-4dcc-96da-6fb05763a9e7" ] } ], "mendeley" : { "formattedCitation" : "&lt;sup&gt;35\u201337&lt;/sup&gt;", "plainTextFormattedCitation" : "35\u201337", "previouslyFormattedCitation" : "&lt;sup&gt;35\u201337&lt;/sup&gt;" }, "properties" : { "noteIndex" : 0 }, "schema" : "https://github.com/citation-style-language/schema/raw/master/csl-citation.json" }</w:instrText>
      </w:r>
      <w:r w:rsidR="007E112E" w:rsidRPr="007E45AE">
        <w:rPr>
          <w:rFonts w:ascii="Arial" w:hAnsi="Arial" w:cs="Arial"/>
          <w:lang w:val="en-US"/>
        </w:rPr>
        <w:fldChar w:fldCharType="separate"/>
      </w:r>
      <w:r w:rsidR="000B745C" w:rsidRPr="000B745C">
        <w:rPr>
          <w:rFonts w:ascii="Arial" w:hAnsi="Arial" w:cs="Arial"/>
          <w:noProof/>
          <w:vertAlign w:val="superscript"/>
          <w:lang w:val="en-US"/>
        </w:rPr>
        <w:t>35–37</w:t>
      </w:r>
      <w:r w:rsidR="007E112E" w:rsidRPr="007E45AE">
        <w:rPr>
          <w:rFonts w:ascii="Arial" w:hAnsi="Arial" w:cs="Arial"/>
          <w:lang w:val="en-US"/>
        </w:rPr>
        <w:fldChar w:fldCharType="end"/>
      </w:r>
      <w:r w:rsidR="007E112E" w:rsidRPr="007E45AE">
        <w:rPr>
          <w:rFonts w:ascii="Arial" w:hAnsi="Arial" w:cs="Arial"/>
          <w:lang w:val="en-US"/>
        </w:rPr>
        <w:t xml:space="preserve"> Henceforth, </w:t>
      </w:r>
      <w:r w:rsidR="00E33C24">
        <w:rPr>
          <w:rFonts w:ascii="Arial" w:hAnsi="Arial" w:cs="Arial"/>
          <w:lang w:val="en-US"/>
        </w:rPr>
        <w:t xml:space="preserve">the </w:t>
      </w:r>
      <w:r w:rsidR="007E112E" w:rsidRPr="007E45AE">
        <w:rPr>
          <w:rFonts w:ascii="Arial" w:hAnsi="Arial" w:cs="Arial"/>
          <w:lang w:val="en-US"/>
        </w:rPr>
        <w:t xml:space="preserve">optical probes of PFO and PDI </w:t>
      </w:r>
      <w:r w:rsidR="00E33C24">
        <w:rPr>
          <w:rFonts w:ascii="Arial" w:hAnsi="Arial" w:cs="Arial"/>
          <w:lang w:val="en-US"/>
        </w:rPr>
        <w:t>are distinguished by</w:t>
      </w:r>
      <w:r w:rsidR="007E112E" w:rsidRPr="007E45AE">
        <w:rPr>
          <w:rFonts w:ascii="Arial" w:hAnsi="Arial" w:cs="Arial"/>
          <w:lang w:val="en-US"/>
        </w:rPr>
        <w:t xml:space="preserve"> the suffixes “D” and “A”, as in these blends the components play the role of electron donors and acceptors, respectively; singlet and charged states </w:t>
      </w:r>
      <w:r w:rsidR="009A03B3">
        <w:rPr>
          <w:rFonts w:ascii="Arial" w:hAnsi="Arial" w:cs="Arial"/>
          <w:lang w:val="en-US"/>
        </w:rPr>
        <w:t xml:space="preserve">are </w:t>
      </w:r>
      <w:r w:rsidR="007E112E" w:rsidRPr="007E45AE">
        <w:rPr>
          <w:rFonts w:ascii="Arial" w:hAnsi="Arial" w:cs="Arial"/>
          <w:lang w:val="en-US"/>
        </w:rPr>
        <w:t xml:space="preserve">symbolized by the capital letters S and C, respectively. </w:t>
      </w:r>
      <w:r w:rsidR="004B1D4F">
        <w:rPr>
          <w:rFonts w:ascii="Arial" w:hAnsi="Arial" w:cs="Arial"/>
          <w:lang w:val="en-US"/>
        </w:rPr>
        <w:t xml:space="preserve">The </w:t>
      </w:r>
      <w:r w:rsidR="000905EE">
        <w:rPr>
          <w:rFonts w:ascii="Arial" w:hAnsi="Arial" w:cs="Arial"/>
          <w:lang w:val="en-US"/>
        </w:rPr>
        <w:t xml:space="preserve">β phase of PFO is labelled </w:t>
      </w:r>
      <w:r w:rsidR="00A47C07">
        <w:rPr>
          <w:rFonts w:ascii="Arial" w:hAnsi="Arial" w:cs="Arial"/>
          <w:lang w:val="en-US"/>
        </w:rPr>
        <w:t>“β”, while the glassy phase is labeled “g”</w:t>
      </w:r>
      <w:r w:rsidR="007E112E" w:rsidRPr="007E45AE">
        <w:rPr>
          <w:rFonts w:ascii="Arial" w:hAnsi="Arial" w:cs="Arial"/>
          <w:lang w:val="en-US"/>
        </w:rPr>
        <w:t>. The band at 1.55 eV, assigned to singlet excited state absorption in the donor phase, thus attains the label S</w:t>
      </w:r>
      <w:r w:rsidR="007E112E" w:rsidRPr="007E45AE">
        <w:rPr>
          <w:rFonts w:ascii="Arial" w:hAnsi="Arial" w:cs="Arial"/>
          <w:vertAlign w:val="subscript"/>
          <w:lang w:val="en-US"/>
        </w:rPr>
        <w:t>D</w:t>
      </w:r>
      <w:r w:rsidR="007E112E" w:rsidRPr="007E45AE">
        <w:rPr>
          <w:rFonts w:ascii="Arial" w:hAnsi="Arial" w:cs="Arial"/>
          <w:lang w:val="en-US"/>
        </w:rPr>
        <w:t>.</w:t>
      </w:r>
    </w:p>
    <w:p w14:paraId="7FF1D598" w14:textId="2B3726B9" w:rsidR="00071CDB" w:rsidRPr="00A745A4" w:rsidRDefault="003A4245" w:rsidP="00A745A4">
      <w:pPr>
        <w:tabs>
          <w:tab w:val="left" w:pos="0"/>
        </w:tabs>
        <w:spacing w:line="360" w:lineRule="auto"/>
        <w:jc w:val="both"/>
        <w:rPr>
          <w:rFonts w:ascii="Arial" w:hAnsi="Arial" w:cs="Arial"/>
          <w:lang w:val="en-US"/>
        </w:rPr>
      </w:pPr>
      <w:r w:rsidRPr="00AA7325">
        <w:rPr>
          <w:rFonts w:ascii="Arial" w:hAnsi="Arial" w:cs="Arial"/>
          <w:noProof/>
          <w:lang w:eastAsia="en-GB"/>
        </w:rPr>
        <w:drawing>
          <wp:inline distT="0" distB="0" distL="0" distR="0" wp14:anchorId="0DF33B39" wp14:editId="7D12B8DA">
            <wp:extent cx="6108286" cy="3534503"/>
            <wp:effectExtent l="0" t="0" r="698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2929" cy="3548762"/>
                    </a:xfrm>
                    <a:prstGeom prst="rect">
                      <a:avLst/>
                    </a:prstGeom>
                    <a:noFill/>
                  </pic:spPr>
                </pic:pic>
              </a:graphicData>
            </a:graphic>
          </wp:inline>
        </w:drawing>
      </w:r>
    </w:p>
    <w:p w14:paraId="5CFDB5D8" w14:textId="6EFFBAC5" w:rsidR="00FF7031" w:rsidRPr="00A745A4" w:rsidRDefault="00FF7031" w:rsidP="00A745A4">
      <w:pPr>
        <w:tabs>
          <w:tab w:val="left" w:pos="0"/>
        </w:tabs>
        <w:spacing w:line="360" w:lineRule="auto"/>
        <w:jc w:val="both"/>
        <w:rPr>
          <w:rFonts w:ascii="Arial" w:hAnsi="Arial" w:cs="Arial"/>
          <w:lang w:val="en-US"/>
        </w:rPr>
      </w:pPr>
      <w:r w:rsidRPr="00A745A4">
        <w:rPr>
          <w:rFonts w:ascii="Arial" w:hAnsi="Arial" w:cs="Arial"/>
          <w:b/>
          <w:lang w:val="en-US"/>
        </w:rPr>
        <w:t>Fig</w:t>
      </w:r>
      <w:r w:rsidR="00821054" w:rsidRPr="00A745A4">
        <w:rPr>
          <w:rFonts w:ascii="Arial" w:hAnsi="Arial" w:cs="Arial"/>
          <w:b/>
          <w:lang w:val="en-US"/>
        </w:rPr>
        <w:t xml:space="preserve">ure </w:t>
      </w:r>
      <w:r w:rsidR="003D27C0" w:rsidRPr="00A745A4">
        <w:rPr>
          <w:rFonts w:ascii="Arial" w:hAnsi="Arial" w:cs="Arial"/>
          <w:b/>
          <w:lang w:val="en-US"/>
        </w:rPr>
        <w:t>4</w:t>
      </w:r>
      <w:r w:rsidRPr="00A745A4">
        <w:rPr>
          <w:rFonts w:ascii="Arial" w:hAnsi="Arial" w:cs="Arial"/>
          <w:b/>
          <w:lang w:val="en-US"/>
        </w:rPr>
        <w:t>.</w:t>
      </w:r>
      <w:r w:rsidRPr="00A745A4">
        <w:rPr>
          <w:rFonts w:ascii="Arial" w:hAnsi="Arial" w:cs="Arial"/>
          <w:lang w:val="en-US"/>
        </w:rPr>
        <w:t xml:space="preserve"> Transient absorption (TA) spectra after pumping at 370 nm with 150 fs pulses (main absorption of PFO) in pure PFO and the blend </w:t>
      </w:r>
      <w:r w:rsidR="003D27C0" w:rsidRPr="00A745A4">
        <w:rPr>
          <w:rFonts w:ascii="Arial" w:hAnsi="Arial" w:cs="Arial"/>
          <w:lang w:val="en-US"/>
        </w:rPr>
        <w:t>PDI:PFO</w:t>
      </w:r>
      <w:r w:rsidRPr="00A745A4">
        <w:rPr>
          <w:rFonts w:ascii="Arial" w:hAnsi="Arial" w:cs="Arial"/>
          <w:lang w:val="en-US"/>
        </w:rPr>
        <w:t xml:space="preserve"> (symbols in </w:t>
      </w:r>
      <w:r w:rsidRPr="002F38DC">
        <w:rPr>
          <w:rFonts w:ascii="Arial" w:hAnsi="Arial" w:cs="Arial"/>
          <w:lang w:val="en-US"/>
        </w:rPr>
        <w:t xml:space="preserve">panel </w:t>
      </w:r>
      <w:r w:rsidR="002F38DC" w:rsidRPr="002F38DC">
        <w:rPr>
          <w:rFonts w:ascii="Arial" w:hAnsi="Arial" w:cs="Arial"/>
          <w:lang w:val="en-US"/>
        </w:rPr>
        <w:t>a</w:t>
      </w:r>
      <w:r w:rsidRPr="002F38DC">
        <w:rPr>
          <w:rFonts w:ascii="Arial" w:hAnsi="Arial" w:cs="Arial"/>
          <w:lang w:val="en-US"/>
        </w:rPr>
        <w:t xml:space="preserve"> and </w:t>
      </w:r>
      <w:r w:rsidR="002F38DC" w:rsidRPr="009E5E77">
        <w:rPr>
          <w:rFonts w:ascii="Arial" w:hAnsi="Arial" w:cs="Arial"/>
          <w:lang w:val="en-US"/>
        </w:rPr>
        <w:t>b</w:t>
      </w:r>
      <w:r w:rsidRPr="00A745A4">
        <w:rPr>
          <w:rFonts w:ascii="Arial" w:hAnsi="Arial" w:cs="Arial"/>
          <w:lang w:val="en-US"/>
        </w:rPr>
        <w:t xml:space="preserve">, respectively). Solid lines in panels </w:t>
      </w:r>
      <w:r w:rsidRPr="002F38DC">
        <w:rPr>
          <w:rFonts w:ascii="Arial" w:hAnsi="Arial" w:cs="Arial"/>
          <w:lang w:val="en-US"/>
        </w:rPr>
        <w:t>a) and b)</w:t>
      </w:r>
      <w:r w:rsidRPr="00A745A4">
        <w:rPr>
          <w:rFonts w:ascii="Arial" w:hAnsi="Arial" w:cs="Arial"/>
          <w:lang w:val="en-US"/>
        </w:rPr>
        <w:t xml:space="preserve"> are global fits according to a target analysis using the model given in panel c) and d), respectively. </w:t>
      </w:r>
      <w:r w:rsidR="00A6550D" w:rsidRPr="00A745A4">
        <w:rPr>
          <w:rFonts w:ascii="Arial" w:hAnsi="Arial" w:cs="Arial"/>
          <w:lang w:val="en-US"/>
        </w:rPr>
        <w:t>Panels c) and d) show the characteristic spectra, resulting from the target analysis, in the same color as the corresponding states in the target model.</w:t>
      </w:r>
      <w:r w:rsidR="00BC632E" w:rsidRPr="00A745A4">
        <w:rPr>
          <w:rFonts w:ascii="Arial" w:hAnsi="Arial" w:cs="Arial"/>
          <w:lang w:val="en-US"/>
        </w:rPr>
        <w:t xml:space="preserve"> Dispersive kinetics has been assumed if </w:t>
      </w:r>
      <w:r w:rsidR="007A087F">
        <w:rPr>
          <w:rFonts w:ascii="Arial" w:hAnsi="Arial" w:cs="Arial"/>
          <w:lang w:val="en-US"/>
        </w:rPr>
        <w:t xml:space="preserve">the </w:t>
      </w:r>
      <w:r w:rsidR="00BC632E" w:rsidRPr="00A745A4">
        <w:rPr>
          <w:rFonts w:ascii="Arial" w:hAnsi="Arial" w:cs="Arial"/>
          <w:lang w:val="en-US"/>
        </w:rPr>
        <w:t xml:space="preserve">value for the dispersive parameter </w:t>
      </w:r>
      <w:r w:rsidR="00BC632E" w:rsidRPr="00E74311">
        <w:rPr>
          <w:rFonts w:ascii="Arial" w:hAnsi="Arial" w:cs="Arial"/>
          <w:lang w:val="en-US"/>
        </w:rPr>
        <w:t>γ</w:t>
      </w:r>
      <w:r w:rsidR="00BC632E" w:rsidRPr="00A745A4">
        <w:rPr>
          <w:rFonts w:ascii="Arial" w:hAnsi="Arial" w:cs="Arial"/>
          <w:lang w:val="en-US"/>
        </w:rPr>
        <w:t xml:space="preserve"> is given; otherwise time-independent rate constants have been assumed.</w:t>
      </w:r>
      <w:r w:rsidR="00CA4BEF" w:rsidRPr="00A745A4">
        <w:rPr>
          <w:rFonts w:ascii="Arial" w:hAnsi="Arial" w:cs="Arial"/>
          <w:lang w:val="en-US"/>
        </w:rPr>
        <w:t xml:space="preserve"> The dashed arrow gives action of the pump pulse. “C.S.” </w:t>
      </w:r>
      <w:r w:rsidR="007A087F">
        <w:rPr>
          <w:rFonts w:ascii="Arial" w:hAnsi="Arial" w:cs="Arial"/>
          <w:lang w:val="en-US"/>
        </w:rPr>
        <w:t>denotes a</w:t>
      </w:r>
      <w:r w:rsidR="007A087F" w:rsidRPr="00A745A4">
        <w:rPr>
          <w:rFonts w:ascii="Arial" w:hAnsi="Arial" w:cs="Arial"/>
          <w:lang w:val="en-US"/>
        </w:rPr>
        <w:t xml:space="preserve"> </w:t>
      </w:r>
      <w:r w:rsidR="00CA4BEF" w:rsidRPr="00A745A4">
        <w:rPr>
          <w:rFonts w:ascii="Arial" w:hAnsi="Arial" w:cs="Arial"/>
          <w:lang w:val="en-US"/>
        </w:rPr>
        <w:t xml:space="preserve">charge separated state in the </w:t>
      </w:r>
      <w:r w:rsidR="006A5771">
        <w:rPr>
          <w:rFonts w:ascii="Arial" w:hAnsi="Arial" w:cs="Arial"/>
        </w:rPr>
        <w:t xml:space="preserve">intercalated PDI:PFO </w:t>
      </w:r>
      <w:r w:rsidR="00CA4BEF" w:rsidRPr="00A745A4">
        <w:rPr>
          <w:rFonts w:ascii="Arial" w:hAnsi="Arial" w:cs="Arial"/>
          <w:lang w:val="en-US"/>
        </w:rPr>
        <w:t>phase.</w:t>
      </w:r>
    </w:p>
    <w:p w14:paraId="1EA08EB1" w14:textId="71790FB6" w:rsidR="0002317B" w:rsidRPr="0002317B" w:rsidRDefault="007E112E">
      <w:pPr>
        <w:tabs>
          <w:tab w:val="left" w:pos="0"/>
        </w:tabs>
        <w:spacing w:line="360" w:lineRule="auto"/>
        <w:jc w:val="both"/>
        <w:rPr>
          <w:rFonts w:ascii="Arial" w:hAnsi="Arial" w:cs="Arial"/>
          <w:lang w:val="en-US"/>
        </w:rPr>
      </w:pPr>
      <w:r w:rsidRPr="0074596D">
        <w:rPr>
          <w:rFonts w:ascii="Arial" w:hAnsi="Arial" w:cs="Arial"/>
          <w:lang w:val="en-US"/>
        </w:rPr>
        <w:t>In the blue and ultraviolet (UV) spectral region</w:t>
      </w:r>
      <w:r w:rsidR="00267F0C" w:rsidRPr="0074596D">
        <w:rPr>
          <w:rFonts w:ascii="Arial" w:hAnsi="Arial" w:cs="Arial"/>
          <w:lang w:val="en-US"/>
        </w:rPr>
        <w:t xml:space="preserve"> of Fig. 4a</w:t>
      </w:r>
      <w:r w:rsidRPr="0074596D">
        <w:rPr>
          <w:rFonts w:ascii="Arial" w:hAnsi="Arial" w:cs="Arial"/>
          <w:lang w:val="en-US"/>
        </w:rPr>
        <w:t>, a group of bands</w:t>
      </w:r>
      <w:r w:rsidR="007A087F">
        <w:rPr>
          <w:rFonts w:ascii="Arial" w:hAnsi="Arial" w:cs="Arial"/>
          <w:lang w:val="en-US"/>
        </w:rPr>
        <w:t xml:space="preserve"> was observed</w:t>
      </w:r>
      <w:r w:rsidRPr="0074596D">
        <w:rPr>
          <w:rFonts w:ascii="Arial" w:hAnsi="Arial" w:cs="Arial"/>
          <w:lang w:val="en-US"/>
        </w:rPr>
        <w:t xml:space="preserve"> with formally negative TA. The band at 3.1 eV coincides with the maximum of </w:t>
      </w:r>
      <w:r w:rsidR="00F07D74">
        <w:rPr>
          <w:rFonts w:ascii="Arial" w:hAnsi="Arial" w:cs="Arial"/>
          <w:lang w:val="en-US"/>
        </w:rPr>
        <w:t xml:space="preserve">the </w:t>
      </w:r>
      <w:r w:rsidR="004B5DB8">
        <w:rPr>
          <w:rFonts w:ascii="Arial" w:hAnsi="Arial" w:cs="Arial"/>
          <w:lang w:val="en-US"/>
        </w:rPr>
        <w:t xml:space="preserve">second derivative of the glassy phase PFO in Fig. </w:t>
      </w:r>
      <w:r w:rsidR="00115CAA">
        <w:rPr>
          <w:rFonts w:ascii="Arial" w:hAnsi="Arial" w:cs="Arial"/>
          <w:lang w:val="en-US"/>
        </w:rPr>
        <w:t>1b</w:t>
      </w:r>
      <w:r w:rsidR="004B5DB8">
        <w:rPr>
          <w:rFonts w:ascii="Arial" w:hAnsi="Arial" w:cs="Arial"/>
          <w:lang w:val="en-US"/>
        </w:rPr>
        <w:t xml:space="preserve"> </w:t>
      </w:r>
      <w:r w:rsidRPr="0074596D">
        <w:rPr>
          <w:rFonts w:ascii="Arial" w:hAnsi="Arial" w:cs="Arial"/>
          <w:lang w:val="en-US"/>
        </w:rPr>
        <w:t>and is therefore assigned to transient ground state bleach (B</w:t>
      </w:r>
      <w:r w:rsidRPr="0074596D">
        <w:rPr>
          <w:rFonts w:ascii="Arial" w:hAnsi="Arial" w:cs="Arial"/>
          <w:vertAlign w:val="subscript"/>
          <w:lang w:val="en-US"/>
        </w:rPr>
        <w:t>D</w:t>
      </w:r>
      <w:r w:rsidR="004B5DB8">
        <w:rPr>
          <w:rFonts w:ascii="Arial" w:hAnsi="Arial" w:cs="Arial"/>
          <w:vertAlign w:val="subscript"/>
          <w:lang w:val="en-US"/>
        </w:rPr>
        <w:t>g</w:t>
      </w:r>
      <w:r w:rsidRPr="0074596D">
        <w:rPr>
          <w:rFonts w:ascii="Arial" w:hAnsi="Arial" w:cs="Arial"/>
          <w:lang w:val="en-US"/>
        </w:rPr>
        <w:t>), while the band at 2.8 eV coincides with the (0-0) transition of the ordered β</w:t>
      </w:r>
      <w:r w:rsidR="00404949">
        <w:rPr>
          <w:rFonts w:ascii="Arial" w:hAnsi="Arial" w:cs="Arial"/>
          <w:lang w:val="en-US"/>
        </w:rPr>
        <w:t>-</w:t>
      </w:r>
      <w:r w:rsidRPr="0074596D">
        <w:rPr>
          <w:rFonts w:ascii="Arial" w:hAnsi="Arial" w:cs="Arial"/>
          <w:lang w:val="en-US"/>
        </w:rPr>
        <w:t>phase, and is therefore assigned to a superposition of B</w:t>
      </w:r>
      <w:r w:rsidRPr="0074596D">
        <w:rPr>
          <w:rFonts w:ascii="Arial" w:hAnsi="Arial" w:cs="Arial"/>
          <w:vertAlign w:val="subscript"/>
          <w:lang w:val="en-US"/>
        </w:rPr>
        <w:t>Dβ</w:t>
      </w:r>
      <w:r w:rsidRPr="0074596D">
        <w:rPr>
          <w:rFonts w:ascii="Arial" w:hAnsi="Arial" w:cs="Arial"/>
          <w:lang w:val="en-US"/>
        </w:rPr>
        <w:t xml:space="preserve"> and stimulated emission (E</w:t>
      </w:r>
      <w:r w:rsidRPr="0074596D">
        <w:rPr>
          <w:rFonts w:ascii="Arial" w:hAnsi="Arial" w:cs="Arial"/>
          <w:vertAlign w:val="subscript"/>
          <w:lang w:val="en-US"/>
        </w:rPr>
        <w:t>Dβ</w:t>
      </w:r>
      <w:r w:rsidRPr="0074596D">
        <w:rPr>
          <w:rFonts w:ascii="Arial" w:hAnsi="Arial" w:cs="Arial"/>
          <w:lang w:val="en-US"/>
        </w:rPr>
        <w:t xml:space="preserve">). </w:t>
      </w:r>
      <w:r w:rsidR="0002317B">
        <w:rPr>
          <w:rFonts w:ascii="Arial" w:hAnsi="Arial" w:cs="Arial"/>
          <w:lang w:val="en-US"/>
        </w:rPr>
        <w:t>The S</w:t>
      </w:r>
      <w:r w:rsidR="0002317B">
        <w:rPr>
          <w:rFonts w:ascii="Arial" w:hAnsi="Arial" w:cs="Arial"/>
          <w:vertAlign w:val="subscript"/>
          <w:lang w:val="en-US"/>
        </w:rPr>
        <w:t>D</w:t>
      </w:r>
      <w:r w:rsidR="0002317B">
        <w:rPr>
          <w:rFonts w:ascii="Arial" w:hAnsi="Arial" w:cs="Arial"/>
          <w:lang w:val="en-US"/>
        </w:rPr>
        <w:t xml:space="preserve"> band shows a clear red shift with a time constant of 6 ps</w:t>
      </w:r>
      <w:r w:rsidR="006E1C8C">
        <w:rPr>
          <w:rFonts w:ascii="Arial" w:hAnsi="Arial" w:cs="Arial"/>
          <w:lang w:val="en-US"/>
        </w:rPr>
        <w:t xml:space="preserve">; </w:t>
      </w:r>
      <w:r w:rsidR="0002317B">
        <w:rPr>
          <w:rFonts w:ascii="Arial" w:hAnsi="Arial" w:cs="Arial"/>
          <w:lang w:val="en-US"/>
        </w:rPr>
        <w:t>on the same time scale, we observe a loss of the broad B</w:t>
      </w:r>
      <w:r w:rsidR="0002317B">
        <w:rPr>
          <w:rFonts w:ascii="Arial" w:hAnsi="Arial" w:cs="Arial"/>
          <w:vertAlign w:val="subscript"/>
          <w:lang w:val="en-US"/>
        </w:rPr>
        <w:t>D</w:t>
      </w:r>
      <w:r w:rsidR="001D7316">
        <w:rPr>
          <w:rFonts w:ascii="Arial" w:hAnsi="Arial" w:cs="Arial"/>
          <w:vertAlign w:val="subscript"/>
          <w:lang w:val="en-US"/>
        </w:rPr>
        <w:t>g</w:t>
      </w:r>
      <w:r w:rsidR="0002317B">
        <w:rPr>
          <w:rFonts w:ascii="Arial" w:hAnsi="Arial" w:cs="Arial"/>
          <w:lang w:val="en-US"/>
        </w:rPr>
        <w:t xml:space="preserve"> bleach </w:t>
      </w:r>
      <w:r w:rsidR="0002317B">
        <w:rPr>
          <w:rFonts w:ascii="Arial" w:hAnsi="Arial" w:cs="Arial"/>
          <w:lang w:val="en-US"/>
        </w:rPr>
        <w:lastRenderedPageBreak/>
        <w:t>contribution</w:t>
      </w:r>
      <w:r w:rsidR="00124FE9">
        <w:rPr>
          <w:rFonts w:ascii="Arial" w:hAnsi="Arial" w:cs="Arial"/>
          <w:lang w:val="en-US"/>
        </w:rPr>
        <w:t xml:space="preserve"> and a slight build-up of the β</w:t>
      </w:r>
      <w:r w:rsidR="00404949">
        <w:rPr>
          <w:rFonts w:ascii="Arial" w:hAnsi="Arial" w:cs="Arial"/>
          <w:lang w:val="en-US"/>
        </w:rPr>
        <w:t>-</w:t>
      </w:r>
      <w:r w:rsidR="00124FE9">
        <w:rPr>
          <w:rFonts w:ascii="Arial" w:hAnsi="Arial" w:cs="Arial"/>
          <w:lang w:val="en-US"/>
        </w:rPr>
        <w:t>phase</w:t>
      </w:r>
      <w:r w:rsidR="0029359A">
        <w:rPr>
          <w:rFonts w:ascii="Arial" w:hAnsi="Arial" w:cs="Arial"/>
          <w:lang w:val="en-US"/>
        </w:rPr>
        <w:t xml:space="preserve"> signal</w:t>
      </w:r>
      <w:r w:rsidR="0002317B">
        <w:rPr>
          <w:rFonts w:ascii="Arial" w:hAnsi="Arial" w:cs="Arial"/>
          <w:lang w:val="en-US"/>
        </w:rPr>
        <w:t>. Since the pump pulse is cent</w:t>
      </w:r>
      <w:r w:rsidR="00A27148">
        <w:rPr>
          <w:rFonts w:ascii="Arial" w:hAnsi="Arial" w:cs="Arial"/>
          <w:lang w:val="en-US"/>
        </w:rPr>
        <w:t>e</w:t>
      </w:r>
      <w:r w:rsidR="0002317B">
        <w:rPr>
          <w:rFonts w:ascii="Arial" w:hAnsi="Arial" w:cs="Arial"/>
          <w:lang w:val="en-US"/>
        </w:rPr>
        <w:t>red at 3.25 eV, predominantly exciting the</w:t>
      </w:r>
      <w:r w:rsidR="00A16563">
        <w:rPr>
          <w:rFonts w:ascii="Arial" w:hAnsi="Arial" w:cs="Arial"/>
          <w:lang w:val="en-US"/>
        </w:rPr>
        <w:t xml:space="preserve"> glassy </w:t>
      </w:r>
      <w:r w:rsidR="0002317B">
        <w:rPr>
          <w:rFonts w:ascii="Arial" w:hAnsi="Arial" w:cs="Arial"/>
          <w:lang w:val="en-US"/>
        </w:rPr>
        <w:t xml:space="preserve">phase, the observations </w:t>
      </w:r>
      <w:r w:rsidR="00124FE9">
        <w:rPr>
          <w:rFonts w:ascii="Arial" w:hAnsi="Arial" w:cs="Arial"/>
          <w:lang w:val="en-US"/>
        </w:rPr>
        <w:t>are in agreement</w:t>
      </w:r>
      <w:r w:rsidR="0002317B">
        <w:rPr>
          <w:rFonts w:ascii="Arial" w:hAnsi="Arial" w:cs="Arial"/>
          <w:lang w:val="en-US"/>
        </w:rPr>
        <w:t xml:space="preserve"> with excitation energy migration from the </w:t>
      </w:r>
      <w:r w:rsidR="00FE2AC8">
        <w:rPr>
          <w:rFonts w:ascii="Arial" w:hAnsi="Arial" w:cs="Arial"/>
          <w:lang w:val="en-US"/>
        </w:rPr>
        <w:t xml:space="preserve">glassy </w:t>
      </w:r>
      <w:r w:rsidR="0002317B">
        <w:rPr>
          <w:rFonts w:ascii="Arial" w:hAnsi="Arial" w:cs="Arial"/>
          <w:lang w:val="en-US"/>
        </w:rPr>
        <w:t>phase into the β</w:t>
      </w:r>
      <w:r w:rsidR="00A16563">
        <w:rPr>
          <w:rFonts w:ascii="Arial" w:hAnsi="Arial" w:cs="Arial"/>
          <w:lang w:val="en-US"/>
        </w:rPr>
        <w:t>-</w:t>
      </w:r>
      <w:r w:rsidR="0002317B">
        <w:rPr>
          <w:rFonts w:ascii="Arial" w:hAnsi="Arial" w:cs="Arial"/>
          <w:lang w:val="en-US"/>
        </w:rPr>
        <w:t>phase</w:t>
      </w:r>
      <w:r w:rsidR="005344E9">
        <w:rPr>
          <w:rFonts w:ascii="Arial" w:hAnsi="Arial" w:cs="Arial"/>
          <w:lang w:val="en-US"/>
        </w:rPr>
        <w:t>.</w:t>
      </w:r>
      <w:r w:rsidR="005344E9">
        <w:rPr>
          <w:rFonts w:ascii="Arial" w:hAnsi="Arial" w:cs="Arial"/>
          <w:lang w:val="en-US"/>
        </w:rPr>
        <w:fldChar w:fldCharType="begin" w:fldLock="1"/>
      </w:r>
      <w:r w:rsidR="000B745C">
        <w:rPr>
          <w:rFonts w:ascii="Arial" w:hAnsi="Arial" w:cs="Arial"/>
          <w:lang w:val="en-US"/>
        </w:rPr>
        <w:instrText>ADDIN CSL_CITATION { "citationItems" : [ { "id" : "ITEM-1", "itemData" : { "author" : [ { "dropping-particle" : "", "family" : "Ariu", "given" : "M", "non-dropping-particle" : "", "parse-names" : false, "suffix" : "" }, { "dropping-particle" : "", "family" : "Sims", "given" : "M", "non-dropping-particle" : "", "parse-names" : false, "suffix" : "" }, { "dropping-particle" : "", "family" : "Rahn", "given" : "M D", "non-dropping-particle" : "", "parse-names" : false, "suffix" : "" }, { "dropping-particle" : "", "family" : "Hill", "given" : "J", "non-dropping-particle" : "", "parse-names" : false, "suffix" : "" }, { "dropping-particle" : "", "family" : "Fox", "given" : "A M", "non-dropping-particle" : "", "parse-names" : false, "suffix" : "" }, { "dropping-particle" : "", "family" : "Lidzey", "given" : "D G", "non-dropping-particle" : "", "parse-names" : false, "suffix" : "" }, { "dropping-particle" : "", "family" : "Oda", "given" : "M", "non-dropping-particle" : "", "parse-names" : false, "suffix" : "" }, { "dropping-particle" : "", "family" : "Cabanillas-Gonzalez", "given" : "J", "non-dropping-particle" : "", "parse-names" : false, "suffix" : "" }, { "dropping-particle" : "", "family" : "Bradley", "given" : "D D C", "non-dropping-particle" : "", "parse-names" : false, "suffix" : "" } ], "container-title" : "Physical Review B", "id" : "ITEM-1", "issue" : "19", "issued" : { "date-parts" : [ [ "2003" ] ] }, "page" : "195333", "publisher" : "APS", "title" : "Exciton migration in \u03b2-phase poly (9, 9-dioctylfluorene)", "type" : "article-journal", "volume" : "67" }, "uris" : [ "http://www.mendeley.com/documents/?uuid=e2782b26-2ff7-40ba-8c33-9c4060a0c182" ] } ], "mendeley" : { "formattedCitation" : "&lt;sup&gt;38&lt;/sup&gt;", "plainTextFormattedCitation" : "38", "previouslyFormattedCitation" : "&lt;sup&gt;38&lt;/sup&gt;" }, "properties" : { "noteIndex" : 0 }, "schema" : "https://github.com/citation-style-language/schema/raw/master/csl-citation.json" }</w:instrText>
      </w:r>
      <w:r w:rsidR="005344E9">
        <w:rPr>
          <w:rFonts w:ascii="Arial" w:hAnsi="Arial" w:cs="Arial"/>
          <w:lang w:val="en-US"/>
        </w:rPr>
        <w:fldChar w:fldCharType="separate"/>
      </w:r>
      <w:r w:rsidR="000B745C" w:rsidRPr="000B745C">
        <w:rPr>
          <w:rFonts w:ascii="Arial" w:hAnsi="Arial" w:cs="Arial"/>
          <w:noProof/>
          <w:vertAlign w:val="superscript"/>
          <w:lang w:val="en-US"/>
        </w:rPr>
        <w:t>38</w:t>
      </w:r>
      <w:r w:rsidR="005344E9">
        <w:rPr>
          <w:rFonts w:ascii="Arial" w:hAnsi="Arial" w:cs="Arial"/>
          <w:lang w:val="en-US"/>
        </w:rPr>
        <w:fldChar w:fldCharType="end"/>
      </w:r>
      <w:r w:rsidR="0063185F">
        <w:rPr>
          <w:rFonts w:ascii="Arial" w:hAnsi="Arial" w:cs="Arial"/>
          <w:lang w:val="en-US"/>
        </w:rPr>
        <w:t xml:space="preserve"> </w:t>
      </w:r>
    </w:p>
    <w:p w14:paraId="39A4D119" w14:textId="5ABC45E9" w:rsidR="007E112E" w:rsidRPr="006E1C8C" w:rsidRDefault="00124FE9">
      <w:pPr>
        <w:tabs>
          <w:tab w:val="left" w:pos="0"/>
        </w:tabs>
        <w:spacing w:line="360" w:lineRule="auto"/>
        <w:jc w:val="both"/>
        <w:rPr>
          <w:rFonts w:ascii="Arial" w:hAnsi="Arial" w:cs="Arial"/>
          <w:lang w:val="en-US"/>
        </w:rPr>
      </w:pPr>
      <w:r>
        <w:rPr>
          <w:rFonts w:ascii="Arial" w:hAnsi="Arial" w:cs="Arial"/>
          <w:lang w:val="en-US"/>
        </w:rPr>
        <w:t xml:space="preserve">After spectral relaxation, </w:t>
      </w:r>
      <w:r w:rsidR="007E112E" w:rsidRPr="0074596D">
        <w:rPr>
          <w:rFonts w:ascii="Arial" w:hAnsi="Arial" w:cs="Arial"/>
          <w:lang w:val="en-US"/>
        </w:rPr>
        <w:t xml:space="preserve">there is no further spectral evolution, demonstrating that in </w:t>
      </w:r>
      <w:r w:rsidR="007A087F">
        <w:rPr>
          <w:rFonts w:ascii="Arial" w:hAnsi="Arial" w:cs="Arial"/>
          <w:lang w:val="en-US"/>
        </w:rPr>
        <w:t>pristine</w:t>
      </w:r>
      <w:r w:rsidR="007A087F" w:rsidRPr="0074596D">
        <w:rPr>
          <w:rFonts w:ascii="Arial" w:hAnsi="Arial" w:cs="Arial"/>
          <w:lang w:val="en-US"/>
        </w:rPr>
        <w:t xml:space="preserve"> </w:t>
      </w:r>
      <w:r w:rsidR="007E112E" w:rsidRPr="0074596D">
        <w:rPr>
          <w:rFonts w:ascii="Arial" w:hAnsi="Arial" w:cs="Arial"/>
          <w:lang w:val="en-US"/>
        </w:rPr>
        <w:t>PFO, singlet excitons remain the dominant photoexcited</w:t>
      </w:r>
      <w:r w:rsidR="00404949">
        <w:rPr>
          <w:rFonts w:ascii="Arial" w:hAnsi="Arial" w:cs="Arial"/>
          <w:lang w:val="en-US"/>
        </w:rPr>
        <w:t xml:space="preserve"> states</w:t>
      </w:r>
      <w:r w:rsidR="007E112E" w:rsidRPr="0074596D">
        <w:rPr>
          <w:rFonts w:ascii="Arial" w:hAnsi="Arial" w:cs="Arial"/>
          <w:lang w:val="en-US"/>
        </w:rPr>
        <w:t>, and no further states</w:t>
      </w:r>
      <w:r w:rsidR="007A087F">
        <w:rPr>
          <w:rFonts w:ascii="Arial" w:hAnsi="Arial" w:cs="Arial"/>
          <w:lang w:val="en-US"/>
        </w:rPr>
        <w:t>,</w:t>
      </w:r>
      <w:r w:rsidR="007E112E" w:rsidRPr="0074596D">
        <w:rPr>
          <w:rFonts w:ascii="Arial" w:hAnsi="Arial" w:cs="Arial"/>
          <w:lang w:val="en-US"/>
        </w:rPr>
        <w:t xml:space="preserve"> such as triplets or polarons</w:t>
      </w:r>
      <w:r w:rsidR="007A087F">
        <w:rPr>
          <w:rFonts w:ascii="Arial" w:hAnsi="Arial" w:cs="Arial"/>
          <w:lang w:val="en-US"/>
        </w:rPr>
        <w:t>,</w:t>
      </w:r>
      <w:r w:rsidR="007E112E" w:rsidRPr="0074596D">
        <w:rPr>
          <w:rFonts w:ascii="Arial" w:hAnsi="Arial" w:cs="Arial"/>
          <w:lang w:val="en-US"/>
        </w:rPr>
        <w:t xml:space="preserve"> are produced on a picosecond time scale. Singlet </w:t>
      </w:r>
      <w:r w:rsidR="00E40E2D">
        <w:rPr>
          <w:rFonts w:ascii="Arial" w:hAnsi="Arial" w:cs="Arial"/>
          <w:lang w:val="en-US"/>
        </w:rPr>
        <w:t xml:space="preserve">exciton </w:t>
      </w:r>
      <w:r w:rsidR="007E112E" w:rsidRPr="0074596D">
        <w:rPr>
          <w:rFonts w:ascii="Arial" w:hAnsi="Arial" w:cs="Arial"/>
          <w:lang w:val="en-US"/>
        </w:rPr>
        <w:t xml:space="preserve">decay in PFO </w:t>
      </w:r>
      <w:r w:rsidR="00E40E2D">
        <w:rPr>
          <w:rFonts w:ascii="Arial" w:hAnsi="Arial" w:cs="Arial"/>
          <w:lang w:val="en-US"/>
        </w:rPr>
        <w:t xml:space="preserve">can be </w:t>
      </w:r>
      <w:r w:rsidR="007E112E" w:rsidRPr="0074596D">
        <w:rPr>
          <w:rFonts w:ascii="Arial" w:hAnsi="Arial" w:cs="Arial"/>
          <w:lang w:val="en-US"/>
        </w:rPr>
        <w:t>described by a dispersive law which is a typical scenario in a disordered polymer phase</w:t>
      </w:r>
      <w:r w:rsidR="00E40E2D">
        <w:rPr>
          <w:rFonts w:ascii="Arial" w:hAnsi="Arial" w:cs="Arial"/>
          <w:lang w:val="en-US"/>
        </w:rPr>
        <w:t>,</w:t>
      </w:r>
      <w:r w:rsidR="007E112E" w:rsidRPr="0074596D">
        <w:rPr>
          <w:rFonts w:ascii="Arial" w:hAnsi="Arial" w:cs="Arial"/>
          <w:lang w:val="en-US"/>
        </w:rPr>
        <w:t xml:space="preserve"> </w:t>
      </w:r>
      <w:r w:rsidR="00E40E2D">
        <w:rPr>
          <w:rFonts w:ascii="Arial" w:hAnsi="Arial" w:cs="Arial"/>
          <w:lang w:val="en-US"/>
        </w:rPr>
        <w:t xml:space="preserve">in which </w:t>
      </w:r>
      <w:r w:rsidR="007E112E" w:rsidRPr="0074596D">
        <w:rPr>
          <w:rFonts w:ascii="Arial" w:hAnsi="Arial" w:cs="Arial"/>
          <w:lang w:val="en-US"/>
        </w:rPr>
        <w:t>singlet excitons are quenched by defects encountered during exciton diffusion.</w:t>
      </w:r>
      <w:r w:rsidR="007E112E" w:rsidRPr="0074596D">
        <w:rPr>
          <w:rFonts w:ascii="Arial" w:hAnsi="Arial" w:cs="Arial"/>
          <w:lang w:val="en-US"/>
        </w:rPr>
        <w:fldChar w:fldCharType="begin" w:fldLock="1"/>
      </w:r>
      <w:r w:rsidR="000B745C">
        <w:rPr>
          <w:rFonts w:ascii="Arial" w:hAnsi="Arial" w:cs="Arial"/>
          <w:lang w:val="en-US"/>
        </w:rPr>
        <w:instrText>ADDIN CSL_CITATION { "citationItems" : [ { "id" : "ITEM-1", "itemData" : { "author" : [ { "dropping-particle" : "", "family" : "Lin", "given" : "Jason D A", "non-dropping-particle" : "", "parse-names" : false, "suffix" : "" }, { "dropping-particle" : "V", "family" : "Mikhnenko", "given" : "Oleksandr", "non-dropping-particle" : "", "parse-names" : false, "suffix" : "" }, { "dropping-particle" : "", "family" : "Chen", "given" : "Jingrun", "non-dropping-particle" : "", "parse-names" : false, "suffix" : "" }, { "dropping-particle" : "", "family" : "Masri", "given" : "Zarifi", "non-dropping-particle" : "", "parse-names" : false, "suffix" : "" }, { "dropping-particle" : "", "family" : "Ruseckas", "given" : "Arvydas", "non-dropping-particle" : "", "parse-names" : false, "suffix" : "" }, { "dropping-particle" : "", "family" : "Mikhailovsky", "given" : "Alexander", "non-dropping-particle" : "", "parse-names" : false, "suffix" : "" }, { "dropping-particle" : "", "family" : "Raab", "given" : "Reilly P", "non-dropping-particle" : "", "parse-names" : false, "suffix" : "" }, { "dropping-particle" : "", "family" : "Liu", "given" : "Jianhua", "non-dropping-particle" : "", "parse-names" : false, "suffix" : "" }, { "dropping-particle" : "", "family" : "Blom", "given" : "Paul W M", "non-dropping-particle" : "", "parse-names" : false, "suffix" : "" }, { "dropping-particle" : "", "family" : "Loi", "given" : "Maria Antonietta", "non-dropping-particle" : "", "parse-names" : false, "suffix" : "" } ], "container-title" : "Materials Horizons", "id" : "ITEM-1", "issue" : "2", "issued" : { "date-parts" : [ [ "2014" ] ] }, "page" : "280-285", "publisher" : "Royal Society of Chemistry", "title" : "Systematic study of exciton diffusion length in organic semiconductors by six experimental methods", "type" : "article-journal", "volume" : "1" }, "uris" : [ "http://www.mendeley.com/documents/?uuid=877ef58b-43ee-4e21-add1-19187b92fbdd" ] }, { "id" : "ITEM-2", "itemData" : { "author" : [ { "dropping-particle" : "", "family" : "Arkhipov", "given" : "V I", "non-dropping-particle" : "", "parse-names" : false, "suffix" : "" }, { "dropping-particle" : "V", "family" : "Emelianova", "given" : "E", "non-dropping-particle" : "", "parse-names" : false, "suffix" : "" }, { "dropping-particle" : "", "family" : "Baessler", "given" : "Heinz", "non-dropping-particle" : "", "parse-names" : false, "suffix" : "" } ], "container-title" : "Physical Review B", "id" : "ITEM-2", "issue" : "20", "issued" : { "date-parts" : [ [ "2004" ] ] }, "page" : "205205", "publisher" : "APS", "title" : "Quenching of excitons in doped disordered organic semiconductors", "type" : "article-journal", "volume" : "70" }, "uris" : [ "http://www.mendeley.com/documents/?uuid=e1e4ec76-0f97-4acc-90a0-4682342bdddc" ] } ], "mendeley" : { "formattedCitation" : "&lt;sup&gt;39,40&lt;/sup&gt;", "plainTextFormattedCitation" : "39,40", "previouslyFormattedCitation" : "&lt;sup&gt;39,40&lt;/sup&gt;" }, "properties" : { "noteIndex" : 0 }, "schema" : "https://github.com/citation-style-language/schema/raw/master/csl-citation.json" }</w:instrText>
      </w:r>
      <w:r w:rsidR="007E112E" w:rsidRPr="0074596D">
        <w:rPr>
          <w:rFonts w:ascii="Arial" w:hAnsi="Arial" w:cs="Arial"/>
          <w:lang w:val="en-US"/>
        </w:rPr>
        <w:fldChar w:fldCharType="separate"/>
      </w:r>
      <w:r w:rsidR="000B745C" w:rsidRPr="000B745C">
        <w:rPr>
          <w:rFonts w:ascii="Arial" w:hAnsi="Arial" w:cs="Arial"/>
          <w:noProof/>
          <w:vertAlign w:val="superscript"/>
          <w:lang w:val="en-US"/>
        </w:rPr>
        <w:t>39,40</w:t>
      </w:r>
      <w:r w:rsidR="007E112E" w:rsidRPr="0074596D">
        <w:rPr>
          <w:rFonts w:ascii="Arial" w:hAnsi="Arial" w:cs="Arial"/>
          <w:lang w:val="en-US"/>
        </w:rPr>
        <w:fldChar w:fldCharType="end"/>
      </w:r>
      <w:r w:rsidR="007E112E" w:rsidRPr="0074596D">
        <w:rPr>
          <w:rFonts w:ascii="Arial" w:hAnsi="Arial" w:cs="Arial"/>
          <w:lang w:val="en-US"/>
        </w:rPr>
        <w:t xml:space="preserve"> </w:t>
      </w:r>
      <w:r w:rsidR="006E1C8C">
        <w:rPr>
          <w:rFonts w:ascii="Arial" w:hAnsi="Arial" w:cs="Arial"/>
          <w:lang w:val="en-US"/>
        </w:rPr>
        <w:t>These findings are confirmed by a target analysis utilizing a two-state sequential model as shown in Fig. 4c, resulting in characteristic spectra for singlet excitons in PFO immediately after excitation and after relaxation and energy migration (“S</w:t>
      </w:r>
      <w:r w:rsidR="006E1C8C">
        <w:rPr>
          <w:rFonts w:ascii="Arial" w:hAnsi="Arial" w:cs="Arial"/>
          <w:vertAlign w:val="subscript"/>
          <w:lang w:val="en-US"/>
        </w:rPr>
        <w:t>1</w:t>
      </w:r>
      <w:r w:rsidR="00A415D5">
        <w:rPr>
          <w:rFonts w:ascii="Arial" w:hAnsi="Arial" w:cs="Arial"/>
          <w:vertAlign w:val="subscript"/>
          <w:lang w:val="en-US"/>
        </w:rPr>
        <w:t>g</w:t>
      </w:r>
      <w:r w:rsidR="006E1C8C">
        <w:rPr>
          <w:rFonts w:ascii="Arial" w:hAnsi="Arial" w:cs="Arial"/>
          <w:lang w:val="en-US"/>
        </w:rPr>
        <w:t>” and “S</w:t>
      </w:r>
      <w:r w:rsidR="006E1C8C">
        <w:rPr>
          <w:rFonts w:ascii="Arial" w:hAnsi="Arial" w:cs="Arial"/>
          <w:vertAlign w:val="subscript"/>
          <w:lang w:val="en-US"/>
        </w:rPr>
        <w:t>1</w:t>
      </w:r>
      <w:r w:rsidR="00A415D5">
        <w:rPr>
          <w:rFonts w:ascii="Arial" w:hAnsi="Arial" w:cs="Arial"/>
          <w:vertAlign w:val="subscript"/>
          <w:lang w:val="en-US"/>
        </w:rPr>
        <w:t>β</w:t>
      </w:r>
      <w:r w:rsidR="006E1C8C">
        <w:rPr>
          <w:rFonts w:ascii="Arial" w:hAnsi="Arial" w:cs="Arial"/>
          <w:lang w:val="en-US"/>
        </w:rPr>
        <w:t>” in Fig. 4c, respectively).</w:t>
      </w:r>
    </w:p>
    <w:p w14:paraId="6BC03F1D" w14:textId="301A4BAD" w:rsidR="007E112E" w:rsidRPr="00A745A4" w:rsidRDefault="007E112E" w:rsidP="00E74311">
      <w:pPr>
        <w:tabs>
          <w:tab w:val="left" w:pos="0"/>
        </w:tabs>
        <w:spacing w:line="360" w:lineRule="auto"/>
        <w:jc w:val="both"/>
        <w:rPr>
          <w:rFonts w:ascii="Arial" w:hAnsi="Arial" w:cs="Arial"/>
          <w:lang w:val="en-US"/>
        </w:rPr>
      </w:pPr>
      <w:r w:rsidRPr="0074596D">
        <w:rPr>
          <w:rFonts w:ascii="Arial" w:hAnsi="Arial" w:cs="Arial"/>
          <w:lang w:val="en-US"/>
        </w:rPr>
        <w:t xml:space="preserve">The </w:t>
      </w:r>
      <w:r w:rsidR="000804BC">
        <w:rPr>
          <w:rFonts w:ascii="Arial" w:hAnsi="Arial" w:cs="Arial"/>
          <w:lang w:val="en-US"/>
        </w:rPr>
        <w:t>formation</w:t>
      </w:r>
      <w:r w:rsidR="000804BC" w:rsidRPr="0074596D">
        <w:rPr>
          <w:rFonts w:ascii="Arial" w:hAnsi="Arial" w:cs="Arial"/>
          <w:lang w:val="en-US"/>
        </w:rPr>
        <w:t xml:space="preserve"> </w:t>
      </w:r>
      <w:r w:rsidRPr="0074596D">
        <w:rPr>
          <w:rFonts w:ascii="Arial" w:hAnsi="Arial" w:cs="Arial"/>
          <w:lang w:val="en-US"/>
        </w:rPr>
        <w:t xml:space="preserve">of </w:t>
      </w:r>
      <w:r w:rsidR="00FA3043">
        <w:rPr>
          <w:rFonts w:ascii="Arial" w:hAnsi="Arial" w:cs="Arial"/>
          <w:lang w:val="en-US"/>
        </w:rPr>
        <w:t>the</w:t>
      </w:r>
      <w:r w:rsidRPr="00A745A4">
        <w:rPr>
          <w:rFonts w:ascii="Arial" w:hAnsi="Arial" w:cs="Arial"/>
          <w:lang w:val="en-US"/>
        </w:rPr>
        <w:t xml:space="preserve"> </w:t>
      </w:r>
      <w:r w:rsidR="006A5771">
        <w:rPr>
          <w:rFonts w:ascii="Arial" w:hAnsi="Arial" w:cs="Arial"/>
        </w:rPr>
        <w:t>intercalated PDI:PFO phase</w:t>
      </w:r>
      <w:r w:rsidR="000804BC" w:rsidRPr="00AA7325">
        <w:rPr>
          <w:rFonts w:ascii="Arial" w:hAnsi="Arial" w:cs="Arial"/>
          <w:lang w:val="en-US"/>
        </w:rPr>
        <w:t xml:space="preserve"> </w:t>
      </w:r>
      <w:r w:rsidRPr="0074596D">
        <w:rPr>
          <w:rFonts w:ascii="Arial" w:hAnsi="Arial" w:cs="Arial"/>
          <w:lang w:val="en-US"/>
        </w:rPr>
        <w:t>significantly changes the characteristics of the optical probes</w:t>
      </w:r>
      <w:r w:rsidR="009E5E77">
        <w:rPr>
          <w:rFonts w:ascii="Arial" w:hAnsi="Arial" w:cs="Arial"/>
          <w:lang w:val="en-US"/>
        </w:rPr>
        <w:t>,</w:t>
      </w:r>
      <w:r w:rsidRPr="0074596D">
        <w:rPr>
          <w:rFonts w:ascii="Arial" w:hAnsi="Arial" w:cs="Arial"/>
          <w:lang w:val="en-US"/>
        </w:rPr>
        <w:t xml:space="preserve"> as well as the deactivation scenario</w:t>
      </w:r>
      <w:r w:rsidR="007A087F">
        <w:rPr>
          <w:rFonts w:ascii="Arial" w:hAnsi="Arial" w:cs="Arial"/>
          <w:lang w:val="en-US"/>
        </w:rPr>
        <w:t xml:space="preserve"> (</w:t>
      </w:r>
      <w:r w:rsidRPr="0074596D">
        <w:rPr>
          <w:rFonts w:ascii="Arial" w:hAnsi="Arial" w:cs="Arial"/>
          <w:lang w:val="en-US"/>
        </w:rPr>
        <w:t>compar</w:t>
      </w:r>
      <w:r w:rsidR="007A087F">
        <w:rPr>
          <w:rFonts w:ascii="Arial" w:hAnsi="Arial" w:cs="Arial"/>
          <w:lang w:val="en-US"/>
        </w:rPr>
        <w:t>ing</w:t>
      </w:r>
      <w:r w:rsidRPr="0074596D">
        <w:rPr>
          <w:rFonts w:ascii="Arial" w:hAnsi="Arial" w:cs="Arial"/>
          <w:lang w:val="en-US"/>
        </w:rPr>
        <w:t xml:space="preserve"> Figures </w:t>
      </w:r>
      <w:r w:rsidR="00267F0C" w:rsidRPr="0074596D">
        <w:rPr>
          <w:rFonts w:ascii="Arial" w:hAnsi="Arial" w:cs="Arial"/>
          <w:lang w:val="en-US"/>
        </w:rPr>
        <w:t>4</w:t>
      </w:r>
      <w:r w:rsidRPr="0074596D">
        <w:rPr>
          <w:rFonts w:ascii="Arial" w:hAnsi="Arial" w:cs="Arial"/>
          <w:lang w:val="en-US"/>
        </w:rPr>
        <w:t xml:space="preserve">b and </w:t>
      </w:r>
      <w:r w:rsidR="00267F0C" w:rsidRPr="0074596D">
        <w:rPr>
          <w:rFonts w:ascii="Arial" w:hAnsi="Arial" w:cs="Arial"/>
          <w:lang w:val="en-US"/>
        </w:rPr>
        <w:t>4</w:t>
      </w:r>
      <w:r w:rsidRPr="0074596D">
        <w:rPr>
          <w:rFonts w:ascii="Arial" w:hAnsi="Arial" w:cs="Arial"/>
          <w:lang w:val="en-US"/>
        </w:rPr>
        <w:t>a</w:t>
      </w:r>
      <w:r w:rsidR="007A087F">
        <w:rPr>
          <w:rFonts w:ascii="Arial" w:hAnsi="Arial" w:cs="Arial"/>
          <w:lang w:val="en-US"/>
        </w:rPr>
        <w:t>)</w:t>
      </w:r>
      <w:r w:rsidRPr="0074596D">
        <w:rPr>
          <w:rFonts w:ascii="Arial" w:hAnsi="Arial" w:cs="Arial"/>
          <w:lang w:val="en-US"/>
        </w:rPr>
        <w:t>. On a 5-10 ps time scale, both S</w:t>
      </w:r>
      <w:r w:rsidRPr="0074596D">
        <w:rPr>
          <w:rFonts w:ascii="Arial" w:hAnsi="Arial" w:cs="Arial"/>
          <w:vertAlign w:val="subscript"/>
          <w:lang w:val="en-US"/>
        </w:rPr>
        <w:t>D</w:t>
      </w:r>
      <w:r w:rsidRPr="0074596D">
        <w:rPr>
          <w:rFonts w:ascii="Arial" w:hAnsi="Arial" w:cs="Arial"/>
          <w:lang w:val="en-US"/>
        </w:rPr>
        <w:t xml:space="preserve"> and </w:t>
      </w:r>
      <w:r w:rsidR="005F4C5C">
        <w:rPr>
          <w:rFonts w:ascii="Arial" w:hAnsi="Arial" w:cs="Arial"/>
          <w:lang w:val="en-US"/>
        </w:rPr>
        <w:t>B</w:t>
      </w:r>
      <w:r w:rsidRPr="0074596D">
        <w:rPr>
          <w:rFonts w:ascii="Arial" w:hAnsi="Arial" w:cs="Arial"/>
          <w:vertAlign w:val="subscript"/>
          <w:lang w:val="en-US"/>
        </w:rPr>
        <w:t>Dβ</w:t>
      </w:r>
      <w:r w:rsidR="00A745A4">
        <w:rPr>
          <w:rFonts w:ascii="Arial" w:hAnsi="Arial" w:cs="Arial"/>
          <w:lang w:val="en-US"/>
        </w:rPr>
        <w:t xml:space="preserve"> are fully quenched</w:t>
      </w:r>
      <w:r w:rsidR="000804BC">
        <w:rPr>
          <w:rFonts w:ascii="Arial" w:hAnsi="Arial" w:cs="Arial"/>
          <w:lang w:val="en-US"/>
        </w:rPr>
        <w:t>,</w:t>
      </w:r>
      <w:r w:rsidR="00A745A4">
        <w:rPr>
          <w:rFonts w:ascii="Arial" w:hAnsi="Arial" w:cs="Arial"/>
          <w:lang w:val="en-US"/>
        </w:rPr>
        <w:t xml:space="preserve"> following a slightly stretched</w:t>
      </w:r>
      <w:r w:rsidRPr="0074596D">
        <w:rPr>
          <w:rFonts w:ascii="Arial" w:hAnsi="Arial" w:cs="Arial"/>
          <w:lang w:val="en-US"/>
        </w:rPr>
        <w:t xml:space="preserve"> exponential decay law, giving rise to a series of new bands in the NIR and visible spectral region. The sharp and structured C</w:t>
      </w:r>
      <w:r w:rsidRPr="0074596D">
        <w:rPr>
          <w:rFonts w:ascii="Arial" w:hAnsi="Arial" w:cs="Arial"/>
          <w:vertAlign w:val="subscript"/>
          <w:lang w:val="en-US"/>
        </w:rPr>
        <w:t>A</w:t>
      </w:r>
      <w:r w:rsidRPr="0074596D">
        <w:rPr>
          <w:rFonts w:ascii="Arial" w:hAnsi="Arial" w:cs="Arial"/>
          <w:lang w:val="en-US"/>
        </w:rPr>
        <w:t xml:space="preserve"> bands at 1.3 and 1.5 eV have been assigned to excited state absorptions specific for PDI(-) anions,</w:t>
      </w:r>
      <w:r w:rsidRPr="00A745A4">
        <w:rPr>
          <w:rFonts w:ascii="Arial" w:hAnsi="Arial" w:cs="Arial"/>
          <w:lang w:val="en-US"/>
        </w:rPr>
        <w:fldChar w:fldCharType="begin" w:fldLock="1"/>
      </w:r>
      <w:r w:rsidR="000B745C">
        <w:rPr>
          <w:rFonts w:ascii="Arial" w:hAnsi="Arial" w:cs="Arial"/>
          <w:lang w:val="en-US"/>
        </w:rPr>
        <w:instrText>ADDIN CSL_CITATION { "citationItems" : [ { "id" : "ITEM-1", "itemData" : { "ISSN" : "1932-7447", "author" : [ { "dropping-particle" : "", "family" : "Hippius", "given" : "Catharina", "non-dropping-particle" : "", "parse-names" : false, "suffix" : "" }, { "dropping-particle" : "", "family" : "Stokkum", "given" : "Ivo H M", "non-dropping-particle" : "van", "parse-names" : false, "suffix" : "" }, { "dropping-particle" : "", "family" : "Zangrando", "given" : "E", "non-dropping-particle" : "", "parse-names" : false, "suffix" : "" }, { "dropping-particle" : "", "family" : "Williams", "given" : "Rene M", "non-dropping-particle" : "", "parse-names" : false, "suffix" : "" }, { "dropping-particle" : "", "family" : "W\u00fcrthner", "given" : "Frank", "non-dropping-particle" : "", "parse-names" : false, "suffix" : "" } ], "container-title" : "The Journal of Physical Chemistry C", "id" : "ITEM-1", "issue" : "37", "issued" : { "date-parts" : [ [ "2007" ] ] }, "page" : "13988-13996", "publisher" : "ACS Publications", "title" : "Excited State Interactions in Calix [4] arene\u2212 Perylene Bisimide Dye Conjugates: Global and Target Analysis of Supramolecular Building Blocks", "type" : "article-journal", "volume" : "111" }, "uris" : [ "http://www.mendeley.com/documents/?uuid=057d60fd-b9f6-46db-b5ea-b25ad42801d8" ] }, { "id" : "ITEM-2", "itemData" : { "ISSN" : "0002-7863", "author" : [ { "dropping-particle" : "", "family" : "Sung", "given" : "Jooyoung", "non-dropping-particle" : "", "parse-names" : false, "suffix" : "" }, { "dropping-particle" : "", "family" : "Nowak-Kr\u00f3l", "given" : "Agnieszka", "non-dropping-particle" : "", "parse-names" : false, "suffix" : "" }, { "dropping-particle" : "", "family" : "Schlosser", "given" : "Felix", "non-dropping-particle" : "", "parse-names" : false, "suffix" : "" }, { "dropping-particle" : "", "family" : "Fimmel", "given" : "Benjamin", "non-dropping-particle" : "", "parse-names" : false, "suffix" : "" }, { "dropping-particle" : "", "family" : "Kim", "given" : "Woojae", "non-dropping-particle" : "", "parse-names" : false, "suffix" : "" }, { "dropping-particle" : "", "family" : "Kim", "given" : "Dongho", "non-dropping-particle" : "", "parse-names" : false, "suffix" : "" }, { "dropping-particle" : "", "family" : "Wu\u0308rthner", "given" : "Frank", "non-dropping-particle" : "", "parse-names" : false, "suffix" : "" } ], "container-title" : "Journal of the American Chemical Society", "id" : "ITEM-2", "issue" : "29", "issued" : { "date-parts" : [ [ "2016" ] ] }, "page" : "9029-9032", "publisher" : "ACS Publications", "title" : "Direct Observation of Excimer-Mediated Intramolecular Electron Transfer in a Cofacially-Stacked Perylene Bisimide Pair", "type" : "article-journal", "volume" : "138" }, "uris" : [ "http://www.mendeley.com/documents/?uuid=1865c7ec-699a-4b79-9b50-ae6018b1fff3" ] } ], "mendeley" : { "formattedCitation" : "&lt;sup&gt;41,42&lt;/sup&gt;", "plainTextFormattedCitation" : "41,42", "previouslyFormattedCitation" : "&lt;sup&gt;41,42&lt;/sup&gt;" }, "properties" : { "noteIndex" : 0 }, "schema" : "https://github.com/citation-style-language/schema/raw/master/csl-citation.json" }</w:instrText>
      </w:r>
      <w:r w:rsidRPr="00A745A4">
        <w:rPr>
          <w:rFonts w:ascii="Arial" w:hAnsi="Arial" w:cs="Arial"/>
          <w:lang w:val="en-US"/>
        </w:rPr>
        <w:fldChar w:fldCharType="separate"/>
      </w:r>
      <w:r w:rsidR="000B745C" w:rsidRPr="000B745C">
        <w:rPr>
          <w:rFonts w:ascii="Arial" w:hAnsi="Arial" w:cs="Arial"/>
          <w:noProof/>
          <w:vertAlign w:val="superscript"/>
          <w:lang w:val="en-US"/>
        </w:rPr>
        <w:t>41,42</w:t>
      </w:r>
      <w:r w:rsidRPr="00A745A4">
        <w:rPr>
          <w:rFonts w:ascii="Arial" w:hAnsi="Arial" w:cs="Arial"/>
          <w:lang w:val="en-US"/>
        </w:rPr>
        <w:fldChar w:fldCharType="end"/>
      </w:r>
      <w:r w:rsidRPr="00A745A4">
        <w:rPr>
          <w:rFonts w:ascii="Arial" w:hAnsi="Arial" w:cs="Arial"/>
          <w:lang w:val="en-US"/>
        </w:rPr>
        <w:t xml:space="preserve"> while a further sharp band at 1.7 eV is seen both in PDI singlet </w:t>
      </w:r>
      <w:r w:rsidR="00513852">
        <w:rPr>
          <w:rFonts w:ascii="Arial" w:hAnsi="Arial" w:cs="Arial"/>
          <w:lang w:val="en-US"/>
        </w:rPr>
        <w:t xml:space="preserve">states </w:t>
      </w:r>
      <w:r w:rsidRPr="00A745A4">
        <w:rPr>
          <w:rFonts w:ascii="Arial" w:hAnsi="Arial" w:cs="Arial"/>
          <w:lang w:val="en-US"/>
        </w:rPr>
        <w:t>and anions.</w:t>
      </w:r>
      <w:r w:rsidRPr="00A745A4">
        <w:rPr>
          <w:rFonts w:ascii="Arial" w:hAnsi="Arial" w:cs="Arial"/>
          <w:lang w:val="en-US"/>
        </w:rPr>
        <w:fldChar w:fldCharType="begin" w:fldLock="1"/>
      </w:r>
      <w:r w:rsidR="000B745C">
        <w:rPr>
          <w:rFonts w:ascii="Arial" w:hAnsi="Arial" w:cs="Arial"/>
          <w:lang w:val="en-US"/>
        </w:rPr>
        <w:instrText>ADDIN CSL_CITATION { "citationItems" : [ { "id" : "ITEM-1", "itemData" : { "ISSN" : "1948-7185", "author" : [ { "dropping-particle" : "", "family" : "Brown", "given" : "Kristen E", "non-dropping-particle" : "", "parse-names" : false, "suffix" : "" }, { "dropping-particle" : "", "family" : "Salamant", "given" : "Walter A", "non-dropping-particle" : "", "parse-names" : false, "suffix" : "" }, { "dropping-particle" : "", "family" : "Shoer", "given" : "Leah E", "non-dropping-particle" : "", "parse-names" : false, "suffix" : "" }, { "dropping-particle" : "", "family" : "Young", "given" : "Ryan M", "non-dropping-particle" : "", "parse-names" : false, "suffix" : "" }, { "dropping-particle" : "", "family" : "Wasielewski", "given" : "Michael R", "non-dropping-particle" : "", "parse-names" : false, "suffix" : "" } ], "container-title" : "The journal of physical chemistry letters", "id" : "ITEM-1", "issue" : "15", "issued" : { "date-parts" : [ [ "2014" ] ] }, "page" : "2588-2593", "publisher" : "ACS Publications", "title" : "Direct observation of ultrafast excimer formation in covalent perylenediimide dimers using near-infrared transient absorption spectroscopy", "type" : "article-journal", "volume" : "5" }, "uris" : [ "http://www.mendeley.com/documents/?uuid=53292a0f-75ef-49bd-94d6-7e3d18be3519" ] }, { "id" : "ITEM-2", "itemData" : { "ISSN" : "1932-7447", "author" : [ { "dropping-particle" : "", "family" : "V\u00e2n Anh", "given" : "Nguyen", "non-dropping-particle" : "", "parse-names" : false, "suffix" : "" }, { "dropping-particle" : "", "family" : "Schlosser", "given" : "Felix", "non-dropping-particle" : "", "parse-names" : false, "suffix" : "" }, { "dropping-particle" : "", "family" : "Groeneveld", "given" : "Michiel M", "non-dropping-particle" : "", "parse-names" : false, "suffix" : "" }, { "dropping-particle" : "", "family" : "Stokkum", "given" : "Ivo H M", "non-dropping-particle" : "Van", "parse-names" : false, "suffix" : "" }, { "dropping-particle" : "", "family" : "Wu\u0308rthner", "given" : "Frank", "non-dropping-particle" : "", "parse-names" : false, "suffix" : "" }, { "dropping-particle" : "", "family" : "Williams", "given" : "Ren\u00e9 M", "non-dropping-particle" : "", "parse-names" : false, "suffix" : "" } ], "container-title" : "The Journal of Physical Chemistry C", "id" : "ITEM-2", "issue" : "42", "issued" : { "date-parts" : [ [ "2009" ] ] }, "page" : "18358-18368", "publisher" : "ACS Publications", "title" : "Photoinduced interactions in a pyrene-calix [4] arene-perylene bisimide dye system: Probing ground-state conformations with excited-state dynamics of charge separation and recombination", "type" : "article-journal", "volume" : "113" }, "uris" : [ "http://www.mendeley.com/documents/?uuid=14df1c34-1944-449e-b72d-3ee62a384d09" ] }, { "id" : "ITEM-3", "itemData" : { "ISSN" : "1089-5639", "author" : [ { "dropping-particle" : "", "family" : "Giaimo", "given" : "Jovan M", "non-dropping-particle" : "", "parse-names" : false, "suffix" : "" }, { "dropping-particle" : "V", "family" : "Lockard", "given" : "Jenny", "non-dropping-particle" : "", "parse-names" : false, "suffix" : "" }, { "dropping-particle" : "", "family" : "Sinks", "given" : "Louise E", "non-dropping-particle" : "", "parse-names" : false, "suffix" : "" }, { "dropping-particle" : "", "family" : "Scott", "given" : "Amy M", "non-dropping-particle" : "", "parse-names" : false, "suffix" : "" }, { "dropping-particle" : "", "family" : "Wilson", "given" : "Thea M", "non-dropping-particle" : "", "parse-names" : false, "suffix" : "" }, { "dropping-particle" : "", "family" : "Wasielewski", "given" : "Michael R", "non-dropping-particle" : "", "parse-names" : false, "suffix" : "" } ], "container-title" : "The Journal of Physical Chemistry A", "id" : "ITEM-3", "issue" : "11", "issued" : { "date-parts" : [ [ "2008" ] ] }, "page" : "2322-2330", "publisher" : "ACS Publications", "title" : "Excited singlet states of covalently bound, cofacial dimers and trimers of perylene-3, 4: 9, 10-bis (dicarboximide) s", "type" : "article-journal", "volume" : "112" }, "uris" : [ "http://www.mendeley.com/documents/?uuid=056bcb15-160d-4831-8f04-677a0ce3b67e" ] } ], "mendeley" : { "formattedCitation" : "&lt;sup&gt;43\u201345&lt;/sup&gt;", "plainTextFormattedCitation" : "43\u201345", "previouslyFormattedCitation" : "&lt;sup&gt;43\u201345&lt;/sup&gt;" }, "properties" : { "noteIndex" : 0 }, "schema" : "https://github.com/citation-style-language/schema/raw/master/csl-citation.json" }</w:instrText>
      </w:r>
      <w:r w:rsidRPr="00A745A4">
        <w:rPr>
          <w:rFonts w:ascii="Arial" w:hAnsi="Arial" w:cs="Arial"/>
          <w:lang w:val="en-US"/>
        </w:rPr>
        <w:fldChar w:fldCharType="separate"/>
      </w:r>
      <w:r w:rsidR="000B745C" w:rsidRPr="000B745C">
        <w:rPr>
          <w:rFonts w:ascii="Arial" w:hAnsi="Arial" w:cs="Arial"/>
          <w:noProof/>
          <w:vertAlign w:val="superscript"/>
          <w:lang w:val="en-US"/>
        </w:rPr>
        <w:t>43–45</w:t>
      </w:r>
      <w:r w:rsidRPr="00A745A4">
        <w:rPr>
          <w:rFonts w:ascii="Arial" w:hAnsi="Arial" w:cs="Arial"/>
          <w:lang w:val="en-US"/>
        </w:rPr>
        <w:fldChar w:fldCharType="end"/>
      </w:r>
      <w:r w:rsidR="00E129C2">
        <w:rPr>
          <w:rFonts w:ascii="Arial" w:hAnsi="Arial" w:cs="Arial"/>
          <w:lang w:val="en-US"/>
        </w:rPr>
        <w:t xml:space="preserve"> In Fig. 4b,</w:t>
      </w:r>
      <w:r w:rsidRPr="00A745A4">
        <w:rPr>
          <w:rFonts w:ascii="Arial" w:hAnsi="Arial" w:cs="Arial"/>
          <w:lang w:val="en-US"/>
        </w:rPr>
        <w:t xml:space="preserve"> </w:t>
      </w:r>
      <w:r w:rsidR="00E129C2">
        <w:rPr>
          <w:rFonts w:ascii="Arial" w:hAnsi="Arial" w:cs="Arial"/>
          <w:lang w:val="en-US"/>
        </w:rPr>
        <w:t>t</w:t>
      </w:r>
      <w:r w:rsidR="007A087F">
        <w:rPr>
          <w:rFonts w:ascii="Arial" w:hAnsi="Arial" w:cs="Arial"/>
          <w:lang w:val="en-US"/>
        </w:rPr>
        <w:t>hese features</w:t>
      </w:r>
      <w:r w:rsidRPr="00A745A4">
        <w:rPr>
          <w:rFonts w:ascii="Arial" w:hAnsi="Arial" w:cs="Arial"/>
          <w:lang w:val="en-US"/>
        </w:rPr>
        <w:t xml:space="preserve"> </w:t>
      </w:r>
      <w:r w:rsidR="007A087F">
        <w:rPr>
          <w:rFonts w:ascii="Arial" w:hAnsi="Arial" w:cs="Arial"/>
          <w:lang w:val="en-US"/>
        </w:rPr>
        <w:t>are denoted by</w:t>
      </w:r>
      <w:r w:rsidRPr="00A745A4">
        <w:rPr>
          <w:rFonts w:ascii="Arial" w:hAnsi="Arial" w:cs="Arial"/>
          <w:lang w:val="en-US"/>
        </w:rPr>
        <w:t xml:space="preserve"> C</w:t>
      </w:r>
      <w:r w:rsidRPr="00A745A4">
        <w:rPr>
          <w:rFonts w:ascii="Arial" w:hAnsi="Arial" w:cs="Arial"/>
          <w:vertAlign w:val="subscript"/>
          <w:lang w:val="en-US"/>
        </w:rPr>
        <w:t>A</w:t>
      </w:r>
      <w:r w:rsidRPr="00A745A4">
        <w:rPr>
          <w:rFonts w:ascii="Arial" w:hAnsi="Arial" w:cs="Arial"/>
          <w:lang w:val="en-US"/>
        </w:rPr>
        <w:t>. By comparison with the PDI GSA spectrum</w:t>
      </w:r>
      <w:r w:rsidR="00157DB1">
        <w:rPr>
          <w:rFonts w:ascii="Arial" w:hAnsi="Arial" w:cs="Arial"/>
          <w:lang w:val="en-US"/>
        </w:rPr>
        <w:t>,</w:t>
      </w:r>
      <w:r w:rsidRPr="00A745A4">
        <w:rPr>
          <w:rFonts w:ascii="Arial" w:hAnsi="Arial" w:cs="Arial"/>
          <w:lang w:val="en-US"/>
        </w:rPr>
        <w:t xml:space="preserve"> the negative bands at 2.35 and 2.6 eV </w:t>
      </w:r>
      <w:r w:rsidR="007A087F">
        <w:rPr>
          <w:rFonts w:ascii="Arial" w:hAnsi="Arial" w:cs="Arial"/>
          <w:lang w:val="en-US"/>
        </w:rPr>
        <w:t xml:space="preserve">were assigned </w:t>
      </w:r>
      <w:r w:rsidRPr="00A745A4">
        <w:rPr>
          <w:rFonts w:ascii="Arial" w:hAnsi="Arial" w:cs="Arial"/>
          <w:lang w:val="en-US"/>
        </w:rPr>
        <w:t>to bleach bands B</w:t>
      </w:r>
      <w:r w:rsidRPr="00A745A4">
        <w:rPr>
          <w:rFonts w:ascii="Arial" w:hAnsi="Arial" w:cs="Arial"/>
          <w:vertAlign w:val="subscript"/>
          <w:lang w:val="en-US"/>
        </w:rPr>
        <w:t>A</w:t>
      </w:r>
      <w:r w:rsidRPr="00A745A4">
        <w:rPr>
          <w:rFonts w:ascii="Arial" w:hAnsi="Arial" w:cs="Arial"/>
          <w:lang w:val="en-US"/>
        </w:rPr>
        <w:t>.</w:t>
      </w:r>
    </w:p>
    <w:p w14:paraId="2E58A69B" w14:textId="2BA1FB3E" w:rsidR="007E112E" w:rsidRPr="002F42A6" w:rsidRDefault="007E112E" w:rsidP="00D467BD">
      <w:pPr>
        <w:tabs>
          <w:tab w:val="left" w:pos="0"/>
        </w:tabs>
        <w:spacing w:line="360" w:lineRule="auto"/>
        <w:jc w:val="both"/>
        <w:rPr>
          <w:rFonts w:ascii="Arial" w:hAnsi="Arial" w:cs="Arial"/>
          <w:lang w:val="en-US"/>
        </w:rPr>
      </w:pPr>
      <w:r w:rsidRPr="00A745A4">
        <w:rPr>
          <w:rFonts w:ascii="Arial" w:hAnsi="Arial" w:cs="Arial"/>
          <w:lang w:val="en-US"/>
        </w:rPr>
        <w:t>The absence of the known PDI cationic PA bands at 2.2 and 2.4 eV</w:t>
      </w:r>
      <w:r w:rsidR="007A087F">
        <w:rPr>
          <w:rFonts w:ascii="Arial" w:hAnsi="Arial" w:cs="Arial"/>
          <w:lang w:val="en-US"/>
        </w:rPr>
        <w:t xml:space="preserve"> gives evidence </w:t>
      </w:r>
      <w:r w:rsidRPr="00A745A4">
        <w:rPr>
          <w:rFonts w:ascii="Arial" w:hAnsi="Arial" w:cs="Arial"/>
          <w:lang w:val="en-US"/>
        </w:rPr>
        <w:t xml:space="preserve">against a possible formation of charge pairs in the PDI phase and suggests that the counter charge resides in the PFO phase. This is confirmed by the presence of </w:t>
      </w:r>
      <w:r w:rsidR="005B13BD">
        <w:rPr>
          <w:rFonts w:ascii="Arial" w:hAnsi="Arial" w:cs="Arial"/>
          <w:lang w:val="en-US"/>
        </w:rPr>
        <w:t xml:space="preserve">bleach </w:t>
      </w:r>
      <w:r w:rsidRPr="00A745A4">
        <w:rPr>
          <w:rFonts w:ascii="Arial" w:hAnsi="Arial" w:cs="Arial"/>
          <w:lang w:val="en-US"/>
        </w:rPr>
        <w:t>B</w:t>
      </w:r>
      <w:r w:rsidR="00D92A7D">
        <w:rPr>
          <w:rFonts w:ascii="Arial" w:hAnsi="Arial" w:cs="Arial"/>
          <w:vertAlign w:val="subscript"/>
          <w:lang w:val="en-US"/>
        </w:rPr>
        <w:t>g</w:t>
      </w:r>
      <w:r w:rsidRPr="00A745A4">
        <w:rPr>
          <w:rFonts w:ascii="Arial" w:hAnsi="Arial" w:cs="Arial"/>
          <w:lang w:val="en-US"/>
        </w:rPr>
        <w:t xml:space="preserve"> even after hundreds of nanoseconds when all specific optical probes for singlet s</w:t>
      </w:r>
      <w:r w:rsidR="00CB2C1E">
        <w:rPr>
          <w:rFonts w:ascii="Arial" w:hAnsi="Arial" w:cs="Arial"/>
          <w:lang w:val="en-US"/>
        </w:rPr>
        <w:t>tates in PFO have disappeared</w:t>
      </w:r>
      <w:r w:rsidR="005F4C5C">
        <w:rPr>
          <w:rFonts w:ascii="Arial" w:hAnsi="Arial" w:cs="Arial"/>
          <w:lang w:val="en-US"/>
        </w:rPr>
        <w:t xml:space="preserve"> (see ESI</w:t>
      </w:r>
      <w:r w:rsidR="008C1380">
        <w:rPr>
          <w:rFonts w:ascii="Arial" w:hAnsi="Arial" w:cs="Arial"/>
          <w:lang w:val="en-US"/>
        </w:rPr>
        <w:t>, part H</w:t>
      </w:r>
      <w:r w:rsidR="005F4C5C">
        <w:rPr>
          <w:rFonts w:ascii="Arial" w:hAnsi="Arial" w:cs="Arial"/>
          <w:lang w:val="en-US"/>
        </w:rPr>
        <w:t>)</w:t>
      </w:r>
      <w:r w:rsidRPr="00A745A4">
        <w:rPr>
          <w:rFonts w:ascii="Arial" w:hAnsi="Arial" w:cs="Arial"/>
          <w:lang w:val="en-US"/>
        </w:rPr>
        <w:t>.</w:t>
      </w:r>
      <w:r w:rsidR="00BC649A">
        <w:rPr>
          <w:rFonts w:ascii="Arial" w:hAnsi="Arial" w:cs="Arial"/>
          <w:lang w:val="en-US"/>
        </w:rPr>
        <w:t xml:space="preserve"> </w:t>
      </w:r>
    </w:p>
    <w:p w14:paraId="6E1AB50B" w14:textId="308548C0" w:rsidR="007E112E" w:rsidRPr="002F42A6" w:rsidRDefault="007E112E">
      <w:pPr>
        <w:tabs>
          <w:tab w:val="left" w:pos="0"/>
        </w:tabs>
        <w:spacing w:line="360" w:lineRule="auto"/>
        <w:jc w:val="both"/>
        <w:rPr>
          <w:rFonts w:ascii="Arial" w:hAnsi="Arial" w:cs="Arial"/>
          <w:lang w:val="en-US"/>
        </w:rPr>
      </w:pPr>
      <w:r w:rsidRPr="002F42A6">
        <w:rPr>
          <w:rFonts w:ascii="Arial" w:hAnsi="Arial" w:cs="Arial"/>
          <w:lang w:val="en-US"/>
        </w:rPr>
        <w:t>The sharp PA band at 1.85 eV (C</w:t>
      </w:r>
      <w:r w:rsidRPr="002F42A6">
        <w:rPr>
          <w:rFonts w:ascii="Arial" w:hAnsi="Arial" w:cs="Arial"/>
          <w:vertAlign w:val="subscript"/>
          <w:lang w:val="en-US"/>
        </w:rPr>
        <w:t>D</w:t>
      </w:r>
      <w:r w:rsidRPr="002F42A6">
        <w:rPr>
          <w:rFonts w:ascii="Arial" w:hAnsi="Arial" w:cs="Arial"/>
          <w:lang w:val="en-US"/>
        </w:rPr>
        <w:t xml:space="preserve">) is unknown in the literature and </w:t>
      </w:r>
      <w:r w:rsidR="007A087F">
        <w:rPr>
          <w:rFonts w:ascii="Arial" w:hAnsi="Arial" w:cs="Arial"/>
          <w:lang w:val="en-US"/>
        </w:rPr>
        <w:t>cannot</w:t>
      </w:r>
      <w:r w:rsidRPr="002F42A6">
        <w:rPr>
          <w:rFonts w:ascii="Arial" w:hAnsi="Arial" w:cs="Arial"/>
          <w:lang w:val="en-US"/>
        </w:rPr>
        <w:t xml:space="preserve"> be assigned to </w:t>
      </w:r>
      <w:r w:rsidR="007A087F">
        <w:rPr>
          <w:rFonts w:ascii="Arial" w:hAnsi="Arial" w:cs="Arial"/>
          <w:lang w:val="en-US"/>
        </w:rPr>
        <w:t>pristine</w:t>
      </w:r>
      <w:r w:rsidR="007A087F" w:rsidRPr="002F42A6">
        <w:rPr>
          <w:rFonts w:ascii="Arial" w:hAnsi="Arial" w:cs="Arial"/>
          <w:lang w:val="en-US"/>
        </w:rPr>
        <w:t xml:space="preserve"> </w:t>
      </w:r>
      <w:r w:rsidRPr="002F42A6">
        <w:rPr>
          <w:rFonts w:ascii="Arial" w:hAnsi="Arial" w:cs="Arial"/>
          <w:lang w:val="en-US"/>
        </w:rPr>
        <w:t>PFO</w:t>
      </w:r>
      <w:r w:rsidR="00404949">
        <w:rPr>
          <w:rFonts w:ascii="Arial" w:hAnsi="Arial" w:cs="Arial"/>
          <w:lang w:val="en-US"/>
        </w:rPr>
        <w:t xml:space="preserve"> </w:t>
      </w:r>
      <w:r w:rsidRPr="002F42A6">
        <w:rPr>
          <w:rFonts w:ascii="Arial" w:hAnsi="Arial" w:cs="Arial"/>
          <w:lang w:val="en-US"/>
        </w:rPr>
        <w:t>or PDI. Polarons in PFO are known to produce a broad PA band in the region around 2.3 eV, strongly overlapping with SE</w:t>
      </w:r>
      <w:r w:rsidR="005344E9">
        <w:rPr>
          <w:rFonts w:ascii="Arial" w:hAnsi="Arial" w:cs="Arial"/>
          <w:lang w:val="en-US"/>
        </w:rPr>
        <w:t>.</w:t>
      </w:r>
      <w:r w:rsidR="005344E9">
        <w:rPr>
          <w:rFonts w:ascii="Arial" w:hAnsi="Arial" w:cs="Arial"/>
          <w:lang w:val="en-US"/>
        </w:rPr>
        <w:fldChar w:fldCharType="begin" w:fldLock="1"/>
      </w:r>
      <w:r w:rsidR="000B745C">
        <w:rPr>
          <w:rFonts w:ascii="Arial" w:hAnsi="Arial" w:cs="Arial"/>
          <w:lang w:val="en-US"/>
        </w:rPr>
        <w:instrText>ADDIN CSL_CITATION { "citationItems" : [ { "id" : "ITEM-1", "itemData" : { "author" : [ { "dropping-particle" : "", "family" : "Virgili", "given" : "T", "non-dropping-particle" : "", "parse-names" : false, "suffix" : "" }, { "dropping-particle" : "", "family" : "Marinotto", "given" : "D", "non-dropping-particle" : "", "parse-names" : false, "suffix" : "" }, { "dropping-particle" : "", "family" : "Manzoni", "given" : "C", "non-dropping-particle" : "", "parse-names" : false, "suffix" : "" }, { "dropping-particle" : "", "family" : "Cerullo", "given" : "G", "non-dropping-particle" : "", "parse-names" : false, "suffix" : "" }, { "dropping-particle" : "", "family" : "Lanzani", "given" : "G", "non-dropping-particle" : "", "parse-names" : false, "suffix" : "" } ], "container-title" : "Physical review letters", "id" : "ITEM-1", "issue" : "11", "issued" : { "date-parts" : [ [ "2005" ] ] }, "page" : "117402", "publisher" : "APS", "title" : "Ultrafast intrachain photoexcitation of polymeric semiconductors", "type" : "article-journal", "volume" : "94" }, "uris" : [ "http://www.mendeley.com/documents/?uuid=68393148-3e0d-4b98-a387-578d93624ba7" ] } ], "mendeley" : { "formattedCitation" : "&lt;sup&gt;36&lt;/sup&gt;", "plainTextFormattedCitation" : "36", "previouslyFormattedCitation" : "&lt;sup&gt;36&lt;/sup&gt;" }, "properties" : { "noteIndex" : 0 }, "schema" : "https://github.com/citation-style-language/schema/raw/master/csl-citation.json" }</w:instrText>
      </w:r>
      <w:r w:rsidR="005344E9">
        <w:rPr>
          <w:rFonts w:ascii="Arial" w:hAnsi="Arial" w:cs="Arial"/>
          <w:lang w:val="en-US"/>
        </w:rPr>
        <w:fldChar w:fldCharType="separate"/>
      </w:r>
      <w:r w:rsidR="000B745C" w:rsidRPr="000B745C">
        <w:rPr>
          <w:rFonts w:ascii="Arial" w:hAnsi="Arial" w:cs="Arial"/>
          <w:noProof/>
          <w:vertAlign w:val="superscript"/>
          <w:lang w:val="en-US"/>
        </w:rPr>
        <w:t>36</w:t>
      </w:r>
      <w:r w:rsidR="005344E9">
        <w:rPr>
          <w:rFonts w:ascii="Arial" w:hAnsi="Arial" w:cs="Arial"/>
          <w:lang w:val="en-US"/>
        </w:rPr>
        <w:fldChar w:fldCharType="end"/>
      </w:r>
      <w:r w:rsidR="005F4C5C">
        <w:rPr>
          <w:rFonts w:ascii="Arial" w:hAnsi="Arial" w:cs="Arial"/>
          <w:lang w:val="en-US"/>
        </w:rPr>
        <w:t xml:space="preserve"> </w:t>
      </w:r>
      <w:r w:rsidRPr="002F42A6">
        <w:rPr>
          <w:rFonts w:ascii="Arial" w:hAnsi="Arial" w:cs="Arial"/>
          <w:lang w:val="en-US"/>
        </w:rPr>
        <w:t>The target analysis in Fig</w:t>
      </w:r>
      <w:r w:rsidR="000804BC">
        <w:rPr>
          <w:rFonts w:ascii="Arial" w:hAnsi="Arial" w:cs="Arial"/>
          <w:lang w:val="en-US"/>
        </w:rPr>
        <w:t>.</w:t>
      </w:r>
      <w:r w:rsidRPr="002F42A6">
        <w:rPr>
          <w:rFonts w:ascii="Arial" w:hAnsi="Arial" w:cs="Arial"/>
          <w:lang w:val="en-US"/>
        </w:rPr>
        <w:t xml:space="preserve"> </w:t>
      </w:r>
      <w:r w:rsidR="00D15906">
        <w:rPr>
          <w:rFonts w:ascii="Arial" w:hAnsi="Arial" w:cs="Arial"/>
          <w:lang w:val="en-US"/>
        </w:rPr>
        <w:t>4</w:t>
      </w:r>
      <w:r w:rsidRPr="002F42A6">
        <w:rPr>
          <w:rFonts w:ascii="Arial" w:hAnsi="Arial" w:cs="Arial"/>
          <w:lang w:val="en-US"/>
        </w:rPr>
        <w:t xml:space="preserve">d shows that this band is formed with the same kinetics as the PDI anionic features and the disappearance of the PFO singlet exciton (see Fig. </w:t>
      </w:r>
      <w:r w:rsidR="002F38DC">
        <w:rPr>
          <w:rFonts w:ascii="Arial" w:hAnsi="Arial" w:cs="Arial"/>
          <w:lang w:val="en-US"/>
        </w:rPr>
        <w:t>4</w:t>
      </w:r>
      <w:r w:rsidRPr="002F42A6">
        <w:rPr>
          <w:rFonts w:ascii="Arial" w:hAnsi="Arial" w:cs="Arial"/>
          <w:lang w:val="en-US"/>
        </w:rPr>
        <w:t xml:space="preserve">d: the band at 1.85 eV is present only in the red spectrum but not in the black one). </w:t>
      </w:r>
      <w:r w:rsidR="00CB2C1E">
        <w:rPr>
          <w:rFonts w:ascii="Arial" w:hAnsi="Arial" w:cs="Arial"/>
          <w:lang w:val="en-US"/>
        </w:rPr>
        <w:t>The targ</w:t>
      </w:r>
      <w:r w:rsidR="00501632">
        <w:rPr>
          <w:rFonts w:ascii="Arial" w:hAnsi="Arial" w:cs="Arial"/>
          <w:lang w:val="en-US"/>
        </w:rPr>
        <w:t xml:space="preserve">et analysis in Fig. </w:t>
      </w:r>
      <w:r w:rsidR="00D15906">
        <w:rPr>
          <w:rFonts w:ascii="Arial" w:hAnsi="Arial" w:cs="Arial"/>
          <w:lang w:val="en-US"/>
        </w:rPr>
        <w:t>4</w:t>
      </w:r>
      <w:r w:rsidR="00501632">
        <w:rPr>
          <w:rFonts w:ascii="Arial" w:hAnsi="Arial" w:cs="Arial"/>
          <w:lang w:val="en-US"/>
        </w:rPr>
        <w:t>d</w:t>
      </w:r>
      <w:r w:rsidR="00CB2C1E">
        <w:rPr>
          <w:rFonts w:ascii="Arial" w:hAnsi="Arial" w:cs="Arial"/>
          <w:lang w:val="en-US"/>
        </w:rPr>
        <w:t xml:space="preserve"> also shows clear evolution of the bands in the PB region: </w:t>
      </w:r>
      <w:r w:rsidR="00501632">
        <w:rPr>
          <w:rFonts w:ascii="Arial" w:hAnsi="Arial" w:cs="Arial"/>
          <w:lang w:val="en-US"/>
        </w:rPr>
        <w:t>while the singlet excited state</w:t>
      </w:r>
      <w:r w:rsidR="00CB2C1E">
        <w:rPr>
          <w:rFonts w:ascii="Arial" w:hAnsi="Arial" w:cs="Arial"/>
          <w:lang w:val="en-US"/>
        </w:rPr>
        <w:t xml:space="preserve"> shows a PB of both β and </w:t>
      </w:r>
      <w:r w:rsidR="00704C22">
        <w:rPr>
          <w:rFonts w:ascii="Arial" w:hAnsi="Arial" w:cs="Arial"/>
          <w:lang w:val="en-US"/>
        </w:rPr>
        <w:t>g</w:t>
      </w:r>
      <w:r w:rsidR="000804BC">
        <w:rPr>
          <w:rFonts w:ascii="Arial" w:hAnsi="Arial" w:cs="Arial"/>
          <w:lang w:val="en-US"/>
        </w:rPr>
        <w:t xml:space="preserve">lassy </w:t>
      </w:r>
      <w:r w:rsidR="00CB2C1E">
        <w:rPr>
          <w:rFonts w:ascii="Arial" w:hAnsi="Arial" w:cs="Arial"/>
          <w:lang w:val="en-US"/>
        </w:rPr>
        <w:t xml:space="preserve">phases, </w:t>
      </w:r>
      <w:r w:rsidR="00501632">
        <w:rPr>
          <w:rFonts w:ascii="Arial" w:hAnsi="Arial" w:cs="Arial"/>
          <w:lang w:val="en-US"/>
        </w:rPr>
        <w:t xml:space="preserve">the charge separated state shows one single PB band that matches exactly the position </w:t>
      </w:r>
      <w:r w:rsidR="00D83E4B">
        <w:rPr>
          <w:rFonts w:ascii="Arial" w:hAnsi="Arial" w:cs="Arial"/>
          <w:lang w:val="en-US"/>
        </w:rPr>
        <w:t xml:space="preserve">of the second derivative of the </w:t>
      </w:r>
      <w:r w:rsidR="000F6085">
        <w:rPr>
          <w:rFonts w:ascii="Arial" w:hAnsi="Arial" w:cs="Arial"/>
          <w:lang w:val="en-US"/>
        </w:rPr>
        <w:t>glassy phase in Fig.</w:t>
      </w:r>
      <w:r w:rsidR="00553F72">
        <w:rPr>
          <w:rFonts w:ascii="Arial" w:hAnsi="Arial" w:cs="Arial"/>
          <w:lang w:val="en-US"/>
        </w:rPr>
        <w:t>1</w:t>
      </w:r>
      <w:r w:rsidR="00115CAA">
        <w:rPr>
          <w:rFonts w:ascii="Arial" w:hAnsi="Arial" w:cs="Arial"/>
          <w:lang w:val="en-US"/>
        </w:rPr>
        <w:t>b</w:t>
      </w:r>
      <w:r w:rsidR="000F6085">
        <w:rPr>
          <w:rFonts w:ascii="Arial" w:hAnsi="Arial" w:cs="Arial"/>
          <w:lang w:val="en-US"/>
        </w:rPr>
        <w:t xml:space="preserve">, bottom, orange line. </w:t>
      </w:r>
      <w:r w:rsidR="0035497B">
        <w:rPr>
          <w:rFonts w:ascii="Arial" w:hAnsi="Arial" w:cs="Arial"/>
          <w:lang w:val="en-US"/>
        </w:rPr>
        <w:t xml:space="preserve">It is known that a second derivative </w:t>
      </w:r>
      <w:r w:rsidR="003E1702">
        <w:rPr>
          <w:rFonts w:ascii="Arial" w:hAnsi="Arial" w:cs="Arial"/>
          <w:lang w:val="en-US"/>
        </w:rPr>
        <w:t xml:space="preserve">of a band occurs at the same spectral position </w:t>
      </w:r>
      <w:r w:rsidR="00DA18F4">
        <w:rPr>
          <w:rFonts w:ascii="Arial" w:hAnsi="Arial" w:cs="Arial"/>
          <w:lang w:val="en-US"/>
        </w:rPr>
        <w:t>but with strongly reduced bandwidth</w:t>
      </w:r>
      <w:r w:rsidR="000804BC">
        <w:rPr>
          <w:rFonts w:ascii="Arial" w:hAnsi="Arial" w:cs="Arial"/>
          <w:lang w:val="en-US"/>
        </w:rPr>
        <w:t>.</w:t>
      </w:r>
      <w:r w:rsidR="000804BC">
        <w:rPr>
          <w:rFonts w:ascii="Arial" w:hAnsi="Arial" w:cs="Arial"/>
          <w:lang w:val="en-US"/>
        </w:rPr>
        <w:fldChar w:fldCharType="begin" w:fldLock="1"/>
      </w:r>
      <w:r w:rsidR="000B745C">
        <w:rPr>
          <w:rFonts w:ascii="Arial" w:hAnsi="Arial" w:cs="Arial"/>
          <w:lang w:val="en-US"/>
        </w:rPr>
        <w:instrText>ADDIN CSL_CITATION { "citationItems" : [ { "id" : "ITEM-1", "itemData" : { "ISSN" : "0027-8424", "author" : [ { "dropping-particle" : "", "family" : "L\u00fcer", "given" : "Larry", "non-dropping-particle" : "", "parse-names" : false, "suffix" : "" }, { "dropping-particle" : "", "family" : "Moulisov\u00e1", "given" : "Vladim\u00edra", "non-dropping-particle" : "", "parse-names" : false, "suffix" : "" }, { "dropping-particle" : "", "family" : "Henry", "given" : "Sarah", "non-dropping-particle" : "", "parse-names" : false, "suffix" : "" }, { "dropping-particle" : "", "family" : "Polli", "given" : "Dario", "non-dropping-particle" : "", "parse-names" : false, "suffix" : "" }, { "dropping-particle" : "", "family" : "Brotosudarmo", "given" : "Tatas H P", "non-dropping-particle" : "", "parse-names" : false, "suffix" : "" }, { "dropping-particle" : "", "family" : "Hoseinkhani", "given" : "Sajjad", "non-dropping-particle" : "", "parse-names" : false, "suffix" : "" }, { "dropping-particle" : "", "family" : "Brida", "given" : "Daniele", "non-dropping-particle" : "", "parse-names" : false, "suffix" : "" }, { "dropping-particle" : "", "family" : "Lanzani", "given" : "Guglielmo", "non-dropping-particle" : "", "parse-names" : false, "suffix" : "" }, { "dropping-particle" : "", "family" : "Cerullo", "given" : "Giulio", "non-dropping-particle" : "", "parse-names" : false, "suffix" : "" }, { "dropping-particle" : "", "family" : "Cogdell", "given" : "Richard J", "non-dropping-particle" : "", "parse-names" : false, "suffix" : "" } ], "container-title" : "Proceedings of the National Academy of Sciences", "id" : "ITEM-1", "issue" : "5", "issued" : { "date-parts" : [ [ "2012" ] ] }, "page" : "1473-1478", "publisher" : "National Acad Sciences", "title" : "Tracking energy transfer between light harvesting complex 2 and 1 in photosynthetic membranes grown under high and low illumination", "type" : "article-journal", "volume" : "109" }, "uris" : [ "http://www.mendeley.com/documents/?uuid=d25a5a49-1e31-4e51-b602-a475a8d0c828", "http://www.mendeley.com/documents/?uuid=0e89610a-6e30-476a-adb7-f968ae6a2743" ] } ], "mendeley" : { "formattedCitation" : "&lt;sup&gt;46&lt;/sup&gt;", "plainTextFormattedCitation" : "46", "previouslyFormattedCitation" : "&lt;sup&gt;46&lt;/sup&gt;" }, "properties" : { "noteIndex" : 0 }, "schema" : "https://github.com/citation-style-language/schema/raw/master/csl-citation.json" }</w:instrText>
      </w:r>
      <w:r w:rsidR="000804BC">
        <w:rPr>
          <w:rFonts w:ascii="Arial" w:hAnsi="Arial" w:cs="Arial"/>
          <w:lang w:val="en-US"/>
        </w:rPr>
        <w:fldChar w:fldCharType="separate"/>
      </w:r>
      <w:r w:rsidR="000B745C" w:rsidRPr="000B745C">
        <w:rPr>
          <w:rFonts w:ascii="Arial" w:hAnsi="Arial" w:cs="Arial"/>
          <w:noProof/>
          <w:vertAlign w:val="superscript"/>
          <w:lang w:val="en-US"/>
        </w:rPr>
        <w:t>46</w:t>
      </w:r>
      <w:r w:rsidR="000804BC">
        <w:rPr>
          <w:rFonts w:ascii="Arial" w:hAnsi="Arial" w:cs="Arial"/>
          <w:lang w:val="en-US"/>
        </w:rPr>
        <w:fldChar w:fldCharType="end"/>
      </w:r>
      <w:r w:rsidR="009F3F57">
        <w:rPr>
          <w:rFonts w:ascii="Arial" w:hAnsi="Arial" w:cs="Arial"/>
          <w:lang w:val="en-US"/>
        </w:rPr>
        <w:t xml:space="preserve"> </w:t>
      </w:r>
      <w:r w:rsidR="004B6FD3">
        <w:rPr>
          <w:rFonts w:ascii="Arial" w:hAnsi="Arial" w:cs="Arial"/>
          <w:lang w:val="en-US"/>
        </w:rPr>
        <w:t xml:space="preserve">We can </w:t>
      </w:r>
      <w:r w:rsidR="007D3E80">
        <w:rPr>
          <w:rFonts w:ascii="Arial" w:hAnsi="Arial" w:cs="Arial"/>
          <w:lang w:val="en-US"/>
        </w:rPr>
        <w:t>therefore conclude that the sharp PB</w:t>
      </w:r>
      <w:r w:rsidR="008730D1">
        <w:rPr>
          <w:rFonts w:ascii="Arial" w:hAnsi="Arial" w:cs="Arial"/>
          <w:lang w:val="en-US"/>
        </w:rPr>
        <w:t xml:space="preserve"> at 3.1 eV </w:t>
      </w:r>
      <w:r w:rsidR="001C6A35">
        <w:rPr>
          <w:rFonts w:ascii="Arial" w:hAnsi="Arial" w:cs="Arial"/>
          <w:lang w:val="en-US"/>
        </w:rPr>
        <w:t xml:space="preserve">should </w:t>
      </w:r>
      <w:r w:rsidR="004E6573">
        <w:rPr>
          <w:rFonts w:ascii="Arial" w:hAnsi="Arial" w:cs="Arial"/>
          <w:lang w:val="en-US"/>
        </w:rPr>
        <w:t xml:space="preserve">originate </w:t>
      </w:r>
      <w:r w:rsidR="008730D1">
        <w:rPr>
          <w:rFonts w:ascii="Arial" w:hAnsi="Arial" w:cs="Arial"/>
          <w:lang w:val="en-US"/>
        </w:rPr>
        <w:t>from</w:t>
      </w:r>
      <w:r w:rsidR="00A73913">
        <w:rPr>
          <w:rFonts w:ascii="Arial" w:hAnsi="Arial" w:cs="Arial"/>
          <w:lang w:val="en-US"/>
        </w:rPr>
        <w:t xml:space="preserve"> </w:t>
      </w:r>
      <w:r w:rsidR="00C76A96">
        <w:rPr>
          <w:rFonts w:ascii="Arial" w:hAnsi="Arial" w:cs="Arial"/>
          <w:lang w:val="en-US"/>
        </w:rPr>
        <w:t xml:space="preserve">a </w:t>
      </w:r>
      <w:r w:rsidR="002C6386">
        <w:rPr>
          <w:rFonts w:ascii="Arial" w:hAnsi="Arial" w:cs="Arial"/>
          <w:lang w:val="en-US"/>
        </w:rPr>
        <w:t>region</w:t>
      </w:r>
      <w:r w:rsidR="001C6A35">
        <w:rPr>
          <w:rFonts w:ascii="Arial" w:hAnsi="Arial" w:cs="Arial"/>
          <w:lang w:val="en-US"/>
        </w:rPr>
        <w:t xml:space="preserve"> </w:t>
      </w:r>
      <w:r w:rsidR="009D5810">
        <w:rPr>
          <w:rFonts w:ascii="Arial" w:hAnsi="Arial" w:cs="Arial"/>
          <w:lang w:val="en-US"/>
        </w:rPr>
        <w:t>with</w:t>
      </w:r>
      <w:r w:rsidR="0054169C">
        <w:rPr>
          <w:rFonts w:ascii="Arial" w:hAnsi="Arial" w:cs="Arial"/>
          <w:lang w:val="en-US"/>
        </w:rPr>
        <w:t xml:space="preserve"> reduced energetic disorder</w:t>
      </w:r>
      <w:r w:rsidR="008625DE">
        <w:rPr>
          <w:rFonts w:ascii="Arial" w:hAnsi="Arial" w:cs="Arial"/>
          <w:lang w:val="en-US"/>
        </w:rPr>
        <w:t xml:space="preserve"> as compared to the glassy phase but lacking </w:t>
      </w:r>
      <w:r w:rsidR="00B53C33">
        <w:rPr>
          <w:rFonts w:ascii="Arial" w:hAnsi="Arial" w:cs="Arial"/>
          <w:lang w:val="en-US"/>
        </w:rPr>
        <w:t>the highly anisotropic polarizability of the β</w:t>
      </w:r>
      <w:r w:rsidR="00722433">
        <w:rPr>
          <w:rFonts w:ascii="Arial" w:hAnsi="Arial" w:cs="Arial"/>
          <w:lang w:val="en-US"/>
        </w:rPr>
        <w:t>-</w:t>
      </w:r>
      <w:r w:rsidR="00B53C33">
        <w:rPr>
          <w:rFonts w:ascii="Arial" w:hAnsi="Arial" w:cs="Arial"/>
          <w:lang w:val="en-US"/>
        </w:rPr>
        <w:t>phase</w:t>
      </w:r>
      <w:r w:rsidR="000804BC">
        <w:rPr>
          <w:rFonts w:ascii="Arial" w:hAnsi="Arial" w:cs="Arial"/>
          <w:lang w:val="en-US"/>
        </w:rPr>
        <w:t>.</w:t>
      </w:r>
      <w:r w:rsidR="000804BC">
        <w:rPr>
          <w:rFonts w:ascii="Arial" w:hAnsi="Arial" w:cs="Arial"/>
          <w:lang w:val="en-US"/>
        </w:rPr>
        <w:fldChar w:fldCharType="begin" w:fldLock="1"/>
      </w:r>
      <w:r w:rsidR="000B745C">
        <w:rPr>
          <w:rFonts w:ascii="Arial" w:hAnsi="Arial" w:cs="Arial"/>
          <w:lang w:val="en-US"/>
        </w:rPr>
        <w:instrText>ADDIN CSL_CITATION { "citationItems" : [ { "id" : "ITEM-1", "itemData" : { "ISSN" : "1099-0488", "author" : [ { "dropping-particle" : "", "family" : "Perevedentsev", "given" : "Aleksandr", "non-dropping-particle" : "", "parse-names" : false, "suffix" : "" }, { "dropping-particle" : "", "family" : "Chander", "given" : "Nathan", "non-dropping-particle" : "", "parse-names" : false, "suffix" : "" }, { "dropping-particle" : "", "family" : "Kim", "given" : "Ji\u2010Seon", "non-dropping-particle" : "", "parse-names" : false, "suffix" : "" }, { "dropping-particle" : "", "family" : "Bradley", "given" : "Donal D C", "non-dropping-particle" : "", "parse-names" : false, "suffix" : "" } ], "container-title" : "Journal of Polymer Science Part B: Polymer Physics", "id" : "ITEM-1", "issue" : "19", "issued" : { "date-parts" : [ [ "2016" ] ] }, "page" : "1995-2006", "publisher" : "Wiley Online Library", "title" : "Spectroscopic properties of poly (9, 9\u2010dioctylfluorene) thin films possessing varied fractions of \u03b2\u2010phase chain segments: enhanced photoluminescence efficiency via conformation structuring", "type" : "article-journal", "volume" : "54" }, "uris" : [ "http://www.mendeley.com/documents/?uuid=9177bb88-c49d-45d5-86b5-1f5dfa34b903", "http://www.mendeley.com/documents/?uuid=d111cb2d-c79e-4d46-822d-77f7e6854dae" ] } ], "mendeley" : { "formattedCitation" : "&lt;sup&gt;29&lt;/sup&gt;", "plainTextFormattedCitation" : "29", "previouslyFormattedCitation" : "&lt;sup&gt;29&lt;/sup&gt;" }, "properties" : { "noteIndex" : 0 }, "schema" : "https://github.com/citation-style-language/schema/raw/master/csl-citation.json" }</w:instrText>
      </w:r>
      <w:r w:rsidR="000804BC">
        <w:rPr>
          <w:rFonts w:ascii="Arial" w:hAnsi="Arial" w:cs="Arial"/>
          <w:lang w:val="en-US"/>
        </w:rPr>
        <w:fldChar w:fldCharType="separate"/>
      </w:r>
      <w:r w:rsidR="000B745C" w:rsidRPr="000B745C">
        <w:rPr>
          <w:rFonts w:ascii="Arial" w:hAnsi="Arial" w:cs="Arial"/>
          <w:noProof/>
          <w:vertAlign w:val="superscript"/>
          <w:lang w:val="en-US"/>
        </w:rPr>
        <w:t>29</w:t>
      </w:r>
      <w:r w:rsidR="000804BC">
        <w:rPr>
          <w:rFonts w:ascii="Arial" w:hAnsi="Arial" w:cs="Arial"/>
          <w:lang w:val="en-US"/>
        </w:rPr>
        <w:fldChar w:fldCharType="end"/>
      </w:r>
      <w:r w:rsidR="000804BC">
        <w:rPr>
          <w:rFonts w:ascii="Arial" w:hAnsi="Arial" w:cs="Arial"/>
          <w:lang w:val="en-US"/>
        </w:rPr>
        <w:t xml:space="preserve"> </w:t>
      </w:r>
      <w:r w:rsidR="00520006">
        <w:rPr>
          <w:rFonts w:ascii="Arial" w:hAnsi="Arial" w:cs="Arial"/>
          <w:lang w:val="en-US"/>
        </w:rPr>
        <w:t xml:space="preserve">It is plausible to assign this </w:t>
      </w:r>
      <w:r w:rsidR="00A90BEF">
        <w:rPr>
          <w:rFonts w:ascii="Arial" w:hAnsi="Arial" w:cs="Arial"/>
          <w:lang w:val="en-US"/>
        </w:rPr>
        <w:t>region</w:t>
      </w:r>
      <w:r w:rsidR="00520006">
        <w:rPr>
          <w:rFonts w:ascii="Arial" w:hAnsi="Arial" w:cs="Arial"/>
          <w:lang w:val="en-US"/>
        </w:rPr>
        <w:t xml:space="preserve"> to the </w:t>
      </w:r>
      <w:r w:rsidR="00520006">
        <w:rPr>
          <w:rFonts w:ascii="Arial" w:hAnsi="Arial" w:cs="Arial"/>
          <w:lang w:val="en-US"/>
        </w:rPr>
        <w:lastRenderedPageBreak/>
        <w:t xml:space="preserve">interfacial </w:t>
      </w:r>
      <w:r w:rsidR="00A90BEF">
        <w:rPr>
          <w:rFonts w:ascii="Arial" w:hAnsi="Arial" w:cs="Arial"/>
          <w:lang w:val="en-US"/>
        </w:rPr>
        <w:t>layer</w:t>
      </w:r>
      <w:r w:rsidR="00A91B50">
        <w:rPr>
          <w:rFonts w:ascii="Arial" w:hAnsi="Arial" w:cs="Arial"/>
          <w:lang w:val="en-US"/>
        </w:rPr>
        <w:t xml:space="preserve"> between PFO and PDI: </w:t>
      </w:r>
      <w:r w:rsidR="001A6A62">
        <w:rPr>
          <w:rFonts w:ascii="Arial" w:hAnsi="Arial" w:cs="Arial"/>
          <w:lang w:val="en-US"/>
        </w:rPr>
        <w:t>the presence of PDI nanocrystallites will cause a reduction of torsional freedom</w:t>
      </w:r>
      <w:r w:rsidR="008D58B6">
        <w:rPr>
          <w:rFonts w:ascii="Arial" w:hAnsi="Arial" w:cs="Arial"/>
          <w:lang w:val="en-US"/>
        </w:rPr>
        <w:t xml:space="preserve"> of the PFO chains</w:t>
      </w:r>
      <w:r w:rsidR="001A6A62">
        <w:rPr>
          <w:rFonts w:ascii="Arial" w:hAnsi="Arial" w:cs="Arial"/>
          <w:lang w:val="en-US"/>
        </w:rPr>
        <w:t>, explaining the reduced bandwidth</w:t>
      </w:r>
      <w:r w:rsidR="00D659FB">
        <w:rPr>
          <w:rFonts w:ascii="Arial" w:hAnsi="Arial" w:cs="Arial"/>
          <w:lang w:val="en-US"/>
        </w:rPr>
        <w:t xml:space="preserve">, while at the same time disrupting the order of the bulk of the </w:t>
      </w:r>
      <w:r w:rsidR="008D58B6">
        <w:rPr>
          <w:rFonts w:ascii="Arial" w:hAnsi="Arial" w:cs="Arial"/>
          <w:lang w:val="en-US"/>
        </w:rPr>
        <w:t>β</w:t>
      </w:r>
      <w:r w:rsidR="000804BC">
        <w:rPr>
          <w:rFonts w:ascii="Arial" w:hAnsi="Arial" w:cs="Arial"/>
          <w:lang w:val="en-US"/>
        </w:rPr>
        <w:t>-</w:t>
      </w:r>
      <w:r w:rsidR="008D58B6">
        <w:rPr>
          <w:rFonts w:ascii="Arial" w:hAnsi="Arial" w:cs="Arial"/>
          <w:lang w:val="en-US"/>
        </w:rPr>
        <w:t>phase, explaining the absence of a strong red-shift</w:t>
      </w:r>
      <w:r w:rsidR="009E5302">
        <w:rPr>
          <w:rFonts w:ascii="Arial" w:hAnsi="Arial" w:cs="Arial"/>
          <w:lang w:val="en-US"/>
        </w:rPr>
        <w:t xml:space="preserve">. Considering that the PA band at 1.85 eV is unique to our </w:t>
      </w:r>
      <w:r w:rsidR="005B13BD">
        <w:rPr>
          <w:rFonts w:ascii="Arial" w:hAnsi="Arial" w:cs="Arial"/>
          <w:lang w:val="en-US"/>
        </w:rPr>
        <w:t>PDI:PFO</w:t>
      </w:r>
      <w:r w:rsidR="0037270A">
        <w:rPr>
          <w:rFonts w:ascii="Arial" w:hAnsi="Arial" w:cs="Arial"/>
          <w:lang w:val="en-US"/>
        </w:rPr>
        <w:t xml:space="preserve"> blend, we can therefore</w:t>
      </w:r>
      <w:r w:rsidR="00501632">
        <w:rPr>
          <w:rFonts w:ascii="Arial" w:hAnsi="Arial" w:cs="Arial"/>
          <w:lang w:val="en-US"/>
        </w:rPr>
        <w:t xml:space="preserve"> assign the </w:t>
      </w:r>
      <w:r w:rsidR="00592C1E">
        <w:rPr>
          <w:rFonts w:ascii="Arial" w:hAnsi="Arial" w:cs="Arial"/>
          <w:lang w:val="en-US"/>
        </w:rPr>
        <w:t>PA at 1.85 eV and the PB at 3.1 eV</w:t>
      </w:r>
      <w:r w:rsidR="00501632">
        <w:rPr>
          <w:rFonts w:ascii="Arial" w:hAnsi="Arial" w:cs="Arial"/>
          <w:lang w:val="en-US"/>
        </w:rPr>
        <w:t xml:space="preserve"> to positively charged PFO chains inside or at the surface of the </w:t>
      </w:r>
      <w:r w:rsidR="006A5771">
        <w:rPr>
          <w:rFonts w:ascii="Arial" w:hAnsi="Arial" w:cs="Arial"/>
        </w:rPr>
        <w:t xml:space="preserve">intercalated PDI:PFO </w:t>
      </w:r>
      <w:r w:rsidR="00501632">
        <w:rPr>
          <w:rFonts w:ascii="Arial" w:hAnsi="Arial" w:cs="Arial"/>
          <w:lang w:val="en-US"/>
        </w:rPr>
        <w:t>phase.</w:t>
      </w:r>
      <w:r w:rsidRPr="002F42A6">
        <w:rPr>
          <w:rFonts w:ascii="Arial" w:hAnsi="Arial" w:cs="Arial"/>
          <w:lang w:val="en-US"/>
        </w:rPr>
        <w:t xml:space="preserve"> Our material therefore gives us the unique opportunity to specifically address charge carrier dynamics and the corresponding interconversion processes at the interface between donor and acceptor</w:t>
      </w:r>
      <w:r w:rsidRPr="002F42A6">
        <w:rPr>
          <w:rFonts w:ascii="Arial" w:hAnsi="Arial" w:cs="Arial"/>
        </w:rPr>
        <w:t xml:space="preserve"> and to correlate them with the known arrangement of donor and acceptor molecules.</w:t>
      </w:r>
    </w:p>
    <w:p w14:paraId="5BE440F9" w14:textId="199991FD" w:rsidR="00501632" w:rsidRPr="00EF79C6" w:rsidRDefault="00501632" w:rsidP="00EF79C6">
      <w:pPr>
        <w:tabs>
          <w:tab w:val="left" w:pos="0"/>
        </w:tabs>
        <w:spacing w:line="360" w:lineRule="auto"/>
        <w:jc w:val="both"/>
        <w:rPr>
          <w:rFonts w:ascii="Arial" w:hAnsi="Arial" w:cs="Arial"/>
        </w:rPr>
      </w:pPr>
      <w:r>
        <w:rPr>
          <w:rFonts w:ascii="Arial" w:hAnsi="Arial" w:cs="Arial"/>
        </w:rPr>
        <w:t>The</w:t>
      </w:r>
      <w:r w:rsidR="007E112E" w:rsidRPr="002F42A6">
        <w:rPr>
          <w:rFonts w:ascii="Arial" w:hAnsi="Arial" w:cs="Arial"/>
        </w:rPr>
        <w:t xml:space="preserve"> target analysis (for details see </w:t>
      </w:r>
      <w:r w:rsidR="005F4C5C">
        <w:rPr>
          <w:rFonts w:ascii="Arial" w:hAnsi="Arial" w:cs="Arial"/>
        </w:rPr>
        <w:t>ESI</w:t>
      </w:r>
      <w:r w:rsidR="0094210C">
        <w:rPr>
          <w:rFonts w:ascii="Arial" w:hAnsi="Arial" w:cs="Arial"/>
        </w:rPr>
        <w:t>, part F</w:t>
      </w:r>
      <w:r w:rsidR="007E112E" w:rsidRPr="002F42A6">
        <w:rPr>
          <w:rFonts w:ascii="Arial" w:hAnsi="Arial" w:cs="Arial"/>
        </w:rPr>
        <w:t xml:space="preserve">) shows that the dynamics of charge separation after excitation of bulk PFO can be described by a first order reaction of 9 ps lifetime with slight dispersive contributions, leading to so-called “stretched exponential” decay dynamics. </w:t>
      </w:r>
      <w:r w:rsidR="006340BB">
        <w:rPr>
          <w:rFonts w:ascii="Arial" w:hAnsi="Arial" w:cs="Arial"/>
        </w:rPr>
        <w:t>There is no parasitic quenching process of any significance, as can be assessed by comparing the absolute values of the absorption cross-sections of the PDI anion features in Fig</w:t>
      </w:r>
      <w:r w:rsidR="00231780">
        <w:rPr>
          <w:rFonts w:ascii="Arial" w:hAnsi="Arial" w:cs="Arial"/>
        </w:rPr>
        <w:t>.</w:t>
      </w:r>
      <w:r w:rsidR="006340BB">
        <w:rPr>
          <w:rFonts w:ascii="Arial" w:hAnsi="Arial" w:cs="Arial"/>
        </w:rPr>
        <w:t xml:space="preserve"> 4d and 5d, respectively; </w:t>
      </w:r>
      <w:r w:rsidR="006340BB" w:rsidRPr="00EF79C6">
        <w:rPr>
          <w:rFonts w:ascii="Arial" w:hAnsi="Arial" w:cs="Arial"/>
        </w:rPr>
        <w:t>suppression of a parallel relaxation process in the target model of Fig. 4d</w:t>
      </w:r>
      <w:r w:rsidR="00F7181A" w:rsidRPr="00EF79C6">
        <w:rPr>
          <w:rFonts w:ascii="Arial" w:hAnsi="Arial" w:cs="Arial"/>
        </w:rPr>
        <w:t>, if present,</w:t>
      </w:r>
      <w:r w:rsidR="006340BB" w:rsidRPr="00EF79C6">
        <w:rPr>
          <w:rFonts w:ascii="Arial" w:hAnsi="Arial" w:cs="Arial"/>
        </w:rPr>
        <w:t xml:space="preserve"> </w:t>
      </w:r>
      <w:r w:rsidR="00826A95" w:rsidRPr="00A72102">
        <w:rPr>
          <w:rFonts w:ascii="Arial" w:hAnsi="Arial" w:cs="Arial"/>
        </w:rPr>
        <w:t xml:space="preserve">would </w:t>
      </w:r>
      <w:r w:rsidR="006340BB" w:rsidRPr="00D11DE2">
        <w:rPr>
          <w:rFonts w:ascii="Arial" w:hAnsi="Arial" w:cs="Arial"/>
        </w:rPr>
        <w:t>lead to an</w:t>
      </w:r>
      <w:r w:rsidR="00D15906">
        <w:rPr>
          <w:rFonts w:ascii="Arial" w:hAnsi="Arial" w:cs="Arial"/>
        </w:rPr>
        <w:t xml:space="preserve"> under</w:t>
      </w:r>
      <w:r w:rsidR="006340BB" w:rsidRPr="00D11DE2">
        <w:rPr>
          <w:rFonts w:ascii="Arial" w:hAnsi="Arial" w:cs="Arial"/>
        </w:rPr>
        <w:t>estimation of the charge cross-sections, which is not the case.</w:t>
      </w:r>
      <w:r w:rsidR="00594EA7">
        <w:rPr>
          <w:rFonts w:ascii="Arial" w:hAnsi="Arial" w:cs="Arial"/>
        </w:rPr>
        <w:t xml:space="preserve"> On the same footing, we can exclude the contribution of singlet fission.</w:t>
      </w:r>
      <w:r w:rsidR="00A80009">
        <w:rPr>
          <w:rFonts w:ascii="Arial" w:hAnsi="Arial" w:cs="Arial"/>
        </w:rPr>
        <w:fldChar w:fldCharType="begin" w:fldLock="1"/>
      </w:r>
      <w:r w:rsidR="000B745C">
        <w:rPr>
          <w:rFonts w:ascii="Arial" w:hAnsi="Arial" w:cs="Arial"/>
        </w:rPr>
        <w:instrText>ADDIN CSL_CITATION { "citationItems" : [ { "id" : "ITEM-1", "itemData" : { "DOI" : "10.1021/ja2080482", "ISSN" : "0002-7863", "author" : [ { "dropping-particle" : "", "family" : "Ramanan", "given" : "Charusheela", "non-dropping-particle" : "", "parse-names" : false, "suffix" : "" }, { "dropping-particle" : "", "family" : "Smeigh", "given" : "Amanda L", "non-dropping-particle" : "", "parse-names" : false, "suffix" : "" }, { "dropping-particle" : "", "family" : "Anthony", "given" : "John E", "non-dropping-particle" : "", "parse-names" : false, "suffix" : "" }, { "dropping-particle" : "", "family" : "Marks", "given" : "Tobin J", "non-dropping-particle" : "", "parse-names" : false, "suffix" : "" }, { "dropping-particle" : "", "family" : "Wasielewski", "given" : "Michael R", "non-dropping-particle" : "", "parse-names" : false, "suffix" : "" } ], "container-title" : "Journal of the American Chemical Society", "id" : "ITEM-1", "issue" : "1", "issued" : { "date-parts" : [ [ "2012", "1", "11" ] ] }, "note" : "doi: 10.1021/ja2080482", "page" : "386-397", "publisher" : "American Chemical Society", "title" : "Competition between Singlet Fission and Charge Separation in Solution-Processed Blend Films of 6,13-Bis(triisopropylsilylethynyl)pentacene with Sterically-Encumbered Perylene-3,4:9,10-bis(dicarboximide)s", "type" : "article-journal", "volume" : "134" }, "uris" : [ "http://www.mendeley.com/documents/?uuid=3734a9e0-9425-4adf-a47b-f8af8f04032f" ] } ], "mendeley" : { "formattedCitation" : "&lt;sup&gt;47&lt;/sup&gt;", "plainTextFormattedCitation" : "47", "previouslyFormattedCitation" : "&lt;sup&gt;47&lt;/sup&gt;" }, "properties" : { "noteIndex" : 0 }, "schema" : "https://github.com/citation-style-language/schema/raw/master/csl-citation.json" }</w:instrText>
      </w:r>
      <w:r w:rsidR="00A80009">
        <w:rPr>
          <w:rFonts w:ascii="Arial" w:hAnsi="Arial" w:cs="Arial"/>
        </w:rPr>
        <w:fldChar w:fldCharType="separate"/>
      </w:r>
      <w:r w:rsidR="000B745C" w:rsidRPr="000B745C">
        <w:rPr>
          <w:rFonts w:ascii="Arial" w:hAnsi="Arial" w:cs="Arial"/>
          <w:noProof/>
          <w:vertAlign w:val="superscript"/>
        </w:rPr>
        <w:t>47</w:t>
      </w:r>
      <w:r w:rsidR="00A80009">
        <w:rPr>
          <w:rFonts w:ascii="Arial" w:hAnsi="Arial" w:cs="Arial"/>
        </w:rPr>
        <w:fldChar w:fldCharType="end"/>
      </w:r>
      <w:r w:rsidR="006340BB" w:rsidRPr="00D11DE2">
        <w:rPr>
          <w:rFonts w:ascii="Arial" w:hAnsi="Arial" w:cs="Arial"/>
        </w:rPr>
        <w:t xml:space="preserve"> We therefore conclude that although PFO emission can be clearly observed in </w:t>
      </w:r>
      <w:r w:rsidR="00115CAA">
        <w:rPr>
          <w:rFonts w:ascii="Arial" w:hAnsi="Arial" w:cs="Arial"/>
        </w:rPr>
        <w:t>PL spectra in Fig.1d</w:t>
      </w:r>
      <w:r w:rsidR="006340BB" w:rsidRPr="00EF79C6">
        <w:rPr>
          <w:rFonts w:ascii="Arial" w:hAnsi="Arial" w:cs="Arial"/>
        </w:rPr>
        <w:t xml:space="preserve">, the vast majority of PFO excitons </w:t>
      </w:r>
      <w:r w:rsidR="00F7181A" w:rsidRPr="00EF79C6">
        <w:rPr>
          <w:rFonts w:ascii="Arial" w:hAnsi="Arial" w:cs="Arial"/>
        </w:rPr>
        <w:t>is</w:t>
      </w:r>
      <w:r w:rsidR="006340BB" w:rsidRPr="00EF79C6">
        <w:rPr>
          <w:rFonts w:ascii="Arial" w:hAnsi="Arial" w:cs="Arial"/>
        </w:rPr>
        <w:t xml:space="preserve"> converted into </w:t>
      </w:r>
      <w:r w:rsidR="00404949" w:rsidRPr="00EF79C6">
        <w:rPr>
          <w:rFonts w:ascii="Arial" w:hAnsi="Arial" w:cs="Arial"/>
        </w:rPr>
        <w:t>charge-separated</w:t>
      </w:r>
      <w:r w:rsidR="00826A95" w:rsidRPr="00EF79C6">
        <w:rPr>
          <w:rFonts w:ascii="Arial" w:hAnsi="Arial" w:cs="Arial"/>
        </w:rPr>
        <w:t xml:space="preserve"> states within 9 ps. </w:t>
      </w:r>
      <w:r w:rsidR="00D32700">
        <w:rPr>
          <w:rFonts w:ascii="Arial" w:hAnsi="Arial" w:cs="Arial"/>
        </w:rPr>
        <w:t xml:space="preserve">In the </w:t>
      </w:r>
      <w:r w:rsidR="00D32700" w:rsidRPr="00AA7325">
        <w:rPr>
          <w:rFonts w:ascii="Arial" w:hAnsi="Arial" w:cs="Arial"/>
        </w:rPr>
        <w:t>ESI, Fig. S</w:t>
      </w:r>
      <w:r w:rsidR="00AA7325" w:rsidRPr="00AA7325">
        <w:rPr>
          <w:rFonts w:ascii="Arial" w:hAnsi="Arial" w:cs="Arial"/>
        </w:rPr>
        <w:t>9</w:t>
      </w:r>
      <w:r w:rsidR="00D32700" w:rsidRPr="00AA7325">
        <w:rPr>
          <w:rFonts w:ascii="Arial" w:hAnsi="Arial" w:cs="Arial"/>
        </w:rPr>
        <w:t>, we</w:t>
      </w:r>
      <w:r w:rsidR="00D32700">
        <w:rPr>
          <w:rFonts w:ascii="Arial" w:hAnsi="Arial" w:cs="Arial"/>
        </w:rPr>
        <w:t xml:space="preserve"> estimate that</w:t>
      </w:r>
      <w:r w:rsidR="00BB5C67">
        <w:rPr>
          <w:rFonts w:ascii="Arial" w:hAnsi="Arial" w:cs="Arial"/>
        </w:rPr>
        <w:t xml:space="preserve"> </w:t>
      </w:r>
      <w:r w:rsidR="00033639">
        <w:rPr>
          <w:rFonts w:ascii="Arial" w:hAnsi="Arial" w:cs="Arial"/>
        </w:rPr>
        <w:t xml:space="preserve">about 10% </w:t>
      </w:r>
      <w:r w:rsidR="00BB5C67">
        <w:rPr>
          <w:rFonts w:ascii="Arial" w:hAnsi="Arial" w:cs="Arial"/>
        </w:rPr>
        <w:t xml:space="preserve">of the initial exciton population is still available 30 ps after excitation, thus justifying the PFO emission in the blends in Fig. </w:t>
      </w:r>
      <w:r w:rsidR="00115CAA">
        <w:rPr>
          <w:rFonts w:ascii="Arial" w:hAnsi="Arial" w:cs="Arial"/>
        </w:rPr>
        <w:t>1d</w:t>
      </w:r>
      <w:r w:rsidR="00BB5C67">
        <w:rPr>
          <w:rFonts w:ascii="Arial" w:hAnsi="Arial" w:cs="Arial"/>
        </w:rPr>
        <w:t>.</w:t>
      </w:r>
    </w:p>
    <w:p w14:paraId="38C27E84" w14:textId="4597196C" w:rsidR="00EF79C6" w:rsidRPr="00D031B3" w:rsidRDefault="0096482A" w:rsidP="002F42A6">
      <w:pPr>
        <w:pStyle w:val="EndnoteText"/>
        <w:spacing w:line="360" w:lineRule="auto"/>
        <w:jc w:val="both"/>
        <w:rPr>
          <w:rFonts w:ascii="Arial" w:hAnsi="Arial" w:cs="Arial"/>
          <w:sz w:val="22"/>
          <w:szCs w:val="22"/>
        </w:rPr>
      </w:pPr>
      <w:r>
        <w:rPr>
          <w:rFonts w:ascii="Arial" w:hAnsi="Arial" w:cs="Arial"/>
          <w:sz w:val="22"/>
          <w:szCs w:val="22"/>
        </w:rPr>
        <w:t xml:space="preserve">The </w:t>
      </w:r>
      <w:r w:rsidR="00DC769C">
        <w:rPr>
          <w:rFonts w:ascii="Arial" w:hAnsi="Arial" w:cs="Arial"/>
          <w:sz w:val="22"/>
          <w:szCs w:val="22"/>
        </w:rPr>
        <w:t>slight dispersive contribution to the charge separation dynamics</w:t>
      </w:r>
      <w:r w:rsidR="00A969DF">
        <w:rPr>
          <w:rFonts w:ascii="Arial" w:hAnsi="Arial" w:cs="Arial"/>
          <w:sz w:val="22"/>
          <w:szCs w:val="22"/>
        </w:rPr>
        <w:t xml:space="preserve"> mentioned above,</w:t>
      </w:r>
      <w:r w:rsidR="00DC769C">
        <w:rPr>
          <w:rFonts w:ascii="Arial" w:hAnsi="Arial" w:cs="Arial"/>
          <w:sz w:val="22"/>
          <w:szCs w:val="22"/>
        </w:rPr>
        <w:t xml:space="preserve"> can </w:t>
      </w:r>
      <w:r w:rsidR="00A969DF">
        <w:rPr>
          <w:rFonts w:ascii="Arial" w:hAnsi="Arial" w:cs="Arial"/>
          <w:sz w:val="22"/>
          <w:szCs w:val="22"/>
        </w:rPr>
        <w:t xml:space="preserve">in principle be a sign of diffusion control. </w:t>
      </w:r>
      <w:r w:rsidR="000E7585">
        <w:rPr>
          <w:rFonts w:ascii="Arial" w:hAnsi="Arial" w:cs="Arial"/>
          <w:sz w:val="22"/>
          <w:szCs w:val="22"/>
        </w:rPr>
        <w:t xml:space="preserve">Therefore, we estimated </w:t>
      </w:r>
      <w:r w:rsidR="00DE6945">
        <w:rPr>
          <w:rFonts w:ascii="Arial" w:hAnsi="Arial" w:cs="Arial"/>
          <w:sz w:val="22"/>
          <w:szCs w:val="22"/>
        </w:rPr>
        <w:t>how strongly exciton diffusion can contribute to the observed dynamics.</w:t>
      </w:r>
      <w:r w:rsidR="00CF7FA8">
        <w:rPr>
          <w:rFonts w:ascii="Arial" w:hAnsi="Arial" w:cs="Arial"/>
          <w:sz w:val="22"/>
          <w:szCs w:val="22"/>
        </w:rPr>
        <w:t xml:space="preserve"> </w:t>
      </w:r>
      <w:r w:rsidR="00450BC3" w:rsidRPr="002F42A6">
        <w:rPr>
          <w:rFonts w:ascii="Arial" w:hAnsi="Arial" w:cs="Arial"/>
          <w:sz w:val="22"/>
          <w:szCs w:val="22"/>
        </w:rPr>
        <w:t>Based on the known exciton diffusion constant in PFO</w:t>
      </w:r>
      <w:r w:rsidR="00450BC3" w:rsidRPr="00EF79C6">
        <w:rPr>
          <w:rFonts w:ascii="Arial" w:hAnsi="Arial" w:cs="Arial"/>
        </w:rPr>
        <w:t>,</w:t>
      </w:r>
      <w:r w:rsidR="00EF79C6">
        <w:rPr>
          <w:rFonts w:ascii="Arial" w:hAnsi="Arial" w:cs="Arial"/>
        </w:rPr>
        <w:fldChar w:fldCharType="begin" w:fldLock="1"/>
      </w:r>
      <w:r w:rsidR="000B745C">
        <w:rPr>
          <w:rFonts w:ascii="Arial" w:hAnsi="Arial" w:cs="Arial"/>
          <w:sz w:val="22"/>
          <w:szCs w:val="22"/>
        </w:rPr>
        <w:instrText>ADDIN CSL_CITATION { "citationItems" : [ { "id" : "ITEM-1", "itemData" : { "ISSN" : "1616-3028", "author" : [ { "dropping-particle" : "", "family" : "Shaw", "given" : "Paul E", "non-dropping-particle" : "", "parse-names" : false, "suffix" : "" }, { "dropping-particle" : "", "family" : "Ruseckas", "given" : "Arvydas", "non-dropping-particle" : "", "parse-names" : false, "suffix" : "" }, { "dropping-particle" : "", "family" : "Peet", "given" : "Jeffrey", "non-dropping-particle" : "", "parse-names" : false, "suffix" : "" }, { "dropping-particle" : "", "family" : "Bazan", "given" : "Guillermo C", "non-dropping-particle" : "", "parse-names" : false, "suffix" : "" }, { "dropping-particle" : "", "family" : "Samuel", "given" : "Ifor D W", "non-dropping-particle" : "", "parse-names" : false, "suffix" : "" } ], "container-title" : "Advanced Functional Materials", "id" : "ITEM-1", "issue" : "1", "issued" : { "date-parts" : [ [ "2010" ] ] }, "page" : "155-161", "publisher" : "Wiley Online Library", "title" : "Exciton\u2013Exciton Annihilation in Mixed\u2010Phase Polyfluorene Films", "type" : "article-journal", "volume" : "20" }, "uris" : [ "http://www.mendeley.com/documents/?uuid=de543225-4929-4639-9ee1-552f8612e994" ] } ], "mendeley" : { "formattedCitation" : "&lt;sup&gt;48&lt;/sup&gt;", "plainTextFormattedCitation" : "48", "previouslyFormattedCitation" : "&lt;sup&gt;48&lt;/sup&gt;" }, "properties" : { "noteIndex" : 0 }, "schema" : "https://github.com/citation-style-language/schema/raw/master/csl-citation.json" }</w:instrText>
      </w:r>
      <w:r w:rsidR="00EF79C6">
        <w:rPr>
          <w:rFonts w:ascii="Arial" w:hAnsi="Arial" w:cs="Arial"/>
        </w:rPr>
        <w:fldChar w:fldCharType="separate"/>
      </w:r>
      <w:r w:rsidR="000B745C" w:rsidRPr="000B745C">
        <w:rPr>
          <w:rFonts w:ascii="Arial" w:hAnsi="Arial" w:cs="Arial"/>
          <w:noProof/>
          <w:sz w:val="22"/>
          <w:szCs w:val="22"/>
          <w:vertAlign w:val="superscript"/>
        </w:rPr>
        <w:t>48</w:t>
      </w:r>
      <w:r w:rsidR="00EF79C6">
        <w:rPr>
          <w:rFonts w:ascii="Arial" w:hAnsi="Arial" w:cs="Arial"/>
        </w:rPr>
        <w:fldChar w:fldCharType="end"/>
      </w:r>
      <w:r w:rsidR="00450BC3" w:rsidRPr="00AA7325">
        <w:rPr>
          <w:rFonts w:ascii="Arial" w:hAnsi="Arial" w:cs="Arial"/>
          <w:sz w:val="22"/>
          <w:szCs w:val="22"/>
        </w:rPr>
        <w:t xml:space="preserve"> </w:t>
      </w:r>
      <w:r w:rsidR="00543651" w:rsidRPr="00AA7325">
        <w:rPr>
          <w:rFonts w:ascii="Arial" w:hAnsi="Arial" w:cs="Arial"/>
          <w:sz w:val="22"/>
          <w:szCs w:val="22"/>
        </w:rPr>
        <w:t xml:space="preserve">one can estimate </w:t>
      </w:r>
      <w:r w:rsidR="005271F1" w:rsidRPr="00AA7325">
        <w:rPr>
          <w:rFonts w:ascii="Arial" w:hAnsi="Arial" w:cs="Arial"/>
          <w:sz w:val="22"/>
          <w:szCs w:val="22"/>
        </w:rPr>
        <w:t>the average</w:t>
      </w:r>
      <w:r w:rsidR="005D2F17">
        <w:rPr>
          <w:rFonts w:ascii="Arial" w:hAnsi="Arial" w:cs="Arial"/>
          <w:sz w:val="22"/>
          <w:szCs w:val="22"/>
        </w:rPr>
        <w:t xml:space="preserve"> concentration of</w:t>
      </w:r>
      <w:r w:rsidR="00B030D4">
        <w:rPr>
          <w:rFonts w:ascii="Arial" w:hAnsi="Arial" w:cs="Arial"/>
          <w:sz w:val="22"/>
          <w:szCs w:val="22"/>
        </w:rPr>
        <w:t xml:space="preserve"> quenchers (the PDI crystallites in this case)</w:t>
      </w:r>
      <w:r w:rsidR="00954D59">
        <w:rPr>
          <w:rFonts w:ascii="Arial" w:hAnsi="Arial" w:cs="Arial"/>
          <w:sz w:val="22"/>
          <w:szCs w:val="22"/>
        </w:rPr>
        <w:t xml:space="preserve"> to justify the observed </w:t>
      </w:r>
      <w:r w:rsidR="00D0493B">
        <w:rPr>
          <w:rFonts w:ascii="Arial" w:hAnsi="Arial" w:cs="Arial"/>
          <w:sz w:val="22"/>
          <w:szCs w:val="22"/>
        </w:rPr>
        <w:t xml:space="preserve">exciton population decay. </w:t>
      </w:r>
      <w:r w:rsidR="00A10F08">
        <w:rPr>
          <w:rFonts w:ascii="Arial" w:hAnsi="Arial" w:cs="Arial"/>
          <w:sz w:val="22"/>
          <w:szCs w:val="22"/>
        </w:rPr>
        <w:t>We found (for details see ESI, part</w:t>
      </w:r>
      <w:r w:rsidR="00B030D4">
        <w:rPr>
          <w:rFonts w:ascii="Arial" w:hAnsi="Arial" w:cs="Arial"/>
          <w:sz w:val="22"/>
          <w:szCs w:val="22"/>
        </w:rPr>
        <w:t xml:space="preserve"> </w:t>
      </w:r>
      <w:r w:rsidR="00D8189C">
        <w:rPr>
          <w:rFonts w:ascii="Arial" w:hAnsi="Arial" w:cs="Arial"/>
          <w:sz w:val="22"/>
          <w:szCs w:val="22"/>
        </w:rPr>
        <w:t>D) that</w:t>
      </w:r>
      <w:r w:rsidR="00BE5AE7">
        <w:rPr>
          <w:rFonts w:ascii="Arial" w:hAnsi="Arial" w:cs="Arial"/>
          <w:sz w:val="22"/>
          <w:szCs w:val="22"/>
        </w:rPr>
        <w:t xml:space="preserve"> the necessary quencher concentration is so high that each single PDI crystallite would have to be unrealistically small. </w:t>
      </w:r>
      <w:r w:rsidR="004C35B0">
        <w:rPr>
          <w:rFonts w:ascii="Arial" w:hAnsi="Arial" w:cs="Arial"/>
          <w:sz w:val="22"/>
          <w:szCs w:val="22"/>
        </w:rPr>
        <w:t xml:space="preserve">We </w:t>
      </w:r>
      <w:r w:rsidR="006A1907">
        <w:rPr>
          <w:rFonts w:ascii="Arial" w:hAnsi="Arial" w:cs="Arial"/>
          <w:sz w:val="22"/>
          <w:szCs w:val="22"/>
        </w:rPr>
        <w:t>therefore</w:t>
      </w:r>
      <w:r w:rsidR="007602E9">
        <w:rPr>
          <w:rFonts w:ascii="Arial" w:hAnsi="Arial" w:cs="Arial"/>
          <w:sz w:val="22"/>
          <w:szCs w:val="22"/>
        </w:rPr>
        <w:t xml:space="preserve"> discard exciton diffusion as dominant process.</w:t>
      </w:r>
      <w:r w:rsidR="006A1907">
        <w:rPr>
          <w:rFonts w:ascii="Arial" w:hAnsi="Arial" w:cs="Arial"/>
          <w:sz w:val="22"/>
          <w:szCs w:val="22"/>
        </w:rPr>
        <w:t xml:space="preserve"> </w:t>
      </w:r>
      <w:r w:rsidR="007602E9">
        <w:rPr>
          <w:rFonts w:ascii="Arial" w:hAnsi="Arial" w:cs="Arial"/>
          <w:sz w:val="22"/>
          <w:szCs w:val="22"/>
        </w:rPr>
        <w:t>E</w:t>
      </w:r>
      <w:r w:rsidR="007F0A13">
        <w:rPr>
          <w:rFonts w:ascii="Arial" w:hAnsi="Arial" w:cs="Arial"/>
          <w:sz w:val="22"/>
          <w:szCs w:val="22"/>
        </w:rPr>
        <w:t>xciton diffusio</w:t>
      </w:r>
      <w:r w:rsidR="00483CBE">
        <w:rPr>
          <w:rFonts w:ascii="Arial" w:hAnsi="Arial" w:cs="Arial"/>
          <w:sz w:val="22"/>
          <w:szCs w:val="22"/>
        </w:rPr>
        <w:t xml:space="preserve">n </w:t>
      </w:r>
      <w:r w:rsidR="004D6B54">
        <w:rPr>
          <w:rFonts w:ascii="Arial" w:hAnsi="Arial" w:cs="Arial"/>
          <w:sz w:val="22"/>
          <w:szCs w:val="22"/>
        </w:rPr>
        <w:t>can be</w:t>
      </w:r>
      <w:r w:rsidR="00483CBE">
        <w:rPr>
          <w:rFonts w:ascii="Arial" w:hAnsi="Arial" w:cs="Arial"/>
          <w:sz w:val="22"/>
          <w:szCs w:val="22"/>
        </w:rPr>
        <w:t xml:space="preserve"> responsible for the </w:t>
      </w:r>
      <w:r w:rsidR="00940C66">
        <w:rPr>
          <w:rFonts w:ascii="Arial" w:hAnsi="Arial" w:cs="Arial"/>
          <w:sz w:val="22"/>
          <w:szCs w:val="22"/>
        </w:rPr>
        <w:t>residual exciton dynamics on a tens of</w:t>
      </w:r>
      <w:r w:rsidR="004D6B54">
        <w:rPr>
          <w:rFonts w:ascii="Arial" w:hAnsi="Arial" w:cs="Arial"/>
          <w:sz w:val="22"/>
          <w:szCs w:val="22"/>
        </w:rPr>
        <w:t xml:space="preserve"> picoseconds time scale (ESI, Fig. S</w:t>
      </w:r>
      <w:r w:rsidR="00AA7325">
        <w:rPr>
          <w:rFonts w:ascii="Arial" w:hAnsi="Arial" w:cs="Arial"/>
          <w:sz w:val="22"/>
          <w:szCs w:val="22"/>
        </w:rPr>
        <w:t>9</w:t>
      </w:r>
      <w:r w:rsidR="004D6B54">
        <w:rPr>
          <w:rFonts w:ascii="Arial" w:hAnsi="Arial" w:cs="Arial"/>
          <w:sz w:val="22"/>
          <w:szCs w:val="22"/>
        </w:rPr>
        <w:t>)</w:t>
      </w:r>
      <w:r w:rsidR="000250BD">
        <w:rPr>
          <w:rFonts w:ascii="Arial" w:hAnsi="Arial" w:cs="Arial"/>
          <w:sz w:val="22"/>
          <w:szCs w:val="22"/>
        </w:rPr>
        <w:t>. The vast majority</w:t>
      </w:r>
      <w:r w:rsidR="005F4C5C">
        <w:rPr>
          <w:rFonts w:ascii="Arial" w:hAnsi="Arial" w:cs="Arial"/>
          <w:sz w:val="22"/>
          <w:szCs w:val="22"/>
        </w:rPr>
        <w:t xml:space="preserve"> </w:t>
      </w:r>
      <w:r w:rsidR="00594EA7">
        <w:rPr>
          <w:rFonts w:ascii="Arial" w:hAnsi="Arial" w:cs="Arial"/>
          <w:sz w:val="22"/>
          <w:szCs w:val="22"/>
        </w:rPr>
        <w:t>of PFO excitons in</w:t>
      </w:r>
      <w:r w:rsidR="005F4C5C">
        <w:rPr>
          <w:rFonts w:ascii="Arial" w:hAnsi="Arial" w:cs="Arial"/>
          <w:sz w:val="22"/>
          <w:szCs w:val="22"/>
        </w:rPr>
        <w:t xml:space="preserve"> </w:t>
      </w:r>
      <w:r w:rsidR="005B13BD">
        <w:rPr>
          <w:rFonts w:ascii="Arial" w:hAnsi="Arial" w:cs="Arial"/>
          <w:sz w:val="22"/>
          <w:szCs w:val="22"/>
        </w:rPr>
        <w:t>PDI:PFO</w:t>
      </w:r>
      <w:r w:rsidR="005F4C5C">
        <w:rPr>
          <w:rFonts w:ascii="Arial" w:hAnsi="Arial" w:cs="Arial"/>
          <w:sz w:val="22"/>
          <w:szCs w:val="22"/>
        </w:rPr>
        <w:t xml:space="preserve"> blends</w:t>
      </w:r>
      <w:r w:rsidR="005F4C5C" w:rsidRPr="00D031B3">
        <w:rPr>
          <w:rFonts w:ascii="Arial" w:hAnsi="Arial" w:cs="Arial"/>
          <w:sz w:val="22"/>
          <w:szCs w:val="22"/>
        </w:rPr>
        <w:t xml:space="preserve"> </w:t>
      </w:r>
      <w:r w:rsidR="00EA4D99">
        <w:rPr>
          <w:rFonts w:ascii="Arial" w:hAnsi="Arial" w:cs="Arial"/>
          <w:sz w:val="22"/>
          <w:szCs w:val="22"/>
        </w:rPr>
        <w:t>is however dissociated in</w:t>
      </w:r>
      <w:r w:rsidR="00450BC3" w:rsidRPr="00D031B3">
        <w:rPr>
          <w:rFonts w:ascii="Arial" w:hAnsi="Arial" w:cs="Arial"/>
          <w:sz w:val="22"/>
          <w:szCs w:val="22"/>
        </w:rPr>
        <w:t xml:space="preserve"> a one-step</w:t>
      </w:r>
      <w:r w:rsidR="004E7C31" w:rsidRPr="00D031B3">
        <w:rPr>
          <w:rFonts w:ascii="Arial" w:hAnsi="Arial" w:cs="Arial"/>
          <w:sz w:val="22"/>
          <w:szCs w:val="22"/>
        </w:rPr>
        <w:t xml:space="preserve"> process</w:t>
      </w:r>
      <w:r w:rsidR="00450BC3" w:rsidRPr="00D031B3">
        <w:rPr>
          <w:rFonts w:ascii="Arial" w:hAnsi="Arial" w:cs="Arial"/>
          <w:sz w:val="22"/>
          <w:szCs w:val="22"/>
        </w:rPr>
        <w:t xml:space="preserve">, which considering its </w:t>
      </w:r>
      <w:r w:rsidR="004E7C31" w:rsidRPr="00D031B3">
        <w:rPr>
          <w:rFonts w:ascii="Arial" w:hAnsi="Arial" w:cs="Arial"/>
          <w:sz w:val="22"/>
          <w:szCs w:val="22"/>
        </w:rPr>
        <w:t>high</w:t>
      </w:r>
      <w:r w:rsidR="00450BC3" w:rsidRPr="00D031B3">
        <w:rPr>
          <w:rFonts w:ascii="Arial" w:hAnsi="Arial" w:cs="Arial"/>
          <w:sz w:val="22"/>
          <w:szCs w:val="22"/>
        </w:rPr>
        <w:t xml:space="preserve"> yield must reach deep into the PFO bulk. Such long-range transfer mechanisms have recently attracted theoretical attention</w:t>
      </w:r>
      <w:r w:rsidR="00EF79C6" w:rsidRPr="005F4C5C">
        <w:rPr>
          <w:rFonts w:ascii="Arial" w:hAnsi="Arial" w:cs="Arial"/>
          <w:sz w:val="22"/>
          <w:szCs w:val="22"/>
        </w:rPr>
        <w:t>,</w:t>
      </w:r>
      <w:r w:rsidR="00EF79C6" w:rsidRPr="00D031B3">
        <w:rPr>
          <w:rFonts w:ascii="Arial" w:hAnsi="Arial" w:cs="Arial"/>
          <w:sz w:val="22"/>
          <w:szCs w:val="22"/>
        </w:rPr>
        <w:fldChar w:fldCharType="begin" w:fldLock="1"/>
      </w:r>
      <w:r w:rsidR="000B745C">
        <w:rPr>
          <w:rFonts w:ascii="Arial" w:hAnsi="Arial" w:cs="Arial"/>
          <w:sz w:val="22"/>
          <w:szCs w:val="22"/>
        </w:rPr>
        <w:instrText>ADDIN CSL_CITATION { "citationItems" : [ { "id" : "ITEM-1", "itemData" : { "ISSN" : "0027-8424", "author" : [ { "dropping-particle" : "", "family" : "Caruso", "given" : "Domenico", "non-dropping-particle" : "", "parse-names" : false, "suffix" : "" }, { "dropping-particle" : "", "family" : "Troisi", "given" : "Alessandro", "non-dropping-particle" : "", "parse-names" : false, "suffix" : "" } ], "container-title" : "Proceedings of the National Academy of Sciences", "id" : "ITEM-1", "issue" : "34", "issued" : { "date-parts" : [ [ "2012" ] ] }, "page" : "13498-13502", "publisher" : "National Acad Sciences", "title" : "Long-range exciton dissociation in organic solar cells", "type" : "article-journal", "volume" : "109" }, "uris" : [ "http://www.mendeley.com/documents/?uuid=17619586-cada-4c78-80cb-e55986ffa07f" ] } ], "mendeley" : { "formattedCitation" : "&lt;sup&gt;19&lt;/sup&gt;", "plainTextFormattedCitation" : "19", "previouslyFormattedCitation" : "&lt;sup&gt;19&lt;/sup&gt;" }, "properties" : { "noteIndex" : 0 }, "schema" : "https://github.com/citation-style-language/schema/raw/master/csl-citation.json" }</w:instrText>
      </w:r>
      <w:r w:rsidR="00EF79C6" w:rsidRPr="00D031B3">
        <w:rPr>
          <w:rFonts w:ascii="Arial" w:hAnsi="Arial" w:cs="Arial"/>
          <w:sz w:val="22"/>
          <w:szCs w:val="22"/>
        </w:rPr>
        <w:fldChar w:fldCharType="separate"/>
      </w:r>
      <w:r w:rsidR="000903BD" w:rsidRPr="000903BD">
        <w:rPr>
          <w:rFonts w:ascii="Arial" w:hAnsi="Arial" w:cs="Arial"/>
          <w:noProof/>
          <w:sz w:val="22"/>
          <w:szCs w:val="22"/>
          <w:vertAlign w:val="superscript"/>
        </w:rPr>
        <w:t>19</w:t>
      </w:r>
      <w:r w:rsidR="00EF79C6" w:rsidRPr="00D031B3">
        <w:rPr>
          <w:rFonts w:ascii="Arial" w:hAnsi="Arial" w:cs="Arial"/>
          <w:sz w:val="22"/>
          <w:szCs w:val="22"/>
        </w:rPr>
        <w:fldChar w:fldCharType="end"/>
      </w:r>
      <w:r w:rsidR="00450BC3" w:rsidRPr="00D031B3">
        <w:rPr>
          <w:rFonts w:ascii="Arial" w:hAnsi="Arial" w:cs="Arial"/>
          <w:sz w:val="22"/>
          <w:szCs w:val="22"/>
        </w:rPr>
        <w:t xml:space="preserve"> </w:t>
      </w:r>
      <w:r w:rsidR="004E7C31" w:rsidRPr="00D031B3">
        <w:rPr>
          <w:rFonts w:ascii="Arial" w:hAnsi="Arial" w:cs="Arial"/>
          <w:sz w:val="22"/>
          <w:szCs w:val="22"/>
        </w:rPr>
        <w:t>suggesting that in the case of extended wavefunction delocalization, tunnelling processes can become significant yielding attenuation factors below 0.2 nm</w:t>
      </w:r>
      <w:r w:rsidR="004E7C31" w:rsidRPr="00D031B3">
        <w:rPr>
          <w:rFonts w:ascii="Arial" w:hAnsi="Arial" w:cs="Arial"/>
          <w:sz w:val="22"/>
          <w:szCs w:val="22"/>
          <w:vertAlign w:val="superscript"/>
        </w:rPr>
        <w:t>-1</w:t>
      </w:r>
      <w:r w:rsidR="004E7C31" w:rsidRPr="00D031B3">
        <w:rPr>
          <w:rFonts w:ascii="Arial" w:hAnsi="Arial" w:cs="Arial"/>
          <w:sz w:val="22"/>
          <w:szCs w:val="22"/>
        </w:rPr>
        <w:t>. Very recently</w:t>
      </w:r>
      <w:r w:rsidR="007A087F">
        <w:rPr>
          <w:rFonts w:ascii="Arial" w:hAnsi="Arial" w:cs="Arial"/>
          <w:sz w:val="22"/>
          <w:szCs w:val="22"/>
        </w:rPr>
        <w:t>,</w:t>
      </w:r>
      <w:r w:rsidR="004E7C31" w:rsidRPr="00D031B3">
        <w:rPr>
          <w:rFonts w:ascii="Arial" w:hAnsi="Arial" w:cs="Arial"/>
          <w:sz w:val="22"/>
          <w:szCs w:val="22"/>
        </w:rPr>
        <w:t xml:space="preserve"> tunnelling has been shown to enable charge transport below the percolative threshold</w:t>
      </w:r>
      <w:r w:rsidR="00EF79C6" w:rsidRPr="005F4C5C">
        <w:rPr>
          <w:rFonts w:ascii="Arial" w:hAnsi="Arial" w:cs="Arial"/>
          <w:sz w:val="22"/>
          <w:szCs w:val="22"/>
        </w:rPr>
        <w:t>.</w:t>
      </w:r>
      <w:r w:rsidR="004E7C31" w:rsidRPr="00D031B3">
        <w:rPr>
          <w:rFonts w:ascii="Arial" w:hAnsi="Arial" w:cs="Arial"/>
          <w:sz w:val="22"/>
          <w:szCs w:val="22"/>
        </w:rPr>
        <w:fldChar w:fldCharType="begin" w:fldLock="1"/>
      </w:r>
      <w:r w:rsidR="000B745C">
        <w:rPr>
          <w:rFonts w:ascii="Arial" w:hAnsi="Arial" w:cs="Arial"/>
          <w:sz w:val="22"/>
          <w:szCs w:val="22"/>
        </w:rPr>
        <w:instrText>ADDIN CSL_CITATION { "citationItems" : [ { "id" : "ITEM-1", "itemData" : { "ISSN" : "1614-6840", "author" : [ { "dropping-particle" : "", "family" : "Melianas", "given" : "Armantas", "non-dropping-particle" : "", "parse-names" : false, "suffix" : "" }, { "dropping-particle" : "", "family" : "Pranculis", "given" : "Vytenis", "non-dropping-particle" : "", "parse-names" : false, "suffix" : "" }, { "dropping-particle" : "", "family" : "Spoltore", "given" : "Donato", "non-dropping-particle" : "", "parse-names" : false, "suffix" : "" }, { "dropping-particle" : "", "family" : "Benduhn", "given" : "Johannes", "non-dropping-particle" : "", "parse-names" : false, "suffix" : "" }, { "dropping-particle" : "", "family" : "Ingan\u00e4s", "given" : "Olle", "non-dropping-particle" : "", "parse-names" : false, "suffix" : "" }, { "dropping-particle" : "", "family" : "Gulbinas", "given" : "Vidmantas", "non-dropping-particle" : "", "parse-names" : false, "suffix" : "" }, { "dropping-particle" : "", "family" : "Vandewal", "given" : "Koen", "non-dropping-particle" : "", "parse-names" : false, "suffix" : "" }, { "dropping-particle" : "", "family" : "Kemerink", "given" : "Martijn", "non-dropping-particle" : "", "parse-names" : false, "suffix" : "" } ], "container-title" : "Advanced Energy Materials", "id" : "ITEM-1", "issued" : { "date-parts" : [ [ "2017" ] ] }, "publisher" : "Wiley Online Library", "title" : "Charge Transport in Pure and Mixed Phases in Organic Solar Cells", "type" : "article-journal" }, "uris" : [ "http://www.mendeley.com/documents/?uuid=982cc996-98dc-4ae2-9673-045034a92121" ] } ], "mendeley" : { "formattedCitation" : "&lt;sup&gt;49&lt;/sup&gt;", "plainTextFormattedCitation" : "49", "previouslyFormattedCitation" : "&lt;sup&gt;49&lt;/sup&gt;" }, "properties" : { "noteIndex" : 0 }, "schema" : "https://github.com/citation-style-language/schema/raw/master/csl-citation.json" }</w:instrText>
      </w:r>
      <w:r w:rsidR="004E7C31" w:rsidRPr="00D031B3">
        <w:rPr>
          <w:rFonts w:ascii="Arial" w:hAnsi="Arial" w:cs="Arial"/>
          <w:sz w:val="22"/>
          <w:szCs w:val="22"/>
        </w:rPr>
        <w:fldChar w:fldCharType="separate"/>
      </w:r>
      <w:r w:rsidR="000B745C" w:rsidRPr="000B745C">
        <w:rPr>
          <w:rFonts w:ascii="Arial" w:hAnsi="Arial" w:cs="Arial"/>
          <w:noProof/>
          <w:sz w:val="22"/>
          <w:szCs w:val="22"/>
          <w:vertAlign w:val="superscript"/>
        </w:rPr>
        <w:t>49</w:t>
      </w:r>
      <w:r w:rsidR="004E7C31" w:rsidRPr="00D031B3">
        <w:rPr>
          <w:rFonts w:ascii="Arial" w:hAnsi="Arial" w:cs="Arial"/>
          <w:sz w:val="22"/>
          <w:szCs w:val="22"/>
        </w:rPr>
        <w:fldChar w:fldCharType="end"/>
      </w:r>
      <w:r w:rsidR="004E7C31" w:rsidRPr="00D031B3">
        <w:rPr>
          <w:rFonts w:ascii="Arial" w:hAnsi="Arial" w:cs="Arial"/>
          <w:sz w:val="22"/>
          <w:szCs w:val="22"/>
        </w:rPr>
        <w:t xml:space="preserve"> The tunnelling rate has been related to the </w:t>
      </w:r>
      <w:r w:rsidR="009E5E77" w:rsidRPr="00D031B3">
        <w:rPr>
          <w:rFonts w:ascii="Arial" w:hAnsi="Arial" w:cs="Arial"/>
          <w:sz w:val="22"/>
          <w:szCs w:val="22"/>
        </w:rPr>
        <w:t>peripheral</w:t>
      </w:r>
      <w:r w:rsidR="004E7C31" w:rsidRPr="00D031B3">
        <w:rPr>
          <w:rFonts w:ascii="Arial" w:hAnsi="Arial" w:cs="Arial"/>
          <w:sz w:val="22"/>
          <w:szCs w:val="22"/>
        </w:rPr>
        <w:t xml:space="preserve"> logarithmic slope of the exciton wavefunction and thus to the extension of the excitonic wavefunction.</w:t>
      </w:r>
      <w:r w:rsidR="005344E9">
        <w:rPr>
          <w:rFonts w:ascii="Arial" w:hAnsi="Arial" w:cs="Arial"/>
          <w:sz w:val="22"/>
          <w:szCs w:val="22"/>
        </w:rPr>
        <w:fldChar w:fldCharType="begin" w:fldLock="1"/>
      </w:r>
      <w:r w:rsidR="000B745C">
        <w:rPr>
          <w:rFonts w:ascii="Arial" w:hAnsi="Arial" w:cs="Arial"/>
          <w:sz w:val="22"/>
          <w:szCs w:val="22"/>
        </w:rPr>
        <w:instrText>ADDIN CSL_CITATION { "citationItems" : [ { "id" : "ITEM-1", "itemData" : { "DOI" : "10.1038/ncomms5288", "ISSN" : "2041-1723", "PMID" : "24980429", "abstract" : "In polymeric semiconductors, charge carriers are polarons, which means that the excess charge deforms the molecular structure of the polymer chain that hosts it. This results in distinctive signatures in the vibrational modes of the polymer. Here, we probe polaron photogeneration dynamics at polymer:fullerene heterojunctions by monitoring its time-resolved resonance-Raman spectrum following ultrafast photoexcitation. We conclude that polarons emerge within 300\u2009fs. Surprisingly, further structural evolution on \u227250-ps timescales is modest, indicating that the polymer conformation hosting nascent polarons is not significantly different from that near equilibrium. We interpret this as suggestive that charges are free from their mutual Coulomb potential because we would expect rich vibrational dynamics associated with charge-pair relaxation. We address current debates on the photocarrier generation mechanism at molecular heterojunctions, and our work is, to our knowledge, the first direct probe of molecular conformation dynamics during this fundamentally important process in these materials.", "author" : [ { "dropping-particle" : "", "family" : "Provencher", "given" : "Fran\u00e7oise", "non-dropping-particle" : "", "parse-names" : false, "suffix" : "" }, { "dropping-particle" : "", "family" : "B\u00e9rub\u00e9", "given" : "Nicolas", "non-dropping-particle" : "", "parse-names" : false, "suffix" : "" }, { "dropping-particle" : "", "family" : "Parker", "given" : "Anthony W", "non-dropping-particle" : "", "parse-names" : false, "suffix" : "" }, { "dropping-particle" : "", "family" : "Greetham", "given" : "Gregory M", "non-dropping-particle" : "", "parse-names" : false, "suffix" : "" }, { "dropping-particle" : "", "family" : "Towrie", "given" : "Michael", "non-dropping-particle" : "", "parse-names" : false, "suffix" : "" }, { "dropping-particle" : "", "family" : "Hellmann", "given" : "Christoph", "non-dropping-particle" : "", "parse-names" : false, "suffix" : "" }, { "dropping-particle" : "", "family" : "C\u00f4t\u00e9", "given" : "Michel", "non-dropping-particle" : "", "parse-names" : false, "suffix" : "" }, { "dropping-particle" : "", "family" : "Stingelin", "given" : "Natalie", "non-dropping-particle" : "", "parse-names" : false, "suffix" : "" }, { "dropping-particle" : "", "family" : "Silva", "given" : "Carlos", "non-dropping-particle" : "", "parse-names" : false, "suffix" : "" }, { "dropping-particle" : "", "family" : "Hayes", "given" : "Sophia C", "non-dropping-particle" : "", "parse-names" : false, "suffix" : "" } ], "container-title" : "Nature communications", "id" : "ITEM-1", "issued" : { "date-parts" : [ [ "2014" ] ] }, "page" : "4288", "title" : "Direct observation of ultrafast long-range charge separation at polymer-fullerene heterojunctions.", "type" : "article-journal", "volume" : "5" }, "uris" : [ "http://www.mendeley.com/documents/?uuid=ec6e5177-b629-41ad-b1fa-edcd4203d656" ] } ], "mendeley" : { "formattedCitation" : "&lt;sup&gt;20&lt;/sup&gt;", "plainTextFormattedCitation" : "20", "previouslyFormattedCitation" : "&lt;sup&gt;20&lt;/sup&gt;" }, "properties" : { "noteIndex" : 0 }, "schema" : "https://github.com/citation-style-language/schema/raw/master/csl-citation.json" }</w:instrText>
      </w:r>
      <w:r w:rsidR="005344E9">
        <w:rPr>
          <w:rFonts w:ascii="Arial" w:hAnsi="Arial" w:cs="Arial"/>
          <w:sz w:val="22"/>
          <w:szCs w:val="22"/>
        </w:rPr>
        <w:fldChar w:fldCharType="separate"/>
      </w:r>
      <w:r w:rsidR="000903BD" w:rsidRPr="000903BD">
        <w:rPr>
          <w:rFonts w:ascii="Arial" w:hAnsi="Arial" w:cs="Arial"/>
          <w:noProof/>
          <w:sz w:val="22"/>
          <w:szCs w:val="22"/>
          <w:vertAlign w:val="superscript"/>
        </w:rPr>
        <w:t>20</w:t>
      </w:r>
      <w:r w:rsidR="005344E9">
        <w:rPr>
          <w:rFonts w:ascii="Arial" w:hAnsi="Arial" w:cs="Arial"/>
          <w:sz w:val="22"/>
          <w:szCs w:val="22"/>
        </w:rPr>
        <w:fldChar w:fldCharType="end"/>
      </w:r>
      <w:r w:rsidR="004E7C31" w:rsidRPr="00D031B3">
        <w:rPr>
          <w:rFonts w:ascii="Arial" w:hAnsi="Arial" w:cs="Arial"/>
          <w:sz w:val="22"/>
          <w:szCs w:val="22"/>
        </w:rPr>
        <w:t xml:space="preserve"> </w:t>
      </w:r>
    </w:p>
    <w:p w14:paraId="140059AA" w14:textId="60BBE97D" w:rsidR="00A72102" w:rsidRPr="00D031B3" w:rsidRDefault="004E7C31" w:rsidP="005B13BD">
      <w:pPr>
        <w:pStyle w:val="EndnoteText"/>
        <w:spacing w:before="160" w:after="160" w:line="360" w:lineRule="auto"/>
        <w:jc w:val="both"/>
        <w:rPr>
          <w:rFonts w:ascii="Arial" w:eastAsiaTheme="minorEastAsia" w:hAnsi="Arial" w:cs="Arial"/>
          <w:sz w:val="22"/>
          <w:szCs w:val="22"/>
        </w:rPr>
      </w:pPr>
      <w:r w:rsidRPr="00D031B3">
        <w:rPr>
          <w:rFonts w:ascii="Arial" w:hAnsi="Arial" w:cs="Arial"/>
          <w:sz w:val="22"/>
          <w:szCs w:val="22"/>
        </w:rPr>
        <w:lastRenderedPageBreak/>
        <w:t xml:space="preserve">Using TA spectroscopy, the extension of the excitonic wavefunction can be estimated by </w:t>
      </w:r>
      <w:r w:rsidR="00126EF1">
        <w:rPr>
          <w:rFonts w:ascii="Arial" w:hAnsi="Arial" w:cs="Arial"/>
          <w:sz w:val="22"/>
          <w:szCs w:val="22"/>
        </w:rPr>
        <w:t>com</w:t>
      </w:r>
      <w:r w:rsidR="008B488C">
        <w:rPr>
          <w:rFonts w:ascii="Arial" w:hAnsi="Arial" w:cs="Arial"/>
          <w:sz w:val="22"/>
          <w:szCs w:val="22"/>
        </w:rPr>
        <w:t xml:space="preserve">paring the cross-section of the photobleach of the exciton to the ground state absorption cross-section per monomer </w:t>
      </w:r>
      <w:r w:rsidRPr="00D031B3">
        <w:rPr>
          <w:rFonts w:ascii="Arial" w:hAnsi="Arial" w:cs="Arial"/>
          <w:sz w:val="22"/>
          <w:szCs w:val="22"/>
        </w:rPr>
        <w:t xml:space="preserve"> </w:t>
      </w:r>
      <m:oMath>
        <m:sSub>
          <m:sSubPr>
            <m:ctrlPr>
              <w:rPr>
                <w:rFonts w:ascii="Cambria Math" w:hAnsi="Cambria Math"/>
                <w:i/>
              </w:rPr>
            </m:ctrlPr>
          </m:sSubPr>
          <m:e>
            <m:r>
              <w:rPr>
                <w:rFonts w:ascii="Cambria Math" w:hAnsi="Cambria Math"/>
              </w:rPr>
              <m:t>L</m:t>
            </m:r>
          </m:e>
          <m:sub>
            <m:r>
              <w:rPr>
                <w:rFonts w:ascii="Cambria Math" w:hAnsi="Cambria Math"/>
              </w:rPr>
              <m:t>exc</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exc</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oMath>
      <w:r w:rsidRPr="00D031B3">
        <w:rPr>
          <w:rFonts w:ascii="Arial" w:eastAsiaTheme="minorEastAsia" w:hAnsi="Arial" w:cs="Arial"/>
          <w:sz w:val="22"/>
          <w:szCs w:val="22"/>
        </w:rPr>
        <w:t>in the phase space filling (PSF) picture</w:t>
      </w:r>
      <w:r w:rsidR="00796E94" w:rsidRPr="00D031B3">
        <w:rPr>
          <w:rFonts w:ascii="Arial" w:eastAsiaTheme="minorEastAsia" w:hAnsi="Arial" w:cs="Arial"/>
          <w:sz w:val="22"/>
          <w:szCs w:val="22"/>
        </w:rPr>
        <w:t>.</w:t>
      </w:r>
      <w:r w:rsidRPr="00D031B3">
        <w:rPr>
          <w:rFonts w:ascii="Arial" w:eastAsiaTheme="minorEastAsia" w:hAnsi="Arial" w:cs="Arial"/>
          <w:sz w:val="22"/>
          <w:szCs w:val="22"/>
        </w:rPr>
        <w:fldChar w:fldCharType="begin" w:fldLock="1"/>
      </w:r>
      <w:r w:rsidR="000B745C">
        <w:rPr>
          <w:rFonts w:ascii="Arial" w:eastAsiaTheme="minorEastAsia" w:hAnsi="Arial" w:cs="Arial"/>
          <w:sz w:val="22"/>
          <w:szCs w:val="22"/>
        </w:rPr>
        <w:instrText>ADDIN CSL_CITATION { "citationItems" : [ { "id" : "ITEM-1", "itemData" : { "ISSN" : "0018-9197", "author" : [ { "dropping-particle" : "", "family" : "Cruz", "given" : "C H Brito", "non-dropping-particle" : "", "parse-names" : false, "suffix" : "" }, { "dropping-particle" : "", "family" : "Gordon", "given" : "J P", "non-dropping-particle" : "", "parse-names" : false, "suffix" : "" }, { "dropping-particle" : "", "family" : "Becker", "given" : "P C", "non-dropping-particle" : "", "parse-names" : false, "suffix" : "" }, { "dropping-particle" : "", "family" : "Fork", "given" : "R L", "non-dropping-particle" : "", "parse-names" : false, "suffix" : "" }, { "dropping-particle" : "V", "family" : "Shank", "given" : "Charles", "non-dropping-particle" : "", "parse-names" : false, "suffix" : "" } ], "container-title" : "IEEE journal of quantum electronics", "id" : "ITEM-1", "issue" : "2", "issued" : { "date-parts" : [ [ "1988" ] ] }, "page" : "261-269", "publisher" : "IEEE", "title" : "Dynamics of spectral hole burning", "type" : "article-journal", "volume" : "24" }, "uris" : [ "http://www.mendeley.com/documents/?uuid=7e239081-f5e6-4188-a8c8-2e1bd99d137a" ] }, { "id" : "ITEM-2", "itemData" : { "DOI" : "10.1063/1.469393", "ISSN" : "0021-9606", "abstract" : "The properties of excitons in one\u2010dimensional molecular aggregates, dissolved at room temperature in a liquid, were studied by means of femtosecond nonlinear optical experiments. Both the one\u2010exciton band (i.e., Frenkel\u2010excitons) and multiexciton bands contribute to the observed nonlinear optical response. The rapid motions in the liquid lead to ultrafast perturbations of the molecular energy levels. This localizes the excitons on limited sections of the chains of aggregated molecules. Ultrafast frequency\u2010resolved pump\u2013probe spectroscopy on the lowest two exciton bands was employed to determine the delocalization length of the optical excitations. The kinetics of the exciton populations was measured by ultrafast grating scattering experiments and time\u2010resolved single photon counting. A model is described in which the multiexciton bands act as doorway states in the exciton\u2013exciton annihilation process. These bands thereby determine the population decay of the Frenkel excitons at high excitation densities. ...", "author" : [ { "dropping-particle" : "", "family" : "Burgel", "given" : "Mirjam", "non-dropping-particle" : "van", "parse-names" : false, "suffix" : "" }, { "dropping-particle" : "", "family" : "Wiersma", "given" : "Douwe A.", "non-dropping-particle" : "", "parse-names" : false, "suffix" : "" }, { "dropping-particle" : "", "family" : "Duppen", "given" : "Koos", "non-dropping-particle" : "", "parse-names" : false, "suffix" : "" } ], "container-title" : "The Journal of Chemical Physics", "id" : "ITEM-2", "issue" : "1", "issued" : { "date-parts" : [ [ "1995", "1", "4" ] ] }, "page" : "20-33", "publisher" : "American Institute of Physics", "title" : "The dynamics of one\u2010dimensional excitons in liquids", "type" : "article-journal", "volume" : "102" }, "uris" : [ "http://www.mendeley.com/documents/?uuid=c3e1c44a-2e1d-3058-9a5a-89786ce0e78a" ] } ], "mendeley" : { "formattedCitation" : "&lt;sup&gt;50,51&lt;/sup&gt;", "plainTextFormattedCitation" : "50,51", "previouslyFormattedCitation" : "&lt;sup&gt;50,51&lt;/sup&gt;" }, "properties" : { "noteIndex" : 0 }, "schema" : "https://github.com/citation-style-language/schema/raw/master/csl-citation.json" }</w:instrText>
      </w:r>
      <w:r w:rsidRPr="00D031B3">
        <w:rPr>
          <w:rFonts w:ascii="Arial" w:eastAsiaTheme="minorEastAsia" w:hAnsi="Arial" w:cs="Arial"/>
          <w:sz w:val="22"/>
          <w:szCs w:val="22"/>
        </w:rPr>
        <w:fldChar w:fldCharType="separate"/>
      </w:r>
      <w:r w:rsidR="000B745C" w:rsidRPr="000B745C">
        <w:rPr>
          <w:rFonts w:ascii="Arial" w:eastAsiaTheme="minorEastAsia" w:hAnsi="Arial" w:cs="Arial"/>
          <w:noProof/>
          <w:sz w:val="22"/>
          <w:szCs w:val="22"/>
          <w:vertAlign w:val="superscript"/>
        </w:rPr>
        <w:t>50,51</w:t>
      </w:r>
      <w:r w:rsidRPr="00D031B3">
        <w:rPr>
          <w:rFonts w:ascii="Arial" w:eastAsiaTheme="minorEastAsia" w:hAnsi="Arial" w:cs="Arial"/>
          <w:sz w:val="22"/>
          <w:szCs w:val="22"/>
        </w:rPr>
        <w:fldChar w:fldCharType="end"/>
      </w:r>
      <w:r w:rsidRPr="00D031B3">
        <w:rPr>
          <w:rFonts w:ascii="Arial" w:eastAsiaTheme="minorEastAsia" w:hAnsi="Arial" w:cs="Arial"/>
          <w:sz w:val="22"/>
          <w:szCs w:val="22"/>
        </w:rPr>
        <w:t xml:space="preserve"> The full procedure is given in the ESI. </w:t>
      </w:r>
      <w:r w:rsidR="007A087F">
        <w:rPr>
          <w:rFonts w:ascii="Arial" w:eastAsiaTheme="minorEastAsia" w:hAnsi="Arial" w:cs="Arial"/>
          <w:sz w:val="22"/>
          <w:szCs w:val="22"/>
        </w:rPr>
        <w:t>E</w:t>
      </w:r>
      <w:r w:rsidRPr="00D031B3">
        <w:rPr>
          <w:rFonts w:ascii="Arial" w:eastAsiaTheme="minorEastAsia" w:hAnsi="Arial" w:cs="Arial"/>
          <w:sz w:val="22"/>
          <w:szCs w:val="22"/>
        </w:rPr>
        <w:t xml:space="preserve">xtension of the wavefunction over at least 11 monomers </w:t>
      </w:r>
      <w:r w:rsidR="007A087F">
        <w:rPr>
          <w:rFonts w:ascii="Arial" w:eastAsiaTheme="minorEastAsia" w:hAnsi="Arial" w:cs="Arial"/>
          <w:sz w:val="22"/>
          <w:szCs w:val="22"/>
        </w:rPr>
        <w:t xml:space="preserve">was found </w:t>
      </w:r>
      <w:r w:rsidRPr="00D031B3">
        <w:rPr>
          <w:rFonts w:ascii="Arial" w:eastAsiaTheme="minorEastAsia" w:hAnsi="Arial" w:cs="Arial"/>
          <w:sz w:val="22"/>
          <w:szCs w:val="22"/>
        </w:rPr>
        <w:t>for pure PFO (</w:t>
      </w:r>
      <w:r w:rsidR="004F37DC">
        <w:rPr>
          <w:rFonts w:ascii="Arial" w:eastAsiaTheme="minorEastAsia" w:hAnsi="Arial" w:cs="Arial"/>
          <w:sz w:val="22"/>
          <w:szCs w:val="22"/>
        </w:rPr>
        <w:t xml:space="preserve">18 for the </w:t>
      </w:r>
      <w:r w:rsidRPr="00D031B3">
        <w:rPr>
          <w:rFonts w:ascii="Arial" w:eastAsiaTheme="minorEastAsia" w:hAnsi="Arial" w:cs="Arial"/>
          <w:sz w:val="22"/>
          <w:szCs w:val="22"/>
        </w:rPr>
        <w:t>blends</w:t>
      </w:r>
      <w:r w:rsidR="007A087F">
        <w:rPr>
          <w:rFonts w:ascii="Arial" w:eastAsiaTheme="minorEastAsia" w:hAnsi="Arial" w:cs="Arial"/>
          <w:sz w:val="22"/>
          <w:szCs w:val="22"/>
        </w:rPr>
        <w:t>, re</w:t>
      </w:r>
      <w:r w:rsidR="004B5EB9">
        <w:rPr>
          <w:rFonts w:ascii="Arial" w:eastAsiaTheme="minorEastAsia" w:hAnsi="Arial" w:cs="Arial"/>
          <w:sz w:val="22"/>
          <w:szCs w:val="22"/>
        </w:rPr>
        <w:t>s</w:t>
      </w:r>
      <w:r w:rsidR="007A087F">
        <w:rPr>
          <w:rFonts w:ascii="Arial" w:eastAsiaTheme="minorEastAsia" w:hAnsi="Arial" w:cs="Arial"/>
          <w:sz w:val="22"/>
          <w:szCs w:val="22"/>
        </w:rPr>
        <w:t>pectively</w:t>
      </w:r>
      <w:r w:rsidRPr="00D031B3">
        <w:rPr>
          <w:rFonts w:ascii="Arial" w:eastAsiaTheme="minorEastAsia" w:hAnsi="Arial" w:cs="Arial"/>
          <w:sz w:val="22"/>
          <w:szCs w:val="22"/>
        </w:rPr>
        <w:t>). The fact that the exciton wavefunction</w:t>
      </w:r>
      <w:r w:rsidR="0012434F" w:rsidRPr="00D031B3">
        <w:rPr>
          <w:rFonts w:ascii="Arial" w:eastAsiaTheme="minorEastAsia" w:hAnsi="Arial" w:cs="Arial"/>
          <w:sz w:val="22"/>
          <w:szCs w:val="22"/>
        </w:rPr>
        <w:t xml:space="preserve"> extension</w:t>
      </w:r>
      <w:r w:rsidRPr="00D031B3">
        <w:rPr>
          <w:rFonts w:ascii="Arial" w:eastAsiaTheme="minorEastAsia" w:hAnsi="Arial" w:cs="Arial"/>
          <w:sz w:val="22"/>
          <w:szCs w:val="22"/>
        </w:rPr>
        <w:t xml:space="preserve"> is nearly double in the blends compared to the pure PFO, agrees with the stronger contribution of th</w:t>
      </w:r>
      <w:r w:rsidR="0012434F" w:rsidRPr="00D031B3">
        <w:rPr>
          <w:rFonts w:ascii="Arial" w:eastAsiaTheme="minorEastAsia" w:hAnsi="Arial" w:cs="Arial"/>
          <w:sz w:val="22"/>
          <w:szCs w:val="22"/>
        </w:rPr>
        <w:t>e ordered β</w:t>
      </w:r>
      <w:r w:rsidR="00DA0004">
        <w:rPr>
          <w:rFonts w:ascii="Arial" w:eastAsiaTheme="minorEastAsia" w:hAnsi="Arial" w:cs="Arial"/>
          <w:sz w:val="22"/>
          <w:szCs w:val="22"/>
        </w:rPr>
        <w:t>-</w:t>
      </w:r>
      <w:r w:rsidR="0012434F" w:rsidRPr="00D031B3">
        <w:rPr>
          <w:rFonts w:ascii="Arial" w:eastAsiaTheme="minorEastAsia" w:hAnsi="Arial" w:cs="Arial"/>
          <w:sz w:val="22"/>
          <w:szCs w:val="22"/>
        </w:rPr>
        <w:t>phase in the blends thus demonstrating that it is disorder limited. We highlight the difference between the exciton wavefunction extension and the electron-hole correlation length, the so-called “exciton size”, in the “collective electronic oscillator” (CEO) model</w:t>
      </w:r>
      <w:r w:rsidR="00796E94" w:rsidRPr="00D031B3">
        <w:rPr>
          <w:rFonts w:ascii="Arial" w:eastAsiaTheme="minorEastAsia" w:hAnsi="Arial" w:cs="Arial"/>
          <w:sz w:val="22"/>
          <w:szCs w:val="22"/>
        </w:rPr>
        <w:t>.</w:t>
      </w:r>
      <w:r w:rsidR="0012434F" w:rsidRPr="00D031B3">
        <w:rPr>
          <w:rFonts w:ascii="Arial" w:eastAsiaTheme="minorEastAsia" w:hAnsi="Arial" w:cs="Arial"/>
          <w:sz w:val="22"/>
          <w:szCs w:val="22"/>
        </w:rPr>
        <w:fldChar w:fldCharType="begin" w:fldLock="1"/>
      </w:r>
      <w:r w:rsidR="000B745C">
        <w:rPr>
          <w:rFonts w:ascii="Arial" w:eastAsiaTheme="minorEastAsia" w:hAnsi="Arial" w:cs="Arial"/>
          <w:sz w:val="22"/>
          <w:szCs w:val="22"/>
        </w:rPr>
        <w:instrText>ADDIN CSL_CITATION { "citationItems" : [ { "id" : "ITEM-1", "itemData" : { "ISSN" : "0036-8075", "author" : [ { "dropping-particle" : "", "family" : "Mukamel", "given" : "Shaul", "non-dropping-particle" : "", "parse-names" : false, "suffix" : "" }, { "dropping-particle" : "", "family" : "Tretiak", "given" : "Sergei", "non-dropping-particle" : "", "parse-names" : false, "suffix" : "" }, { "dropping-particle" : "", "family" : "Wagersreiter", "given" : "Thomas", "non-dropping-particle" : "", "parse-names" : false, "suffix" : "" }, { "dropping-particle" : "", "family" : "Chernyak", "given" : "Vladimir", "non-dropping-particle" : "", "parse-names" : false, "suffix" : "" } ], "container-title" : "Science", "id" : "ITEM-1", "issue" : "5327", "issued" : { "date-parts" : [ [ "1997" ] ] }, "page" : "781-787", "publisher" : "American Association for the Advancement of Science", "title" : "Electronic coherence and collective optical excitations of conjugated molecules", "type" : "article-journal", "volume" : "277" }, "uris" : [ "http://www.mendeley.com/documents/?uuid=443f51e7-07dd-4fa3-9986-fca337dca81a" ] } ], "mendeley" : { "formattedCitation" : "&lt;sup&gt;52&lt;/sup&gt;", "plainTextFormattedCitation" : "52", "previouslyFormattedCitation" : "&lt;sup&gt;52&lt;/sup&gt;" }, "properties" : { "noteIndex" : 0 }, "schema" : "https://github.com/citation-style-language/schema/raw/master/csl-citation.json" }</w:instrText>
      </w:r>
      <w:r w:rsidR="0012434F" w:rsidRPr="00D031B3">
        <w:rPr>
          <w:rFonts w:ascii="Arial" w:eastAsiaTheme="minorEastAsia" w:hAnsi="Arial" w:cs="Arial"/>
          <w:sz w:val="22"/>
          <w:szCs w:val="22"/>
        </w:rPr>
        <w:fldChar w:fldCharType="separate"/>
      </w:r>
      <w:r w:rsidR="000B745C" w:rsidRPr="000B745C">
        <w:rPr>
          <w:rFonts w:ascii="Arial" w:eastAsiaTheme="minorEastAsia" w:hAnsi="Arial" w:cs="Arial"/>
          <w:noProof/>
          <w:sz w:val="22"/>
          <w:szCs w:val="22"/>
          <w:vertAlign w:val="superscript"/>
        </w:rPr>
        <w:t>52</w:t>
      </w:r>
      <w:r w:rsidR="0012434F" w:rsidRPr="00D031B3">
        <w:rPr>
          <w:rFonts w:ascii="Arial" w:eastAsiaTheme="minorEastAsia" w:hAnsi="Arial" w:cs="Arial"/>
          <w:sz w:val="22"/>
          <w:szCs w:val="22"/>
        </w:rPr>
        <w:fldChar w:fldCharType="end"/>
      </w:r>
      <w:r w:rsidR="0012434F" w:rsidRPr="00D031B3">
        <w:rPr>
          <w:rFonts w:ascii="Arial" w:eastAsiaTheme="minorEastAsia" w:hAnsi="Arial" w:cs="Arial"/>
          <w:sz w:val="22"/>
          <w:szCs w:val="22"/>
        </w:rPr>
        <w:t xml:space="preserve"> The exciton size is typically much smaller than the exciton wavefunction extension. </w:t>
      </w:r>
      <w:r w:rsidR="007A087F">
        <w:rPr>
          <w:rFonts w:ascii="Arial" w:eastAsiaTheme="minorEastAsia" w:hAnsi="Arial" w:cs="Arial"/>
          <w:sz w:val="22"/>
          <w:szCs w:val="22"/>
        </w:rPr>
        <w:t>It is possible to conclude</w:t>
      </w:r>
      <w:r w:rsidRPr="00D031B3">
        <w:rPr>
          <w:rFonts w:ascii="Arial" w:eastAsiaTheme="minorEastAsia" w:hAnsi="Arial" w:cs="Arial"/>
          <w:sz w:val="22"/>
          <w:szCs w:val="22"/>
        </w:rPr>
        <w:t xml:space="preserve"> that </w:t>
      </w:r>
      <w:r w:rsidR="0012434F" w:rsidRPr="00D031B3">
        <w:rPr>
          <w:rFonts w:ascii="Arial" w:eastAsiaTheme="minorEastAsia" w:hAnsi="Arial" w:cs="Arial"/>
          <w:sz w:val="22"/>
          <w:szCs w:val="22"/>
        </w:rPr>
        <w:t xml:space="preserve">a wavefunction extension approaching </w:t>
      </w:r>
      <w:r w:rsidR="00D031B3">
        <w:rPr>
          <w:rFonts w:ascii="Arial" w:eastAsiaTheme="minorEastAsia" w:hAnsi="Arial" w:cs="Arial"/>
          <w:sz w:val="22"/>
          <w:szCs w:val="22"/>
        </w:rPr>
        <w:t>15</w:t>
      </w:r>
      <w:r w:rsidR="00D031B3" w:rsidRPr="00D031B3">
        <w:rPr>
          <w:rFonts w:ascii="Arial" w:eastAsiaTheme="minorEastAsia" w:hAnsi="Arial" w:cs="Arial"/>
          <w:sz w:val="22"/>
          <w:szCs w:val="22"/>
        </w:rPr>
        <w:t xml:space="preserve"> </w:t>
      </w:r>
      <w:r w:rsidR="0012434F" w:rsidRPr="00D031B3">
        <w:rPr>
          <w:rFonts w:ascii="Arial" w:eastAsiaTheme="minorEastAsia" w:hAnsi="Arial" w:cs="Arial"/>
          <w:sz w:val="22"/>
          <w:szCs w:val="22"/>
        </w:rPr>
        <w:t xml:space="preserve">nm (considering an effective length of </w:t>
      </w:r>
      <w:r w:rsidR="00D031B3">
        <w:rPr>
          <w:rFonts w:ascii="Arial" w:eastAsiaTheme="minorEastAsia" w:hAnsi="Arial" w:cs="Arial"/>
          <w:sz w:val="22"/>
          <w:szCs w:val="22"/>
        </w:rPr>
        <w:t xml:space="preserve">0.85 </w:t>
      </w:r>
      <w:r w:rsidR="0012434F" w:rsidRPr="00D031B3">
        <w:rPr>
          <w:rFonts w:ascii="Arial" w:eastAsiaTheme="minorEastAsia" w:hAnsi="Arial" w:cs="Arial"/>
          <w:sz w:val="22"/>
          <w:szCs w:val="22"/>
        </w:rPr>
        <w:t>nm per fluorene unit) can explain long-range transfer of PFO bulk excitons into charge</w:t>
      </w:r>
      <w:r w:rsidR="00DA0004">
        <w:rPr>
          <w:rFonts w:ascii="Arial" w:eastAsiaTheme="minorEastAsia" w:hAnsi="Arial" w:cs="Arial"/>
          <w:sz w:val="22"/>
          <w:szCs w:val="22"/>
        </w:rPr>
        <w:t>-</w:t>
      </w:r>
      <w:r w:rsidR="0012434F" w:rsidRPr="00D031B3">
        <w:rPr>
          <w:rFonts w:ascii="Arial" w:eastAsiaTheme="minorEastAsia" w:hAnsi="Arial" w:cs="Arial"/>
          <w:sz w:val="22"/>
          <w:szCs w:val="22"/>
        </w:rPr>
        <w:t xml:space="preserve">separated </w:t>
      </w:r>
      <w:r w:rsidR="0012434F" w:rsidRPr="00ED1917">
        <w:rPr>
          <w:rFonts w:ascii="Arial" w:eastAsiaTheme="minorEastAsia" w:hAnsi="Arial" w:cs="Arial"/>
          <w:sz w:val="22"/>
          <w:szCs w:val="22"/>
        </w:rPr>
        <w:t>states</w:t>
      </w:r>
    </w:p>
    <w:p w14:paraId="6576F760" w14:textId="1B8B1644" w:rsidR="00341490" w:rsidRPr="002F42A6" w:rsidRDefault="00410790" w:rsidP="002F42A6">
      <w:pPr>
        <w:tabs>
          <w:tab w:val="left" w:pos="0"/>
        </w:tabs>
        <w:spacing w:line="360" w:lineRule="auto"/>
        <w:jc w:val="both"/>
        <w:rPr>
          <w:rFonts w:ascii="Arial" w:eastAsiaTheme="minorEastAsia" w:hAnsi="Arial" w:cs="Arial"/>
        </w:rPr>
      </w:pPr>
      <w:r w:rsidRPr="002F42A6">
        <w:rPr>
          <w:rFonts w:ascii="Arial" w:eastAsiaTheme="minorEastAsia" w:hAnsi="Arial" w:cs="Arial"/>
        </w:rPr>
        <w:t xml:space="preserve">This </w:t>
      </w:r>
      <w:r w:rsidR="00BD50E1" w:rsidRPr="002F42A6">
        <w:rPr>
          <w:rFonts w:ascii="Arial" w:eastAsiaTheme="minorEastAsia" w:hAnsi="Arial" w:cs="Arial"/>
        </w:rPr>
        <w:t>justifies the absence of diffusional kinetics</w:t>
      </w:r>
      <w:r w:rsidR="00686593">
        <w:rPr>
          <w:rFonts w:ascii="Arial" w:eastAsiaTheme="minorEastAsia" w:hAnsi="Arial" w:cs="Arial"/>
        </w:rPr>
        <w:t>.</w:t>
      </w:r>
      <w:r w:rsidR="00BD50E1" w:rsidRPr="002F42A6">
        <w:rPr>
          <w:rFonts w:ascii="Arial" w:eastAsiaTheme="minorEastAsia" w:hAnsi="Arial" w:cs="Arial"/>
        </w:rPr>
        <w:t xml:space="preserve"> </w:t>
      </w:r>
      <w:r w:rsidR="00686593">
        <w:rPr>
          <w:rFonts w:ascii="Arial" w:eastAsiaTheme="minorEastAsia" w:hAnsi="Arial" w:cs="Arial"/>
        </w:rPr>
        <w:t>I</w:t>
      </w:r>
      <w:r w:rsidR="00BD50E1" w:rsidRPr="002F42A6">
        <w:rPr>
          <w:rFonts w:ascii="Arial" w:eastAsiaTheme="minorEastAsia" w:hAnsi="Arial" w:cs="Arial"/>
        </w:rPr>
        <w:t>t further allows a direct comparison of the charge transfer rates of our system with those of the prototypical photovoltaic blend, P3HT</w:t>
      </w:r>
      <w:r w:rsidR="005B13BD">
        <w:rPr>
          <w:rFonts w:ascii="Arial" w:eastAsiaTheme="minorEastAsia" w:hAnsi="Arial" w:cs="Arial"/>
        </w:rPr>
        <w:t>:</w:t>
      </w:r>
      <w:r w:rsidR="00BD50E1" w:rsidRPr="002F42A6">
        <w:rPr>
          <w:rFonts w:ascii="Arial" w:eastAsiaTheme="minorEastAsia" w:hAnsi="Arial" w:cs="Arial"/>
        </w:rPr>
        <w:t>PCBM. In this</w:t>
      </w:r>
      <w:r w:rsidR="00AD6E63" w:rsidRPr="002F42A6">
        <w:rPr>
          <w:rFonts w:ascii="Arial" w:eastAsiaTheme="minorEastAsia" w:hAnsi="Arial" w:cs="Arial"/>
        </w:rPr>
        <w:t xml:space="preserve"> latter</w:t>
      </w:r>
      <w:r w:rsidR="00BD50E1" w:rsidRPr="002F42A6">
        <w:rPr>
          <w:rFonts w:ascii="Arial" w:eastAsiaTheme="minorEastAsia" w:hAnsi="Arial" w:cs="Arial"/>
        </w:rPr>
        <w:t xml:space="preserve"> material, </w:t>
      </w:r>
      <w:r w:rsidR="007E7813" w:rsidRPr="002F42A6">
        <w:rPr>
          <w:rFonts w:ascii="Arial" w:eastAsiaTheme="minorEastAsia" w:hAnsi="Arial" w:cs="Arial"/>
        </w:rPr>
        <w:t>part of the exciton dissociation occurs on a sub-100 fs time scale</w:t>
      </w:r>
      <w:r w:rsidR="00C35FA0" w:rsidRPr="002F42A6">
        <w:rPr>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"DOI" : "10.1021/ja906621a", "ISBN" : "0002-7863", "ISSN" : "00027863", "PMID" : "19886624", "abstract" : "The formation dynamics of polaron pairs, polarons, and triplet excitons in regiorandom and regioregular poly(3-hexylthiophene) (RRa-P3HT and RR-P3HT) films was comprehensively studied by transient absorption spectroscopy over the wide wavelength region from 500 to 1650 nm under various excitation intensities. In both RRa-P3HT and RR-P3HT films, polaron pairs were generated not from relaxed singlet exciton states but from hot excitons on a time scale of &lt;100 fs and decayed monomolecularly by geminate recombination. In RRa-P3HT films, triplet excitons were rapidly generated on a picosecond time scale from higher exciton states produced by the singlet exciton-exciton annihilation as well as from the lowest singlet exciton states by the normal intersystem crossing. In RR-P3HT films, no triplet excitons were observed; polarons were also generated not from relaxed singlet exciton states but from hot excitons in competition with the formation of polaron pairs. The polarons formed in RR-P3HT can freely migrate and mainly recombine with other polarons bimolecularly in the nanosecond time domain. The ultrafast formation of triplet excitons can be explained by the singlet exciton fission into two triplets, and the ultrafast formation of polaron pairs and polarons can be explained on the basis of the hot-exciton dissociation model where the excess thermal energy of the initially formed hot excitons is necessary to overcome their Coulombic binding energy. The remarkably different formation dynamics in P3HTs with different regioregularities is discussed in terms of the film morphology of conjugated polymers.", "author" : [ { "dropping-particle" : "", "family" : "Guo", "given" : "Jiamo", "non-dropping-particle" : "", "parse-names" : false, "suffix" : "" }, { "dropping-particle" : "", "family" : "Ohkita", "given" : "Hideo", "non-dropping-particle" : "", "parse-names" : false, "suffix" : "" }, { "dropping-particle" : "", "family" : "Benten", "given" : "Hiroaki", "non-dropping-particle" : "", "parse-names" : false, "suffix" : "" }, { "dropping-particle" : "", "family" : "Ito", "given" : "Shinzaburo", "non-dropping-particle" : "", "parse-names" : false, "suffix" : "" } ], "container-title" : "Journal of the American Chemical Society", "id" : "ITEM-1", "issue" : "46", "issued" : { "date-parts" : [ [ "2009" ] ] }, "page" : "16869-16880", "title" : "Near-IR femtosecond transient absorption spectroscopy of ultrafast polaron and triplet exciton formation in polythiophene films with different regioregularities", "type" : "article-journal", "volume" : "131" }, "uris" : [ "http://www.mendeley.com/documents/?uuid=288f94ca-30ce-421d-b73e-6e2692445397" ] } ], "mendeley" : { "formattedCitation" : "&lt;sup&gt;53&lt;/sup&gt;", "plainTextFormattedCitation" : "53", "previouslyFormattedCitation" : "&lt;sup&gt;53&lt;/sup&gt;" }, "properties" : { "noteIndex" : 0 }, "schema" : "https://github.com/citation-style-language/schema/raw/master/csl-citation.json" }</w:instrText>
      </w:r>
      <w:r w:rsidR="00C35FA0" w:rsidRPr="002F42A6">
        <w:rPr>
          <w:rFonts w:ascii="Arial" w:eastAsiaTheme="minorEastAsia" w:hAnsi="Arial" w:cs="Arial"/>
        </w:rPr>
        <w:fldChar w:fldCharType="separate"/>
      </w:r>
      <w:r w:rsidR="000B745C" w:rsidRPr="000B745C">
        <w:rPr>
          <w:rFonts w:ascii="Arial" w:eastAsiaTheme="minorEastAsia" w:hAnsi="Arial" w:cs="Arial"/>
          <w:noProof/>
          <w:vertAlign w:val="superscript"/>
        </w:rPr>
        <w:t>53</w:t>
      </w:r>
      <w:r w:rsidR="00C35FA0" w:rsidRPr="002F42A6">
        <w:rPr>
          <w:rFonts w:ascii="Arial" w:eastAsiaTheme="minorEastAsia" w:hAnsi="Arial" w:cs="Arial"/>
        </w:rPr>
        <w:fldChar w:fldCharType="end"/>
      </w:r>
      <w:r w:rsidR="007E7813" w:rsidRPr="002F42A6">
        <w:rPr>
          <w:rFonts w:ascii="Arial" w:eastAsiaTheme="minorEastAsia" w:hAnsi="Arial" w:cs="Arial"/>
        </w:rPr>
        <w:t xml:space="preserve"> which has been explained by </w:t>
      </w:r>
      <w:r w:rsidR="003965D0" w:rsidRPr="002F42A6">
        <w:rPr>
          <w:rFonts w:ascii="Arial" w:eastAsiaTheme="minorEastAsia" w:hAnsi="Arial" w:cs="Arial"/>
        </w:rPr>
        <w:t>a coherent</w:t>
      </w:r>
      <w:r w:rsidR="007E7813" w:rsidRPr="002F42A6">
        <w:rPr>
          <w:rFonts w:ascii="Arial" w:eastAsiaTheme="minorEastAsia" w:hAnsi="Arial" w:cs="Arial"/>
        </w:rPr>
        <w:t xml:space="preserve"> </w:t>
      </w:r>
      <w:r w:rsidR="003965D0" w:rsidRPr="002F42A6">
        <w:rPr>
          <w:rFonts w:ascii="Arial" w:eastAsiaTheme="minorEastAsia" w:hAnsi="Arial" w:cs="Arial"/>
        </w:rPr>
        <w:t>mechanism</w:t>
      </w:r>
      <w:r w:rsidR="00C35FA0" w:rsidRPr="002F42A6">
        <w:rPr>
          <w:rFonts w:ascii="Arial" w:eastAsiaTheme="minorEastAsia" w:hAnsi="Arial" w:cs="Arial"/>
        </w:rPr>
        <w:t>.</w:t>
      </w:r>
      <w:r w:rsidR="00C35FA0" w:rsidRPr="002F42A6">
        <w:rPr>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"ISSN" : "0036-8075", "author" : [ { "dropping-particle" : "", "family" : "Falke", "given" : "Sarah Maria", "non-dropping-particle" : "", "parse-names" : false, "suffix" : "" }, { "dropping-particle" : "", "family" : "Rozzi", "given" : "Carlo Andrea", "non-dropping-particle" : "", "parse-names" : false, "suffix" : "" }, { "dropping-particle" : "", "family" : "Brida", "given" : "Daniele", "non-dropping-particle" : "", "parse-names" : false, "suffix" : "" }, { "dropping-particle" : "", "family" : "Maiuri", "given" : "Margherita", "non-dropping-particle" : "", "parse-names" : false, "suffix" : "" }, { "dropping-particle" : "", "family" : "Amato", "given" : "Michele", "non-dropping-particle" : "", "parse-names" : false, "suffix" : "" }, { "dropping-particle" : "", "family" : "Sommer", "given" : "Ephraim", "non-dropping-particle" : "", "parse-names" : false, "suffix" : "" }, { "dropping-particle" : "", "family" : "Sio", "given" : "Antonietta", "non-dropping-particle" : "De", "parse-names" : false, "suffix" : "" }, { "dropping-particle" : "", "family" : "Rubio", "given" : "Angel", "non-dropping-particle" : "", "parse-names" : false, "suffix" : "" }, { "dropping-particle" : "", "family" : "Cerullo", "given" : "Giulio", "non-dropping-particle" : "", "parse-names" : false, "suffix" : "" }, { "dropping-particle" : "", "family" : "Molinari", "given" : "Elisa", "non-dropping-particle" : "", "parse-names" : false, "suffix" : "" } ], "container-title" : "Science", "id" : "ITEM-1", "issue" : "6187", "issued" : { "date-parts" : [ [ "2014" ] ] }, "page" : "1001-1005", "publisher" : "American Association for the Advancement of Science", "title" : "Coherent ultrafast charge transfer in an organic photovoltaic blend", "type" : "article-journal", "volume" : "344" }, "uris" : [ "http://www.mendeley.com/documents/?uuid=a3957bb0-51c5-4b56-9b53-5fafb4222501" ] } ], "mendeley" : { "formattedCitation" : "&lt;sup&gt;18&lt;/sup&gt;", "plainTextFormattedCitation" : "18", "previouslyFormattedCitation" : "&lt;sup&gt;18&lt;/sup&gt;" }, "properties" : { "noteIndex" : 0 }, "schema" : "https://github.com/citation-style-language/schema/raw/master/csl-citation.json" }</w:instrText>
      </w:r>
      <w:r w:rsidR="00C35FA0" w:rsidRPr="002F42A6">
        <w:rPr>
          <w:rFonts w:ascii="Arial" w:eastAsiaTheme="minorEastAsia" w:hAnsi="Arial" w:cs="Arial"/>
        </w:rPr>
        <w:fldChar w:fldCharType="separate"/>
      </w:r>
      <w:r w:rsidR="000903BD" w:rsidRPr="000903BD">
        <w:rPr>
          <w:rFonts w:ascii="Arial" w:eastAsiaTheme="minorEastAsia" w:hAnsi="Arial" w:cs="Arial"/>
          <w:noProof/>
          <w:vertAlign w:val="superscript"/>
        </w:rPr>
        <w:t>18</w:t>
      </w:r>
      <w:r w:rsidR="00C35FA0" w:rsidRPr="002F42A6">
        <w:rPr>
          <w:rFonts w:ascii="Arial" w:eastAsiaTheme="minorEastAsia" w:hAnsi="Arial" w:cs="Arial"/>
        </w:rPr>
        <w:fldChar w:fldCharType="end"/>
      </w:r>
      <w:r w:rsidR="00BD50E1" w:rsidRPr="002F42A6">
        <w:rPr>
          <w:rFonts w:ascii="Arial" w:eastAsiaTheme="minorEastAsia" w:hAnsi="Arial" w:cs="Arial"/>
        </w:rPr>
        <w:t xml:space="preserve"> </w:t>
      </w:r>
      <w:r w:rsidR="00AD6E63" w:rsidRPr="002F42A6">
        <w:rPr>
          <w:rFonts w:ascii="Arial" w:eastAsiaTheme="minorEastAsia" w:hAnsi="Arial" w:cs="Arial"/>
        </w:rPr>
        <w:t xml:space="preserve"> In our material, exciton dissociation occurs nearly two orders of magnitude </w:t>
      </w:r>
      <w:r w:rsidR="007A087F">
        <w:rPr>
          <w:rFonts w:ascii="Arial" w:eastAsiaTheme="minorEastAsia" w:hAnsi="Arial" w:cs="Arial"/>
        </w:rPr>
        <w:t>slower</w:t>
      </w:r>
      <w:r w:rsidR="00AD6E63" w:rsidRPr="002F42A6">
        <w:rPr>
          <w:rFonts w:ascii="Arial" w:eastAsiaTheme="minorEastAsia" w:hAnsi="Arial" w:cs="Arial"/>
        </w:rPr>
        <w:t xml:space="preserve">. In the framework of Marcus theory, the electron transfer rate essentially depends on the Gibbs free energy change, the reorganization energy, and on the electronic coupling between initial and final state. </w:t>
      </w:r>
      <w:r w:rsidR="003965D0" w:rsidRPr="002F42A6">
        <w:rPr>
          <w:rFonts w:ascii="Arial" w:eastAsiaTheme="minorEastAsia" w:hAnsi="Arial" w:cs="Arial"/>
        </w:rPr>
        <w:t xml:space="preserve">Based on our GIWAXS data in Fig. </w:t>
      </w:r>
      <w:r w:rsidR="00115CAA">
        <w:rPr>
          <w:rFonts w:ascii="Arial" w:eastAsiaTheme="minorEastAsia" w:hAnsi="Arial" w:cs="Arial"/>
        </w:rPr>
        <w:t>3</w:t>
      </w:r>
      <w:r w:rsidR="003965D0" w:rsidRPr="002F42A6">
        <w:rPr>
          <w:rFonts w:ascii="Arial" w:eastAsiaTheme="minorEastAsia" w:hAnsi="Arial" w:cs="Arial"/>
        </w:rPr>
        <w:t xml:space="preserve">, </w:t>
      </w:r>
      <w:r w:rsidR="007A087F">
        <w:rPr>
          <w:rFonts w:ascii="Arial" w:eastAsiaTheme="minorEastAsia" w:hAnsi="Arial" w:cs="Arial"/>
        </w:rPr>
        <w:t>it was suggested</w:t>
      </w:r>
      <w:r w:rsidR="003965D0" w:rsidRPr="002F42A6">
        <w:rPr>
          <w:rFonts w:ascii="Arial" w:eastAsiaTheme="minorEastAsia" w:hAnsi="Arial" w:cs="Arial"/>
        </w:rPr>
        <w:t xml:space="preserve"> that in the </w:t>
      </w:r>
      <w:r w:rsidR="006A5771">
        <w:rPr>
          <w:rFonts w:ascii="Arial" w:hAnsi="Arial" w:cs="Arial"/>
        </w:rPr>
        <w:t>intercalated PDI:PFO phase</w:t>
      </w:r>
      <w:r w:rsidR="003965D0" w:rsidRPr="002F42A6">
        <w:rPr>
          <w:rFonts w:ascii="Arial" w:eastAsiaTheme="minorEastAsia" w:hAnsi="Arial" w:cs="Arial"/>
        </w:rPr>
        <w:t>, the molecular planes of PDI and PFO are oriented nearly perpendicularly with respect to each other. This orientation should</w:t>
      </w:r>
      <w:r w:rsidR="00D15906">
        <w:rPr>
          <w:rFonts w:ascii="Arial" w:eastAsiaTheme="minorEastAsia" w:hAnsi="Arial" w:cs="Arial"/>
        </w:rPr>
        <w:t xml:space="preserve"> significantly</w:t>
      </w:r>
      <w:r w:rsidR="003965D0" w:rsidRPr="002F42A6">
        <w:rPr>
          <w:rFonts w:ascii="Arial" w:eastAsiaTheme="minorEastAsia" w:hAnsi="Arial" w:cs="Arial"/>
        </w:rPr>
        <w:t xml:space="preserve"> reduce the electronic coupling with respect to an alignment of strong π-π interaction as in P3HT-PCBM, thus justifying the slow exciton dissociation rate in our case.</w:t>
      </w:r>
    </w:p>
    <w:p w14:paraId="206D9EBA" w14:textId="1E9A2D86" w:rsidR="00537247" w:rsidRPr="002F42A6" w:rsidRDefault="005451AD" w:rsidP="002F42A6">
      <w:pPr>
        <w:tabs>
          <w:tab w:val="left" w:pos="0"/>
        </w:tabs>
        <w:spacing w:line="360" w:lineRule="auto"/>
        <w:ind w:left="360"/>
        <w:jc w:val="both"/>
        <w:rPr>
          <w:rFonts w:ascii="Arial" w:eastAsiaTheme="minorEastAsia" w:hAnsi="Arial" w:cs="Arial"/>
          <w:b/>
        </w:rPr>
      </w:pPr>
      <w:r w:rsidRPr="00AA7325">
        <w:rPr>
          <w:rFonts w:ascii="Arial" w:eastAsiaTheme="minorEastAsia" w:hAnsi="Arial" w:cs="Arial"/>
          <w:b/>
          <w:noProof/>
          <w:lang w:eastAsia="en-GB"/>
        </w:rPr>
        <w:lastRenderedPageBreak/>
        <w:drawing>
          <wp:inline distT="0" distB="0" distL="0" distR="0" wp14:anchorId="71752A2E" wp14:editId="64584CF0">
            <wp:extent cx="5829990" cy="3373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4384" cy="3376012"/>
                    </a:xfrm>
                    <a:prstGeom prst="rect">
                      <a:avLst/>
                    </a:prstGeom>
                    <a:noFill/>
                  </pic:spPr>
                </pic:pic>
              </a:graphicData>
            </a:graphic>
          </wp:inline>
        </w:drawing>
      </w:r>
    </w:p>
    <w:p w14:paraId="490ED366" w14:textId="454E777E" w:rsidR="00537247" w:rsidRPr="002F42A6" w:rsidRDefault="00BC632E" w:rsidP="002F42A6">
      <w:pPr>
        <w:tabs>
          <w:tab w:val="left" w:pos="0"/>
        </w:tabs>
        <w:spacing w:line="360" w:lineRule="auto"/>
        <w:jc w:val="both"/>
        <w:rPr>
          <w:rFonts w:ascii="Arial" w:hAnsi="Arial" w:cs="Arial"/>
          <w:lang w:val="en-US"/>
        </w:rPr>
      </w:pPr>
      <w:r w:rsidRPr="002F42A6">
        <w:rPr>
          <w:rFonts w:ascii="Arial" w:hAnsi="Arial" w:cs="Arial"/>
          <w:b/>
          <w:lang w:val="en-US"/>
        </w:rPr>
        <w:t>Fig</w:t>
      </w:r>
      <w:r w:rsidR="006903E0" w:rsidRPr="002F42A6">
        <w:rPr>
          <w:rFonts w:ascii="Arial" w:hAnsi="Arial" w:cs="Arial"/>
          <w:b/>
          <w:lang w:val="en-US"/>
        </w:rPr>
        <w:t>ure</w:t>
      </w:r>
      <w:r w:rsidRPr="002F42A6">
        <w:rPr>
          <w:rFonts w:ascii="Arial" w:hAnsi="Arial" w:cs="Arial"/>
          <w:b/>
          <w:lang w:val="en-US"/>
        </w:rPr>
        <w:t xml:space="preserve"> </w:t>
      </w:r>
      <w:r w:rsidR="00C35FA0" w:rsidRPr="002F42A6">
        <w:rPr>
          <w:rFonts w:ascii="Arial" w:hAnsi="Arial" w:cs="Arial"/>
          <w:b/>
          <w:lang w:val="en-US"/>
        </w:rPr>
        <w:t>5</w:t>
      </w:r>
      <w:r w:rsidRPr="002F42A6">
        <w:rPr>
          <w:rFonts w:ascii="Arial" w:hAnsi="Arial" w:cs="Arial"/>
          <w:b/>
          <w:lang w:val="en-US"/>
        </w:rPr>
        <w:t>.</w:t>
      </w:r>
      <w:r w:rsidRPr="002F42A6">
        <w:rPr>
          <w:rFonts w:ascii="Arial" w:hAnsi="Arial" w:cs="Arial"/>
          <w:lang w:val="en-US"/>
        </w:rPr>
        <w:t xml:space="preserve"> Transient absorption (TA) spectra after pumping at 520 nm with 150 fs pulses (main absorption of PDI) in pure PDI and the blend </w:t>
      </w:r>
      <w:r w:rsidR="00C35FA0" w:rsidRPr="002F42A6">
        <w:rPr>
          <w:rFonts w:ascii="Arial" w:hAnsi="Arial" w:cs="Arial"/>
          <w:lang w:val="en-US"/>
        </w:rPr>
        <w:t>PDI</w:t>
      </w:r>
      <w:r w:rsidR="009E5E77" w:rsidRPr="002F42A6">
        <w:rPr>
          <w:rFonts w:ascii="Arial" w:hAnsi="Arial" w:cs="Arial"/>
          <w:lang w:val="en-US"/>
        </w:rPr>
        <w:t>: PFO</w:t>
      </w:r>
      <w:r w:rsidRPr="002F42A6">
        <w:rPr>
          <w:rFonts w:ascii="Arial" w:hAnsi="Arial" w:cs="Arial"/>
          <w:lang w:val="en-US"/>
        </w:rPr>
        <w:t xml:space="preserve"> (symbols in panel A and B, respectively). Solid lines in panels a) and b) are global fits according to a target analysis using the model given in panel c) and d), respectively. Panels c) and d) show the characteristic spectra, as resulting from the target analysis, in the same color as the corresponding states in the target model.</w:t>
      </w:r>
      <w:r w:rsidR="00CA4BEF" w:rsidRPr="002F42A6">
        <w:rPr>
          <w:rFonts w:ascii="Arial" w:hAnsi="Arial" w:cs="Arial"/>
          <w:lang w:val="en-US"/>
        </w:rPr>
        <w:t xml:space="preserve"> “C.P.” means charge pair in the PDI phase while “C.S.” </w:t>
      </w:r>
      <w:r w:rsidR="007A087F">
        <w:rPr>
          <w:rFonts w:ascii="Arial" w:hAnsi="Arial" w:cs="Arial"/>
          <w:lang w:val="en-US"/>
        </w:rPr>
        <w:t>denotes</w:t>
      </w:r>
      <w:r w:rsidR="007A087F" w:rsidRPr="002F42A6">
        <w:rPr>
          <w:rFonts w:ascii="Arial" w:hAnsi="Arial" w:cs="Arial"/>
          <w:lang w:val="en-US"/>
        </w:rPr>
        <w:t xml:space="preserve"> </w:t>
      </w:r>
      <w:r w:rsidR="00CA4BEF" w:rsidRPr="002F42A6">
        <w:rPr>
          <w:rFonts w:ascii="Arial" w:hAnsi="Arial" w:cs="Arial"/>
          <w:lang w:val="en-US"/>
        </w:rPr>
        <w:t>charge</w:t>
      </w:r>
      <w:r w:rsidR="00745EEE">
        <w:rPr>
          <w:rFonts w:ascii="Arial" w:hAnsi="Arial" w:cs="Arial"/>
          <w:lang w:val="en-US"/>
        </w:rPr>
        <w:t>-</w:t>
      </w:r>
      <w:r w:rsidR="00CA4BEF" w:rsidRPr="002F42A6">
        <w:rPr>
          <w:rFonts w:ascii="Arial" w:hAnsi="Arial" w:cs="Arial"/>
          <w:lang w:val="en-US"/>
        </w:rPr>
        <w:t>separated state in</w:t>
      </w:r>
      <w:r w:rsidR="002E123E">
        <w:rPr>
          <w:rFonts w:ascii="Arial" w:hAnsi="Arial" w:cs="Arial"/>
          <w:lang w:val="en-US"/>
        </w:rPr>
        <w:t xml:space="preserve"> the</w:t>
      </w:r>
      <w:r w:rsidR="00CA4BEF" w:rsidRPr="002F42A6">
        <w:rPr>
          <w:rFonts w:ascii="Arial" w:hAnsi="Arial" w:cs="Arial"/>
          <w:lang w:val="en-US"/>
        </w:rPr>
        <w:t xml:space="preserve"> </w:t>
      </w:r>
      <w:r w:rsidR="006A5771">
        <w:rPr>
          <w:rFonts w:ascii="Arial" w:hAnsi="Arial" w:cs="Arial"/>
        </w:rPr>
        <w:t>intercalated PDI:PFO phase</w:t>
      </w:r>
      <w:r w:rsidR="00CA4BEF" w:rsidRPr="002F42A6">
        <w:rPr>
          <w:rFonts w:ascii="Arial" w:hAnsi="Arial" w:cs="Arial"/>
          <w:lang w:val="en-US"/>
        </w:rPr>
        <w:t xml:space="preserve">. </w:t>
      </w:r>
    </w:p>
    <w:p w14:paraId="2D4CA3AC" w14:textId="1D69FFB6" w:rsidR="00106BCB" w:rsidRDefault="00F82E02" w:rsidP="00E74311">
      <w:pPr>
        <w:tabs>
          <w:tab w:val="left" w:pos="0"/>
        </w:tabs>
        <w:spacing w:line="360" w:lineRule="auto"/>
        <w:jc w:val="both"/>
        <w:rPr>
          <w:rFonts w:ascii="Arial" w:eastAsiaTheme="minorEastAsia" w:hAnsi="Arial" w:cs="Arial"/>
        </w:rPr>
      </w:pPr>
      <w:r w:rsidRPr="002F42A6">
        <w:rPr>
          <w:rFonts w:ascii="Arial" w:eastAsiaTheme="minorEastAsia" w:hAnsi="Arial" w:cs="Arial"/>
        </w:rPr>
        <w:t xml:space="preserve">In Figure </w:t>
      </w:r>
      <w:r w:rsidR="00F66B9C" w:rsidRPr="002F42A6">
        <w:rPr>
          <w:rFonts w:ascii="Arial" w:eastAsiaTheme="minorEastAsia" w:hAnsi="Arial" w:cs="Arial"/>
        </w:rPr>
        <w:t>5</w:t>
      </w:r>
      <w:r w:rsidRPr="002F42A6">
        <w:rPr>
          <w:rFonts w:ascii="Arial" w:eastAsiaTheme="minorEastAsia" w:hAnsi="Arial" w:cs="Arial"/>
        </w:rPr>
        <w:t xml:space="preserve">, </w:t>
      </w:r>
      <w:r w:rsidR="007A087F">
        <w:rPr>
          <w:rFonts w:ascii="Arial" w:eastAsiaTheme="minorEastAsia" w:hAnsi="Arial" w:cs="Arial"/>
        </w:rPr>
        <w:t>the</w:t>
      </w:r>
      <w:r w:rsidRPr="002F42A6">
        <w:rPr>
          <w:rFonts w:ascii="Arial" w:eastAsiaTheme="minorEastAsia" w:hAnsi="Arial" w:cs="Arial"/>
        </w:rPr>
        <w:t xml:space="preserve"> TA spectra </w:t>
      </w:r>
      <w:r w:rsidR="007A087F">
        <w:rPr>
          <w:rFonts w:ascii="Arial" w:eastAsiaTheme="minorEastAsia" w:hAnsi="Arial" w:cs="Arial"/>
        </w:rPr>
        <w:t xml:space="preserve">are shown </w:t>
      </w:r>
      <w:r w:rsidRPr="002F42A6">
        <w:rPr>
          <w:rFonts w:ascii="Arial" w:eastAsiaTheme="minorEastAsia" w:hAnsi="Arial" w:cs="Arial"/>
        </w:rPr>
        <w:t xml:space="preserve">for </w:t>
      </w:r>
      <w:r w:rsidR="007A087F">
        <w:rPr>
          <w:rFonts w:ascii="Arial" w:eastAsiaTheme="minorEastAsia" w:hAnsi="Arial" w:cs="Arial"/>
        </w:rPr>
        <w:t>pristine</w:t>
      </w:r>
      <w:r w:rsidR="007A087F" w:rsidRPr="002F42A6">
        <w:rPr>
          <w:rFonts w:ascii="Arial" w:eastAsiaTheme="minorEastAsia" w:hAnsi="Arial" w:cs="Arial"/>
        </w:rPr>
        <w:t xml:space="preserve"> </w:t>
      </w:r>
      <w:r w:rsidRPr="002F42A6">
        <w:rPr>
          <w:rFonts w:ascii="Arial" w:eastAsiaTheme="minorEastAsia" w:hAnsi="Arial" w:cs="Arial"/>
        </w:rPr>
        <w:t>PDI and the blend after selectively exciting the PDI phase at 520 nm (symbols in Fig</w:t>
      </w:r>
      <w:r w:rsidR="00115CAA">
        <w:rPr>
          <w:rFonts w:ascii="Arial" w:eastAsiaTheme="minorEastAsia" w:hAnsi="Arial" w:cs="Arial"/>
        </w:rPr>
        <w:t>.</w:t>
      </w:r>
      <w:r w:rsidRPr="002F42A6">
        <w:rPr>
          <w:rFonts w:ascii="Arial" w:eastAsiaTheme="minorEastAsia" w:hAnsi="Arial" w:cs="Arial"/>
        </w:rPr>
        <w:t xml:space="preserve"> </w:t>
      </w:r>
      <w:r w:rsidR="00D15906">
        <w:rPr>
          <w:rFonts w:ascii="Arial" w:eastAsiaTheme="minorEastAsia" w:hAnsi="Arial" w:cs="Arial"/>
        </w:rPr>
        <w:t>5</w:t>
      </w:r>
      <w:r w:rsidRPr="002F42A6">
        <w:rPr>
          <w:rFonts w:ascii="Arial" w:eastAsiaTheme="minorEastAsia" w:hAnsi="Arial" w:cs="Arial"/>
        </w:rPr>
        <w:t>a and b, respectively). In pure PDI (Fig</w:t>
      </w:r>
      <w:r w:rsidR="00115CAA">
        <w:rPr>
          <w:rFonts w:ascii="Arial" w:eastAsiaTheme="minorEastAsia" w:hAnsi="Arial" w:cs="Arial"/>
        </w:rPr>
        <w:t>.</w:t>
      </w:r>
      <w:r w:rsidRPr="002F42A6">
        <w:rPr>
          <w:rFonts w:ascii="Arial" w:eastAsiaTheme="minorEastAsia" w:hAnsi="Arial" w:cs="Arial"/>
        </w:rPr>
        <w:t xml:space="preserve"> </w:t>
      </w:r>
      <w:r w:rsidR="00D15906">
        <w:rPr>
          <w:rFonts w:ascii="Arial" w:eastAsiaTheme="minorEastAsia" w:hAnsi="Arial" w:cs="Arial"/>
        </w:rPr>
        <w:t>5</w:t>
      </w:r>
      <w:r w:rsidRPr="002F42A6">
        <w:rPr>
          <w:rFonts w:ascii="Arial" w:eastAsiaTheme="minorEastAsia" w:hAnsi="Arial" w:cs="Arial"/>
        </w:rPr>
        <w:t>a), the initial photoexcitation is described by the S</w:t>
      </w:r>
      <w:r w:rsidRPr="002F42A6">
        <w:rPr>
          <w:rFonts w:ascii="Arial" w:eastAsiaTheme="minorEastAsia" w:hAnsi="Arial" w:cs="Arial"/>
          <w:vertAlign w:val="subscript"/>
        </w:rPr>
        <w:t>A</w:t>
      </w:r>
      <w:r w:rsidRPr="002F42A6">
        <w:rPr>
          <w:rFonts w:ascii="Arial" w:eastAsiaTheme="minorEastAsia" w:hAnsi="Arial" w:cs="Arial"/>
        </w:rPr>
        <w:t xml:space="preserve"> band at 1.7 eV, residing on top of a broad background. </w:t>
      </w:r>
      <w:r w:rsidR="00106BCB">
        <w:rPr>
          <w:rFonts w:ascii="Arial" w:eastAsiaTheme="minorEastAsia" w:hAnsi="Arial" w:cs="Arial"/>
        </w:rPr>
        <w:t>Apart from an overall loss of 50% of the signal within a few ps, t</w:t>
      </w:r>
      <w:r w:rsidRPr="002F42A6">
        <w:rPr>
          <w:rFonts w:ascii="Arial" w:eastAsiaTheme="minorEastAsia" w:hAnsi="Arial" w:cs="Arial"/>
        </w:rPr>
        <w:t>here is very little</w:t>
      </w:r>
      <w:r w:rsidR="00106BCB">
        <w:rPr>
          <w:rFonts w:ascii="Arial" w:eastAsiaTheme="minorEastAsia" w:hAnsi="Arial" w:cs="Arial"/>
        </w:rPr>
        <w:t xml:space="preserve"> spectral</w:t>
      </w:r>
      <w:r w:rsidRPr="002F42A6">
        <w:rPr>
          <w:rFonts w:ascii="Arial" w:eastAsiaTheme="minorEastAsia" w:hAnsi="Arial" w:cs="Arial"/>
        </w:rPr>
        <w:t xml:space="preserve"> evolution </w:t>
      </w:r>
      <w:r w:rsidR="00D15906">
        <w:rPr>
          <w:rFonts w:ascii="Arial" w:eastAsiaTheme="minorEastAsia" w:hAnsi="Arial" w:cs="Arial"/>
        </w:rPr>
        <w:t>on</w:t>
      </w:r>
      <w:r w:rsidR="00D15906" w:rsidRPr="002F42A6">
        <w:rPr>
          <w:rFonts w:ascii="Arial" w:eastAsiaTheme="minorEastAsia" w:hAnsi="Arial" w:cs="Arial"/>
        </w:rPr>
        <w:t xml:space="preserve"> </w:t>
      </w:r>
      <w:r w:rsidRPr="002F42A6">
        <w:rPr>
          <w:rFonts w:ascii="Arial" w:eastAsiaTheme="minorEastAsia" w:hAnsi="Arial" w:cs="Arial"/>
        </w:rPr>
        <w:t xml:space="preserve">the femtosecond and picosecond time domain. </w:t>
      </w:r>
      <w:r w:rsidR="003A6987">
        <w:rPr>
          <w:rFonts w:ascii="Arial" w:eastAsiaTheme="minorEastAsia" w:hAnsi="Arial" w:cs="Arial"/>
        </w:rPr>
        <w:t>The</w:t>
      </w:r>
      <w:r w:rsidRPr="002F42A6">
        <w:rPr>
          <w:rFonts w:ascii="Arial" w:eastAsiaTheme="minorEastAsia" w:hAnsi="Arial" w:cs="Arial"/>
        </w:rPr>
        <w:t xml:space="preserve"> target analysis (Fig</w:t>
      </w:r>
      <w:r w:rsidR="00E94C67">
        <w:rPr>
          <w:rFonts w:ascii="Arial" w:eastAsiaTheme="minorEastAsia" w:hAnsi="Arial" w:cs="Arial"/>
        </w:rPr>
        <w:t>.</w:t>
      </w:r>
      <w:r w:rsidRPr="002F42A6">
        <w:rPr>
          <w:rFonts w:ascii="Arial" w:eastAsiaTheme="minorEastAsia" w:hAnsi="Arial" w:cs="Arial"/>
        </w:rPr>
        <w:t xml:space="preserve"> </w:t>
      </w:r>
      <w:r w:rsidR="00D15906">
        <w:rPr>
          <w:rFonts w:ascii="Arial" w:eastAsiaTheme="minorEastAsia" w:hAnsi="Arial" w:cs="Arial"/>
        </w:rPr>
        <w:t>5</w:t>
      </w:r>
      <w:r w:rsidRPr="002F42A6">
        <w:rPr>
          <w:rFonts w:ascii="Arial" w:eastAsiaTheme="minorEastAsia" w:hAnsi="Arial" w:cs="Arial"/>
        </w:rPr>
        <w:t>c, for details see ESI</w:t>
      </w:r>
      <w:r w:rsidR="00594EA7">
        <w:rPr>
          <w:rFonts w:ascii="Arial" w:eastAsiaTheme="minorEastAsia" w:hAnsi="Arial" w:cs="Arial"/>
        </w:rPr>
        <w:t>, part F</w:t>
      </w:r>
      <w:r w:rsidRPr="002F42A6">
        <w:rPr>
          <w:rFonts w:ascii="Arial" w:eastAsiaTheme="minorEastAsia" w:hAnsi="Arial" w:cs="Arial"/>
        </w:rPr>
        <w:t xml:space="preserve">) shows that there is a first order process with </w:t>
      </w:r>
      <w:r w:rsidR="00106BCB">
        <w:rPr>
          <w:rFonts w:ascii="Arial" w:eastAsiaTheme="minorEastAsia" w:hAnsi="Arial" w:cs="Arial"/>
        </w:rPr>
        <w:t>1.6</w:t>
      </w:r>
      <w:r w:rsidR="00106BCB" w:rsidRPr="002F42A6">
        <w:rPr>
          <w:rFonts w:ascii="Arial" w:eastAsiaTheme="minorEastAsia" w:hAnsi="Arial" w:cs="Arial"/>
        </w:rPr>
        <w:t xml:space="preserve"> </w:t>
      </w:r>
      <w:r w:rsidRPr="002F42A6">
        <w:rPr>
          <w:rFonts w:ascii="Arial" w:eastAsiaTheme="minorEastAsia" w:hAnsi="Arial" w:cs="Arial"/>
        </w:rPr>
        <w:t>ps lifetime, resulting in a significant reduction of the S</w:t>
      </w:r>
      <w:r w:rsidRPr="002F42A6">
        <w:rPr>
          <w:rFonts w:ascii="Arial" w:eastAsiaTheme="minorEastAsia" w:hAnsi="Arial" w:cs="Arial"/>
          <w:vertAlign w:val="subscript"/>
        </w:rPr>
        <w:t>A</w:t>
      </w:r>
      <w:r w:rsidRPr="002F42A6">
        <w:rPr>
          <w:rFonts w:ascii="Arial" w:eastAsiaTheme="minorEastAsia" w:hAnsi="Arial" w:cs="Arial"/>
        </w:rPr>
        <w:t xml:space="preserve"> band and a displacement of the broad PA background towards higher probe energies. Both spectral shapes and evolution are very similar to </w:t>
      </w:r>
      <w:r w:rsidR="007A087F">
        <w:rPr>
          <w:rFonts w:ascii="Arial" w:eastAsiaTheme="minorEastAsia" w:hAnsi="Arial" w:cs="Arial"/>
        </w:rPr>
        <w:t xml:space="preserve">the </w:t>
      </w:r>
      <w:r w:rsidRPr="002F42A6">
        <w:rPr>
          <w:rFonts w:ascii="Arial" w:eastAsiaTheme="minorEastAsia" w:hAnsi="Arial" w:cs="Arial"/>
        </w:rPr>
        <w:t>results obtained on a symmetric dyad of PDI.</w:t>
      </w:r>
      <w:r w:rsidRPr="002F42A6">
        <w:rPr>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"ISSN" : "1521-3765", "author" : [ { "dropping-particle" : "", "family" : "Fimmel", "given" : "Benjamin", "non-dropping-particle" : "", "parse-names" : false, "suffix" : "" }, { "dropping-particle" : "", "family" : "Son", "given" : "Minjung", "non-dropping-particle" : "", "parse-names" : false, "suffix" : "" }, { "dropping-particle" : "", "family" : "Sung", "given" : "Young Mo", "non-dropping-particle" : "", "parse-names" : false, "suffix" : "" }, { "dropping-particle" : "", "family" : "Gr\u00fcne", "given" : "Matthias", "non-dropping-particle" : "", "parse-names" : false, "suffix" : "" }, { "dropping-particle" : "", "family" : "Engels", "given" : "Bernd", "non-dropping-particle" : "", "parse-names" : false, "suffix" : "" }, { "dropping-particle" : "", "family" : "Kim", "given" : "Dongho", "non-dropping-particle" : "", "parse-names" : false, "suffix" : "" }, { "dropping-particle" : "", "family" : "W\u00fcrthner", "given" : "Frank", "non-dropping-particle" : "", "parse-names" : false, "suffix" : "" } ], "container-title" : "Chemistry\u2013A European Journal", "id" : "ITEM-1", "issue" : "2", "issued" : { "date-parts" : [ [ "2015" ] ] }, "page" : "615-630", "publisher" : "Wiley Online Library", "title" : "Phenylene Ethynylene\u2010Tethered Perylene Bisimide Folda\u2010Dimer and Folda\u2010Trimer: Investigations on Folding Features in Ground and Excited States", "type" : "article-journal", "volume" : "21" }, "uris" : [ "http://www.mendeley.com/documents/?uuid=b8248a61-971c-4de7-8d1b-c1317fe7cb0e" ] } ], "mendeley" : { "formattedCitation" : "&lt;sup&gt;54&lt;/sup&gt;", "plainTextFormattedCitation" : "54", "previouslyFormattedCitation" : "&lt;sup&gt;54&lt;/sup&gt;" }, "properties" : { "noteIndex" : 0 }, "schema" : "https://github.com/citation-style-language/schema/raw/master/csl-citation.json" }</w:instrText>
      </w:r>
      <w:r w:rsidRPr="002F42A6">
        <w:rPr>
          <w:rFonts w:ascii="Arial" w:eastAsiaTheme="minorEastAsia" w:hAnsi="Arial" w:cs="Arial"/>
        </w:rPr>
        <w:fldChar w:fldCharType="separate"/>
      </w:r>
      <w:r w:rsidR="000B745C" w:rsidRPr="000B745C">
        <w:rPr>
          <w:rFonts w:ascii="Arial" w:eastAsiaTheme="minorEastAsia" w:hAnsi="Arial" w:cs="Arial"/>
          <w:noProof/>
          <w:vertAlign w:val="superscript"/>
        </w:rPr>
        <w:t>54</w:t>
      </w:r>
      <w:r w:rsidRPr="002F42A6">
        <w:rPr>
          <w:rFonts w:ascii="Arial" w:eastAsiaTheme="minorEastAsia" w:hAnsi="Arial" w:cs="Arial"/>
        </w:rPr>
        <w:fldChar w:fldCharType="end"/>
      </w:r>
      <w:r w:rsidRPr="002F42A6">
        <w:rPr>
          <w:rFonts w:ascii="Arial" w:eastAsiaTheme="minorEastAsia" w:hAnsi="Arial" w:cs="Arial"/>
        </w:rPr>
        <w:t xml:space="preserve"> </w:t>
      </w:r>
      <w:r w:rsidR="002F38DC">
        <w:rPr>
          <w:rFonts w:ascii="Arial" w:eastAsiaTheme="minorEastAsia" w:hAnsi="Arial" w:cs="Arial"/>
        </w:rPr>
        <w:t>T</w:t>
      </w:r>
      <w:r w:rsidRPr="002F42A6">
        <w:rPr>
          <w:rFonts w:ascii="Arial" w:eastAsiaTheme="minorEastAsia" w:hAnsi="Arial" w:cs="Arial"/>
        </w:rPr>
        <w:t>he S</w:t>
      </w:r>
      <w:r w:rsidRPr="002F42A6">
        <w:rPr>
          <w:rFonts w:ascii="Arial" w:eastAsiaTheme="minorEastAsia" w:hAnsi="Arial" w:cs="Arial"/>
          <w:vertAlign w:val="subscript"/>
        </w:rPr>
        <w:t>A</w:t>
      </w:r>
      <w:r w:rsidRPr="002F42A6">
        <w:rPr>
          <w:rFonts w:ascii="Arial" w:eastAsiaTheme="minorEastAsia" w:hAnsi="Arial" w:cs="Arial"/>
        </w:rPr>
        <w:t xml:space="preserve"> band </w:t>
      </w:r>
      <w:r w:rsidR="002F38DC">
        <w:rPr>
          <w:rFonts w:ascii="Arial" w:eastAsiaTheme="minorEastAsia" w:hAnsi="Arial" w:cs="Arial"/>
        </w:rPr>
        <w:t xml:space="preserve">was assigned </w:t>
      </w:r>
      <w:r w:rsidRPr="002F42A6">
        <w:rPr>
          <w:rFonts w:ascii="Arial" w:eastAsiaTheme="minorEastAsia" w:hAnsi="Arial" w:cs="Arial"/>
        </w:rPr>
        <w:t>to excited state absorption for a monomeric singlet state in PDI, while the broad PA around 2.</w:t>
      </w:r>
      <w:r w:rsidR="004B580F">
        <w:rPr>
          <w:rFonts w:ascii="Arial" w:eastAsiaTheme="minorEastAsia" w:hAnsi="Arial" w:cs="Arial"/>
        </w:rPr>
        <w:t>1</w:t>
      </w:r>
      <w:r w:rsidRPr="002F42A6">
        <w:rPr>
          <w:rFonts w:ascii="Arial" w:eastAsiaTheme="minorEastAsia" w:hAnsi="Arial" w:cs="Arial"/>
        </w:rPr>
        <w:t xml:space="preserve"> eV was assigned to formation of a PDI excimer, here labelled EX</w:t>
      </w:r>
      <w:r w:rsidRPr="002F42A6">
        <w:rPr>
          <w:rFonts w:ascii="Arial" w:eastAsiaTheme="minorEastAsia" w:hAnsi="Arial" w:cs="Arial"/>
          <w:vertAlign w:val="subscript"/>
        </w:rPr>
        <w:t>A</w:t>
      </w:r>
      <w:r w:rsidRPr="002F42A6">
        <w:rPr>
          <w:rFonts w:ascii="Arial" w:eastAsiaTheme="minorEastAsia" w:hAnsi="Arial" w:cs="Arial"/>
        </w:rPr>
        <w:t>.</w:t>
      </w:r>
      <w:r w:rsidR="0086101D">
        <w:rPr>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"ISSN" : "1948-7185", "author" : [ { "dropping-particle" : "", "family" : "Schubert", "given" : "Alexander", "non-dropping-particle" : "", "parse-names" : false, "suffix" : "" }, { "dropping-particle" : "", "family" : "Settels", "given" : "Volker", "non-dropping-particle" : "", "parse-names" : false, "suffix" : "" }, { "dropping-particle" : "", "family" : "Liu", "given" : "Wenlan", "non-dropping-particle" : "", "parse-names" : false, "suffix" : "" }, { "dropping-particle" : "", "family" : "Wu\u0308rthner", "given" : "Frank", "non-dropping-particle" : "", "parse-names" : false, "suffix" : "" }, { "dropping-particle" : "", "family" : "Meier", "given" : "Christoph", "non-dropping-particle" : "", "parse-names" : false, "suffix" : "" }, { "dropping-particle" : "", "family" : "Fink", "given" : "Reinhold F", "non-dropping-particle" : "", "parse-names" : false, "suffix" : "" }, { "dropping-particle" : "", "family" : "Schindlbeck", "given" : "Stefan", "non-dropping-particle" : "", "parse-names" : false, "suffix" : "" }, { "dropping-particle" : "", "family" : "Lochbrunner", "given" : "Stefan", "non-dropping-particle" : "", "parse-names" : false, "suffix" : "" }, { "dropping-particle" : "", "family" : "Engels", "given" : "Bernd", "non-dropping-particle" : "", "parse-names" : false, "suffix" : "" }, { "dropping-particle" : "", "family" : "Engel", "given" : "Volker", "non-dropping-particle" : "", "parse-names" : false, "suffix" : "" } ], "container-title" : "The journal of physical chemistry letters", "id" : "ITEM-1", "issue" : "5", "issued" : { "date-parts" : [ [ "2013" ] ] }, "page" : "792-796", "publisher" : "ACS Publications", "title" : "Ultrafast exciton self-trapping upon geometry deformation in perylene-based molecular aggregates", "type" : "article-journal", "volume" : "4" }, "uris" : [ "http://www.mendeley.com/documents/?uuid=9d6851c5-9fa2-45d2-8df4-036e9cfe80fe" ] }, { "id" : "ITEM-2", "itemData" : { "ISSN" : "0002-7863", "author" : [ { "dropping-particle" : "", "family" : "Yoo", "given" : "Hyejin", "non-dropping-particle" : "", "parse-names" : false, "suffix" : "" }, { "dropping-particle" : "", "family" : "Yang", "given" : "Jaesung", "non-dropping-particle" : "", "parse-names" : false, "suffix" : "" }, { "dropping-particle" : "", "family" : "Yousef", "given" : "Andrew", "non-dropping-particle" : "", "parse-names" : false, "suffix" : "" }, { "dropping-particle" : "", "family" : "Wasielewski", "given" : "Michael R", "non-dropping-particle" : "", "parse-names" : false, "suffix" : "" }, { "dropping-particle" : "", "family" : "Kim", "given" : "Dongho", "non-dropping-particle" : "", "parse-names" : false, "suffix" : "" } ], "container-title" : "Journal of the American Chemical Society", "id" : "ITEM-2", "issue" : "11", "issued" : { "date-parts" : [ [ "2010" ] ] }, "page" : "3939-3944", "publisher" : "ACS Publications", "title" : "Excimer formation dynamics of intramolecular \u03c0-stacked perylenediimides probed by single-molecule fluorescence spectroscopy", "type" : "article-journal", "volume" : "132" }, "uris" : [ "http://www.mendeley.com/documents/?uuid=2eac85ec-f5c0-4902-bc3b-a31bb9cc64d8" ] } ], "mendeley" : { "formattedCitation" : "&lt;sup&gt;55,56&lt;/sup&gt;", "plainTextFormattedCitation" : "55,56", "previouslyFormattedCitation" : "&lt;sup&gt;55,56&lt;/sup&gt;" }, "properties" : { "noteIndex" : 0 }, "schema" : "https://github.com/citation-style-language/schema/raw/master/csl-citation.json" }</w:instrText>
      </w:r>
      <w:r w:rsidR="0086101D">
        <w:rPr>
          <w:rFonts w:ascii="Arial" w:eastAsiaTheme="minorEastAsia" w:hAnsi="Arial" w:cs="Arial"/>
        </w:rPr>
        <w:fldChar w:fldCharType="separate"/>
      </w:r>
      <w:r w:rsidR="000B745C" w:rsidRPr="000B745C">
        <w:rPr>
          <w:rFonts w:ascii="Arial" w:eastAsiaTheme="minorEastAsia" w:hAnsi="Arial" w:cs="Arial"/>
          <w:noProof/>
          <w:vertAlign w:val="superscript"/>
        </w:rPr>
        <w:t>55,56</w:t>
      </w:r>
      <w:r w:rsidR="0086101D">
        <w:rPr>
          <w:rFonts w:ascii="Arial" w:eastAsiaTheme="minorEastAsia" w:hAnsi="Arial" w:cs="Arial"/>
        </w:rPr>
        <w:fldChar w:fldCharType="end"/>
      </w:r>
      <w:r w:rsidRPr="002F42A6">
        <w:rPr>
          <w:rFonts w:ascii="Arial" w:eastAsiaTheme="minorEastAsia" w:hAnsi="Arial" w:cs="Arial"/>
        </w:rPr>
        <w:t xml:space="preserve"> </w:t>
      </w:r>
    </w:p>
    <w:p w14:paraId="2A60593D" w14:textId="1BFAC059" w:rsidR="00F82E02" w:rsidRPr="002F42A6" w:rsidRDefault="002B4514" w:rsidP="00E74311">
      <w:pPr>
        <w:tabs>
          <w:tab w:val="left" w:pos="0"/>
        </w:tabs>
        <w:spacing w:line="360" w:lineRule="auto"/>
        <w:jc w:val="both"/>
        <w:rPr>
          <w:rFonts w:ascii="Arial" w:eastAsiaTheme="minorEastAsia" w:hAnsi="Arial" w:cs="Arial"/>
        </w:rPr>
      </w:pPr>
      <w:r>
        <w:rPr>
          <w:rFonts w:ascii="Arial" w:eastAsiaTheme="minorEastAsia" w:hAnsi="Arial" w:cs="Arial"/>
        </w:rPr>
        <w:t xml:space="preserve">From the fact that about half of the </w:t>
      </w:r>
      <w:r w:rsidR="007F615F">
        <w:rPr>
          <w:rFonts w:ascii="Arial" w:eastAsiaTheme="minorEastAsia" w:hAnsi="Arial" w:cs="Arial"/>
        </w:rPr>
        <w:t xml:space="preserve">oscillator strength </w:t>
      </w:r>
      <w:r w:rsidR="000909C3">
        <w:rPr>
          <w:rFonts w:ascii="Arial" w:eastAsiaTheme="minorEastAsia" w:hAnsi="Arial" w:cs="Arial"/>
        </w:rPr>
        <w:t xml:space="preserve">in both </w:t>
      </w:r>
      <w:r w:rsidR="008252DC">
        <w:rPr>
          <w:rFonts w:ascii="Arial" w:eastAsiaTheme="minorEastAsia" w:hAnsi="Arial" w:cs="Arial"/>
        </w:rPr>
        <w:t xml:space="preserve">PA and PB regions </w:t>
      </w:r>
      <w:r w:rsidR="00A40383">
        <w:rPr>
          <w:rFonts w:ascii="Arial" w:eastAsiaTheme="minorEastAsia" w:hAnsi="Arial" w:cs="Arial"/>
        </w:rPr>
        <w:t xml:space="preserve">is lost in the final state </w:t>
      </w:r>
      <w:r w:rsidR="008252DC">
        <w:rPr>
          <w:rFonts w:ascii="Arial" w:eastAsiaTheme="minorEastAsia" w:hAnsi="Arial" w:cs="Arial"/>
        </w:rPr>
        <w:t xml:space="preserve">(compare black and red curves in Fig. 5c), </w:t>
      </w:r>
      <w:r w:rsidR="00A61FF8">
        <w:rPr>
          <w:rFonts w:ascii="Arial" w:eastAsiaTheme="minorEastAsia" w:hAnsi="Arial" w:cs="Arial"/>
        </w:rPr>
        <w:t>we can conclude that the excimer wavefunction must be significantly more localized than the excitonic one</w:t>
      </w:r>
      <w:r w:rsidR="004A7F58">
        <w:rPr>
          <w:rFonts w:ascii="Arial" w:eastAsiaTheme="minorEastAsia" w:hAnsi="Arial" w:cs="Arial"/>
        </w:rPr>
        <w:t>; otherwise the PB features would be retained during exciton formation.</w:t>
      </w:r>
      <w:r w:rsidR="00E81B72">
        <w:rPr>
          <w:rFonts w:ascii="Arial" w:eastAsiaTheme="minorEastAsia" w:hAnsi="Arial" w:cs="Arial"/>
        </w:rPr>
        <w:t xml:space="preserve"> By comparing the PB cross-section to the one from GSA of the </w:t>
      </w:r>
      <w:r w:rsidR="00E81B72">
        <w:rPr>
          <w:rFonts w:ascii="Arial" w:eastAsiaTheme="minorEastAsia" w:hAnsi="Arial" w:cs="Arial"/>
        </w:rPr>
        <w:lastRenderedPageBreak/>
        <w:t>same transition, we find a strong delocalization of the exciton wavefunction over about 25 PDI molecules</w:t>
      </w:r>
      <w:r w:rsidR="000833B7">
        <w:rPr>
          <w:rFonts w:ascii="Arial" w:eastAsiaTheme="minorEastAsia" w:hAnsi="Arial" w:cs="Arial"/>
        </w:rPr>
        <w:t xml:space="preserve"> (</w:t>
      </w:r>
      <w:r w:rsidR="003A6987">
        <w:rPr>
          <w:rFonts w:ascii="Arial" w:eastAsiaTheme="minorEastAsia" w:hAnsi="Arial" w:cs="Arial"/>
        </w:rPr>
        <w:t xml:space="preserve">see </w:t>
      </w:r>
      <w:r w:rsidR="000833B7">
        <w:rPr>
          <w:rFonts w:ascii="Arial" w:eastAsiaTheme="minorEastAsia" w:hAnsi="Arial" w:cs="Arial"/>
        </w:rPr>
        <w:t>ESI, part B</w:t>
      </w:r>
      <w:r w:rsidR="003A6987">
        <w:rPr>
          <w:rFonts w:ascii="Arial" w:eastAsiaTheme="minorEastAsia" w:hAnsi="Arial" w:cs="Arial"/>
        </w:rPr>
        <w:t>)</w:t>
      </w:r>
      <w:r w:rsidR="009F0409">
        <w:rPr>
          <w:rFonts w:ascii="Arial" w:eastAsiaTheme="minorEastAsia" w:hAnsi="Arial" w:cs="Arial"/>
        </w:rPr>
        <w:t>. I</w:t>
      </w:r>
      <w:r w:rsidR="00426754">
        <w:rPr>
          <w:rFonts w:ascii="Arial" w:eastAsiaTheme="minorEastAsia" w:hAnsi="Arial" w:cs="Arial"/>
        </w:rPr>
        <w:t>t can</w:t>
      </w:r>
      <w:r w:rsidR="009F0409">
        <w:rPr>
          <w:rFonts w:ascii="Arial" w:eastAsiaTheme="minorEastAsia" w:hAnsi="Arial" w:cs="Arial"/>
        </w:rPr>
        <w:t xml:space="preserve"> thus</w:t>
      </w:r>
      <w:r w:rsidR="00426754">
        <w:rPr>
          <w:rFonts w:ascii="Arial" w:eastAsiaTheme="minorEastAsia" w:hAnsi="Arial" w:cs="Arial"/>
        </w:rPr>
        <w:t xml:space="preserve"> be concluded </w:t>
      </w:r>
      <w:r w:rsidR="0047127F">
        <w:rPr>
          <w:rFonts w:ascii="Arial" w:eastAsiaTheme="minorEastAsia" w:hAnsi="Arial" w:cs="Arial"/>
        </w:rPr>
        <w:t>that about half of the initially delocalized exciton</w:t>
      </w:r>
      <w:r w:rsidR="004B5EB9">
        <w:rPr>
          <w:rFonts w:ascii="Arial" w:eastAsiaTheme="minorEastAsia" w:hAnsi="Arial" w:cs="Arial"/>
        </w:rPr>
        <w:t>s</w:t>
      </w:r>
      <w:r w:rsidR="0047127F">
        <w:rPr>
          <w:rFonts w:ascii="Arial" w:eastAsiaTheme="minorEastAsia" w:hAnsi="Arial" w:cs="Arial"/>
        </w:rPr>
        <w:t xml:space="preserve"> localize into excimers within 1.6 ps. A small tail in the experimental TA dynamics (see ESI</w:t>
      </w:r>
      <w:r w:rsidR="00594EA7">
        <w:rPr>
          <w:rFonts w:ascii="Arial" w:eastAsiaTheme="minorEastAsia" w:hAnsi="Arial" w:cs="Arial"/>
        </w:rPr>
        <w:t>, part B</w:t>
      </w:r>
      <w:r w:rsidR="0047127F">
        <w:rPr>
          <w:rFonts w:ascii="Arial" w:eastAsiaTheme="minorEastAsia" w:hAnsi="Arial" w:cs="Arial"/>
        </w:rPr>
        <w:t xml:space="preserve">), not rendered by the one step target model in Fig. 5c, </w:t>
      </w:r>
      <w:r w:rsidR="00CF402F">
        <w:rPr>
          <w:rFonts w:ascii="Arial" w:eastAsiaTheme="minorEastAsia" w:hAnsi="Arial" w:cs="Arial"/>
        </w:rPr>
        <w:t>might be</w:t>
      </w:r>
      <w:r w:rsidR="0047127F">
        <w:rPr>
          <w:rFonts w:ascii="Arial" w:eastAsiaTheme="minorEastAsia" w:hAnsi="Arial" w:cs="Arial"/>
        </w:rPr>
        <w:t xml:space="preserve"> caused by diffusive motion of further excitons towards pre-dimer sites</w:t>
      </w:r>
      <w:r w:rsidR="00F82E02" w:rsidRPr="002F42A6">
        <w:rPr>
          <w:rFonts w:ascii="Arial" w:eastAsiaTheme="minorEastAsia" w:hAnsi="Arial" w:cs="Arial"/>
        </w:rPr>
        <w:t>.</w:t>
      </w:r>
      <w:r w:rsidR="00F82E02" w:rsidRPr="002F42A6">
        <w:rPr>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"ISSN" : "1948-7185", "author" : [ { "dropping-particle" : "", "family" : "Gierschner", "given" : "Johannes", "non-dropping-particle" : "", "parse-names" : false, "suffix" : "" }, { "dropping-particle" : "", "family" : "Lu\u0308er", "given" : "Larry", "non-dropping-particle" : "", "parse-names" : false, "suffix" : "" }, { "dropping-particle" : "", "family" : "Milia\u0301n-Medina", "given" : "Begon\u0303a", "non-dropping-particle" : "", "parse-names" : false, "suffix" : "" }, { "dropping-particle" : "", "family" : "Oelkrug", "given" : "Dieter", "non-dropping-particle" : "", "parse-names" : false, "suffix" : "" }, { "dropping-particle" : "", "family" : "Egelhaaf", "given" : "Hans-Joachim", "non-dropping-particle" : "", "parse-names" : false, "suffix" : "" } ], "container-title" : "The Journal of Physical Chemistry Letters", "id" : "ITEM-1", "issue" : "16", "issued" : { "date-parts" : [ [ "2013" ] ] }, "page" : "2686-2697", "publisher" : "ACS Publications", "title" : "Highly emissive H-aggregates or aggregation-induced emission quenching? The photophysics of all-trans para-distyrylbenzene", "type" : "article-journal", "volume" : "4" }, "uris" : [ "http://www.mendeley.com/documents/?uuid=0990ba9a-18ab-4379-aa13-790206a1d5de" ] } ], "mendeley" : { "formattedCitation" : "&lt;sup&gt;57&lt;/sup&gt;", "plainTextFormattedCitation" : "57", "previouslyFormattedCitation" : "&lt;sup&gt;57&lt;/sup&gt;" }, "properties" : { "noteIndex" : 0 }, "schema" : "https://github.com/citation-style-language/schema/raw/master/csl-citation.json" }</w:instrText>
      </w:r>
      <w:r w:rsidR="00F82E02" w:rsidRPr="002F42A6">
        <w:rPr>
          <w:rFonts w:ascii="Arial" w:eastAsiaTheme="minorEastAsia" w:hAnsi="Arial" w:cs="Arial"/>
        </w:rPr>
        <w:fldChar w:fldCharType="separate"/>
      </w:r>
      <w:r w:rsidR="000B745C" w:rsidRPr="000B745C">
        <w:rPr>
          <w:rFonts w:ascii="Arial" w:eastAsiaTheme="minorEastAsia" w:hAnsi="Arial" w:cs="Arial"/>
          <w:noProof/>
          <w:vertAlign w:val="superscript"/>
        </w:rPr>
        <w:t>57</w:t>
      </w:r>
      <w:r w:rsidR="00F82E02" w:rsidRPr="002F42A6">
        <w:rPr>
          <w:rFonts w:ascii="Arial" w:eastAsiaTheme="minorEastAsia" w:hAnsi="Arial" w:cs="Arial"/>
        </w:rPr>
        <w:fldChar w:fldCharType="end"/>
      </w:r>
      <w:r w:rsidR="00F82E02" w:rsidRPr="002F42A6">
        <w:rPr>
          <w:rFonts w:ascii="Arial" w:eastAsiaTheme="minorEastAsia" w:hAnsi="Arial" w:cs="Arial"/>
        </w:rPr>
        <w:t xml:space="preserve"> </w:t>
      </w:r>
    </w:p>
    <w:p w14:paraId="4D4C358D" w14:textId="26A4FDDE" w:rsidR="00F82E02" w:rsidRPr="002F42A6" w:rsidRDefault="00F82E02">
      <w:pPr>
        <w:tabs>
          <w:tab w:val="left" w:pos="0"/>
        </w:tabs>
        <w:spacing w:line="360" w:lineRule="auto"/>
        <w:jc w:val="both"/>
        <w:rPr>
          <w:rFonts w:ascii="Arial" w:eastAsiaTheme="minorEastAsia" w:hAnsi="Arial" w:cs="Arial"/>
        </w:rPr>
      </w:pPr>
      <w:r w:rsidRPr="002F42A6">
        <w:rPr>
          <w:rFonts w:ascii="Arial" w:eastAsiaTheme="minorEastAsia" w:hAnsi="Arial" w:cs="Arial"/>
        </w:rPr>
        <w:t xml:space="preserve">If the same experiment is performed on the </w:t>
      </w:r>
      <w:r w:rsidR="005B13BD">
        <w:rPr>
          <w:rFonts w:ascii="Arial" w:eastAsiaTheme="minorEastAsia" w:hAnsi="Arial" w:cs="Arial"/>
        </w:rPr>
        <w:t>PDI:PFO</w:t>
      </w:r>
      <w:r w:rsidRPr="002F42A6">
        <w:rPr>
          <w:rFonts w:ascii="Arial" w:eastAsiaTheme="minorEastAsia" w:hAnsi="Arial" w:cs="Arial"/>
        </w:rPr>
        <w:t xml:space="preserve"> blends, radically different TA spectra are obtained even in the femtosecond time domain</w:t>
      </w:r>
      <w:r w:rsidR="00426754">
        <w:rPr>
          <w:rFonts w:ascii="Arial" w:eastAsiaTheme="minorEastAsia" w:hAnsi="Arial" w:cs="Arial"/>
        </w:rPr>
        <w:t xml:space="preserve"> (</w:t>
      </w:r>
      <w:r w:rsidRPr="002F42A6">
        <w:rPr>
          <w:rFonts w:ascii="Arial" w:eastAsiaTheme="minorEastAsia" w:hAnsi="Arial" w:cs="Arial"/>
        </w:rPr>
        <w:t>compar</w:t>
      </w:r>
      <w:r w:rsidR="004B5EB9">
        <w:rPr>
          <w:rFonts w:ascii="Arial" w:eastAsiaTheme="minorEastAsia" w:hAnsi="Arial" w:cs="Arial"/>
        </w:rPr>
        <w:t>e</w:t>
      </w:r>
      <w:r w:rsidRPr="002F42A6">
        <w:rPr>
          <w:rFonts w:ascii="Arial" w:eastAsiaTheme="minorEastAsia" w:hAnsi="Arial" w:cs="Arial"/>
        </w:rPr>
        <w:t xml:space="preserve"> Fig</w:t>
      </w:r>
      <w:r w:rsidR="00E94C67">
        <w:rPr>
          <w:rFonts w:ascii="Arial" w:eastAsiaTheme="minorEastAsia" w:hAnsi="Arial" w:cs="Arial"/>
        </w:rPr>
        <w:t>.</w:t>
      </w:r>
      <w:r w:rsidRPr="002F42A6">
        <w:rPr>
          <w:rFonts w:ascii="Arial" w:eastAsiaTheme="minorEastAsia" w:hAnsi="Arial" w:cs="Arial"/>
        </w:rPr>
        <w:t xml:space="preserve"> </w:t>
      </w:r>
      <w:r w:rsidR="00D15906">
        <w:rPr>
          <w:rFonts w:ascii="Arial" w:eastAsiaTheme="minorEastAsia" w:hAnsi="Arial" w:cs="Arial"/>
        </w:rPr>
        <w:t>5</w:t>
      </w:r>
      <w:r w:rsidR="00D15906" w:rsidRPr="002F42A6">
        <w:rPr>
          <w:rFonts w:ascii="Arial" w:eastAsiaTheme="minorEastAsia" w:hAnsi="Arial" w:cs="Arial"/>
        </w:rPr>
        <w:t xml:space="preserve">b </w:t>
      </w:r>
      <w:r w:rsidRPr="002F42A6">
        <w:rPr>
          <w:rFonts w:ascii="Arial" w:eastAsiaTheme="minorEastAsia" w:hAnsi="Arial" w:cs="Arial"/>
        </w:rPr>
        <w:t>and 5a, respectively</w:t>
      </w:r>
      <w:r w:rsidR="00426754">
        <w:rPr>
          <w:rFonts w:ascii="Arial" w:eastAsiaTheme="minorEastAsia" w:hAnsi="Arial" w:cs="Arial"/>
        </w:rPr>
        <w:t>)</w:t>
      </w:r>
      <w:r w:rsidRPr="002F42A6">
        <w:rPr>
          <w:rFonts w:ascii="Arial" w:eastAsiaTheme="minorEastAsia" w:hAnsi="Arial" w:cs="Arial"/>
        </w:rPr>
        <w:t>. Optical probes for PDI anions (C</w:t>
      </w:r>
      <w:r w:rsidRPr="002F42A6">
        <w:rPr>
          <w:rFonts w:ascii="Arial" w:eastAsiaTheme="minorEastAsia" w:hAnsi="Arial" w:cs="Arial"/>
          <w:vertAlign w:val="subscript"/>
        </w:rPr>
        <w:t>A</w:t>
      </w:r>
      <w:r w:rsidRPr="002F42A6">
        <w:rPr>
          <w:rFonts w:ascii="Arial" w:eastAsiaTheme="minorEastAsia" w:hAnsi="Arial" w:cs="Arial"/>
        </w:rPr>
        <w:t>) dominate the TA spectra at time scales as early as 600 fs after the excitation pulse.</w:t>
      </w:r>
      <w:r w:rsidR="00F052BF">
        <w:rPr>
          <w:rFonts w:ascii="Arial" w:eastAsiaTheme="minorEastAsia" w:hAnsi="Arial" w:cs="Arial"/>
        </w:rPr>
        <w:t xml:space="preserve"> The relatively sharp PA band at 2.</w:t>
      </w:r>
      <w:r w:rsidR="004B580F">
        <w:rPr>
          <w:rFonts w:ascii="Arial" w:eastAsiaTheme="minorEastAsia" w:hAnsi="Arial" w:cs="Arial"/>
        </w:rPr>
        <w:t>05</w:t>
      </w:r>
      <w:r w:rsidR="00F052BF">
        <w:rPr>
          <w:rFonts w:ascii="Arial" w:eastAsiaTheme="minorEastAsia" w:hAnsi="Arial" w:cs="Arial"/>
        </w:rPr>
        <w:t xml:space="preserve"> eV</w:t>
      </w:r>
      <w:r w:rsidR="00F861D8">
        <w:rPr>
          <w:rFonts w:ascii="Arial" w:eastAsiaTheme="minorEastAsia" w:hAnsi="Arial" w:cs="Arial"/>
        </w:rPr>
        <w:t>, shown in Fig. 5b,d,</w:t>
      </w:r>
      <w:r w:rsidR="003741CC">
        <w:rPr>
          <w:rFonts w:ascii="Arial" w:eastAsiaTheme="minorEastAsia" w:hAnsi="Arial" w:cs="Arial"/>
        </w:rPr>
        <w:t xml:space="preserve"> does not arise from excimers but </w:t>
      </w:r>
      <w:r w:rsidR="00601634">
        <w:rPr>
          <w:rFonts w:ascii="Arial" w:eastAsiaTheme="minorEastAsia" w:hAnsi="Arial" w:cs="Arial"/>
        </w:rPr>
        <w:t>is also a feature of charge separated states on PDI</w:t>
      </w:r>
      <w:r w:rsidR="003A6987">
        <w:rPr>
          <w:rFonts w:ascii="Arial" w:eastAsiaTheme="minorEastAsia" w:hAnsi="Arial" w:cs="Arial"/>
        </w:rPr>
        <w:t>.</w:t>
      </w:r>
      <w:r w:rsidR="00F904CD">
        <w:rPr>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"ISSN" : "0002-7863", "author" : [ { "dropping-particle" : "", "family" : "Sung", "given" : "Jooyoung", "non-dropping-particle" : "", "parse-names" : false, "suffix" : "" }, { "dropping-particle" : "", "family" : "Nowak-Kr\u00f3l", "given" : "Agnieszka", "non-dropping-particle" : "", "parse-names" : false, "suffix" : "" }, { "dropping-particle" : "", "family" : "Schlosser", "given" : "Felix", "non-dropping-particle" : "", "parse-names" : false, "suffix" : "" }, { "dropping-particle" : "", "family" : "Fimmel", "given" : "Benjamin", "non-dropping-particle" : "", "parse-names" : false, "suffix" : "" }, { "dropping-particle" : "", "family" : "Kim", "given" : "Woojae", "non-dropping-particle" : "", "parse-names" : false, "suffix" : "" }, { "dropping-particle" : "", "family" : "Kim", "given" : "Dongho", "non-dropping-particle" : "", "parse-names" : false, "suffix" : "" }, { "dropping-particle" : "", "family" : "Wu\u0308rthner", "given" : "Frank", "non-dropping-particle" : "", "parse-names" : false, "suffix" : "" } ], "container-title" : "Journal of the American Chemical Society", "id" : "ITEM-1", "issue" : "29", "issued" : { "date-parts" : [ [ "2016" ] ] }, "page" : "9029-9032", "publisher" : "ACS Publications", "title" : "Direct Observation of Excimer-Mediated Intramolecular Electron Transfer in a Cofacially-Stacked Perylene Bisimide Pair", "type" : "article-journal", "volume" : "138" }, "uris" : [ "http://www.mendeley.com/documents/?uuid=1865c7ec-699a-4b79-9b50-ae6018b1fff3" ] } ], "mendeley" : { "formattedCitation" : "&lt;sup&gt;42&lt;/sup&gt;", "plainTextFormattedCitation" : "42", "previouslyFormattedCitation" : "&lt;sup&gt;42&lt;/sup&gt;" }, "properties" : { "noteIndex" : 0 }, "schema" : "https://github.com/citation-style-language/schema/raw/master/csl-citation.json" }</w:instrText>
      </w:r>
      <w:r w:rsidR="00F904CD">
        <w:rPr>
          <w:rFonts w:ascii="Arial" w:eastAsiaTheme="minorEastAsia" w:hAnsi="Arial" w:cs="Arial"/>
        </w:rPr>
        <w:fldChar w:fldCharType="separate"/>
      </w:r>
      <w:r w:rsidR="000B745C" w:rsidRPr="000B745C">
        <w:rPr>
          <w:rFonts w:ascii="Arial" w:eastAsiaTheme="minorEastAsia" w:hAnsi="Arial" w:cs="Arial"/>
          <w:noProof/>
          <w:vertAlign w:val="superscript"/>
        </w:rPr>
        <w:t>42</w:t>
      </w:r>
      <w:r w:rsidR="00F904CD">
        <w:rPr>
          <w:rFonts w:ascii="Arial" w:eastAsiaTheme="minorEastAsia" w:hAnsi="Arial" w:cs="Arial"/>
        </w:rPr>
        <w:fldChar w:fldCharType="end"/>
      </w:r>
      <w:r w:rsidR="003A6987">
        <w:rPr>
          <w:rFonts w:ascii="Arial" w:eastAsiaTheme="minorEastAsia" w:hAnsi="Arial" w:cs="Arial"/>
        </w:rPr>
        <w:t xml:space="preserve"> </w:t>
      </w:r>
      <w:r w:rsidRPr="002F42A6">
        <w:rPr>
          <w:rFonts w:ascii="Arial" w:eastAsiaTheme="minorEastAsia" w:hAnsi="Arial" w:cs="Arial"/>
        </w:rPr>
        <w:t>This shows the formation of charged states in the PDI</w:t>
      </w:r>
      <w:r w:rsidR="005B13BD">
        <w:rPr>
          <w:rFonts w:ascii="Arial" w:eastAsiaTheme="minorEastAsia" w:hAnsi="Arial" w:cs="Arial"/>
        </w:rPr>
        <w:t>:PFO</w:t>
      </w:r>
      <w:r w:rsidRPr="002F42A6">
        <w:rPr>
          <w:rFonts w:ascii="Arial" w:eastAsiaTheme="minorEastAsia" w:hAnsi="Arial" w:cs="Arial"/>
        </w:rPr>
        <w:t xml:space="preserve"> blends on a femtosecond time scale. However, the corresponding optical probe for the PFO cations is hardly visible after 600 fs; a target analysis shows that it builds up from zero with a 3 ps rate constant </w:t>
      </w:r>
      <w:r w:rsidR="00D15906">
        <w:rPr>
          <w:rFonts w:ascii="Arial" w:eastAsiaTheme="minorEastAsia" w:hAnsi="Arial" w:cs="Arial"/>
        </w:rPr>
        <w:t>with first order kinetics</w:t>
      </w:r>
      <w:r w:rsidRPr="002F42A6">
        <w:rPr>
          <w:rFonts w:ascii="Arial" w:eastAsiaTheme="minorEastAsia" w:hAnsi="Arial" w:cs="Arial"/>
        </w:rPr>
        <w:t xml:space="preserve"> (compare red and black curves in </w:t>
      </w:r>
      <w:r w:rsidR="00E94C67" w:rsidRPr="002F42A6">
        <w:rPr>
          <w:rFonts w:ascii="Arial" w:eastAsiaTheme="minorEastAsia" w:hAnsi="Arial" w:cs="Arial"/>
        </w:rPr>
        <w:t>Fig</w:t>
      </w:r>
      <w:r w:rsidR="00E94C67">
        <w:rPr>
          <w:rFonts w:ascii="Arial" w:eastAsiaTheme="minorEastAsia" w:hAnsi="Arial" w:cs="Arial"/>
        </w:rPr>
        <w:t>.</w:t>
      </w:r>
      <w:r w:rsidR="00E94C67" w:rsidRPr="002F42A6">
        <w:rPr>
          <w:rFonts w:ascii="Arial" w:eastAsiaTheme="minorEastAsia" w:hAnsi="Arial" w:cs="Arial"/>
        </w:rPr>
        <w:t xml:space="preserve"> </w:t>
      </w:r>
      <w:r w:rsidR="00D15906">
        <w:rPr>
          <w:rFonts w:ascii="Arial" w:eastAsiaTheme="minorEastAsia" w:hAnsi="Arial" w:cs="Arial"/>
        </w:rPr>
        <w:t>5</w:t>
      </w:r>
      <w:r w:rsidRPr="002F42A6">
        <w:rPr>
          <w:rFonts w:ascii="Arial" w:eastAsiaTheme="minorEastAsia" w:hAnsi="Arial" w:cs="Arial"/>
        </w:rPr>
        <w:t>d around 1.85 eV). Concomitantly, a build-up of the B</w:t>
      </w:r>
      <w:r w:rsidRPr="002F42A6">
        <w:rPr>
          <w:rFonts w:ascii="Arial" w:eastAsiaTheme="minorEastAsia" w:hAnsi="Arial" w:cs="Arial"/>
          <w:vertAlign w:val="subscript"/>
        </w:rPr>
        <w:t>D</w:t>
      </w:r>
      <w:r w:rsidR="003905ED">
        <w:rPr>
          <w:rFonts w:ascii="Arial" w:eastAsiaTheme="minorEastAsia" w:hAnsi="Arial" w:cs="Arial"/>
          <w:vertAlign w:val="subscript"/>
        </w:rPr>
        <w:t>g</w:t>
      </w:r>
      <w:r w:rsidRPr="002F42A6">
        <w:rPr>
          <w:rFonts w:ascii="Arial" w:eastAsiaTheme="minorEastAsia" w:hAnsi="Arial" w:cs="Arial"/>
        </w:rPr>
        <w:t xml:space="preserve"> band is observed with the same kinetics. Although </w:t>
      </w:r>
      <w:r w:rsidR="00426754">
        <w:rPr>
          <w:rFonts w:ascii="Arial" w:eastAsiaTheme="minorEastAsia" w:hAnsi="Arial" w:cs="Arial"/>
        </w:rPr>
        <w:t>one</w:t>
      </w:r>
      <w:r w:rsidR="00426754" w:rsidRPr="002F42A6">
        <w:rPr>
          <w:rFonts w:ascii="Arial" w:eastAsiaTheme="minorEastAsia" w:hAnsi="Arial" w:cs="Arial"/>
        </w:rPr>
        <w:t xml:space="preserve"> </w:t>
      </w:r>
      <w:r w:rsidRPr="002F42A6">
        <w:rPr>
          <w:rFonts w:ascii="Arial" w:eastAsiaTheme="minorEastAsia" w:hAnsi="Arial" w:cs="Arial"/>
        </w:rPr>
        <w:t xml:space="preserve">cannot observe the PDI cation bands located at 2.3 eV, due to scattering of the pump pulse, the delayed build-up of PFO specific </w:t>
      </w:r>
      <w:r w:rsidR="00D15906">
        <w:rPr>
          <w:rFonts w:ascii="Arial" w:eastAsiaTheme="minorEastAsia" w:hAnsi="Arial" w:cs="Arial"/>
        </w:rPr>
        <w:t>probes for charged states</w:t>
      </w:r>
      <w:r w:rsidR="00D15906" w:rsidRPr="002F42A6">
        <w:rPr>
          <w:rFonts w:ascii="Arial" w:eastAsiaTheme="minorEastAsia" w:hAnsi="Arial" w:cs="Arial"/>
        </w:rPr>
        <w:t xml:space="preserve"> </w:t>
      </w:r>
      <w:r w:rsidRPr="002F42A6">
        <w:rPr>
          <w:rFonts w:ascii="Arial" w:eastAsiaTheme="minorEastAsia" w:hAnsi="Arial" w:cs="Arial"/>
        </w:rPr>
        <w:t>provides sufficient evidence to ascribe the first characteristic spectrum in Fig</w:t>
      </w:r>
      <w:r w:rsidR="00E94C67">
        <w:rPr>
          <w:rFonts w:ascii="Arial" w:eastAsiaTheme="minorEastAsia" w:hAnsi="Arial" w:cs="Arial"/>
        </w:rPr>
        <w:t>.</w:t>
      </w:r>
      <w:r w:rsidRPr="002F42A6">
        <w:rPr>
          <w:rFonts w:ascii="Arial" w:eastAsiaTheme="minorEastAsia" w:hAnsi="Arial" w:cs="Arial"/>
        </w:rPr>
        <w:t xml:space="preserve"> </w:t>
      </w:r>
      <w:r w:rsidR="002F38DC">
        <w:rPr>
          <w:rFonts w:ascii="Arial" w:eastAsiaTheme="minorEastAsia" w:hAnsi="Arial" w:cs="Arial"/>
        </w:rPr>
        <w:t>5</w:t>
      </w:r>
      <w:r w:rsidRPr="002F42A6">
        <w:rPr>
          <w:rFonts w:ascii="Arial" w:eastAsiaTheme="minorEastAsia" w:hAnsi="Arial" w:cs="Arial"/>
        </w:rPr>
        <w:t>d to a charge pair in the PDI phase. In a second step, holes are transferred from the PDI to the PFO</w:t>
      </w:r>
      <w:r w:rsidR="002E123E">
        <w:rPr>
          <w:rFonts w:ascii="Arial" w:eastAsiaTheme="minorEastAsia" w:hAnsi="Arial" w:cs="Arial"/>
        </w:rPr>
        <w:t xml:space="preserve"> within the</w:t>
      </w:r>
      <w:r w:rsidRPr="002F42A6">
        <w:rPr>
          <w:rFonts w:ascii="Arial" w:eastAsiaTheme="minorEastAsia" w:hAnsi="Arial" w:cs="Arial"/>
        </w:rPr>
        <w:t xml:space="preserve"> </w:t>
      </w:r>
      <w:r w:rsidR="006A5771">
        <w:rPr>
          <w:rFonts w:ascii="Arial" w:hAnsi="Arial" w:cs="Arial"/>
        </w:rPr>
        <w:t>intercalated PDI:PFO phas</w:t>
      </w:r>
      <w:r w:rsidR="006A5771" w:rsidRPr="00F904CD">
        <w:rPr>
          <w:rFonts w:ascii="Arial" w:hAnsi="Arial" w:cs="Arial"/>
        </w:rPr>
        <w:t>e</w:t>
      </w:r>
      <w:r w:rsidR="006A5771" w:rsidRPr="00AA7325" w:rsidDel="006A5771">
        <w:rPr>
          <w:rFonts w:ascii="Arial" w:eastAsiaTheme="minorEastAsia" w:hAnsi="Arial" w:cs="Arial"/>
        </w:rPr>
        <w:t xml:space="preserve"> </w:t>
      </w:r>
      <w:r w:rsidRPr="002F42A6">
        <w:rPr>
          <w:rFonts w:ascii="Arial" w:eastAsiaTheme="minorEastAsia" w:hAnsi="Arial" w:cs="Arial"/>
        </w:rPr>
        <w:t xml:space="preserve">in a first order reaction of 3 ps lifetime. </w:t>
      </w:r>
      <w:r w:rsidR="00426754">
        <w:rPr>
          <w:rFonts w:ascii="Arial" w:eastAsiaTheme="minorEastAsia" w:hAnsi="Arial" w:cs="Arial"/>
        </w:rPr>
        <w:t>A</w:t>
      </w:r>
      <w:r w:rsidRPr="002F42A6">
        <w:rPr>
          <w:rFonts w:ascii="Arial" w:eastAsiaTheme="minorEastAsia" w:hAnsi="Arial" w:cs="Arial"/>
        </w:rPr>
        <w:t>n alternative mechanism</w:t>
      </w:r>
      <w:r w:rsidR="00B823C1">
        <w:rPr>
          <w:rFonts w:ascii="Arial" w:eastAsiaTheme="minorEastAsia" w:hAnsi="Arial" w:cs="Arial"/>
        </w:rPr>
        <w:t>,</w:t>
      </w:r>
      <w:r w:rsidR="00426754">
        <w:rPr>
          <w:rFonts w:ascii="Arial" w:eastAsiaTheme="minorEastAsia" w:hAnsi="Arial" w:cs="Arial"/>
        </w:rPr>
        <w:t xml:space="preserve"> </w:t>
      </w:r>
      <w:r w:rsidR="00B823C1" w:rsidRPr="002F42A6">
        <w:rPr>
          <w:rFonts w:ascii="Arial" w:eastAsiaTheme="minorEastAsia" w:hAnsi="Arial" w:cs="Arial"/>
        </w:rPr>
        <w:t xml:space="preserve">namely dissociation of excimer states, </w:t>
      </w:r>
      <w:r w:rsidR="00426754">
        <w:rPr>
          <w:rFonts w:ascii="Arial" w:eastAsiaTheme="minorEastAsia" w:hAnsi="Arial" w:cs="Arial"/>
        </w:rPr>
        <w:t>was</w:t>
      </w:r>
      <w:r w:rsidR="00745EEE">
        <w:rPr>
          <w:rFonts w:ascii="Arial" w:eastAsiaTheme="minorEastAsia" w:hAnsi="Arial" w:cs="Arial"/>
        </w:rPr>
        <w:t xml:space="preserve"> excluded</w:t>
      </w:r>
      <w:r w:rsidRPr="002F42A6">
        <w:rPr>
          <w:rFonts w:ascii="Arial" w:eastAsiaTheme="minorEastAsia" w:hAnsi="Arial" w:cs="Arial"/>
        </w:rPr>
        <w:t xml:space="preserve"> </w:t>
      </w:r>
      <w:r w:rsidR="00745EEE">
        <w:rPr>
          <w:rFonts w:ascii="Arial" w:eastAsiaTheme="minorEastAsia" w:hAnsi="Arial" w:cs="Arial"/>
        </w:rPr>
        <w:t>due to the following reasons: e</w:t>
      </w:r>
      <w:r w:rsidRPr="002F42A6">
        <w:rPr>
          <w:rFonts w:ascii="Arial" w:eastAsiaTheme="minorEastAsia" w:hAnsi="Arial" w:cs="Arial"/>
        </w:rPr>
        <w:t xml:space="preserve">xcimer dissociation would lead to an increase of the PDI anion bands at 1.3 and 1.5 eV. </w:t>
      </w:r>
      <w:r w:rsidR="00745EEE">
        <w:rPr>
          <w:rFonts w:ascii="Arial" w:eastAsiaTheme="minorEastAsia" w:hAnsi="Arial" w:cs="Arial"/>
        </w:rPr>
        <w:t>However, w</w:t>
      </w:r>
      <w:r w:rsidRPr="002F42A6">
        <w:rPr>
          <w:rFonts w:ascii="Arial" w:eastAsiaTheme="minorEastAsia" w:hAnsi="Arial" w:cs="Arial"/>
        </w:rPr>
        <w:t>hen comparing the black and the red spectr</w:t>
      </w:r>
      <w:r w:rsidR="00426754">
        <w:rPr>
          <w:rFonts w:ascii="Arial" w:eastAsiaTheme="minorEastAsia" w:hAnsi="Arial" w:cs="Arial"/>
        </w:rPr>
        <w:t>a</w:t>
      </w:r>
      <w:r w:rsidRPr="002F42A6">
        <w:rPr>
          <w:rFonts w:ascii="Arial" w:eastAsiaTheme="minorEastAsia" w:hAnsi="Arial" w:cs="Arial"/>
        </w:rPr>
        <w:t xml:space="preserve"> in Fig</w:t>
      </w:r>
      <w:r w:rsidR="00E94C67">
        <w:rPr>
          <w:rFonts w:ascii="Arial" w:eastAsiaTheme="minorEastAsia" w:hAnsi="Arial" w:cs="Arial"/>
        </w:rPr>
        <w:t xml:space="preserve">. </w:t>
      </w:r>
      <w:r w:rsidR="00F66B9C" w:rsidRPr="002F42A6">
        <w:rPr>
          <w:rFonts w:ascii="Arial" w:eastAsiaTheme="minorEastAsia" w:hAnsi="Arial" w:cs="Arial"/>
        </w:rPr>
        <w:t>5</w:t>
      </w:r>
      <w:r w:rsidRPr="002F42A6">
        <w:rPr>
          <w:rFonts w:ascii="Arial" w:eastAsiaTheme="minorEastAsia" w:hAnsi="Arial" w:cs="Arial"/>
        </w:rPr>
        <w:t>d</w:t>
      </w:r>
      <w:r w:rsidR="00D47723">
        <w:rPr>
          <w:rFonts w:ascii="Arial" w:eastAsiaTheme="minorEastAsia" w:hAnsi="Arial" w:cs="Arial"/>
        </w:rPr>
        <w:t>,</w:t>
      </w:r>
      <w:r w:rsidR="00E94C67">
        <w:rPr>
          <w:rFonts w:ascii="Arial" w:eastAsiaTheme="minorEastAsia" w:hAnsi="Arial" w:cs="Arial"/>
        </w:rPr>
        <w:t xml:space="preserve"> </w:t>
      </w:r>
      <w:r w:rsidR="00D47723">
        <w:rPr>
          <w:rFonts w:ascii="Arial" w:eastAsiaTheme="minorEastAsia" w:hAnsi="Arial" w:cs="Arial"/>
        </w:rPr>
        <w:t>we find only</w:t>
      </w:r>
      <w:r w:rsidRPr="002F42A6">
        <w:rPr>
          <w:rFonts w:ascii="Arial" w:eastAsiaTheme="minorEastAsia" w:hAnsi="Arial" w:cs="Arial"/>
        </w:rPr>
        <w:t xml:space="preserve"> a slight reduction of the background underneath </w:t>
      </w:r>
      <w:r w:rsidR="00745EEE">
        <w:rPr>
          <w:rFonts w:ascii="Arial" w:eastAsiaTheme="minorEastAsia" w:hAnsi="Arial" w:cs="Arial"/>
        </w:rPr>
        <w:t xml:space="preserve">the </w:t>
      </w:r>
      <w:r w:rsidR="00F503B4">
        <w:rPr>
          <w:rFonts w:ascii="Arial" w:eastAsiaTheme="minorEastAsia" w:hAnsi="Arial" w:cs="Arial"/>
        </w:rPr>
        <w:t>C</w:t>
      </w:r>
      <w:r w:rsidR="00F503B4" w:rsidRPr="00F503B4">
        <w:rPr>
          <w:rFonts w:ascii="Arial" w:eastAsiaTheme="minorEastAsia" w:hAnsi="Arial" w:cs="Arial"/>
          <w:vertAlign w:val="subscript"/>
        </w:rPr>
        <w:t>A</w:t>
      </w:r>
      <w:r w:rsidR="00F503B4">
        <w:rPr>
          <w:rFonts w:ascii="Arial" w:eastAsiaTheme="minorEastAsia" w:hAnsi="Arial" w:cs="Arial"/>
        </w:rPr>
        <w:t xml:space="preserve"> bands</w:t>
      </w:r>
      <w:r w:rsidR="00745EEE">
        <w:rPr>
          <w:rFonts w:ascii="Arial" w:eastAsiaTheme="minorEastAsia" w:hAnsi="Arial" w:cs="Arial"/>
        </w:rPr>
        <w:t>,</w:t>
      </w:r>
      <w:r w:rsidR="00A72102">
        <w:rPr>
          <w:rFonts w:ascii="Arial" w:eastAsiaTheme="minorEastAsia" w:hAnsi="Arial" w:cs="Arial"/>
        </w:rPr>
        <w:t xml:space="preserve"> </w:t>
      </w:r>
      <w:r w:rsidRPr="002F42A6">
        <w:rPr>
          <w:rFonts w:ascii="Arial" w:eastAsiaTheme="minorEastAsia" w:hAnsi="Arial" w:cs="Arial"/>
        </w:rPr>
        <w:t xml:space="preserve">while these bands themselves do not change their strength during the process. </w:t>
      </w:r>
      <w:r w:rsidR="00745EEE">
        <w:rPr>
          <w:rFonts w:ascii="Arial" w:eastAsiaTheme="minorEastAsia" w:hAnsi="Arial" w:cs="Arial"/>
        </w:rPr>
        <w:t>Therefore, t</w:t>
      </w:r>
      <w:r w:rsidRPr="002F42A6">
        <w:rPr>
          <w:rFonts w:ascii="Arial" w:eastAsiaTheme="minorEastAsia" w:hAnsi="Arial" w:cs="Arial"/>
        </w:rPr>
        <w:t xml:space="preserve">he process under discussion is creating charges in the PFO phase, while not changing the density of anions in the PDI phase, leaving </w:t>
      </w:r>
      <w:r w:rsidR="00F904CD">
        <w:rPr>
          <w:rFonts w:ascii="Arial" w:eastAsiaTheme="minorEastAsia" w:hAnsi="Arial" w:cs="Arial"/>
        </w:rPr>
        <w:t xml:space="preserve">a </w:t>
      </w:r>
      <w:r w:rsidRPr="002F42A6">
        <w:rPr>
          <w:rFonts w:ascii="Arial" w:eastAsiaTheme="minorEastAsia" w:hAnsi="Arial" w:cs="Arial"/>
        </w:rPr>
        <w:t>hole transfer to PFO as the only consistent explanation</w:t>
      </w:r>
      <w:r w:rsidR="005F0973">
        <w:rPr>
          <w:rFonts w:ascii="Arial" w:eastAsiaTheme="minorEastAsia" w:hAnsi="Arial" w:cs="Arial"/>
        </w:rPr>
        <w:t>.</w:t>
      </w:r>
      <w:r w:rsidR="00F21D01">
        <w:rPr>
          <w:rFonts w:ascii="Arial" w:eastAsiaTheme="minorEastAsia" w:hAnsi="Arial" w:cs="Arial"/>
        </w:rPr>
        <w:t xml:space="preserve"> Finally, the observed one-step kinetics and the exclusive encounter of optical probes from charged states allows us to exclude singlet fission as </w:t>
      </w:r>
      <w:r w:rsidR="00745EEE">
        <w:rPr>
          <w:rFonts w:ascii="Arial" w:eastAsiaTheme="minorEastAsia" w:hAnsi="Arial" w:cs="Arial"/>
        </w:rPr>
        <w:t xml:space="preserve">a </w:t>
      </w:r>
      <w:r w:rsidR="00F21D01">
        <w:rPr>
          <w:rFonts w:ascii="Arial" w:eastAsiaTheme="minorEastAsia" w:hAnsi="Arial" w:cs="Arial"/>
        </w:rPr>
        <w:t>possible competing pathway after resonant excitation of PDI, in agreement with literature results</w:t>
      </w:r>
      <w:r w:rsidR="00A80009">
        <w:rPr>
          <w:rFonts w:ascii="Arial" w:eastAsiaTheme="minorEastAsia" w:hAnsi="Arial" w:cs="Arial"/>
        </w:rPr>
        <w:t>.</w:t>
      </w:r>
      <w:r w:rsidR="00A80009">
        <w:rPr>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"DOI" : "10.1021/ja2080482", "ISSN" : "0002-7863", "author" : [ { "dropping-particle" : "", "family" : "Ramanan", "given" : "Charusheela", "non-dropping-particle" : "", "parse-names" : false, "suffix" : "" }, { "dropping-particle" : "", "family" : "Smeigh", "given" : "Amanda L", "non-dropping-particle" : "", "parse-names" : false, "suffix" : "" }, { "dropping-particle" : "", "family" : "Anthony", "given" : "John E", "non-dropping-particle" : "", "parse-names" : false, "suffix" : "" }, { "dropping-particle" : "", "family" : "Marks", "given" : "Tobin J", "non-dropping-particle" : "", "parse-names" : false, "suffix" : "" }, { "dropping-particle" : "", "family" : "Wasielewski", "given" : "Michael R", "non-dropping-particle" : "", "parse-names" : false, "suffix" : "" } ], "container-title" : "Journal of the American Chemical Society", "id" : "ITEM-1", "issue" : "1", "issued" : { "date-parts" : [ [ "2012", "1", "11" ] ] }, "note" : "doi: 10.1021/ja2080482", "page" : "386-397", "publisher" : "American Chemical Society", "title" : "Competition between Singlet Fission and Charge Separation in Solution-Processed Blend Films of 6,13-Bis(triisopropylsilylethynyl)pentacene with Sterically-Encumbered Perylene-3,4:9,10-bis(dicarboximide)s", "type" : "article-journal", "volume" : "134" }, "uris" : [ "http://www.mendeley.com/documents/?uuid=3734a9e0-9425-4adf-a47b-f8af8f04032f" ] } ], "mendeley" : { "formattedCitation" : "&lt;sup&gt;47&lt;/sup&gt;", "plainTextFormattedCitation" : "47", "previouslyFormattedCitation" : "&lt;sup&gt;47&lt;/sup&gt;" }, "properties" : { "noteIndex" : 0 }, "schema" : "https://github.com/citation-style-language/schema/raw/master/csl-citation.json" }</w:instrText>
      </w:r>
      <w:r w:rsidR="00A80009">
        <w:rPr>
          <w:rFonts w:ascii="Arial" w:eastAsiaTheme="minorEastAsia" w:hAnsi="Arial" w:cs="Arial"/>
        </w:rPr>
        <w:fldChar w:fldCharType="separate"/>
      </w:r>
      <w:r w:rsidR="000B745C" w:rsidRPr="000B745C">
        <w:rPr>
          <w:rFonts w:ascii="Arial" w:eastAsiaTheme="minorEastAsia" w:hAnsi="Arial" w:cs="Arial"/>
          <w:noProof/>
          <w:vertAlign w:val="superscript"/>
        </w:rPr>
        <w:t>47</w:t>
      </w:r>
      <w:r w:rsidR="00A80009">
        <w:rPr>
          <w:rFonts w:ascii="Arial" w:eastAsiaTheme="minorEastAsia" w:hAnsi="Arial" w:cs="Arial"/>
        </w:rPr>
        <w:fldChar w:fldCharType="end"/>
      </w:r>
      <w:r w:rsidR="00F21D01">
        <w:rPr>
          <w:rFonts w:ascii="Arial" w:eastAsiaTheme="minorEastAsia" w:hAnsi="Arial" w:cs="Arial"/>
        </w:rPr>
        <w:t xml:space="preserve"> </w:t>
      </w:r>
    </w:p>
    <w:p w14:paraId="7FAF4B7E" w14:textId="58CAA949" w:rsidR="00F82E02" w:rsidRPr="002F42A6" w:rsidRDefault="00F82E02" w:rsidP="0003742D">
      <w:pPr>
        <w:tabs>
          <w:tab w:val="left" w:pos="0"/>
        </w:tabs>
        <w:spacing w:line="360" w:lineRule="auto"/>
        <w:jc w:val="both"/>
        <w:rPr>
          <w:rFonts w:ascii="Arial" w:eastAsiaTheme="minorEastAsia" w:hAnsi="Arial" w:cs="Arial"/>
        </w:rPr>
      </w:pPr>
      <w:r w:rsidRPr="002F42A6">
        <w:rPr>
          <w:rFonts w:ascii="Arial" w:eastAsiaTheme="minorEastAsia" w:hAnsi="Arial" w:cs="Arial"/>
        </w:rPr>
        <w:t xml:space="preserve">Why does the presence of PFO induce such a two-step mechanism involving the intermediate formation of charge pairs in the PDI phase, rather than causing exciton dissociation at the D-A interface? </w:t>
      </w:r>
      <w:r w:rsidR="00426754">
        <w:rPr>
          <w:rFonts w:ascii="Arial" w:eastAsiaTheme="minorEastAsia" w:hAnsi="Arial" w:cs="Arial"/>
        </w:rPr>
        <w:t xml:space="preserve">To </w:t>
      </w:r>
      <w:r w:rsidR="00426754" w:rsidRPr="000F660B">
        <w:rPr>
          <w:rFonts w:ascii="Arial" w:eastAsiaTheme="minorEastAsia" w:hAnsi="Arial" w:cs="Arial"/>
        </w:rPr>
        <w:t>address this question,</w:t>
      </w:r>
      <w:r w:rsidR="00B823C1" w:rsidRPr="000F660B">
        <w:rPr>
          <w:rFonts w:ascii="Arial" w:eastAsiaTheme="minorEastAsia" w:hAnsi="Arial" w:cs="Arial"/>
        </w:rPr>
        <w:t xml:space="preserve"> the</w:t>
      </w:r>
      <w:r w:rsidRPr="000F660B">
        <w:rPr>
          <w:rFonts w:ascii="Arial" w:eastAsiaTheme="minorEastAsia" w:hAnsi="Arial" w:cs="Arial"/>
        </w:rPr>
        <w:t xml:space="preserve"> first few hundred femtoseconds of photoexcitation dynamics</w:t>
      </w:r>
      <w:r w:rsidR="00426754" w:rsidRPr="000F660B">
        <w:rPr>
          <w:rFonts w:ascii="Arial" w:eastAsiaTheme="minorEastAsia" w:hAnsi="Arial" w:cs="Arial"/>
        </w:rPr>
        <w:t xml:space="preserve"> were resolved</w:t>
      </w:r>
      <w:r w:rsidRPr="000F660B">
        <w:rPr>
          <w:rFonts w:ascii="Arial" w:eastAsiaTheme="minorEastAsia" w:hAnsi="Arial" w:cs="Arial"/>
        </w:rPr>
        <w:t>. As shown in the ESI,</w:t>
      </w:r>
      <w:r w:rsidR="000F660B" w:rsidRPr="00AA7325">
        <w:rPr>
          <w:rFonts w:ascii="Arial" w:eastAsiaTheme="minorEastAsia" w:hAnsi="Arial" w:cs="Arial"/>
        </w:rPr>
        <w:t xml:space="preserve"> part G</w:t>
      </w:r>
      <w:r w:rsidRPr="000F660B">
        <w:rPr>
          <w:rFonts w:ascii="Arial" w:eastAsiaTheme="minorEastAsia" w:hAnsi="Arial" w:cs="Arial"/>
        </w:rPr>
        <w:t xml:space="preserve">, there is evidence for a delayed process with about 400 fs delay time in both the </w:t>
      </w:r>
      <w:r w:rsidR="00426754" w:rsidRPr="000F660B">
        <w:rPr>
          <w:rFonts w:ascii="Arial" w:eastAsiaTheme="minorEastAsia" w:hAnsi="Arial" w:cs="Arial"/>
        </w:rPr>
        <w:t>pristine</w:t>
      </w:r>
      <w:r w:rsidR="00426754" w:rsidRPr="002F42A6">
        <w:rPr>
          <w:rFonts w:ascii="Arial" w:eastAsiaTheme="minorEastAsia" w:hAnsi="Arial" w:cs="Arial"/>
        </w:rPr>
        <w:t xml:space="preserve"> </w:t>
      </w:r>
      <w:r w:rsidRPr="002F42A6">
        <w:rPr>
          <w:rFonts w:ascii="Arial" w:eastAsiaTheme="minorEastAsia" w:hAnsi="Arial" w:cs="Arial"/>
        </w:rPr>
        <w:t xml:space="preserve">PDI film and the blends. In </w:t>
      </w:r>
      <w:r w:rsidR="00426754">
        <w:rPr>
          <w:rFonts w:ascii="Arial" w:eastAsiaTheme="minorEastAsia" w:hAnsi="Arial" w:cs="Arial"/>
        </w:rPr>
        <w:t>pristine</w:t>
      </w:r>
      <w:r w:rsidR="00426754" w:rsidRPr="002F42A6">
        <w:rPr>
          <w:rFonts w:ascii="Arial" w:eastAsiaTheme="minorEastAsia" w:hAnsi="Arial" w:cs="Arial"/>
        </w:rPr>
        <w:t xml:space="preserve"> </w:t>
      </w:r>
      <w:r w:rsidRPr="002F42A6">
        <w:rPr>
          <w:rFonts w:ascii="Arial" w:eastAsiaTheme="minorEastAsia" w:hAnsi="Arial" w:cs="Arial"/>
        </w:rPr>
        <w:t>PDI, this delayed process produces a symmetric charge transfer state that later evolves into an excimer. In the blends however, the delayed process is described by the build-up of the anion specific features</w:t>
      </w:r>
      <w:r w:rsidR="00934748">
        <w:rPr>
          <w:rFonts w:ascii="Arial" w:eastAsiaTheme="minorEastAsia" w:hAnsi="Arial" w:cs="Arial"/>
        </w:rPr>
        <w:t xml:space="preserve"> C</w:t>
      </w:r>
      <w:r w:rsidR="00934748" w:rsidRPr="00F503B4">
        <w:rPr>
          <w:rFonts w:ascii="Arial" w:eastAsiaTheme="minorEastAsia" w:hAnsi="Arial" w:cs="Arial"/>
          <w:vertAlign w:val="subscript"/>
        </w:rPr>
        <w:t>A</w:t>
      </w:r>
      <w:r w:rsidRPr="002F42A6">
        <w:rPr>
          <w:rFonts w:ascii="Arial" w:eastAsiaTheme="minorEastAsia" w:hAnsi="Arial" w:cs="Arial"/>
        </w:rPr>
        <w:t>. The presence of the PFO therefore causes the formation of a symmetry breaking CT</w:t>
      </w:r>
      <w:r w:rsidR="0003742D">
        <w:rPr>
          <w:rFonts w:ascii="Arial" w:eastAsiaTheme="minorEastAsia" w:hAnsi="Arial" w:cs="Arial"/>
        </w:rPr>
        <w:t>-</w:t>
      </w:r>
      <w:r w:rsidRPr="002F42A6">
        <w:rPr>
          <w:rFonts w:ascii="Arial" w:eastAsiaTheme="minorEastAsia" w:hAnsi="Arial" w:cs="Arial"/>
        </w:rPr>
        <w:t xml:space="preserve">state inside the PDI phase. </w:t>
      </w:r>
      <w:r w:rsidR="00F66B9C" w:rsidRPr="002F42A6">
        <w:rPr>
          <w:rFonts w:ascii="Arial" w:eastAsiaTheme="minorEastAsia" w:hAnsi="Arial" w:cs="Arial"/>
        </w:rPr>
        <w:t xml:space="preserve">It is </w:t>
      </w:r>
      <w:r w:rsidR="00F66B9C" w:rsidRPr="002F42A6">
        <w:rPr>
          <w:rFonts w:ascii="Arial" w:eastAsiaTheme="minorEastAsia" w:hAnsi="Arial" w:cs="Arial"/>
        </w:rPr>
        <w:lastRenderedPageBreak/>
        <w:t>known that in PDI in the gas phase, the lowest CT state has an energy which is only slightly larger than the lowest neutral state</w:t>
      </w:r>
      <w:r w:rsidR="00FF1B4F">
        <w:rPr>
          <w:rFonts w:ascii="Arial" w:eastAsiaTheme="minorEastAsia" w:hAnsi="Arial" w:cs="Arial"/>
        </w:rPr>
        <w:t>.</w:t>
      </w:r>
      <w:r w:rsidR="00FF1B4F">
        <w:rPr>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"ISSN" : "1089-5639", "author" : [ { "dropping-particle" : "", "family" : "Veldman", "given" : "Dirk", "non-dropping-particle" : "", "parse-names" : false, "suffix" : "" }, { "dropping-particle" : "", "family" : "Chopin", "given" : "St\u00e9phanie M A", "non-dropping-particle" : "", "parse-names" : false, "suffix" : "" }, { "dropping-particle" : "", "family" : "Meskers", "given" : "Stefan C J", "non-dropping-particle" : "", "parse-names" : false, "suffix" : "" }, { "dropping-particle" : "", "family" : "Janssen", "given" : "Ren\u00e9 A J", "non-dropping-particle" : "", "parse-names" : false, "suffix" : "" } ], "container-title" : "The Journal of Physical Chemistry A", "id" : "ITEM-1", "issue" : "37", "issued" : { "date-parts" : [ [ "2008" ] ] }, "page" : "8617-8632", "publisher" : "ACS Publications", "title" : "Enhanced Intersystem Crossing via a High Energy Charge Transfer State in a Perylenediimide\u2212 Perylenemonoimide Dyad", "type" : "article-journal", "volume" : "112" }, "uris" : [ "http://www.mendeley.com/documents/?uuid=e16a49f5-b4e9-40ef-af4a-0119ab53e27a" ] } ], "mendeley" : { "formattedCitation" : "&lt;sup&gt;58&lt;/sup&gt;", "plainTextFormattedCitation" : "58", "previouslyFormattedCitation" : "&lt;sup&gt;58&lt;/sup&gt;" }, "properties" : { "noteIndex" : 0 }, "schema" : "https://github.com/citation-style-language/schema/raw/master/csl-citation.json" }</w:instrText>
      </w:r>
      <w:r w:rsidR="00FF1B4F">
        <w:rPr>
          <w:rFonts w:ascii="Arial" w:eastAsiaTheme="minorEastAsia" w:hAnsi="Arial" w:cs="Arial"/>
        </w:rPr>
        <w:fldChar w:fldCharType="separate"/>
      </w:r>
      <w:r w:rsidR="000B745C" w:rsidRPr="000B745C">
        <w:rPr>
          <w:rFonts w:ascii="Arial" w:eastAsiaTheme="minorEastAsia" w:hAnsi="Arial" w:cs="Arial"/>
          <w:noProof/>
          <w:vertAlign w:val="superscript"/>
        </w:rPr>
        <w:t>58</w:t>
      </w:r>
      <w:r w:rsidR="00FF1B4F">
        <w:rPr>
          <w:rFonts w:ascii="Arial" w:eastAsiaTheme="minorEastAsia" w:hAnsi="Arial" w:cs="Arial"/>
        </w:rPr>
        <w:fldChar w:fldCharType="end"/>
      </w:r>
      <w:r w:rsidR="00FF1B4F">
        <w:rPr>
          <w:rFonts w:ascii="Arial" w:eastAsiaTheme="minorEastAsia" w:hAnsi="Arial" w:cs="Arial"/>
        </w:rPr>
        <w:t xml:space="preserve"> </w:t>
      </w:r>
      <w:r w:rsidR="00F66B9C" w:rsidRPr="002F42A6">
        <w:rPr>
          <w:rFonts w:ascii="Arial" w:eastAsiaTheme="minorEastAsia" w:hAnsi="Arial" w:cs="Arial"/>
        </w:rPr>
        <w:t xml:space="preserve">Based on this notion, </w:t>
      </w:r>
      <w:r w:rsidR="008F09DF" w:rsidRPr="002F42A6">
        <w:rPr>
          <w:rFonts w:ascii="Arial" w:eastAsiaTheme="minorEastAsia" w:hAnsi="Arial" w:cs="Arial"/>
        </w:rPr>
        <w:t xml:space="preserve">Bellinger </w:t>
      </w:r>
      <w:r w:rsidR="009B0B94">
        <w:rPr>
          <w:rFonts w:ascii="Arial" w:eastAsiaTheme="minorEastAsia" w:hAnsi="Arial" w:cs="Arial"/>
          <w:i/>
        </w:rPr>
        <w:t>et al</w:t>
      </w:r>
      <w:r w:rsidR="008F09DF" w:rsidRPr="002F42A6">
        <w:rPr>
          <w:rFonts w:ascii="Arial" w:eastAsiaTheme="minorEastAsia" w:hAnsi="Arial" w:cs="Arial"/>
        </w:rPr>
        <w:t xml:space="preserve"> have studied theoretically</w:t>
      </w:r>
      <w:r w:rsidR="00F66B9C" w:rsidRPr="002F42A6">
        <w:rPr>
          <w:rFonts w:ascii="Arial" w:eastAsiaTheme="minorEastAsia" w:hAnsi="Arial" w:cs="Arial"/>
        </w:rPr>
        <w:t xml:space="preserve"> </w:t>
      </w:r>
      <w:r w:rsidR="008F09DF" w:rsidRPr="002F42A6">
        <w:rPr>
          <w:rFonts w:ascii="Arial" w:eastAsiaTheme="minorEastAsia" w:hAnsi="Arial" w:cs="Arial"/>
        </w:rPr>
        <w:t>t</w:t>
      </w:r>
      <w:r w:rsidRPr="002F42A6">
        <w:rPr>
          <w:rFonts w:ascii="Arial" w:eastAsiaTheme="minorEastAsia" w:hAnsi="Arial" w:cs="Arial"/>
        </w:rPr>
        <w:t xml:space="preserve">he influence of a polarizing medium on the </w:t>
      </w:r>
      <w:r w:rsidR="008F09DF" w:rsidRPr="002F42A6">
        <w:rPr>
          <w:rFonts w:ascii="Arial" w:eastAsiaTheme="minorEastAsia" w:hAnsi="Arial" w:cs="Arial"/>
        </w:rPr>
        <w:t>energetic ordering of CT versus neutral states in PDI dimers</w:t>
      </w:r>
      <w:r w:rsidRPr="002F42A6">
        <w:rPr>
          <w:rFonts w:ascii="Arial" w:eastAsiaTheme="minorEastAsia" w:hAnsi="Arial" w:cs="Arial"/>
        </w:rPr>
        <w:t>,</w:t>
      </w:r>
      <w:r w:rsidR="00A72102">
        <w:rPr>
          <w:rFonts w:ascii="Arial" w:eastAsiaTheme="minorEastAsia" w:hAnsi="Arial" w:cs="Arial"/>
        </w:rPr>
        <w:t xml:space="preserve"> </w:t>
      </w:r>
      <w:r w:rsidR="008F09DF" w:rsidRPr="002F42A6">
        <w:rPr>
          <w:rFonts w:ascii="Arial" w:eastAsiaTheme="minorEastAsia" w:hAnsi="Arial" w:cs="Arial"/>
        </w:rPr>
        <w:t>finding a geometric symmetry breaking (molecules adopting an M</w:t>
      </w:r>
      <w:r w:rsidR="008F09DF" w:rsidRPr="002F42A6">
        <w:rPr>
          <w:rFonts w:ascii="Arial" w:eastAsiaTheme="minorEastAsia" w:hAnsi="Arial" w:cs="Arial"/>
          <w:vertAlign w:val="superscript"/>
        </w:rPr>
        <w:t>+</w:t>
      </w:r>
      <w:r w:rsidR="008F09DF" w:rsidRPr="002F42A6">
        <w:rPr>
          <w:rFonts w:ascii="Arial" w:eastAsiaTheme="minorEastAsia" w:hAnsi="Arial" w:cs="Arial"/>
        </w:rPr>
        <w:t>M</w:t>
      </w:r>
      <w:r w:rsidR="008F09DF" w:rsidRPr="002F42A6">
        <w:rPr>
          <w:rFonts w:ascii="Arial" w:eastAsiaTheme="minorEastAsia" w:hAnsi="Arial" w:cs="Arial"/>
          <w:vertAlign w:val="superscript"/>
        </w:rPr>
        <w:t>-</w:t>
      </w:r>
      <w:r w:rsidR="008F09DF" w:rsidRPr="002F42A6">
        <w:rPr>
          <w:rFonts w:ascii="Arial" w:eastAsiaTheme="minorEastAsia" w:hAnsi="Arial" w:cs="Arial"/>
        </w:rPr>
        <w:t xml:space="preserve"> geometry) </w:t>
      </w:r>
      <w:r w:rsidR="00934748">
        <w:rPr>
          <w:rFonts w:ascii="Arial" w:eastAsiaTheme="minorEastAsia" w:hAnsi="Arial" w:cs="Arial"/>
        </w:rPr>
        <w:t xml:space="preserve">to be </w:t>
      </w:r>
      <w:r w:rsidR="008F09DF" w:rsidRPr="002F42A6">
        <w:rPr>
          <w:rFonts w:ascii="Arial" w:eastAsiaTheme="minorEastAsia" w:hAnsi="Arial" w:cs="Arial"/>
        </w:rPr>
        <w:t>a prerequisite for bringing the CT state below the neutral state.</w:t>
      </w:r>
      <w:r w:rsidR="00A72102">
        <w:rPr>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"ISSN" : "1096-987X", "author" : [ { "dropping-particle" : "", "family" : "Bellinger", "given" : "Daniel", "non-dropping-particle" : "", "parse-names" : false, "suffix" : "" }, { "dropping-particle" : "", "family" : "Settels", "given" : "Volker", "non-dropping-particle" : "", "parse-names" : false, "suffix" : "" }, { "dropping-particle" : "", "family" : "Liu", "given" : "Wenlan", "non-dropping-particle" : "", "parse-names" : false, "suffix" : "" }, { "dropping-particle" : "", "family" : "Fink", "given" : "Reinhold F", "non-dropping-particle" : "", "parse-names" : false, "suffix" : "" }, { "dropping-particle" : "", "family" : "Engels", "given" : "Bernd", "non-dropping-particle" : "", "parse-names" : false, "suffix" : "" } ], "container-title" : "Journal of computational chemistry", "id" : "ITEM-1", "issue" : "17", "issued" : { "date-parts" : [ [ "2016" ] ] }, "page" : "1601-1610", "publisher" : "Wiley Online Library", "title" : "Influence of a polarizable surrounding on the electronically excited states of aggregated perylene materials", "type" : "article-journal", "volume" : "37" }, "uris" : [ "http://www.mendeley.com/documents/?uuid=2b510636-5d06-4785-8da0-96f3e5de7e53" ] } ], "mendeley" : { "formattedCitation" : "&lt;sup&gt;59&lt;/sup&gt;", "plainTextFormattedCitation" : "59", "previouslyFormattedCitation" : "&lt;sup&gt;59&lt;/sup&gt;" }, "properties" : { "noteIndex" : 0 }, "schema" : "https://github.com/citation-style-language/schema/raw/master/csl-citation.json" }</w:instrText>
      </w:r>
      <w:r w:rsidR="00A72102">
        <w:rPr>
          <w:rFonts w:ascii="Arial" w:eastAsiaTheme="minorEastAsia" w:hAnsi="Arial" w:cs="Arial"/>
        </w:rPr>
        <w:fldChar w:fldCharType="separate"/>
      </w:r>
      <w:r w:rsidR="000B745C" w:rsidRPr="000B745C">
        <w:rPr>
          <w:rFonts w:ascii="Arial" w:eastAsiaTheme="minorEastAsia" w:hAnsi="Arial" w:cs="Arial"/>
          <w:noProof/>
          <w:vertAlign w:val="superscript"/>
        </w:rPr>
        <w:t>59</w:t>
      </w:r>
      <w:r w:rsidR="00A72102">
        <w:rPr>
          <w:rFonts w:ascii="Arial" w:eastAsiaTheme="minorEastAsia" w:hAnsi="Arial" w:cs="Arial"/>
        </w:rPr>
        <w:fldChar w:fldCharType="end"/>
      </w:r>
      <w:r w:rsidR="008F09DF" w:rsidRPr="002F42A6">
        <w:rPr>
          <w:rFonts w:ascii="Arial" w:eastAsiaTheme="minorEastAsia" w:hAnsi="Arial" w:cs="Arial"/>
        </w:rPr>
        <w:t xml:space="preserve"> Such symmetry breaking might be induced in the vicinity of a strong donor like PFO, inducing a partial ground state charge transfer </w:t>
      </w:r>
      <m:oMath>
        <m:sSup>
          <m:sSupPr>
            <m:ctrlPr>
              <w:rPr>
                <w:rFonts w:ascii="Cambria Math" w:eastAsiaTheme="minorEastAsia" w:hAnsi="Cambria Math" w:cs="Arial"/>
                <w:i/>
              </w:rPr>
            </m:ctrlPr>
          </m:sSupPr>
          <m:e>
            <m:r>
              <w:rPr>
                <w:rFonts w:ascii="Cambria Math" w:eastAsiaTheme="minorEastAsia" w:hAnsi="Cambria Math" w:cs="Arial"/>
              </w:rPr>
              <m:t>D</m:t>
            </m:r>
          </m:e>
          <m:sup>
            <m:r>
              <w:rPr>
                <w:rFonts w:ascii="Cambria Math" w:eastAsiaTheme="minorEastAsia" w:hAnsi="Cambria Math" w:cs="Arial"/>
              </w:rPr>
              <m:t>δ+</m:t>
            </m:r>
          </m:sup>
        </m:sSup>
        <m:sSup>
          <m:sSupPr>
            <m:ctrlPr>
              <w:rPr>
                <w:rFonts w:ascii="Cambria Math" w:eastAsiaTheme="minorEastAsia" w:hAnsi="Cambria Math" w:cs="Arial"/>
                <w:i/>
              </w:rPr>
            </m:ctrlPr>
          </m:sSupPr>
          <m:e>
            <m:r>
              <w:rPr>
                <w:rFonts w:ascii="Cambria Math" w:eastAsiaTheme="minorEastAsia" w:hAnsi="Cambria Math" w:cs="Arial"/>
              </w:rPr>
              <m:t>A</m:t>
            </m:r>
          </m:e>
          <m:sup>
            <m:r>
              <w:rPr>
                <w:rFonts w:ascii="Cambria Math" w:eastAsiaTheme="minorEastAsia" w:hAnsi="Cambria Math" w:cs="Arial"/>
              </w:rPr>
              <m:t>δ-</m:t>
            </m:r>
          </m:sup>
        </m:sSup>
        <m:sSup>
          <m:sSupPr>
            <m:ctrlPr>
              <w:rPr>
                <w:rFonts w:ascii="Cambria Math" w:eastAsiaTheme="minorEastAsia" w:hAnsi="Cambria Math" w:cs="Arial"/>
                <w:i/>
              </w:rPr>
            </m:ctrlPr>
          </m:sSupPr>
          <m:e>
            <m:r>
              <w:rPr>
                <w:rFonts w:ascii="Cambria Math" w:eastAsiaTheme="minorEastAsia" w:hAnsi="Cambria Math" w:cs="Arial"/>
              </w:rPr>
              <m:t>A</m:t>
            </m:r>
          </m:e>
          <m:sup>
            <m:r>
              <w:rPr>
                <w:rFonts w:ascii="Cambria Math" w:eastAsiaTheme="minorEastAsia" w:hAnsi="Cambria Math" w:cs="Arial"/>
              </w:rPr>
              <m:t>δδ-</m:t>
            </m:r>
          </m:sup>
        </m:sSup>
      </m:oMath>
      <w:r w:rsidR="002C5CC8" w:rsidRPr="002F42A6">
        <w:rPr>
          <w:rFonts w:ascii="Arial" w:eastAsiaTheme="minorEastAsia" w:hAnsi="Arial" w:cs="Arial"/>
        </w:rPr>
        <w:t>, breaking the symmetry between an interfacial acceptor molecule and one in the next outer shell</w:t>
      </w:r>
      <w:r w:rsidR="008F09DF" w:rsidRPr="002F42A6">
        <w:rPr>
          <w:rFonts w:ascii="Arial" w:eastAsiaTheme="minorEastAsia" w:hAnsi="Arial" w:cs="Arial"/>
        </w:rPr>
        <w:t xml:space="preserve">. While this scenario seems plausible, </w:t>
      </w:r>
      <w:r w:rsidR="008F09DF" w:rsidRPr="000A4291">
        <w:rPr>
          <w:rFonts w:ascii="Arial" w:eastAsiaTheme="minorEastAsia" w:hAnsi="Arial" w:cs="Arial"/>
        </w:rPr>
        <w:t>Bellinger</w:t>
      </w:r>
      <w:r w:rsidR="008F09DF" w:rsidRPr="002F42A6">
        <w:rPr>
          <w:rFonts w:ascii="Arial" w:eastAsiaTheme="minorEastAsia" w:hAnsi="Arial" w:cs="Arial"/>
        </w:rPr>
        <w:t xml:space="preserve"> </w:t>
      </w:r>
      <w:r w:rsidR="009B0B94" w:rsidRPr="009B0B94">
        <w:rPr>
          <w:rFonts w:ascii="Arial" w:eastAsiaTheme="minorEastAsia" w:hAnsi="Arial" w:cs="Arial"/>
          <w:i/>
        </w:rPr>
        <w:t>et al</w:t>
      </w:r>
      <w:r w:rsidR="008F09DF" w:rsidRPr="002F42A6">
        <w:rPr>
          <w:rFonts w:ascii="Arial" w:eastAsiaTheme="minorEastAsia" w:hAnsi="Arial" w:cs="Arial"/>
        </w:rPr>
        <w:t xml:space="preserve"> highlight</w:t>
      </w:r>
      <w:r w:rsidR="002C5CC8" w:rsidRPr="002F42A6">
        <w:rPr>
          <w:rFonts w:ascii="Arial" w:eastAsiaTheme="minorEastAsia" w:hAnsi="Arial" w:cs="Arial"/>
        </w:rPr>
        <w:t xml:space="preserve"> that their study</w:t>
      </w:r>
      <w:r w:rsidR="008F09DF" w:rsidRPr="002F42A6">
        <w:rPr>
          <w:rFonts w:ascii="Arial" w:eastAsiaTheme="minorEastAsia" w:hAnsi="Arial" w:cs="Arial"/>
        </w:rPr>
        <w:t xml:space="preserve"> disregards anisotropy in the polarization, which might have significant effects in </w:t>
      </w:r>
      <w:r w:rsidR="002C5CC8" w:rsidRPr="002F42A6">
        <w:rPr>
          <w:rFonts w:ascii="Arial" w:eastAsiaTheme="minorEastAsia" w:hAnsi="Arial" w:cs="Arial"/>
        </w:rPr>
        <w:t>the solid</w:t>
      </w:r>
      <w:r w:rsidR="008F09DF" w:rsidRPr="002F42A6">
        <w:rPr>
          <w:rFonts w:ascii="Arial" w:eastAsiaTheme="minorEastAsia" w:hAnsi="Arial" w:cs="Arial"/>
        </w:rPr>
        <w:t xml:space="preserve"> state. R</w:t>
      </w:r>
      <w:r w:rsidRPr="002F42A6">
        <w:rPr>
          <w:rFonts w:ascii="Arial" w:eastAsiaTheme="minorEastAsia" w:hAnsi="Arial" w:cs="Arial"/>
        </w:rPr>
        <w:t>ecently</w:t>
      </w:r>
      <w:r w:rsidR="00077A7A">
        <w:rPr>
          <w:rFonts w:ascii="Arial" w:eastAsiaTheme="minorEastAsia" w:hAnsi="Arial" w:cs="Arial"/>
        </w:rPr>
        <w:t>,</w:t>
      </w:r>
      <w:r w:rsidRPr="002F42A6">
        <w:rPr>
          <w:rFonts w:ascii="Arial" w:eastAsiaTheme="minorEastAsia" w:hAnsi="Arial" w:cs="Arial"/>
        </w:rPr>
        <w:t xml:space="preserve"> a symmetry breaking charge transfer has been observed in a PDI foldamer, whereby a polar solvent was able to stabilize the symmetry breaking state better than the symmetric CT state.</w:t>
      </w:r>
      <w:r w:rsidRPr="002F42A6">
        <w:rPr>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"ISSN" : "0002-7863", "author" : [ { "dropping-particle" : "", "family" : "Sung", "given" : "Jooyoung", "non-dropping-particle" : "", "parse-names" : false, "suffix" : "" }, { "dropping-particle" : "", "family" : "Nowak-Kr\u00f3l", "given" : "Agnieszka", "non-dropping-particle" : "", "parse-names" : false, "suffix" : "" }, { "dropping-particle" : "", "family" : "Schlosser", "given" : "Felix", "non-dropping-particle" : "", "parse-names" : false, "suffix" : "" }, { "dropping-particle" : "", "family" : "Fimmel", "given" : "Benjamin", "non-dropping-particle" : "", "parse-names" : false, "suffix" : "" }, { "dropping-particle" : "", "family" : "Kim", "given" : "Woojae", "non-dropping-particle" : "", "parse-names" : false, "suffix" : "" }, { "dropping-particle" : "", "family" : "Kim", "given" : "Dongho", "non-dropping-particle" : "", "parse-names" : false, "suffix" : "" }, { "dropping-particle" : "", "family" : "Wu\u0308rthner", "given" : "Frank", "non-dropping-particle" : "", "parse-names" : false, "suffix" : "" } ], "container-title" : "Journal of the American Chemical Society", "id" : "ITEM-1", "issue" : "29", "issued" : { "date-parts" : [ [ "2016" ] ] }, "page" : "9029-9032", "publisher" : "ACS Publications", "title" : "Direct Observation of Excimer-Mediated Intramolecular Electron Transfer in a Cofacially-Stacked Perylene Bisimide Pair", "type" : "article-journal", "volume" : "138" }, "uris" : [ "http://www.mendeley.com/documents/?uuid=1865c7ec-699a-4b79-9b50-ae6018b1fff3" ] } ], "mendeley" : { "formattedCitation" : "&lt;sup&gt;42&lt;/sup&gt;", "plainTextFormattedCitation" : "42", "previouslyFormattedCitation" : "&lt;sup&gt;42&lt;/sup&gt;" }, "properties" : { "noteIndex" : 0 }, "schema" : "https://github.com/citation-style-language/schema/raw/master/csl-citation.json" }</w:instrText>
      </w:r>
      <w:r w:rsidRPr="002F42A6">
        <w:rPr>
          <w:rFonts w:ascii="Arial" w:eastAsiaTheme="minorEastAsia" w:hAnsi="Arial" w:cs="Arial"/>
        </w:rPr>
        <w:fldChar w:fldCharType="separate"/>
      </w:r>
      <w:r w:rsidR="000B745C" w:rsidRPr="000B745C">
        <w:rPr>
          <w:rFonts w:ascii="Arial" w:eastAsiaTheme="minorEastAsia" w:hAnsi="Arial" w:cs="Arial"/>
          <w:noProof/>
          <w:vertAlign w:val="superscript"/>
        </w:rPr>
        <w:t>42</w:t>
      </w:r>
      <w:r w:rsidRPr="002F42A6">
        <w:rPr>
          <w:rFonts w:ascii="Arial" w:eastAsiaTheme="minorEastAsia" w:hAnsi="Arial" w:cs="Arial"/>
        </w:rPr>
        <w:fldChar w:fldCharType="end"/>
      </w:r>
      <w:r w:rsidRPr="002F42A6">
        <w:rPr>
          <w:rFonts w:ascii="Arial" w:eastAsiaTheme="minorEastAsia" w:hAnsi="Arial" w:cs="Arial"/>
        </w:rPr>
        <w:t xml:space="preserve"> Here, for the first time the stabilization of a symmetry breaking state</w:t>
      </w:r>
      <w:r w:rsidR="00426754">
        <w:rPr>
          <w:rFonts w:ascii="Arial" w:eastAsiaTheme="minorEastAsia" w:hAnsi="Arial" w:cs="Arial"/>
        </w:rPr>
        <w:t xml:space="preserve"> is observed</w:t>
      </w:r>
      <w:r w:rsidRPr="002F42A6">
        <w:rPr>
          <w:rFonts w:ascii="Arial" w:eastAsiaTheme="minorEastAsia" w:hAnsi="Arial" w:cs="Arial"/>
        </w:rPr>
        <w:t xml:space="preserve"> in a condensed phase by interaction with a PFO moiety in close proximity in</w:t>
      </w:r>
      <w:r w:rsidR="002E123E">
        <w:rPr>
          <w:rFonts w:ascii="Arial" w:eastAsiaTheme="minorEastAsia" w:hAnsi="Arial" w:cs="Arial"/>
        </w:rPr>
        <w:t xml:space="preserve"> the</w:t>
      </w:r>
      <w:r w:rsidRPr="002F42A6">
        <w:rPr>
          <w:rFonts w:ascii="Arial" w:eastAsiaTheme="minorEastAsia" w:hAnsi="Arial" w:cs="Arial"/>
        </w:rPr>
        <w:t xml:space="preserve"> </w:t>
      </w:r>
      <w:r w:rsidR="006A5771">
        <w:rPr>
          <w:rFonts w:ascii="Arial" w:hAnsi="Arial" w:cs="Arial"/>
        </w:rPr>
        <w:t xml:space="preserve">intercalated PDI:PFO </w:t>
      </w:r>
      <w:r w:rsidRPr="002F42A6">
        <w:rPr>
          <w:rFonts w:ascii="Arial" w:eastAsiaTheme="minorEastAsia" w:hAnsi="Arial" w:cs="Arial"/>
        </w:rPr>
        <w:t>phase.</w:t>
      </w:r>
    </w:p>
    <w:p w14:paraId="6C4957DA" w14:textId="4BBED629" w:rsidR="00C02A97" w:rsidRPr="002F42A6" w:rsidRDefault="006674F9" w:rsidP="002F42A6">
      <w:pPr>
        <w:tabs>
          <w:tab w:val="left" w:pos="0"/>
        </w:tabs>
        <w:spacing w:line="360" w:lineRule="auto"/>
        <w:jc w:val="both"/>
        <w:rPr>
          <w:rFonts w:ascii="Arial" w:eastAsiaTheme="minorEastAsia" w:hAnsi="Arial" w:cs="Arial"/>
        </w:rPr>
      </w:pPr>
      <w:r w:rsidRPr="00AA7325">
        <w:rPr>
          <w:rFonts w:ascii="Arial" w:eastAsiaTheme="minorEastAsia" w:hAnsi="Arial" w:cs="Arial"/>
          <w:noProof/>
          <w:lang w:eastAsia="en-GB"/>
        </w:rPr>
        <w:drawing>
          <wp:inline distT="0" distB="0" distL="0" distR="0" wp14:anchorId="5BDA5130" wp14:editId="0C6E2E82">
            <wp:extent cx="5937565" cy="360275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921" cy="3612677"/>
                    </a:xfrm>
                    <a:prstGeom prst="rect">
                      <a:avLst/>
                    </a:prstGeom>
                    <a:noFill/>
                  </pic:spPr>
                </pic:pic>
              </a:graphicData>
            </a:graphic>
          </wp:inline>
        </w:drawing>
      </w:r>
    </w:p>
    <w:p w14:paraId="35029811" w14:textId="09358563" w:rsidR="00C02A97" w:rsidRPr="002F42A6" w:rsidRDefault="00C02A97" w:rsidP="002F42A6">
      <w:pPr>
        <w:tabs>
          <w:tab w:val="left" w:pos="0"/>
        </w:tabs>
        <w:spacing w:line="360" w:lineRule="auto"/>
        <w:jc w:val="both"/>
        <w:rPr>
          <w:rFonts w:ascii="Arial" w:eastAsiaTheme="minorEastAsia" w:hAnsi="Arial" w:cs="Arial"/>
        </w:rPr>
      </w:pPr>
      <w:r w:rsidRPr="002F42A6">
        <w:rPr>
          <w:rFonts w:ascii="Arial" w:eastAsiaTheme="minorEastAsia" w:hAnsi="Arial" w:cs="Arial"/>
        </w:rPr>
        <w:t xml:space="preserve">Scheme 1: </w:t>
      </w:r>
      <w:r w:rsidR="00426754">
        <w:rPr>
          <w:rFonts w:ascii="Arial" w:eastAsiaTheme="minorEastAsia" w:hAnsi="Arial" w:cs="Arial"/>
        </w:rPr>
        <w:t>P</w:t>
      </w:r>
      <w:r w:rsidRPr="002F42A6">
        <w:rPr>
          <w:rFonts w:ascii="Arial" w:eastAsiaTheme="minorEastAsia" w:hAnsi="Arial" w:cs="Arial"/>
        </w:rPr>
        <w:t>roposed photophysical model for ultrafast symmetry breaking charge transfer in</w:t>
      </w:r>
      <w:r w:rsidR="002E123E">
        <w:rPr>
          <w:rFonts w:ascii="Arial" w:eastAsiaTheme="minorEastAsia" w:hAnsi="Arial" w:cs="Arial"/>
        </w:rPr>
        <w:t xml:space="preserve"> </w:t>
      </w:r>
      <w:r w:rsidRPr="002F42A6">
        <w:rPr>
          <w:rFonts w:ascii="Arial" w:eastAsiaTheme="minorEastAsia" w:hAnsi="Arial" w:cs="Arial"/>
        </w:rPr>
        <w:t xml:space="preserve">PDI </w:t>
      </w:r>
      <w:r w:rsidR="006A5771">
        <w:rPr>
          <w:rFonts w:ascii="Arial" w:eastAsiaTheme="minorEastAsia" w:hAnsi="Arial" w:cs="Arial"/>
        </w:rPr>
        <w:t>within</w:t>
      </w:r>
      <w:r w:rsidRPr="002F42A6">
        <w:rPr>
          <w:rFonts w:ascii="Arial" w:eastAsiaTheme="minorEastAsia" w:hAnsi="Arial" w:cs="Arial"/>
        </w:rPr>
        <w:t xml:space="preserve"> the </w:t>
      </w:r>
      <w:r w:rsidR="006A5771">
        <w:rPr>
          <w:rFonts w:ascii="Arial" w:hAnsi="Arial" w:cs="Arial"/>
        </w:rPr>
        <w:t>intercalated PDI:PFO phase</w:t>
      </w:r>
      <w:r w:rsidRPr="002F42A6">
        <w:rPr>
          <w:rFonts w:ascii="Arial" w:eastAsiaTheme="minorEastAsia" w:hAnsi="Arial" w:cs="Arial"/>
        </w:rPr>
        <w:t>. Dashed lines: weak coupling between the respective potential surfaces. In the top part, graphical representations are given for various points along the trajectory (</w:t>
      </w:r>
      <w:r w:rsidR="004C69CC">
        <w:rPr>
          <w:rFonts w:ascii="Arial" w:eastAsiaTheme="minorEastAsia" w:hAnsi="Arial" w:cs="Arial"/>
        </w:rPr>
        <w:t>blue</w:t>
      </w:r>
      <w:r w:rsidRPr="002F42A6">
        <w:rPr>
          <w:rFonts w:ascii="Arial" w:eastAsiaTheme="minorEastAsia" w:hAnsi="Arial" w:cs="Arial"/>
        </w:rPr>
        <w:t xml:space="preserve">: PDI; </w:t>
      </w:r>
      <w:r w:rsidR="004C69CC">
        <w:rPr>
          <w:rFonts w:ascii="Arial" w:eastAsiaTheme="minorEastAsia" w:hAnsi="Arial" w:cs="Arial"/>
        </w:rPr>
        <w:t>green</w:t>
      </w:r>
      <w:r w:rsidRPr="002F42A6">
        <w:rPr>
          <w:rFonts w:ascii="Arial" w:eastAsiaTheme="minorEastAsia" w:hAnsi="Arial" w:cs="Arial"/>
        </w:rPr>
        <w:t>: PFO</w:t>
      </w:r>
      <w:r w:rsidR="00F904CD">
        <w:rPr>
          <w:rFonts w:ascii="Arial" w:eastAsiaTheme="minorEastAsia" w:hAnsi="Arial" w:cs="Arial"/>
        </w:rPr>
        <w:t xml:space="preserve"> and purple: PFO at the phase interface</w:t>
      </w:r>
      <w:r w:rsidR="004C69CC">
        <w:rPr>
          <w:rFonts w:ascii="Arial" w:eastAsiaTheme="minorEastAsia" w:hAnsi="Arial" w:cs="Arial"/>
        </w:rPr>
        <w:t>, respectively</w:t>
      </w:r>
      <w:r w:rsidR="00F904CD">
        <w:rPr>
          <w:rFonts w:ascii="Arial" w:eastAsiaTheme="minorEastAsia" w:hAnsi="Arial" w:cs="Arial"/>
        </w:rPr>
        <w:t>)</w:t>
      </w:r>
      <w:r w:rsidR="00F266F9">
        <w:rPr>
          <w:rFonts w:ascii="Arial" w:eastAsiaTheme="minorEastAsia" w:hAnsi="Arial" w:cs="Arial"/>
        </w:rPr>
        <w:t xml:space="preserve">. Potential energy surfaces: (1) delocalized neutral excited PDI, excimer in minimum; (2) Symmetry breaking C.S state in bulk PDI, not accessible at room temperature; (3) Symmetry breaking C.S. state close to PFO interface; </w:t>
      </w:r>
      <w:r w:rsidR="002B38AC">
        <w:rPr>
          <w:rFonts w:ascii="Arial" w:eastAsiaTheme="minorEastAsia" w:hAnsi="Arial" w:cs="Arial"/>
        </w:rPr>
        <w:t>(4) C.S state across interface, microsecond lifetime</w:t>
      </w:r>
      <w:r w:rsidR="00F266F9">
        <w:rPr>
          <w:rFonts w:ascii="Arial" w:eastAsiaTheme="minorEastAsia" w:hAnsi="Arial" w:cs="Arial"/>
        </w:rPr>
        <w:t>, (5) PFO exciton.</w:t>
      </w:r>
    </w:p>
    <w:p w14:paraId="06B7A70D" w14:textId="4EAAF08A" w:rsidR="00D33037" w:rsidRDefault="008F42A0">
      <w:pPr>
        <w:tabs>
          <w:tab w:val="left" w:pos="0"/>
        </w:tabs>
        <w:spacing w:line="360" w:lineRule="auto"/>
        <w:jc w:val="both"/>
        <w:rPr>
          <w:rFonts w:ascii="Arial" w:eastAsiaTheme="minorEastAsia" w:hAnsi="Arial" w:cs="Arial"/>
        </w:rPr>
      </w:pPr>
      <w:r w:rsidRPr="002F42A6">
        <w:rPr>
          <w:rFonts w:ascii="Arial" w:eastAsiaTheme="minorEastAsia" w:hAnsi="Arial" w:cs="Arial"/>
        </w:rPr>
        <w:lastRenderedPageBreak/>
        <w:t>Our</w:t>
      </w:r>
      <w:r w:rsidR="00F15545" w:rsidRPr="002F42A6">
        <w:rPr>
          <w:rFonts w:ascii="Arial" w:eastAsiaTheme="minorEastAsia" w:hAnsi="Arial" w:cs="Arial"/>
        </w:rPr>
        <w:t xml:space="preserve"> results</w:t>
      </w:r>
      <w:r w:rsidR="002D5705" w:rsidRPr="002F42A6">
        <w:rPr>
          <w:rFonts w:ascii="Arial" w:eastAsiaTheme="minorEastAsia" w:hAnsi="Arial" w:cs="Arial"/>
        </w:rPr>
        <w:t xml:space="preserve"> highlight the critical importance of polarizability effects between donor and acceptor systems. They are always present and control equilibria and transfer rates to a large extent, but very rarely can they be observed specifically as in our example. To our knowledge</w:t>
      </w:r>
      <w:r w:rsidR="00421A4D">
        <w:rPr>
          <w:rFonts w:ascii="Arial" w:eastAsiaTheme="minorEastAsia" w:hAnsi="Arial" w:cs="Arial"/>
        </w:rPr>
        <w:t>,</w:t>
      </w:r>
      <w:r w:rsidR="002D5705" w:rsidRPr="002F42A6">
        <w:rPr>
          <w:rFonts w:ascii="Arial" w:eastAsiaTheme="minorEastAsia" w:hAnsi="Arial" w:cs="Arial"/>
        </w:rPr>
        <w:t xml:space="preserve"> this is the first </w:t>
      </w:r>
      <w:r w:rsidR="00CC55AC" w:rsidRPr="002F42A6">
        <w:rPr>
          <w:rFonts w:ascii="Arial" w:eastAsiaTheme="minorEastAsia" w:hAnsi="Arial" w:cs="Arial"/>
        </w:rPr>
        <w:t xml:space="preserve">direct </w:t>
      </w:r>
      <w:r w:rsidR="002D5705" w:rsidRPr="002F42A6">
        <w:rPr>
          <w:rFonts w:ascii="Arial" w:eastAsiaTheme="minorEastAsia" w:hAnsi="Arial" w:cs="Arial"/>
        </w:rPr>
        <w:t xml:space="preserve">demonstration of </w:t>
      </w:r>
      <w:r w:rsidR="00426754">
        <w:rPr>
          <w:rFonts w:ascii="Arial" w:eastAsiaTheme="minorEastAsia" w:hAnsi="Arial" w:cs="Arial"/>
        </w:rPr>
        <w:t xml:space="preserve">the </w:t>
      </w:r>
      <w:r w:rsidR="002D5705" w:rsidRPr="002F42A6">
        <w:rPr>
          <w:rFonts w:ascii="Arial" w:eastAsiaTheme="minorEastAsia" w:hAnsi="Arial" w:cs="Arial"/>
        </w:rPr>
        <w:t>formation of a symmetry breaking CT state close to the D-A interface, prior to the formation of the charge</w:t>
      </w:r>
      <w:r w:rsidR="00675A29">
        <w:rPr>
          <w:rFonts w:ascii="Arial" w:eastAsiaTheme="minorEastAsia" w:hAnsi="Arial" w:cs="Arial"/>
        </w:rPr>
        <w:t>-</w:t>
      </w:r>
      <w:r w:rsidR="002D5705" w:rsidRPr="002F42A6">
        <w:rPr>
          <w:rFonts w:ascii="Arial" w:eastAsiaTheme="minorEastAsia" w:hAnsi="Arial" w:cs="Arial"/>
        </w:rPr>
        <w:t>separated state across the interface.</w:t>
      </w:r>
      <w:r w:rsidR="00C620E8">
        <w:rPr>
          <w:rFonts w:ascii="Arial" w:eastAsiaTheme="minorEastAsia" w:hAnsi="Arial" w:cs="Arial"/>
        </w:rPr>
        <w:t xml:space="preserve"> As highlighted by Bellinger </w:t>
      </w:r>
      <w:r w:rsidR="00BF709A">
        <w:rPr>
          <w:rFonts w:ascii="Arial" w:eastAsiaTheme="minorEastAsia" w:hAnsi="Arial" w:cs="Arial"/>
          <w:i/>
        </w:rPr>
        <w:t>et </w:t>
      </w:r>
      <w:r w:rsidR="009B0B94">
        <w:rPr>
          <w:rFonts w:ascii="Arial" w:eastAsiaTheme="minorEastAsia" w:hAnsi="Arial" w:cs="Arial"/>
          <w:i/>
        </w:rPr>
        <w:t xml:space="preserve">al, </w:t>
      </w:r>
      <w:r w:rsidR="00C620E8">
        <w:rPr>
          <w:rFonts w:ascii="Arial" w:eastAsiaTheme="minorEastAsia" w:hAnsi="Arial" w:cs="Arial"/>
        </w:rPr>
        <w:t xml:space="preserve">such symmetry breaking is facilitated by </w:t>
      </w:r>
      <w:r w:rsidR="006F7141">
        <w:rPr>
          <w:rFonts w:ascii="Arial" w:eastAsiaTheme="minorEastAsia" w:hAnsi="Arial" w:cs="Arial"/>
        </w:rPr>
        <w:t xml:space="preserve">the </w:t>
      </w:r>
      <w:r w:rsidR="00C620E8">
        <w:rPr>
          <w:rFonts w:ascii="Arial" w:eastAsiaTheme="minorEastAsia" w:hAnsi="Arial" w:cs="Arial"/>
        </w:rPr>
        <w:t>fact that in PDI, the CT state is energetically close to the neutral state.</w:t>
      </w:r>
    </w:p>
    <w:p w14:paraId="7512AA8F" w14:textId="2D0DEB98" w:rsidR="00C620E8" w:rsidRPr="002F42A6" w:rsidRDefault="002E238F">
      <w:pPr>
        <w:tabs>
          <w:tab w:val="left" w:pos="0"/>
        </w:tabs>
        <w:spacing w:line="360" w:lineRule="auto"/>
        <w:jc w:val="both"/>
        <w:rPr>
          <w:rFonts w:ascii="Arial" w:eastAsiaTheme="minorEastAsia" w:hAnsi="Arial" w:cs="Arial"/>
        </w:rPr>
      </w:pPr>
      <w:r>
        <w:rPr>
          <w:rFonts w:ascii="Arial" w:eastAsiaTheme="minorEastAsia" w:hAnsi="Arial" w:cs="Arial"/>
        </w:rPr>
        <w:t>Importantly, in the PDI</w:t>
      </w:r>
      <w:r w:rsidR="005B13BD">
        <w:rPr>
          <w:rFonts w:ascii="Arial" w:eastAsiaTheme="minorEastAsia" w:hAnsi="Arial" w:cs="Arial"/>
        </w:rPr>
        <w:t>:PFO</w:t>
      </w:r>
      <w:r>
        <w:rPr>
          <w:rFonts w:ascii="Arial" w:eastAsiaTheme="minorEastAsia" w:hAnsi="Arial" w:cs="Arial"/>
        </w:rPr>
        <w:t xml:space="preserve"> </w:t>
      </w:r>
      <w:r w:rsidR="002E123E">
        <w:rPr>
          <w:rFonts w:ascii="Arial" w:eastAsiaTheme="minorEastAsia" w:hAnsi="Arial" w:cs="Arial"/>
        </w:rPr>
        <w:t xml:space="preserve">blend, </w:t>
      </w:r>
      <w:r>
        <w:rPr>
          <w:rFonts w:ascii="Arial" w:eastAsiaTheme="minorEastAsia" w:hAnsi="Arial" w:cs="Arial"/>
        </w:rPr>
        <w:t xml:space="preserve">this symmetry breaking charge transfer occurs in a few hundred femtoseconds, outcompeting the formation of excimers. Excimer formation is a known </w:t>
      </w:r>
      <w:r w:rsidR="00CC37B7">
        <w:rPr>
          <w:rFonts w:ascii="Arial" w:eastAsiaTheme="minorEastAsia" w:hAnsi="Arial" w:cs="Arial"/>
        </w:rPr>
        <w:t xml:space="preserve">process, </w:t>
      </w:r>
      <w:r>
        <w:rPr>
          <w:rFonts w:ascii="Arial" w:eastAsiaTheme="minorEastAsia" w:hAnsi="Arial" w:cs="Arial"/>
        </w:rPr>
        <w:t xml:space="preserve">competing </w:t>
      </w:r>
      <w:r w:rsidR="00CC37B7">
        <w:rPr>
          <w:rFonts w:ascii="Arial" w:eastAsiaTheme="minorEastAsia" w:hAnsi="Arial" w:cs="Arial"/>
        </w:rPr>
        <w:t xml:space="preserve">with </w:t>
      </w:r>
      <w:r>
        <w:rPr>
          <w:rFonts w:ascii="Arial" w:eastAsiaTheme="minorEastAsia" w:hAnsi="Arial" w:cs="Arial"/>
        </w:rPr>
        <w:t>charge separation in many PDI derivatives used as non-fullerene acceptors.</w:t>
      </w:r>
      <w:r w:rsidR="00C846B9" w:rsidRPr="005C30F5">
        <w:rPr>
          <w:rFonts w:ascii="Arial" w:eastAsiaTheme="minorEastAsia" w:hAnsi="Arial" w:cs="Arial"/>
          <w:vertAlign w:val="superscript"/>
        </w:rPr>
        <w:t>13, 21</w:t>
      </w:r>
      <w:r w:rsidRPr="005C30F5">
        <w:rPr>
          <w:rFonts w:ascii="Arial" w:eastAsiaTheme="minorEastAsia" w:hAnsi="Arial" w:cs="Arial"/>
          <w:vertAlign w:val="superscript"/>
        </w:rPr>
        <w:t xml:space="preserve"> </w:t>
      </w:r>
      <w:r>
        <w:rPr>
          <w:rFonts w:ascii="Arial" w:eastAsiaTheme="minorEastAsia" w:hAnsi="Arial" w:cs="Arial"/>
        </w:rPr>
        <w:t>Excimer formation can be suppressed by bulky substituents inhibiting co-facial alignment. This approach</w:t>
      </w:r>
      <w:r w:rsidR="00CC37B7">
        <w:rPr>
          <w:rFonts w:ascii="Arial" w:eastAsiaTheme="minorEastAsia" w:hAnsi="Arial" w:cs="Arial"/>
        </w:rPr>
        <w:t>,</w:t>
      </w:r>
      <w:r>
        <w:rPr>
          <w:rFonts w:ascii="Arial" w:eastAsiaTheme="minorEastAsia" w:hAnsi="Arial" w:cs="Arial"/>
        </w:rPr>
        <w:t xml:space="preserve"> however</w:t>
      </w:r>
      <w:r w:rsidR="00CC37B7">
        <w:rPr>
          <w:rFonts w:ascii="Arial" w:eastAsiaTheme="minorEastAsia" w:hAnsi="Arial" w:cs="Arial"/>
        </w:rPr>
        <w:t>,</w:t>
      </w:r>
      <w:r>
        <w:rPr>
          <w:rFonts w:ascii="Arial" w:eastAsiaTheme="minorEastAsia" w:hAnsi="Arial" w:cs="Arial"/>
        </w:rPr>
        <w:t xml:space="preserve"> </w:t>
      </w:r>
      <w:r w:rsidR="00D33037">
        <w:rPr>
          <w:rFonts w:ascii="Arial" w:eastAsiaTheme="minorEastAsia" w:hAnsi="Arial" w:cs="Arial"/>
        </w:rPr>
        <w:t>conflicts with the need for high</w:t>
      </w:r>
      <w:r>
        <w:rPr>
          <w:rFonts w:ascii="Arial" w:eastAsiaTheme="minorEastAsia" w:hAnsi="Arial" w:cs="Arial"/>
        </w:rPr>
        <w:t xml:space="preserve"> charge mobilit</w:t>
      </w:r>
      <w:r w:rsidR="00D33037">
        <w:rPr>
          <w:rFonts w:ascii="Arial" w:eastAsiaTheme="minorEastAsia" w:hAnsi="Arial" w:cs="Arial"/>
        </w:rPr>
        <w:t xml:space="preserve">ies </w:t>
      </w:r>
      <w:r>
        <w:rPr>
          <w:rFonts w:ascii="Arial" w:eastAsiaTheme="minorEastAsia" w:hAnsi="Arial" w:cs="Arial"/>
        </w:rPr>
        <w:t xml:space="preserve">for efficient extraction. In our work, we show that even a PDI derivative that shows excimer formation in the pristine case, can show efficient charge separation </w:t>
      </w:r>
      <w:r w:rsidR="00D33037">
        <w:rPr>
          <w:rFonts w:ascii="Arial" w:eastAsiaTheme="minorEastAsia" w:hAnsi="Arial" w:cs="Arial"/>
        </w:rPr>
        <w:t>through</w:t>
      </w:r>
      <w:r>
        <w:rPr>
          <w:rFonts w:ascii="Arial" w:eastAsiaTheme="minorEastAsia" w:hAnsi="Arial" w:cs="Arial"/>
        </w:rPr>
        <w:t xml:space="preserve"> symmetry breaking charge transfer close to the D-A interface.</w:t>
      </w:r>
      <w:r w:rsidR="00C846B9">
        <w:rPr>
          <w:rFonts w:ascii="Arial" w:eastAsiaTheme="minorEastAsia" w:hAnsi="Arial" w:cs="Arial"/>
        </w:rPr>
        <w:t xml:space="preserve"> </w:t>
      </w:r>
      <w:r w:rsidR="00C846B9" w:rsidRPr="00C846B9">
        <w:rPr>
          <w:rFonts w:ascii="Arial" w:eastAsiaTheme="minorEastAsia" w:hAnsi="Arial" w:cs="Arial"/>
        </w:rPr>
        <w:t xml:space="preserve">These results suggest that PDI derivatives, when used as non-fullerene acceptors, </w:t>
      </w:r>
      <w:r w:rsidR="005C30F5">
        <w:rPr>
          <w:rFonts w:ascii="Arial" w:eastAsiaTheme="minorEastAsia" w:hAnsi="Arial" w:cs="Arial"/>
        </w:rPr>
        <w:t>don’t have to</w:t>
      </w:r>
      <w:r w:rsidR="00C846B9" w:rsidRPr="00C846B9">
        <w:rPr>
          <w:rFonts w:ascii="Arial" w:eastAsiaTheme="minorEastAsia" w:hAnsi="Arial" w:cs="Arial"/>
        </w:rPr>
        <w:t xml:space="preserve"> be designed to avoid excimer formation (as this approach tends to reduce charge mobility) but </w:t>
      </w:r>
      <w:r w:rsidR="005C30F5">
        <w:rPr>
          <w:rFonts w:ascii="Arial" w:eastAsiaTheme="minorEastAsia" w:hAnsi="Arial" w:cs="Arial"/>
        </w:rPr>
        <w:t>instead</w:t>
      </w:r>
      <w:r w:rsidR="00C846B9" w:rsidRPr="00C846B9">
        <w:rPr>
          <w:rFonts w:ascii="Arial" w:eastAsiaTheme="minorEastAsia" w:hAnsi="Arial" w:cs="Arial"/>
        </w:rPr>
        <w:t xml:space="preserve"> be optimized in conjunction with the electron donor material to produce the symmetry breaking charge transfer that we describe.</w:t>
      </w:r>
      <w:r w:rsidR="00D33037">
        <w:rPr>
          <w:rFonts w:ascii="Arial" w:eastAsiaTheme="minorEastAsia" w:hAnsi="Arial" w:cs="Arial"/>
        </w:rPr>
        <w:t xml:space="preserve"> On a more general level, the charge transfer mechanisms shown in this work – starting from excitons in both the PDI and PFO phase - lead to weakly bound charge separated states with potentially higher charge extraction yields.</w:t>
      </w:r>
      <w:r w:rsidR="002D5705" w:rsidRPr="002F42A6">
        <w:rPr>
          <w:rFonts w:ascii="Arial" w:eastAsiaTheme="minorEastAsia" w:hAnsi="Arial" w:cs="Arial"/>
        </w:rPr>
        <w:t xml:space="preserve"> Our studies therefore encourage </w:t>
      </w:r>
      <w:r w:rsidR="00675A29" w:rsidRPr="002F42A6">
        <w:rPr>
          <w:rFonts w:ascii="Arial" w:eastAsiaTheme="minorEastAsia" w:hAnsi="Arial" w:cs="Arial"/>
        </w:rPr>
        <w:t>investigating</w:t>
      </w:r>
      <w:r w:rsidR="002D5705" w:rsidRPr="002F42A6">
        <w:rPr>
          <w:rFonts w:ascii="Arial" w:eastAsiaTheme="minorEastAsia" w:hAnsi="Arial" w:cs="Arial"/>
        </w:rPr>
        <w:t xml:space="preserve"> </w:t>
      </w:r>
      <w:r w:rsidR="00F15545" w:rsidRPr="002F42A6">
        <w:rPr>
          <w:rFonts w:ascii="Arial" w:eastAsiaTheme="minorEastAsia" w:hAnsi="Arial" w:cs="Arial"/>
        </w:rPr>
        <w:t>this mechanism in a broader range of material</w:t>
      </w:r>
      <w:r w:rsidR="006F7141">
        <w:rPr>
          <w:rFonts w:ascii="Arial" w:eastAsiaTheme="minorEastAsia" w:hAnsi="Arial" w:cs="Arial"/>
        </w:rPr>
        <w:t>s</w:t>
      </w:r>
      <w:r w:rsidR="00F15545" w:rsidRPr="002F42A6">
        <w:rPr>
          <w:rFonts w:ascii="Arial" w:eastAsiaTheme="minorEastAsia" w:hAnsi="Arial" w:cs="Arial"/>
        </w:rPr>
        <w:t xml:space="preserve"> that are featured for D-A systems. Symmetry breaking charge transfer states in the phase that is most</w:t>
      </w:r>
      <w:r w:rsidR="006F7141">
        <w:rPr>
          <w:rFonts w:ascii="Arial" w:eastAsiaTheme="minorEastAsia" w:hAnsi="Arial" w:cs="Arial"/>
        </w:rPr>
        <w:t>ly</w:t>
      </w:r>
      <w:r w:rsidR="00F15545" w:rsidRPr="002F42A6">
        <w:rPr>
          <w:rFonts w:ascii="Arial" w:eastAsiaTheme="minorEastAsia" w:hAnsi="Arial" w:cs="Arial"/>
        </w:rPr>
        <w:t xml:space="preserve"> responsible for light absorption, might be used as a targeted strategy to overcome V</w:t>
      </w:r>
      <w:r w:rsidR="00F15545" w:rsidRPr="002F42A6">
        <w:rPr>
          <w:rFonts w:ascii="Arial" w:eastAsiaTheme="minorEastAsia" w:hAnsi="Arial" w:cs="Arial"/>
          <w:vertAlign w:val="subscript"/>
        </w:rPr>
        <w:t>OC</w:t>
      </w:r>
      <w:r w:rsidR="00F15545" w:rsidRPr="002F42A6">
        <w:rPr>
          <w:rFonts w:ascii="Arial" w:eastAsiaTheme="minorEastAsia" w:hAnsi="Arial" w:cs="Arial"/>
        </w:rPr>
        <w:t xml:space="preserve"> losses in organic photovoltaics, being the most important drawback </w:t>
      </w:r>
      <w:r w:rsidR="00675A29">
        <w:rPr>
          <w:rFonts w:ascii="Arial" w:eastAsiaTheme="minorEastAsia" w:hAnsi="Arial" w:cs="Arial"/>
        </w:rPr>
        <w:t>compared to</w:t>
      </w:r>
      <w:r w:rsidR="00F15545" w:rsidRPr="002F42A6">
        <w:rPr>
          <w:rFonts w:ascii="Arial" w:eastAsiaTheme="minorEastAsia" w:hAnsi="Arial" w:cs="Arial"/>
        </w:rPr>
        <w:t xml:space="preserve"> perovskite </w:t>
      </w:r>
      <w:r w:rsidR="00855207" w:rsidRPr="002F42A6">
        <w:rPr>
          <w:rFonts w:ascii="Arial" w:eastAsiaTheme="minorEastAsia" w:hAnsi="Arial" w:cs="Arial"/>
        </w:rPr>
        <w:t>solar cells</w:t>
      </w:r>
      <w:r w:rsidR="00F15545" w:rsidRPr="002F42A6">
        <w:rPr>
          <w:rFonts w:ascii="Arial" w:eastAsiaTheme="minorEastAsia" w:hAnsi="Arial" w:cs="Arial"/>
        </w:rPr>
        <w:t>.</w:t>
      </w:r>
      <w:r w:rsidR="000722C3">
        <w:rPr>
          <w:rFonts w:ascii="Arial" w:eastAsiaTheme="minorEastAsia" w:hAnsi="Arial" w:cs="Arial"/>
        </w:rPr>
        <w:fldChar w:fldCharType="begin" w:fldLock="1"/>
      </w:r>
      <w:r w:rsidR="000B745C">
        <w:rPr>
          <w:rFonts w:ascii="Arial" w:eastAsiaTheme="minorEastAsia" w:hAnsi="Arial" w:cs="Arial"/>
        </w:rPr>
        <w:instrText>ADDIN CSL_CITATION { "citationItems" : [ { "id" : "ITEM-1", "itemData" : { "DOI" : "10.1002/aenm.201500111", "ISSN" : "16146832", "author" : [ { "dropping-particle" : "", "family" : "Heumueller", "given" : "Thomas", "non-dropping-particle" : "", "parse-names" : false, "suffix" : "" }, { "dropping-particle" : "", "family" : "Burke", "given" : "Timothy M.", "non-dropping-particle" : "", "parse-names" : false, "suffix" : "" }, { "dropping-particle" : "", "family" : "Mateker", "given" : "William R.", "non-dropping-particle" : "", "parse-names" : false, "suffix" : "" }, { "dropping-particle" : "", "family" : "Sachs-Quintana", "given" : "Isaac T.", "non-dropping-particle" : "", "parse-names" : false, "suffix" : "" }, { "dropping-particle" : "", "family" : "Vandewal", "given" : "Koen", "non-dropping-particle" : "", "parse-names" : false, "suffix" : "" }, { "dropping-particle" : "", "family" : "Brabec", "given" : "Christoph J.", "non-dropping-particle" : "", "parse-names" : false, "suffix" : "" }, { "dropping-particle" : "", "family" : "McGehee", "given" : "Michael D.", "non-dropping-particle" : "", "parse-names" : false, "suffix" : "" } ], "container-title" : "Advanced Energy Materials", "id" : "ITEM-1", "issued" : { "date-parts" : [ [ "2015", "5", "26" ] ] }, "page" : "n/a-n/a", "title" : "Disorder-Induced Open-Circuit Voltage Losses in Organic Solar Cells During Photoinduced Burn-In", "type" : "article-journal" }, "uris" : [ "http://www.mendeley.com/documents/?uuid=584fd3dc-042a-4d15-8997-ecda8d9cae18" ] }, { "id" : "ITEM-2", "itemData" : { "ISSN" : "2380-8195", "author" : [ { "dropping-particle" : "", "family" : "Tuladhar", "given" : "Sachetan M", "non-dropping-particle" : "", "parse-names" : false, "suffix" : "" }, { "dropping-particle" : "", "family" : "Azzouzi", "given" : "Mohammed", "non-dropping-particle" : "", "parse-names" : false, "suffix" : "" }, { "dropping-particle" : "", "family" : "Delval", "given" : "Florent", "non-dropping-particle" : "", "parse-names" : false, "suffix" : "" }, { "dropping-particle" : "", "family" : "Yao", "given" : "Jizhong", "non-dropping-particle" : "", "parse-names" : false, "suffix" : "" }, { "dropping-particle" : "", "family" : "Guilbert", "given" : "Anne A Y", "non-dropping-particle" : "", "parse-names" : false, "suffix" : "" }, { "dropping-particle" : "", "family" : "Kirchartz", "given" : "Thomas", "non-dropping-particle" : "", "parse-names" : false, "suffix" : "" }, { "dropping-particle" : "", "family" : "Montcada", "given" : "Nuria F", "non-dropping-particle" : "", "parse-names" : false, "suffix" : "" }, { "dropping-particle" : "", "family" : "Dominguez", "given" : "Rocio", "non-dropping-particle" : "", "parse-names" : false, "suffix" : "" }, { "dropping-particle" : "", "family" : "Langa", "given" : "Fernando", "non-dropping-particle" : "", "parse-names" : false, "suffix" : "" }, { "dropping-particle" : "", "family" : "Palomares", "given" : "Emilio", "non-dropping-particle" : "", "parse-names" : false, "suffix" : "" } ], "container-title" : "ACS Energy Letters", "id" : "ITEM-2", "issue" : "1", "issued" : { "date-parts" : [ [ "2016" ] ] }, "page" : "302-308", "publisher" : "ACS Publications", "title" : "Low Open-Circuit Voltage Loss in Solution-Processed Small-Molecule Organic Solar Cells", "type" : "article-journal", "volume" : "1" }, "uris" : [ "http://www.mendeley.com/documents/?uuid=986d8221-d953-470e-834f-6e789b36c9a6" ] }, { "id" : "ITEM-3", "itemData" : { "author" : [ { "dropping-particle" : "", "family" : "Elumalai", "given" : "Naveen Kumar", "non-dropping-particle" : "", "parse-names" : false, "suffix" : "" }, { "dropping-particle" : "", "family" : "Uddin", "given" : "Ashraf", "non-dropping-particle" : "", "parse-names" : false, "suffix" : "" } ], "container-title" : "Energy &amp; Environmental Science", "id" : "ITEM-3", "issue" : "2", "issued" : { "date-parts" : [ [ "2016" ] ] }, "page" : "391-410", "publisher" : "Royal Society of Chemistry", "title" : "Open circuit voltage of organic solar cells: an in-depth review", "type" : "article-journal", "volume" : "9" }, "uris" : [ "http://www.mendeley.com/documents/?uuid=e2412209-5579-48e0-b245-45f3073468a2" ] }, { "id" : "ITEM-4", "itemData" : { "author" : [ { "dropping-particle" : "", "family" : "Baran", "given" : "Derya", "non-dropping-particle" : "", "parse-names" : false, "suffix" : "" }, { "dropping-particle" : "", "family" : "Kirchartz", "given" : "T", "non-dropping-particle" : "", "parse-names" : false, "suffix" : "" }, { "dropping-particle" : "", "family" : "Wheeler", "given" : "Scot", "non-dropping-particle" : "", "parse-names" : false, "suffix" : "" }, { "dropping-particle" : "", "family" : "Dimitrov", "given" : "S", "non-dropping-particle" : "", "parse-names" : false, "suffix" : "" }, { "dropping-particle" : "", "family" : "Abdelsamie", "given" : "Maged", "non-dropping-particle" : "", "parse-names" : false, "suffix" : "" }, { "dropping-particle" : "", "family" : "Gorman", "given" : "J", "non-dropping-particle" : "", "parse-names" : false, "suffix" : "" }, { "dropping-particle" : "", "family" : "Ashraf", "given" : "Raja Shahid", "non-dropping-particle" : "", "parse-names" : false, "suffix" : "" }, { "dropping-particle" : "", "family" : "Holliday", "given" : "Sarah", "non-dropping-particle" : "", "parse-names" : false, "suffix" : "" }, { "dropping-particle" : "", "family" : "Wadsworth", "given" : "Andrew", "non-dropping-particle" : "", "parse-names" : false, "suffix" : "" }, { "dropping-particle" : "", "family" : "Gasparini", "given" : "Nicola", "non-dropping-particle" : "", "parse-names" : false, "suffix" : "" } ], "container-title" : "Energy &amp; environmental science", "id" : "ITEM-4", "issue" : "12", "issued" : { "date-parts" : [ [ "2016" ] ] }, "page" : "3783-3793", "publisher" : "Royal Society of Chemistry", "title" : "Reduced voltage losses yield 10% efficient fullerene free organic solar cells with&gt; 1 V open circuit voltages", "type" : "article-journal", "volume" : "9" }, "uris" : [ "http://www.mendeley.com/documents/?uuid=7ee5fa38-87f9-4cbb-9527-184866a4d07f" ] }, { "id" : "ITEM-5", "itemData" : { "author" : [ { "dropping-particle" : "", "family" : "Hu", "given" : "Zhongjian", "non-dropping-particle" : "", "parse-names" : false, "suffix" : "" }, { "dropping-particle" : "", "family" : "Willard", "given" : "Adam P", "non-dropping-particle" : "", "parse-names" : false, "suffix" : "" }, { "dropping-particle" : "", "family" : "Ono", "given" : "Robert J", "non-dropping-particle" : "", "parse-names" : false, "suffix" : "" }, { "dropping-particle" : "", "family" : "Bielawski", "given" : "Christopher W", "non-dropping-particle" : "", "parse-names" : false, "suffix" : "" }, { "dropping-particle" : "", "family" : "Rossky", "given" : "Peter J", "non-dropping-particle" : "", "parse-names" : false, "suffix" : "" }, { "dropping-particle" : "Vanden", "family" : "Bout", "given" : "David A", "non-dropping-particle" : "", "parse-names" : false, "suffix" : "" } ], "container-title" : "Nature communications", "id" : "ITEM-5", "issued" : { "date-parts" : [ [ "2015" ] ] }, "publisher" : "Nature Research", "title" : "An insight into non-emissive excited states in conjugated polymers", "type" : "article-journal", "volume" : "6" }, "uris" : [ "http://www.mendeley.com/documents/?uuid=42098bb5-268f-4ab8-b572-22c98ed714cc" ] }, { "id" : "ITEM-6", "itemData" : { "ISSN" : "0024-9297", "author" : [ { "dropping-particle" : "", "family" : "Raithel", "given" : "Dominic", "non-dropping-particle" : "", "parse-names" : false, "suffix" : "" }, { "dropping-particle" : "", "family" : "Baderschneider", "given" : "Sebastian", "non-dropping-particle" : "", "parse-names" : false, "suffix" : "" }, { "dropping-particle" : "", "family" : "Queiroz", "given" : "Thiago B", "non-dropping-particle" : "de", "parse-names" : false, "suffix" : "" }, { "dropping-particle" : "", "family" : "Lohwasser", "given" : "Ruth", "non-dropping-particle" : "", "parse-names" : false, "suffix" : "" }, { "dropping-particle" : "", "family" : "Ko\u0308hler", "given" : "Ju\u0308rgen", "non-dropping-particle" : "", "parse-names" : false, "suffix" : "" }, { "dropping-particle" : "", "family" : "Thelakkat", "given" : "Mukundan", "non-dropping-particle" : "", "parse-names" : false, "suffix" : "" }, { "dropping-particle" : "", "family" : "Ku\u0308mmel", "given" : "Stephan", "non-dropping-particle" : "", "parse-names" : false, "suffix" : "" }, { "dropping-particle" : "", "family" : "Hildner", "given" : "Richard", "non-dropping-particle" : "", "parse-names" : false, "suffix" : "" } ], "container-title" : "Macromolecules", "id" : "ITEM-6", "issued" : { "date-parts" : [ [ "2016" ] ] }, "publisher" : "ACS Publications", "title" : "Emitting Species of Poly (3-hexylthiophene): From Single, Isolated Chains to Bulk", "type" : "article-journal" }, "uris" : [ "http://www.mendeley.com/documents/?uuid=35e99c2a-69be-412f-b287-11da0a2e4e3a" ] } ], "mendeley" : { "formattedCitation" : "&lt;sup&gt;60\u201365&lt;/sup&gt;", "plainTextFormattedCitation" : "60\u201365", "previouslyFormattedCitation" : "&lt;sup&gt;60\u201365&lt;/sup&gt;" }, "properties" : { "noteIndex" : 0 }, "schema" : "https://github.com/citation-style-language/schema/raw/master/csl-citation.json" }</w:instrText>
      </w:r>
      <w:r w:rsidR="000722C3">
        <w:rPr>
          <w:rFonts w:ascii="Arial" w:eastAsiaTheme="minorEastAsia" w:hAnsi="Arial" w:cs="Arial"/>
        </w:rPr>
        <w:fldChar w:fldCharType="separate"/>
      </w:r>
      <w:r w:rsidR="000B745C" w:rsidRPr="000B745C">
        <w:rPr>
          <w:rFonts w:ascii="Arial" w:eastAsiaTheme="minorEastAsia" w:hAnsi="Arial" w:cs="Arial"/>
          <w:noProof/>
          <w:vertAlign w:val="superscript"/>
        </w:rPr>
        <w:t>60–65</w:t>
      </w:r>
      <w:r w:rsidR="000722C3">
        <w:rPr>
          <w:rFonts w:ascii="Arial" w:eastAsiaTheme="minorEastAsia" w:hAnsi="Arial" w:cs="Arial"/>
        </w:rPr>
        <w:fldChar w:fldCharType="end"/>
      </w:r>
    </w:p>
    <w:p w14:paraId="61B7E911" w14:textId="77777777" w:rsidR="00C35FA0" w:rsidRPr="002F42A6" w:rsidRDefault="00C35FA0" w:rsidP="00E74311">
      <w:pPr>
        <w:tabs>
          <w:tab w:val="left" w:pos="0"/>
        </w:tabs>
        <w:spacing w:line="360" w:lineRule="auto"/>
        <w:ind w:left="360"/>
        <w:jc w:val="both"/>
        <w:rPr>
          <w:rFonts w:ascii="Arial" w:eastAsiaTheme="minorEastAsia" w:hAnsi="Arial" w:cs="Arial"/>
          <w:b/>
        </w:rPr>
      </w:pPr>
    </w:p>
    <w:p w14:paraId="5069B391" w14:textId="25361D75" w:rsidR="002236E1" w:rsidRPr="002F42A6" w:rsidRDefault="002236E1" w:rsidP="009E5E77">
      <w:pPr>
        <w:tabs>
          <w:tab w:val="left" w:pos="0"/>
        </w:tabs>
        <w:spacing w:line="360" w:lineRule="auto"/>
        <w:jc w:val="both"/>
        <w:rPr>
          <w:rFonts w:ascii="Arial" w:eastAsiaTheme="minorEastAsia" w:hAnsi="Arial" w:cs="Arial"/>
          <w:b/>
        </w:rPr>
      </w:pPr>
      <w:r w:rsidRPr="002F42A6">
        <w:rPr>
          <w:rFonts w:ascii="Arial" w:eastAsiaTheme="minorEastAsia" w:hAnsi="Arial" w:cs="Arial"/>
          <w:b/>
        </w:rPr>
        <w:t>Conclusions</w:t>
      </w:r>
    </w:p>
    <w:p w14:paraId="35B10CF0" w14:textId="588308E6" w:rsidR="00F72740" w:rsidRDefault="002236E1">
      <w:pPr>
        <w:tabs>
          <w:tab w:val="left" w:pos="0"/>
        </w:tabs>
        <w:spacing w:line="360" w:lineRule="auto"/>
        <w:jc w:val="both"/>
        <w:rPr>
          <w:rFonts w:ascii="Arial" w:eastAsiaTheme="minorEastAsia" w:hAnsi="Arial" w:cs="Arial"/>
        </w:rPr>
      </w:pPr>
      <w:r w:rsidRPr="002F42A6">
        <w:rPr>
          <w:rFonts w:ascii="Arial" w:eastAsiaTheme="minorEastAsia" w:hAnsi="Arial" w:cs="Arial"/>
        </w:rPr>
        <w:t>In this</w:t>
      </w:r>
      <w:r w:rsidR="00675A29">
        <w:rPr>
          <w:rFonts w:ascii="Arial" w:eastAsiaTheme="minorEastAsia" w:hAnsi="Arial" w:cs="Arial"/>
        </w:rPr>
        <w:t xml:space="preserve"> study</w:t>
      </w:r>
      <w:r w:rsidR="008F42A0" w:rsidRPr="002F42A6">
        <w:rPr>
          <w:rFonts w:ascii="Arial" w:eastAsiaTheme="minorEastAsia" w:hAnsi="Arial" w:cs="Arial"/>
        </w:rPr>
        <w:t xml:space="preserve">, </w:t>
      </w:r>
      <w:r w:rsidR="005B13BD">
        <w:rPr>
          <w:rFonts w:ascii="Arial" w:eastAsiaTheme="minorEastAsia" w:hAnsi="Arial" w:cs="Arial"/>
        </w:rPr>
        <w:t>PDI:PFO</w:t>
      </w:r>
      <w:r w:rsidR="008F42A0" w:rsidRPr="002F42A6">
        <w:rPr>
          <w:rFonts w:ascii="Arial" w:eastAsiaTheme="minorEastAsia" w:hAnsi="Arial" w:cs="Arial"/>
        </w:rPr>
        <w:t xml:space="preserve"> </w:t>
      </w:r>
      <w:r w:rsidR="006A5771">
        <w:rPr>
          <w:rFonts w:ascii="Arial" w:eastAsiaTheme="minorEastAsia" w:hAnsi="Arial" w:cs="Arial"/>
        </w:rPr>
        <w:t>intercalating</w:t>
      </w:r>
      <w:r w:rsidR="000A4291">
        <w:rPr>
          <w:rFonts w:ascii="Arial" w:eastAsiaTheme="minorEastAsia" w:hAnsi="Arial" w:cs="Arial"/>
        </w:rPr>
        <w:t xml:space="preserve"> blends exhibited</w:t>
      </w:r>
      <w:r w:rsidR="008F42A0" w:rsidRPr="002F42A6">
        <w:rPr>
          <w:rFonts w:ascii="Arial" w:eastAsiaTheme="minorEastAsia" w:hAnsi="Arial" w:cs="Arial"/>
        </w:rPr>
        <w:t xml:space="preserve"> </w:t>
      </w:r>
      <w:r w:rsidR="00426754">
        <w:rPr>
          <w:rFonts w:ascii="Arial" w:eastAsiaTheme="minorEastAsia" w:hAnsi="Arial" w:cs="Arial"/>
        </w:rPr>
        <w:t xml:space="preserve">unique </w:t>
      </w:r>
      <w:r w:rsidR="008F42A0" w:rsidRPr="002F42A6">
        <w:rPr>
          <w:rFonts w:ascii="Arial" w:eastAsiaTheme="minorEastAsia" w:hAnsi="Arial" w:cs="Arial"/>
        </w:rPr>
        <w:t>specific optical probes for charge separated states</w:t>
      </w:r>
      <w:r w:rsidR="000A4291">
        <w:rPr>
          <w:rFonts w:ascii="Arial" w:eastAsiaTheme="minorEastAsia" w:hAnsi="Arial" w:cs="Arial"/>
        </w:rPr>
        <w:t>, studied by TA</w:t>
      </w:r>
      <w:r w:rsidR="008F42A0" w:rsidRPr="002F42A6">
        <w:rPr>
          <w:rFonts w:ascii="Arial" w:eastAsiaTheme="minorEastAsia" w:hAnsi="Arial" w:cs="Arial"/>
        </w:rPr>
        <w:t xml:space="preserve">. </w:t>
      </w:r>
      <w:r w:rsidR="00426754">
        <w:rPr>
          <w:rFonts w:ascii="Arial" w:eastAsiaTheme="minorEastAsia" w:hAnsi="Arial" w:cs="Arial"/>
        </w:rPr>
        <w:t>T</w:t>
      </w:r>
      <w:r w:rsidR="008F42A0" w:rsidRPr="002F42A6">
        <w:rPr>
          <w:rFonts w:ascii="Arial" w:eastAsiaTheme="minorEastAsia" w:hAnsi="Arial" w:cs="Arial"/>
        </w:rPr>
        <w:t>he crucial transfer processe</w:t>
      </w:r>
      <w:r w:rsidR="00A00028" w:rsidRPr="002F42A6">
        <w:rPr>
          <w:rFonts w:ascii="Arial" w:eastAsiaTheme="minorEastAsia" w:hAnsi="Arial" w:cs="Arial"/>
        </w:rPr>
        <w:t>s</w:t>
      </w:r>
      <w:r w:rsidR="008F42A0" w:rsidRPr="002F42A6">
        <w:rPr>
          <w:rFonts w:ascii="Arial" w:eastAsiaTheme="minorEastAsia" w:hAnsi="Arial" w:cs="Arial"/>
        </w:rPr>
        <w:t xml:space="preserve"> occurring at the D-A interface</w:t>
      </w:r>
      <w:r w:rsidR="00426754">
        <w:rPr>
          <w:rFonts w:ascii="Arial" w:eastAsiaTheme="minorEastAsia" w:hAnsi="Arial" w:cs="Arial"/>
        </w:rPr>
        <w:t xml:space="preserve"> </w:t>
      </w:r>
      <w:r w:rsidR="000A4291">
        <w:rPr>
          <w:rFonts w:ascii="Arial" w:eastAsiaTheme="minorEastAsia" w:hAnsi="Arial" w:cs="Arial"/>
        </w:rPr>
        <w:t>include</w:t>
      </w:r>
      <w:r w:rsidR="00F72740">
        <w:rPr>
          <w:rFonts w:ascii="Arial" w:eastAsiaTheme="minorEastAsia" w:hAnsi="Arial" w:cs="Arial"/>
        </w:rPr>
        <w:t xml:space="preserve"> a long-</w:t>
      </w:r>
      <w:r w:rsidR="00C620E8">
        <w:rPr>
          <w:rFonts w:ascii="Arial" w:eastAsiaTheme="minorEastAsia" w:hAnsi="Arial" w:cs="Arial"/>
        </w:rPr>
        <w:t>range exciton dissociation mechanism</w:t>
      </w:r>
      <w:r w:rsidR="000A4291">
        <w:rPr>
          <w:rFonts w:ascii="Arial" w:eastAsiaTheme="minorEastAsia" w:hAnsi="Arial" w:cs="Arial"/>
        </w:rPr>
        <w:t>, as observed from the</w:t>
      </w:r>
      <w:r w:rsidR="00C620E8">
        <w:rPr>
          <w:rFonts w:ascii="Arial" w:eastAsiaTheme="minorEastAsia" w:hAnsi="Arial" w:cs="Arial"/>
        </w:rPr>
        <w:t xml:space="preserve"> experimental determination of the exciton wavefunction extension, approaching 20 monomer units in ordered PFO in the phase space filling picture</w:t>
      </w:r>
      <w:r w:rsidR="00A00028" w:rsidRPr="002F42A6">
        <w:rPr>
          <w:rFonts w:ascii="Arial" w:eastAsiaTheme="minorEastAsia" w:hAnsi="Arial" w:cs="Arial"/>
        </w:rPr>
        <w:t xml:space="preserve">. </w:t>
      </w:r>
      <w:r w:rsidR="00426754">
        <w:rPr>
          <w:rFonts w:ascii="Arial" w:eastAsiaTheme="minorEastAsia" w:hAnsi="Arial" w:cs="Arial"/>
        </w:rPr>
        <w:t>Further, a</w:t>
      </w:r>
      <w:r w:rsidR="00F72740">
        <w:rPr>
          <w:rFonts w:ascii="Arial" w:eastAsiaTheme="minorEastAsia" w:hAnsi="Arial" w:cs="Arial"/>
        </w:rPr>
        <w:t xml:space="preserve"> sub</w:t>
      </w:r>
      <w:r w:rsidR="00131913">
        <w:rPr>
          <w:rFonts w:ascii="Arial" w:eastAsiaTheme="minorEastAsia" w:hAnsi="Arial" w:cs="Arial"/>
        </w:rPr>
        <w:t>-</w:t>
      </w:r>
      <w:r w:rsidR="00F72740">
        <w:rPr>
          <w:rFonts w:ascii="Arial" w:eastAsiaTheme="minorEastAsia" w:hAnsi="Arial" w:cs="Arial"/>
        </w:rPr>
        <w:t>picosecond branching of</w:t>
      </w:r>
      <w:r w:rsidR="00C620E8">
        <w:rPr>
          <w:rFonts w:ascii="Arial" w:eastAsiaTheme="minorEastAsia" w:hAnsi="Arial" w:cs="Arial"/>
        </w:rPr>
        <w:t xml:space="preserve"> </w:t>
      </w:r>
      <w:r w:rsidR="00A00028" w:rsidRPr="002F42A6">
        <w:rPr>
          <w:rFonts w:ascii="Arial" w:eastAsiaTheme="minorEastAsia" w:hAnsi="Arial" w:cs="Arial"/>
        </w:rPr>
        <w:t>PDI excitons</w:t>
      </w:r>
      <w:r w:rsidR="00F72740">
        <w:rPr>
          <w:rFonts w:ascii="Arial" w:eastAsiaTheme="minorEastAsia" w:hAnsi="Arial" w:cs="Arial"/>
        </w:rPr>
        <w:t xml:space="preserve"> into excimers and symmetry</w:t>
      </w:r>
      <w:r w:rsidR="00426754">
        <w:rPr>
          <w:rFonts w:ascii="Arial" w:eastAsiaTheme="minorEastAsia" w:hAnsi="Arial" w:cs="Arial"/>
        </w:rPr>
        <w:t>-</w:t>
      </w:r>
      <w:r w:rsidR="00F72740">
        <w:rPr>
          <w:rFonts w:ascii="Arial" w:eastAsiaTheme="minorEastAsia" w:hAnsi="Arial" w:cs="Arial"/>
        </w:rPr>
        <w:t>breaking charge transfer states</w:t>
      </w:r>
      <w:r w:rsidR="000A4291">
        <w:rPr>
          <w:rFonts w:ascii="Arial" w:eastAsiaTheme="minorEastAsia" w:hAnsi="Arial" w:cs="Arial"/>
        </w:rPr>
        <w:t xml:space="preserve"> occur</w:t>
      </w:r>
      <w:r w:rsidR="00131913">
        <w:rPr>
          <w:rFonts w:ascii="Arial" w:eastAsiaTheme="minorEastAsia" w:hAnsi="Arial" w:cs="Arial"/>
        </w:rPr>
        <w:t>,</w:t>
      </w:r>
      <w:r w:rsidR="000A4291">
        <w:rPr>
          <w:rFonts w:ascii="Arial" w:eastAsiaTheme="minorEastAsia" w:hAnsi="Arial" w:cs="Arial"/>
        </w:rPr>
        <w:t xml:space="preserve"> which i</w:t>
      </w:r>
      <w:r w:rsidR="00F72740">
        <w:rPr>
          <w:rFonts w:ascii="Arial" w:eastAsiaTheme="minorEastAsia" w:hAnsi="Arial" w:cs="Arial"/>
        </w:rPr>
        <w:t xml:space="preserve">s extremely sensitive to the </w:t>
      </w:r>
      <w:r w:rsidR="00675A29">
        <w:rPr>
          <w:rFonts w:ascii="Arial" w:eastAsiaTheme="minorEastAsia" w:hAnsi="Arial" w:cs="Arial"/>
        </w:rPr>
        <w:t xml:space="preserve">local </w:t>
      </w:r>
      <w:r w:rsidR="00F72740">
        <w:rPr>
          <w:rFonts w:ascii="Arial" w:eastAsiaTheme="minorEastAsia" w:hAnsi="Arial" w:cs="Arial"/>
        </w:rPr>
        <w:t>environment. In the presence of</w:t>
      </w:r>
      <w:r w:rsidR="000A4291">
        <w:rPr>
          <w:rFonts w:ascii="Arial" w:eastAsiaTheme="minorEastAsia" w:hAnsi="Arial" w:cs="Arial"/>
        </w:rPr>
        <w:t xml:space="preserve"> PFO, exclusively charge pairs a</w:t>
      </w:r>
      <w:r w:rsidR="00F72740">
        <w:rPr>
          <w:rFonts w:ascii="Arial" w:eastAsiaTheme="minorEastAsia" w:hAnsi="Arial" w:cs="Arial"/>
        </w:rPr>
        <w:t xml:space="preserve">re </w:t>
      </w:r>
      <w:r w:rsidR="000A4291">
        <w:rPr>
          <w:rFonts w:ascii="Arial" w:eastAsiaTheme="minorEastAsia" w:hAnsi="Arial" w:cs="Arial"/>
        </w:rPr>
        <w:t>formed</w:t>
      </w:r>
      <w:r w:rsidR="00F72740">
        <w:rPr>
          <w:rFonts w:ascii="Arial" w:eastAsiaTheme="minorEastAsia" w:hAnsi="Arial" w:cs="Arial"/>
        </w:rPr>
        <w:t xml:space="preserve">, which </w:t>
      </w:r>
      <w:r w:rsidR="00675A29">
        <w:rPr>
          <w:rFonts w:ascii="Arial" w:eastAsiaTheme="minorEastAsia" w:hAnsi="Arial" w:cs="Arial"/>
        </w:rPr>
        <w:t xml:space="preserve">transfer subsequently the </w:t>
      </w:r>
      <w:r w:rsidR="00F72740">
        <w:rPr>
          <w:rFonts w:ascii="Arial" w:eastAsiaTheme="minorEastAsia" w:hAnsi="Arial" w:cs="Arial"/>
        </w:rPr>
        <w:t xml:space="preserve">hole </w:t>
      </w:r>
      <w:r w:rsidR="00675A29">
        <w:rPr>
          <w:rFonts w:ascii="Arial" w:eastAsiaTheme="minorEastAsia" w:hAnsi="Arial" w:cs="Arial"/>
        </w:rPr>
        <w:t xml:space="preserve">to </w:t>
      </w:r>
      <w:r w:rsidR="00771774">
        <w:rPr>
          <w:rFonts w:ascii="Arial" w:eastAsiaTheme="minorEastAsia" w:hAnsi="Arial" w:cs="Arial"/>
        </w:rPr>
        <w:t>the PFO phase. Both</w:t>
      </w:r>
      <w:r w:rsidR="00675A29">
        <w:rPr>
          <w:rFonts w:ascii="Arial" w:eastAsiaTheme="minorEastAsia" w:hAnsi="Arial" w:cs="Arial"/>
        </w:rPr>
        <w:t>,</w:t>
      </w:r>
      <w:r w:rsidR="00771774">
        <w:rPr>
          <w:rFonts w:ascii="Arial" w:eastAsiaTheme="minorEastAsia" w:hAnsi="Arial" w:cs="Arial"/>
        </w:rPr>
        <w:t xml:space="preserve"> long-range transfer and symmetry-breaking charge transfer result in non-nearest neighbour charge transfer states with reduced Coulomb coupling and </w:t>
      </w:r>
      <w:r w:rsidR="00771774">
        <w:rPr>
          <w:rFonts w:ascii="Arial" w:eastAsiaTheme="minorEastAsia" w:hAnsi="Arial" w:cs="Arial"/>
        </w:rPr>
        <w:lastRenderedPageBreak/>
        <w:t>therefore increased separation rates.</w:t>
      </w:r>
      <w:r w:rsidR="00426754">
        <w:rPr>
          <w:rFonts w:ascii="Arial" w:eastAsiaTheme="minorEastAsia" w:hAnsi="Arial" w:cs="Arial"/>
        </w:rPr>
        <w:t xml:space="preserve"> This study confirms that </w:t>
      </w:r>
      <w:r w:rsidR="006D727A">
        <w:rPr>
          <w:rFonts w:ascii="Arial" w:eastAsiaTheme="minorEastAsia" w:hAnsi="Arial" w:cs="Arial"/>
        </w:rPr>
        <w:t xml:space="preserve">donor-acceptor systems employing </w:t>
      </w:r>
      <w:r w:rsidR="00426754">
        <w:rPr>
          <w:rFonts w:ascii="Arial" w:eastAsiaTheme="minorEastAsia" w:hAnsi="Arial" w:cs="Arial"/>
        </w:rPr>
        <w:t xml:space="preserve">symmetry-breaking charge transfer </w:t>
      </w:r>
      <w:r w:rsidR="006D727A">
        <w:rPr>
          <w:rFonts w:ascii="Arial" w:eastAsiaTheme="minorEastAsia" w:hAnsi="Arial" w:cs="Arial"/>
        </w:rPr>
        <w:t xml:space="preserve">have a potential to overcome existing charge separation limitations to achieve high charge yields in BHJ OPVs. </w:t>
      </w:r>
    </w:p>
    <w:p w14:paraId="230AE213" w14:textId="73A1EC10" w:rsidR="00F503B4" w:rsidRPr="000471BE" w:rsidRDefault="000471BE" w:rsidP="002F42A6">
      <w:pPr>
        <w:tabs>
          <w:tab w:val="left" w:pos="0"/>
        </w:tabs>
        <w:spacing w:line="360" w:lineRule="auto"/>
        <w:jc w:val="both"/>
        <w:rPr>
          <w:rFonts w:ascii="Arial" w:eastAsiaTheme="minorEastAsia" w:hAnsi="Arial" w:cs="Arial"/>
          <w:b/>
        </w:rPr>
      </w:pPr>
      <w:r w:rsidRPr="000471BE">
        <w:rPr>
          <w:rFonts w:ascii="Arial" w:eastAsiaTheme="minorEastAsia" w:hAnsi="Arial" w:cs="Arial"/>
          <w:b/>
        </w:rPr>
        <w:t>Conflicts of interest</w:t>
      </w:r>
    </w:p>
    <w:p w14:paraId="25EA0ED6" w14:textId="1F47E64F" w:rsidR="000471BE" w:rsidRPr="000471BE" w:rsidRDefault="000471BE" w:rsidP="002F42A6">
      <w:pPr>
        <w:tabs>
          <w:tab w:val="left" w:pos="0"/>
        </w:tabs>
        <w:spacing w:line="360" w:lineRule="auto"/>
        <w:jc w:val="both"/>
        <w:rPr>
          <w:rFonts w:ascii="Arial" w:eastAsiaTheme="minorEastAsia" w:hAnsi="Arial" w:cs="Arial"/>
        </w:rPr>
      </w:pPr>
      <w:r>
        <w:rPr>
          <w:rFonts w:ascii="Arial" w:eastAsiaTheme="minorEastAsia" w:hAnsi="Arial" w:cs="Arial"/>
        </w:rPr>
        <w:t>No conflicts of interest to declare.</w:t>
      </w:r>
    </w:p>
    <w:p w14:paraId="6C052558" w14:textId="104F782B" w:rsidR="00F503B4" w:rsidRPr="00F503B4" w:rsidRDefault="00F503B4" w:rsidP="002F42A6">
      <w:pPr>
        <w:tabs>
          <w:tab w:val="left" w:pos="0"/>
        </w:tabs>
        <w:spacing w:line="360" w:lineRule="auto"/>
        <w:jc w:val="both"/>
        <w:rPr>
          <w:rFonts w:ascii="Arial" w:eastAsiaTheme="minorEastAsia" w:hAnsi="Arial" w:cs="Arial"/>
          <w:b/>
        </w:rPr>
      </w:pPr>
      <w:r w:rsidRPr="00F503B4">
        <w:rPr>
          <w:rFonts w:ascii="Arial" w:eastAsiaTheme="minorEastAsia" w:hAnsi="Arial" w:cs="Arial"/>
          <w:b/>
        </w:rPr>
        <w:t>Acknowledgments</w:t>
      </w:r>
    </w:p>
    <w:p w14:paraId="53C1D440" w14:textId="4EDB0DEC" w:rsidR="00F503B4" w:rsidRDefault="00F503B4" w:rsidP="00151FC8">
      <w:pPr>
        <w:tabs>
          <w:tab w:val="left" w:pos="0"/>
        </w:tabs>
        <w:spacing w:line="360" w:lineRule="auto"/>
        <w:jc w:val="both"/>
        <w:rPr>
          <w:rFonts w:ascii="Arial" w:eastAsiaTheme="minorEastAsia" w:hAnsi="Arial" w:cs="Arial"/>
        </w:rPr>
      </w:pPr>
      <w:r>
        <w:rPr>
          <w:rFonts w:ascii="Arial" w:eastAsiaTheme="minorEastAsia" w:hAnsi="Arial" w:cs="Arial"/>
        </w:rPr>
        <w:t xml:space="preserve">AI thanks the EC for </w:t>
      </w:r>
      <w:r w:rsidRPr="00F503B4">
        <w:rPr>
          <w:rFonts w:ascii="Arial" w:eastAsiaTheme="minorEastAsia" w:hAnsi="Arial" w:cs="Arial"/>
        </w:rPr>
        <w:t>a Marie Curie fellowship of the FP7 ITN “POCAONTAS”, Project No</w:t>
      </w:r>
      <w:r w:rsidR="002F38DC">
        <w:rPr>
          <w:rFonts w:ascii="Arial" w:eastAsiaTheme="minorEastAsia" w:hAnsi="Arial" w:cs="Arial"/>
        </w:rPr>
        <w:t>.</w:t>
      </w:r>
      <w:r w:rsidRPr="00F503B4">
        <w:rPr>
          <w:rFonts w:ascii="Arial" w:eastAsiaTheme="minorEastAsia" w:hAnsi="Arial" w:cs="Arial"/>
        </w:rPr>
        <w:t xml:space="preserve"> 316633</w:t>
      </w:r>
      <w:r w:rsidR="002F38DC">
        <w:rPr>
          <w:rFonts w:ascii="Arial" w:eastAsiaTheme="minorEastAsia" w:hAnsi="Arial" w:cs="Arial"/>
        </w:rPr>
        <w:t xml:space="preserve">; </w:t>
      </w:r>
      <w:r w:rsidR="002F38DC" w:rsidRPr="002F38DC">
        <w:rPr>
          <w:rFonts w:ascii="Arial" w:eastAsiaTheme="minorEastAsia" w:hAnsi="Arial" w:cs="Arial"/>
        </w:rPr>
        <w:t>International Engagement Fund</w:t>
      </w:r>
      <w:r w:rsidR="002F38DC">
        <w:rPr>
          <w:rFonts w:ascii="Arial" w:eastAsiaTheme="minorEastAsia" w:hAnsi="Arial" w:cs="Arial"/>
        </w:rPr>
        <w:t xml:space="preserve"> of SuperSolar Hub</w:t>
      </w:r>
      <w:r w:rsidR="00151FC8">
        <w:rPr>
          <w:rFonts w:ascii="Arial" w:eastAsiaTheme="minorEastAsia" w:hAnsi="Arial" w:cs="Arial"/>
        </w:rPr>
        <w:t xml:space="preserve"> and </w:t>
      </w:r>
      <w:r w:rsidR="00151FC8" w:rsidRPr="00151FC8">
        <w:rPr>
          <w:rFonts w:ascii="Arial" w:eastAsiaTheme="minorEastAsia" w:hAnsi="Arial" w:cs="Arial"/>
        </w:rPr>
        <w:t>Diamond</w:t>
      </w:r>
      <w:r w:rsidR="00151FC8">
        <w:rPr>
          <w:rFonts w:ascii="Arial" w:eastAsiaTheme="minorEastAsia" w:hAnsi="Arial" w:cs="Arial"/>
        </w:rPr>
        <w:t xml:space="preserve"> </w:t>
      </w:r>
      <w:r w:rsidR="00151FC8" w:rsidRPr="00151FC8">
        <w:rPr>
          <w:rFonts w:ascii="Arial" w:eastAsiaTheme="minorEastAsia" w:hAnsi="Arial" w:cs="Arial"/>
        </w:rPr>
        <w:t>Light Source for providing beam time</w:t>
      </w:r>
      <w:r w:rsidR="00151FC8">
        <w:rPr>
          <w:rFonts w:ascii="Arial" w:eastAsiaTheme="minorEastAsia" w:hAnsi="Arial" w:cs="Arial"/>
        </w:rPr>
        <w:t xml:space="preserve"> (</w:t>
      </w:r>
      <w:r w:rsidR="00151FC8" w:rsidRPr="00151FC8">
        <w:rPr>
          <w:rFonts w:ascii="Arial" w:eastAsiaTheme="minorEastAsia" w:hAnsi="Arial" w:cs="Arial"/>
        </w:rPr>
        <w:t>SI16697-1</w:t>
      </w:r>
      <w:r w:rsidR="00151FC8">
        <w:rPr>
          <w:rFonts w:ascii="Arial" w:eastAsiaTheme="minorEastAsia" w:hAnsi="Arial" w:cs="Arial"/>
        </w:rPr>
        <w:t>).</w:t>
      </w:r>
      <w:r w:rsidR="00912E90">
        <w:rPr>
          <w:rFonts w:ascii="Arial" w:eastAsiaTheme="minorEastAsia" w:hAnsi="Arial" w:cs="Arial"/>
        </w:rPr>
        <w:t xml:space="preserve"> DT</w:t>
      </w:r>
      <w:r w:rsidR="00C3758B">
        <w:rPr>
          <w:rFonts w:ascii="Arial" w:eastAsiaTheme="minorEastAsia" w:hAnsi="Arial" w:cs="Arial"/>
        </w:rPr>
        <w:t>WT</w:t>
      </w:r>
      <w:r w:rsidR="00912E90">
        <w:rPr>
          <w:rFonts w:ascii="Arial" w:eastAsiaTheme="minorEastAsia" w:hAnsi="Arial" w:cs="Arial"/>
        </w:rPr>
        <w:t xml:space="preserve"> acknowledges support from the EPSRC </w:t>
      </w:r>
      <w:r w:rsidR="00912E90" w:rsidRPr="00912E90">
        <w:rPr>
          <w:rFonts w:ascii="Arial" w:eastAsiaTheme="minorEastAsia" w:hAnsi="Arial" w:cs="Arial"/>
        </w:rPr>
        <w:t xml:space="preserve">IAA </w:t>
      </w:r>
      <w:r w:rsidR="00912E90">
        <w:rPr>
          <w:rFonts w:ascii="Arial" w:eastAsiaTheme="minorEastAsia" w:hAnsi="Arial" w:cs="Arial"/>
        </w:rPr>
        <w:t>Early Career Research scheme.</w:t>
      </w:r>
      <w:r w:rsidR="00151FC8">
        <w:rPr>
          <w:rFonts w:ascii="Arial" w:eastAsiaTheme="minorEastAsia" w:hAnsi="Arial" w:cs="Arial"/>
        </w:rPr>
        <w:t xml:space="preserve"> </w:t>
      </w:r>
      <w:r w:rsidRPr="00F503B4">
        <w:rPr>
          <w:rFonts w:ascii="Arial" w:eastAsiaTheme="minorEastAsia" w:hAnsi="Arial" w:cs="Arial"/>
        </w:rPr>
        <w:t>LL acknowledges support from the 'Severo Ochoa' Programme for Centres of Excellence in R&amp;D (MINECO, Grant SEV-2016-0686)</w:t>
      </w:r>
      <w:r w:rsidR="00CC1CDA">
        <w:rPr>
          <w:rFonts w:ascii="Arial" w:eastAsiaTheme="minorEastAsia" w:hAnsi="Arial" w:cs="Arial"/>
        </w:rPr>
        <w:t>,</w:t>
      </w:r>
      <w:r w:rsidRPr="00F503B4">
        <w:rPr>
          <w:rFonts w:ascii="Arial" w:eastAsiaTheme="minorEastAsia" w:hAnsi="Arial" w:cs="Arial"/>
        </w:rPr>
        <w:t xml:space="preserve"> from the MINECO-FEDER project MultiCrom, CTQ2014-58801</w:t>
      </w:r>
      <w:r w:rsidR="00CC1CDA">
        <w:rPr>
          <w:rFonts w:ascii="Arial" w:eastAsiaTheme="minorEastAsia" w:hAnsi="Arial" w:cs="Arial"/>
        </w:rPr>
        <w:t xml:space="preserve"> and </w:t>
      </w:r>
      <w:r w:rsidR="00035494">
        <w:rPr>
          <w:rFonts w:ascii="Arial" w:eastAsiaTheme="minorEastAsia" w:hAnsi="Arial" w:cs="Arial"/>
        </w:rPr>
        <w:t>the MINECO-FEDER project OptoCT</w:t>
      </w:r>
      <w:r w:rsidR="00191E57">
        <w:rPr>
          <w:rFonts w:ascii="Arial" w:eastAsiaTheme="minorEastAsia" w:hAnsi="Arial" w:cs="Arial"/>
        </w:rPr>
        <w:t xml:space="preserve">, </w:t>
      </w:r>
      <w:r w:rsidR="00043285" w:rsidRPr="003C3193">
        <w:rPr>
          <w:rFonts w:ascii="Arial" w:eastAsiaTheme="minorEastAsia" w:hAnsi="Arial" w:cs="Arial"/>
        </w:rPr>
        <w:t>CTQ</w:t>
      </w:r>
      <w:r w:rsidR="007A6C2A" w:rsidRPr="003C3193">
        <w:rPr>
          <w:rFonts w:ascii="Arial" w:eastAsiaTheme="minorEastAsia" w:hAnsi="Arial" w:cs="Arial"/>
        </w:rPr>
        <w:t>2017-87054</w:t>
      </w:r>
      <w:r w:rsidR="002F38DC">
        <w:rPr>
          <w:rFonts w:ascii="Arial" w:eastAsiaTheme="minorEastAsia" w:hAnsi="Arial" w:cs="Arial"/>
        </w:rPr>
        <w:t>.</w:t>
      </w:r>
      <w:r w:rsidR="00E06ECA">
        <w:rPr>
          <w:rFonts w:ascii="Arial" w:eastAsiaTheme="minorEastAsia" w:hAnsi="Arial" w:cs="Arial"/>
        </w:rPr>
        <w:t xml:space="preserve"> </w:t>
      </w:r>
      <w:r w:rsidR="00E06ECA" w:rsidRPr="00E06ECA">
        <w:rPr>
          <w:rFonts w:ascii="Arial" w:eastAsiaTheme="minorEastAsia" w:hAnsi="Arial" w:cs="Arial"/>
        </w:rPr>
        <w:t>The research reported in this publication was supported by funding from King Abdullah University of Science and Technology (KAUST).</w:t>
      </w:r>
    </w:p>
    <w:p w14:paraId="6F58F2CB" w14:textId="77777777" w:rsidR="000F081E" w:rsidRPr="002F42A6" w:rsidRDefault="000F081E" w:rsidP="002F42A6">
      <w:pPr>
        <w:tabs>
          <w:tab w:val="left" w:pos="0"/>
        </w:tabs>
        <w:spacing w:line="360" w:lineRule="auto"/>
        <w:ind w:left="360"/>
        <w:jc w:val="both"/>
        <w:rPr>
          <w:rFonts w:ascii="Arial" w:hAnsi="Arial" w:cs="Arial"/>
          <w:lang w:val="en-US"/>
        </w:rPr>
      </w:pPr>
    </w:p>
    <w:p w14:paraId="3647D1EE" w14:textId="25C81CA8" w:rsidR="00184748" w:rsidRPr="002F42A6" w:rsidRDefault="002236E1" w:rsidP="002F42A6">
      <w:pPr>
        <w:tabs>
          <w:tab w:val="left" w:pos="0"/>
        </w:tabs>
        <w:spacing w:line="360" w:lineRule="auto"/>
        <w:ind w:left="360"/>
        <w:jc w:val="both"/>
        <w:rPr>
          <w:rFonts w:ascii="Arial" w:hAnsi="Arial" w:cs="Arial"/>
          <w:b/>
          <w:lang w:val="en-US"/>
        </w:rPr>
      </w:pPr>
      <w:r w:rsidRPr="002F42A6">
        <w:rPr>
          <w:rFonts w:ascii="Arial" w:hAnsi="Arial" w:cs="Arial"/>
          <w:b/>
          <w:lang w:val="en-US"/>
        </w:rPr>
        <w:t>References</w:t>
      </w:r>
    </w:p>
    <w:p w14:paraId="428885AD" w14:textId="14048298" w:rsidR="000B745C" w:rsidRPr="008544C4" w:rsidRDefault="00843B90" w:rsidP="000B745C">
      <w:pPr>
        <w:widowControl w:val="0"/>
        <w:autoSpaceDE w:val="0"/>
        <w:autoSpaceDN w:val="0"/>
        <w:adjustRightInd w:val="0"/>
        <w:spacing w:line="360" w:lineRule="auto"/>
        <w:ind w:left="640" w:hanging="640"/>
        <w:rPr>
          <w:rFonts w:ascii="Arial" w:hAnsi="Arial" w:cs="Arial"/>
          <w:noProof/>
          <w:szCs w:val="24"/>
          <w:lang w:val="de-DE"/>
        </w:rPr>
      </w:pPr>
      <w:r w:rsidRPr="002F42A6">
        <w:rPr>
          <w:rFonts w:ascii="Arial" w:hAnsi="Arial" w:cs="Arial"/>
        </w:rPr>
        <w:fldChar w:fldCharType="begin" w:fldLock="1"/>
      </w:r>
      <w:r w:rsidRPr="002F42A6">
        <w:rPr>
          <w:rFonts w:ascii="Arial" w:hAnsi="Arial" w:cs="Arial"/>
          <w:lang w:val="en-US"/>
        </w:rPr>
        <w:instrText xml:space="preserve">ADDIN Mendeley Bibliography CSL_BIBLIOGRAPHY </w:instrText>
      </w:r>
      <w:r w:rsidRPr="002F42A6">
        <w:rPr>
          <w:rFonts w:ascii="Arial" w:hAnsi="Arial" w:cs="Arial"/>
        </w:rPr>
        <w:fldChar w:fldCharType="separate"/>
      </w:r>
      <w:r w:rsidR="000B745C" w:rsidRPr="000B745C">
        <w:rPr>
          <w:rFonts w:ascii="Arial" w:hAnsi="Arial" w:cs="Arial"/>
          <w:noProof/>
          <w:szCs w:val="24"/>
        </w:rPr>
        <w:t>1</w:t>
      </w:r>
      <w:r w:rsidR="000B745C" w:rsidRPr="000B745C">
        <w:rPr>
          <w:rFonts w:ascii="Arial" w:hAnsi="Arial" w:cs="Arial"/>
          <w:noProof/>
          <w:szCs w:val="24"/>
        </w:rPr>
        <w:tab/>
        <w:t xml:space="preserve">P. Kumar and S. Chand, </w:t>
      </w:r>
      <w:r w:rsidR="000B745C" w:rsidRPr="000B745C">
        <w:rPr>
          <w:rFonts w:ascii="Arial" w:hAnsi="Arial" w:cs="Arial"/>
          <w:i/>
          <w:iCs/>
          <w:noProof/>
          <w:szCs w:val="24"/>
        </w:rPr>
        <w:t xml:space="preserve">Prog. </w:t>
      </w:r>
      <w:r w:rsidR="000B745C" w:rsidRPr="008544C4">
        <w:rPr>
          <w:rFonts w:ascii="Arial" w:hAnsi="Arial" w:cs="Arial"/>
          <w:i/>
          <w:iCs/>
          <w:noProof/>
          <w:szCs w:val="24"/>
          <w:lang w:val="de-DE"/>
        </w:rPr>
        <w:t>Photovoltaics Res. Appl.</w:t>
      </w:r>
      <w:r w:rsidR="000B745C" w:rsidRPr="008544C4">
        <w:rPr>
          <w:rFonts w:ascii="Arial" w:hAnsi="Arial" w:cs="Arial"/>
          <w:noProof/>
          <w:szCs w:val="24"/>
          <w:lang w:val="de-DE"/>
        </w:rPr>
        <w:t xml:space="preserve">, 2012, </w:t>
      </w:r>
      <w:r w:rsidR="000B745C" w:rsidRPr="008544C4">
        <w:rPr>
          <w:rFonts w:ascii="Arial" w:hAnsi="Arial" w:cs="Arial"/>
          <w:b/>
          <w:bCs/>
          <w:noProof/>
          <w:szCs w:val="24"/>
          <w:lang w:val="de-DE"/>
        </w:rPr>
        <w:t>20</w:t>
      </w:r>
      <w:r w:rsidR="000B745C" w:rsidRPr="008544C4">
        <w:rPr>
          <w:rFonts w:ascii="Arial" w:hAnsi="Arial" w:cs="Arial"/>
          <w:noProof/>
          <w:szCs w:val="24"/>
          <w:lang w:val="de-DE"/>
        </w:rPr>
        <w:t>, 377–415.</w:t>
      </w:r>
    </w:p>
    <w:p w14:paraId="0A7D16A5"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8544C4">
        <w:rPr>
          <w:rFonts w:ascii="Arial" w:hAnsi="Arial" w:cs="Arial"/>
          <w:noProof/>
          <w:szCs w:val="24"/>
          <w:lang w:val="de-DE"/>
        </w:rPr>
        <w:t>2</w:t>
      </w:r>
      <w:r w:rsidRPr="008544C4">
        <w:rPr>
          <w:rFonts w:ascii="Arial" w:hAnsi="Arial" w:cs="Arial"/>
          <w:noProof/>
          <w:szCs w:val="24"/>
          <w:lang w:val="de-DE"/>
        </w:rPr>
        <w:tab/>
        <w:t xml:space="preserve">S. a. Gevorgyan, M. V. Madsen, H. F. Dam, M. Jørgensen, C. J. Fell, K. F. Anderson, B. C. Duck, A. Mescheloff, E. a. Katz, A. Elschner, R. Roesch, H. Hoppe, M. Hermenau, M. Riede and F. C. Krebs, </w:t>
      </w:r>
      <w:r w:rsidRPr="008544C4">
        <w:rPr>
          <w:rFonts w:ascii="Arial" w:hAnsi="Arial" w:cs="Arial"/>
          <w:i/>
          <w:iCs/>
          <w:noProof/>
          <w:szCs w:val="24"/>
          <w:lang w:val="de-DE"/>
        </w:rPr>
        <w:t>Sol. Energy Mater. Sol. Cells</w:t>
      </w:r>
      <w:r w:rsidRPr="008544C4">
        <w:rPr>
          <w:rFonts w:ascii="Arial" w:hAnsi="Arial" w:cs="Arial"/>
          <w:noProof/>
          <w:szCs w:val="24"/>
          <w:lang w:val="de-DE"/>
        </w:rPr>
        <w:t xml:space="preserve">, 2013, </w:t>
      </w:r>
      <w:r w:rsidRPr="008544C4">
        <w:rPr>
          <w:rFonts w:ascii="Arial" w:hAnsi="Arial" w:cs="Arial"/>
          <w:b/>
          <w:bCs/>
          <w:noProof/>
          <w:szCs w:val="24"/>
          <w:lang w:val="de-DE"/>
        </w:rPr>
        <w:t>116</w:t>
      </w:r>
      <w:r w:rsidRPr="008544C4">
        <w:rPr>
          <w:rFonts w:ascii="Arial" w:hAnsi="Arial" w:cs="Arial"/>
          <w:noProof/>
          <w:szCs w:val="24"/>
          <w:lang w:val="de-DE"/>
        </w:rPr>
        <w:t>, 187–196.</w:t>
      </w:r>
    </w:p>
    <w:p w14:paraId="7BDA656B"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8544C4">
        <w:rPr>
          <w:rFonts w:ascii="Arial" w:hAnsi="Arial" w:cs="Arial"/>
          <w:noProof/>
          <w:szCs w:val="24"/>
          <w:lang w:val="de-DE"/>
        </w:rPr>
        <w:t>3</w:t>
      </w:r>
      <w:r w:rsidRPr="008544C4">
        <w:rPr>
          <w:rFonts w:ascii="Arial" w:hAnsi="Arial" w:cs="Arial"/>
          <w:noProof/>
          <w:szCs w:val="24"/>
          <w:lang w:val="de-DE"/>
        </w:rPr>
        <w:tab/>
        <w:t xml:space="preserve">C. Lungenschmied, G. Dennler, H. Neugebauer, S. N. Sariciftci, M. Glatthaar, T. Meyer and A. Meyer, </w:t>
      </w:r>
      <w:r w:rsidRPr="008544C4">
        <w:rPr>
          <w:rFonts w:ascii="Arial" w:hAnsi="Arial" w:cs="Arial"/>
          <w:i/>
          <w:iCs/>
          <w:noProof/>
          <w:szCs w:val="24"/>
          <w:lang w:val="de-DE"/>
        </w:rPr>
        <w:t xml:space="preserve">Sol. </w:t>
      </w:r>
      <w:r w:rsidRPr="000B745C">
        <w:rPr>
          <w:rFonts w:ascii="Arial" w:hAnsi="Arial" w:cs="Arial"/>
          <w:i/>
          <w:iCs/>
          <w:noProof/>
          <w:szCs w:val="24"/>
        </w:rPr>
        <w:t>Energy Mater. Sol. Cells</w:t>
      </w:r>
      <w:r w:rsidRPr="000B745C">
        <w:rPr>
          <w:rFonts w:ascii="Arial" w:hAnsi="Arial" w:cs="Arial"/>
          <w:noProof/>
          <w:szCs w:val="24"/>
        </w:rPr>
        <w:t xml:space="preserve">, 2007, </w:t>
      </w:r>
      <w:r w:rsidRPr="000B745C">
        <w:rPr>
          <w:rFonts w:ascii="Arial" w:hAnsi="Arial" w:cs="Arial"/>
          <w:b/>
          <w:bCs/>
          <w:noProof/>
          <w:szCs w:val="24"/>
        </w:rPr>
        <w:t>91</w:t>
      </w:r>
      <w:r w:rsidRPr="000B745C">
        <w:rPr>
          <w:rFonts w:ascii="Arial" w:hAnsi="Arial" w:cs="Arial"/>
          <w:noProof/>
          <w:szCs w:val="24"/>
        </w:rPr>
        <w:t>, 379–384.</w:t>
      </w:r>
    </w:p>
    <w:p w14:paraId="0471C3E5"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4</w:t>
      </w:r>
      <w:r w:rsidRPr="000B745C">
        <w:rPr>
          <w:rFonts w:ascii="Arial" w:hAnsi="Arial" w:cs="Arial"/>
          <w:noProof/>
          <w:szCs w:val="24"/>
        </w:rPr>
        <w:tab/>
        <w:t xml:space="preserve">P. P. Boix, K. Nonomura, N. Mathews and S. G. Mhaisalkar, </w:t>
      </w:r>
      <w:r w:rsidRPr="000B745C">
        <w:rPr>
          <w:rFonts w:ascii="Arial" w:hAnsi="Arial" w:cs="Arial"/>
          <w:i/>
          <w:iCs/>
          <w:noProof/>
          <w:szCs w:val="24"/>
        </w:rPr>
        <w:t>Mater. Today</w:t>
      </w:r>
      <w:r w:rsidRPr="000B745C">
        <w:rPr>
          <w:rFonts w:ascii="Arial" w:hAnsi="Arial" w:cs="Arial"/>
          <w:noProof/>
          <w:szCs w:val="24"/>
        </w:rPr>
        <w:t xml:space="preserve">, 2014, </w:t>
      </w:r>
      <w:r w:rsidRPr="000B745C">
        <w:rPr>
          <w:rFonts w:ascii="Arial" w:hAnsi="Arial" w:cs="Arial"/>
          <w:b/>
          <w:bCs/>
          <w:noProof/>
          <w:szCs w:val="24"/>
        </w:rPr>
        <w:t>17</w:t>
      </w:r>
      <w:r w:rsidRPr="000B745C">
        <w:rPr>
          <w:rFonts w:ascii="Arial" w:hAnsi="Arial" w:cs="Arial"/>
          <w:noProof/>
          <w:szCs w:val="24"/>
        </w:rPr>
        <w:t>, 16–23.</w:t>
      </w:r>
    </w:p>
    <w:p w14:paraId="1B74CBC9"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es-ES"/>
        </w:rPr>
      </w:pPr>
      <w:r w:rsidRPr="000B745C">
        <w:rPr>
          <w:rFonts w:ascii="Arial" w:hAnsi="Arial" w:cs="Arial"/>
          <w:noProof/>
          <w:szCs w:val="24"/>
        </w:rPr>
        <w:t>5</w:t>
      </w:r>
      <w:r w:rsidRPr="000B745C">
        <w:rPr>
          <w:rFonts w:ascii="Arial" w:hAnsi="Arial" w:cs="Arial"/>
          <w:noProof/>
          <w:szCs w:val="24"/>
        </w:rPr>
        <w:tab/>
        <w:t xml:space="preserve">T. Goh, J. Huang, K. G. Yager, M. Y. Sfeir, C. Nam, X. Tong, L. M. Guard, P. R. Melvin, F. Antonio and B. G. Bartolome, </w:t>
      </w:r>
      <w:r w:rsidRPr="000B745C">
        <w:rPr>
          <w:rFonts w:ascii="Arial" w:hAnsi="Arial" w:cs="Arial"/>
          <w:i/>
          <w:iCs/>
          <w:noProof/>
          <w:szCs w:val="24"/>
        </w:rPr>
        <w:t xml:space="preserve">Adv. </w:t>
      </w:r>
      <w:r w:rsidRPr="008544C4">
        <w:rPr>
          <w:rFonts w:ascii="Arial" w:hAnsi="Arial" w:cs="Arial"/>
          <w:i/>
          <w:iCs/>
          <w:noProof/>
          <w:szCs w:val="24"/>
          <w:lang w:val="es-ES"/>
        </w:rPr>
        <w:t>Energy Mater.</w:t>
      </w:r>
    </w:p>
    <w:p w14:paraId="6ABA9C35"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8544C4">
        <w:rPr>
          <w:rFonts w:ascii="Arial" w:hAnsi="Arial" w:cs="Arial"/>
          <w:noProof/>
          <w:szCs w:val="24"/>
          <w:lang w:val="es-ES"/>
        </w:rPr>
        <w:t>6</w:t>
      </w:r>
      <w:r w:rsidRPr="008544C4">
        <w:rPr>
          <w:rFonts w:ascii="Arial" w:hAnsi="Arial" w:cs="Arial"/>
          <w:noProof/>
          <w:szCs w:val="24"/>
          <w:lang w:val="es-ES"/>
        </w:rPr>
        <w:tab/>
        <w:t xml:space="preserve">N. Gasparini, L. Lucera, M. Salvador, M. Prosa, G. D. Spyropoulos, P. Kubis, H.-J. Egelhaaf, C. J. Brabec and T. Ameri, </w:t>
      </w:r>
      <w:r w:rsidRPr="008544C4">
        <w:rPr>
          <w:rFonts w:ascii="Arial" w:hAnsi="Arial" w:cs="Arial"/>
          <w:i/>
          <w:iCs/>
          <w:noProof/>
          <w:szCs w:val="24"/>
          <w:lang w:val="es-ES"/>
        </w:rPr>
        <w:t xml:space="preserve">Energy Environ. </w:t>
      </w:r>
      <w:r w:rsidRPr="000B745C">
        <w:rPr>
          <w:rFonts w:ascii="Arial" w:hAnsi="Arial" w:cs="Arial"/>
          <w:i/>
          <w:iCs/>
          <w:noProof/>
          <w:szCs w:val="24"/>
        </w:rPr>
        <w:t>Sci.</w:t>
      </w:r>
      <w:r w:rsidRPr="000B745C">
        <w:rPr>
          <w:rFonts w:ascii="Arial" w:hAnsi="Arial" w:cs="Arial"/>
          <w:noProof/>
          <w:szCs w:val="24"/>
        </w:rPr>
        <w:t xml:space="preserve">, 2017, </w:t>
      </w:r>
      <w:r w:rsidRPr="000B745C">
        <w:rPr>
          <w:rFonts w:ascii="Arial" w:hAnsi="Arial" w:cs="Arial"/>
          <w:b/>
          <w:bCs/>
          <w:noProof/>
          <w:szCs w:val="24"/>
        </w:rPr>
        <w:t>10</w:t>
      </w:r>
      <w:r w:rsidRPr="000B745C">
        <w:rPr>
          <w:rFonts w:ascii="Arial" w:hAnsi="Arial" w:cs="Arial"/>
          <w:noProof/>
          <w:szCs w:val="24"/>
        </w:rPr>
        <w:t>, 885–892.</w:t>
      </w:r>
    </w:p>
    <w:p w14:paraId="14079451"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7</w:t>
      </w:r>
      <w:r w:rsidRPr="000B745C">
        <w:rPr>
          <w:rFonts w:ascii="Arial" w:hAnsi="Arial" w:cs="Arial"/>
          <w:noProof/>
          <w:szCs w:val="24"/>
        </w:rPr>
        <w:tab/>
        <w:t xml:space="preserve">K. Lee, J. Y. Kim, S. H. Park, S. H. Kim, S. Cho and A. J. Heeger, </w:t>
      </w:r>
      <w:r w:rsidRPr="000B745C">
        <w:rPr>
          <w:rFonts w:ascii="Arial" w:hAnsi="Arial" w:cs="Arial"/>
          <w:i/>
          <w:iCs/>
          <w:noProof/>
          <w:szCs w:val="24"/>
        </w:rPr>
        <w:t>Adv. Mater.</w:t>
      </w:r>
      <w:r w:rsidRPr="000B745C">
        <w:rPr>
          <w:rFonts w:ascii="Arial" w:hAnsi="Arial" w:cs="Arial"/>
          <w:noProof/>
          <w:szCs w:val="24"/>
        </w:rPr>
        <w:t xml:space="preserve">, 2007, </w:t>
      </w:r>
      <w:r w:rsidRPr="000B745C">
        <w:rPr>
          <w:rFonts w:ascii="Arial" w:hAnsi="Arial" w:cs="Arial"/>
          <w:b/>
          <w:bCs/>
          <w:noProof/>
          <w:szCs w:val="24"/>
        </w:rPr>
        <w:t>19</w:t>
      </w:r>
      <w:r w:rsidRPr="000B745C">
        <w:rPr>
          <w:rFonts w:ascii="Arial" w:hAnsi="Arial" w:cs="Arial"/>
          <w:noProof/>
          <w:szCs w:val="24"/>
        </w:rPr>
        <w:t>, 2445–2449.</w:t>
      </w:r>
    </w:p>
    <w:p w14:paraId="01D1B2F5"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8</w:t>
      </w:r>
      <w:r w:rsidRPr="000B745C">
        <w:rPr>
          <w:rFonts w:ascii="Arial" w:hAnsi="Arial" w:cs="Arial"/>
          <w:noProof/>
          <w:szCs w:val="24"/>
        </w:rPr>
        <w:tab/>
        <w:t xml:space="preserve">P. Cheng and X. Zhan, </w:t>
      </w:r>
      <w:r w:rsidRPr="000B745C">
        <w:rPr>
          <w:rFonts w:ascii="Arial" w:hAnsi="Arial" w:cs="Arial"/>
          <w:i/>
          <w:iCs/>
          <w:noProof/>
          <w:szCs w:val="24"/>
        </w:rPr>
        <w:t>Mater. Horiz.</w:t>
      </w:r>
      <w:r w:rsidRPr="000B745C">
        <w:rPr>
          <w:rFonts w:ascii="Arial" w:hAnsi="Arial" w:cs="Arial"/>
          <w:noProof/>
          <w:szCs w:val="24"/>
        </w:rPr>
        <w:t xml:space="preserve">, 2015, </w:t>
      </w:r>
      <w:r w:rsidRPr="000B745C">
        <w:rPr>
          <w:rFonts w:ascii="Arial" w:hAnsi="Arial" w:cs="Arial"/>
          <w:b/>
          <w:bCs/>
          <w:noProof/>
          <w:szCs w:val="24"/>
        </w:rPr>
        <w:t>2</w:t>
      </w:r>
      <w:r w:rsidRPr="000B745C">
        <w:rPr>
          <w:rFonts w:ascii="Arial" w:hAnsi="Arial" w:cs="Arial"/>
          <w:noProof/>
          <w:szCs w:val="24"/>
        </w:rPr>
        <w:t>, 462–485.</w:t>
      </w:r>
    </w:p>
    <w:p w14:paraId="64CB1813"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lastRenderedPageBreak/>
        <w:t>9</w:t>
      </w:r>
      <w:r w:rsidRPr="000B745C">
        <w:rPr>
          <w:rFonts w:ascii="Arial" w:hAnsi="Arial" w:cs="Arial"/>
          <w:noProof/>
          <w:szCs w:val="24"/>
        </w:rPr>
        <w:tab/>
        <w:t xml:space="preserve">R. Alex Marsh, J. M. Hodgkiss, S. Albert-Seifried and R. H. Friend, </w:t>
      </w:r>
      <w:r w:rsidRPr="000B745C">
        <w:rPr>
          <w:rFonts w:ascii="Arial" w:hAnsi="Arial" w:cs="Arial"/>
          <w:i/>
          <w:iCs/>
          <w:noProof/>
          <w:szCs w:val="24"/>
        </w:rPr>
        <w:t>Nano Lett.</w:t>
      </w:r>
      <w:r w:rsidRPr="000B745C">
        <w:rPr>
          <w:rFonts w:ascii="Arial" w:hAnsi="Arial" w:cs="Arial"/>
          <w:noProof/>
          <w:szCs w:val="24"/>
        </w:rPr>
        <w:t xml:space="preserve">, 2010, </w:t>
      </w:r>
      <w:r w:rsidRPr="000B745C">
        <w:rPr>
          <w:rFonts w:ascii="Arial" w:hAnsi="Arial" w:cs="Arial"/>
          <w:b/>
          <w:bCs/>
          <w:noProof/>
          <w:szCs w:val="24"/>
        </w:rPr>
        <w:t>10</w:t>
      </w:r>
      <w:r w:rsidRPr="000B745C">
        <w:rPr>
          <w:rFonts w:ascii="Arial" w:hAnsi="Arial" w:cs="Arial"/>
          <w:noProof/>
          <w:szCs w:val="24"/>
        </w:rPr>
        <w:t>, 923–930.</w:t>
      </w:r>
    </w:p>
    <w:p w14:paraId="5E677E26"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0B745C">
        <w:rPr>
          <w:rFonts w:ascii="Arial" w:hAnsi="Arial" w:cs="Arial"/>
          <w:noProof/>
          <w:szCs w:val="24"/>
        </w:rPr>
        <w:t>10</w:t>
      </w:r>
      <w:r w:rsidRPr="000B745C">
        <w:rPr>
          <w:rFonts w:ascii="Arial" w:hAnsi="Arial" w:cs="Arial"/>
          <w:noProof/>
          <w:szCs w:val="24"/>
        </w:rPr>
        <w:tab/>
        <w:t xml:space="preserve">F. Dou, E. Buchaca-Domingo, M. Sakowicz, E. Rezasoltani, T. McCarthy-Ward, M. Heeney, X. Zhang, N. Stingelin and C. Silva, </w:t>
      </w:r>
      <w:r w:rsidRPr="000B745C">
        <w:rPr>
          <w:rFonts w:ascii="Arial" w:hAnsi="Arial" w:cs="Arial"/>
          <w:i/>
          <w:iCs/>
          <w:noProof/>
          <w:szCs w:val="24"/>
        </w:rPr>
        <w:t xml:space="preserve">J. Mater. </w:t>
      </w:r>
      <w:r w:rsidRPr="008544C4">
        <w:rPr>
          <w:rFonts w:ascii="Arial" w:hAnsi="Arial" w:cs="Arial"/>
          <w:i/>
          <w:iCs/>
          <w:noProof/>
          <w:szCs w:val="24"/>
          <w:lang w:val="de-DE"/>
        </w:rPr>
        <w:t>Chem. C</w:t>
      </w:r>
      <w:r w:rsidRPr="008544C4">
        <w:rPr>
          <w:rFonts w:ascii="Arial" w:hAnsi="Arial" w:cs="Arial"/>
          <w:noProof/>
          <w:szCs w:val="24"/>
          <w:lang w:val="de-DE"/>
        </w:rPr>
        <w:t xml:space="preserve">, 2015, </w:t>
      </w:r>
      <w:r w:rsidRPr="008544C4">
        <w:rPr>
          <w:rFonts w:ascii="Arial" w:hAnsi="Arial" w:cs="Arial"/>
          <w:b/>
          <w:bCs/>
          <w:noProof/>
          <w:szCs w:val="24"/>
          <w:lang w:val="de-DE"/>
        </w:rPr>
        <w:t>3</w:t>
      </w:r>
      <w:r w:rsidRPr="008544C4">
        <w:rPr>
          <w:rFonts w:ascii="Arial" w:hAnsi="Arial" w:cs="Arial"/>
          <w:noProof/>
          <w:szCs w:val="24"/>
          <w:lang w:val="de-DE"/>
        </w:rPr>
        <w:t>, 3722–3729.</w:t>
      </w:r>
    </w:p>
    <w:p w14:paraId="435F6234"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8544C4">
        <w:rPr>
          <w:rFonts w:ascii="Arial" w:hAnsi="Arial" w:cs="Arial"/>
          <w:noProof/>
          <w:szCs w:val="24"/>
          <w:lang w:val="de-DE"/>
        </w:rPr>
        <w:t>11</w:t>
      </w:r>
      <w:r w:rsidRPr="008544C4">
        <w:rPr>
          <w:rFonts w:ascii="Arial" w:hAnsi="Arial" w:cs="Arial"/>
          <w:noProof/>
          <w:szCs w:val="24"/>
          <w:lang w:val="de-DE"/>
        </w:rPr>
        <w:tab/>
        <w:t xml:space="preserve">Y. Liu, J. Zhao, Z. Li, C. Mu, W. Ma, H. Hu, K. Jiang, H. Lin, H. Ade and H. Yan, </w:t>
      </w:r>
      <w:r w:rsidRPr="008544C4">
        <w:rPr>
          <w:rFonts w:ascii="Arial" w:hAnsi="Arial" w:cs="Arial"/>
          <w:i/>
          <w:iCs/>
          <w:noProof/>
          <w:szCs w:val="24"/>
          <w:lang w:val="de-DE"/>
        </w:rPr>
        <w:t>Nat. Commun.</w:t>
      </w:r>
      <w:r w:rsidRPr="008544C4">
        <w:rPr>
          <w:rFonts w:ascii="Arial" w:hAnsi="Arial" w:cs="Arial"/>
          <w:noProof/>
          <w:szCs w:val="24"/>
          <w:lang w:val="de-DE"/>
        </w:rPr>
        <w:t xml:space="preserve">, 2014, </w:t>
      </w:r>
      <w:r w:rsidRPr="008544C4">
        <w:rPr>
          <w:rFonts w:ascii="Arial" w:hAnsi="Arial" w:cs="Arial"/>
          <w:b/>
          <w:bCs/>
          <w:noProof/>
          <w:szCs w:val="24"/>
          <w:lang w:val="de-DE"/>
        </w:rPr>
        <w:t>5</w:t>
      </w:r>
      <w:r w:rsidRPr="008544C4">
        <w:rPr>
          <w:rFonts w:ascii="Arial" w:hAnsi="Arial" w:cs="Arial"/>
          <w:noProof/>
          <w:szCs w:val="24"/>
          <w:lang w:val="de-DE"/>
        </w:rPr>
        <w:t>, 5293.</w:t>
      </w:r>
    </w:p>
    <w:p w14:paraId="3D473C08"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8544C4">
        <w:rPr>
          <w:rFonts w:ascii="Arial" w:hAnsi="Arial" w:cs="Arial"/>
          <w:noProof/>
          <w:szCs w:val="24"/>
          <w:lang w:val="de-DE"/>
        </w:rPr>
        <w:t>12</w:t>
      </w:r>
      <w:r w:rsidRPr="008544C4">
        <w:rPr>
          <w:rFonts w:ascii="Arial" w:hAnsi="Arial" w:cs="Arial"/>
          <w:noProof/>
          <w:szCs w:val="24"/>
          <w:lang w:val="de-DE"/>
        </w:rPr>
        <w:tab/>
        <w:t xml:space="preserve">I. Fraga Domínguez, A. Distler and L. Lüer, </w:t>
      </w:r>
      <w:r w:rsidRPr="008544C4">
        <w:rPr>
          <w:rFonts w:ascii="Arial" w:hAnsi="Arial" w:cs="Arial"/>
          <w:i/>
          <w:iCs/>
          <w:noProof/>
          <w:szCs w:val="24"/>
          <w:lang w:val="de-DE"/>
        </w:rPr>
        <w:t>Adv. Energy Mater.</w:t>
      </w:r>
      <w:r w:rsidRPr="008544C4">
        <w:rPr>
          <w:rFonts w:ascii="Arial" w:hAnsi="Arial" w:cs="Arial"/>
          <w:noProof/>
          <w:szCs w:val="24"/>
          <w:lang w:val="de-DE"/>
        </w:rPr>
        <w:t xml:space="preserve">, 2017, </w:t>
      </w:r>
      <w:r w:rsidRPr="008544C4">
        <w:rPr>
          <w:rFonts w:ascii="Arial" w:hAnsi="Arial" w:cs="Arial"/>
          <w:b/>
          <w:bCs/>
          <w:noProof/>
          <w:szCs w:val="24"/>
          <w:lang w:val="de-DE"/>
        </w:rPr>
        <w:t>7</w:t>
      </w:r>
      <w:r w:rsidRPr="008544C4">
        <w:rPr>
          <w:rFonts w:ascii="Arial" w:hAnsi="Arial" w:cs="Arial"/>
          <w:noProof/>
          <w:szCs w:val="24"/>
          <w:lang w:val="de-DE"/>
        </w:rPr>
        <w:t>, 1601320.</w:t>
      </w:r>
    </w:p>
    <w:p w14:paraId="70D6E242"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8544C4">
        <w:rPr>
          <w:rFonts w:ascii="Arial" w:hAnsi="Arial" w:cs="Arial"/>
          <w:noProof/>
          <w:szCs w:val="24"/>
          <w:lang w:val="de-DE"/>
        </w:rPr>
        <w:t>13</w:t>
      </w:r>
      <w:r w:rsidRPr="008544C4">
        <w:rPr>
          <w:rFonts w:ascii="Arial" w:hAnsi="Arial" w:cs="Arial"/>
          <w:noProof/>
          <w:szCs w:val="24"/>
          <w:lang w:val="de-DE"/>
        </w:rPr>
        <w:tab/>
        <w:t xml:space="preserve">W. Chen, Q. Zhang, Y. Z. Lin, W. B. Wang, M. L. Gao, L. L. Li, J. Zhang, X. W. Zhan, T. H. Lee, M. J. Huang, H. S. Choi, J. Y. Kim, W. C. H. Choy, Y. M. Sun, H. Yan, Y. L. Loo, F. Ng, X. Y. Zhu and C. Nuckolls, </w:t>
      </w:r>
      <w:r w:rsidRPr="008544C4">
        <w:rPr>
          <w:rFonts w:ascii="Arial" w:hAnsi="Arial" w:cs="Arial"/>
          <w:i/>
          <w:iCs/>
          <w:noProof/>
          <w:szCs w:val="24"/>
          <w:lang w:val="de-DE"/>
        </w:rPr>
        <w:t>J. Mater. Chem. C</w:t>
      </w:r>
      <w:r w:rsidRPr="008544C4">
        <w:rPr>
          <w:rFonts w:ascii="Arial" w:hAnsi="Arial" w:cs="Arial"/>
          <w:noProof/>
          <w:szCs w:val="24"/>
          <w:lang w:val="de-DE"/>
        </w:rPr>
        <w:t xml:space="preserve">, 2017, </w:t>
      </w:r>
      <w:r w:rsidRPr="008544C4">
        <w:rPr>
          <w:rFonts w:ascii="Arial" w:hAnsi="Arial" w:cs="Arial"/>
          <w:b/>
          <w:bCs/>
          <w:noProof/>
          <w:szCs w:val="24"/>
          <w:lang w:val="de-DE"/>
        </w:rPr>
        <w:t>5</w:t>
      </w:r>
      <w:r w:rsidRPr="008544C4">
        <w:rPr>
          <w:rFonts w:ascii="Arial" w:hAnsi="Arial" w:cs="Arial"/>
          <w:noProof/>
          <w:szCs w:val="24"/>
          <w:lang w:val="de-DE"/>
        </w:rPr>
        <w:t>, 1275–1302.</w:t>
      </w:r>
    </w:p>
    <w:p w14:paraId="7EB2F8A1"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8544C4">
        <w:rPr>
          <w:rFonts w:ascii="Arial" w:hAnsi="Arial" w:cs="Arial"/>
          <w:noProof/>
          <w:szCs w:val="24"/>
          <w:lang w:val="de-DE"/>
        </w:rPr>
        <w:t>14</w:t>
      </w:r>
      <w:r w:rsidRPr="008544C4">
        <w:rPr>
          <w:rFonts w:ascii="Arial" w:hAnsi="Arial" w:cs="Arial"/>
          <w:noProof/>
          <w:szCs w:val="24"/>
          <w:lang w:val="de-DE"/>
        </w:rPr>
        <w:tab/>
        <w:t xml:space="preserve">N. Bauer, Q. Zhang, J. Zhao, L. Ye, J.-H. Kim, I. Constantinou, L. Yan, F. So, H. Ade and H. Yan, </w:t>
      </w:r>
      <w:r w:rsidRPr="008544C4">
        <w:rPr>
          <w:rFonts w:ascii="Arial" w:hAnsi="Arial" w:cs="Arial"/>
          <w:i/>
          <w:iCs/>
          <w:noProof/>
          <w:szCs w:val="24"/>
          <w:lang w:val="de-DE"/>
        </w:rPr>
        <w:t xml:space="preserve">J. Mater. </w:t>
      </w:r>
      <w:r w:rsidRPr="000B745C">
        <w:rPr>
          <w:rFonts w:ascii="Arial" w:hAnsi="Arial" w:cs="Arial"/>
          <w:i/>
          <w:iCs/>
          <w:noProof/>
          <w:szCs w:val="24"/>
        </w:rPr>
        <w:t>Chem. A</w:t>
      </w:r>
      <w:r w:rsidRPr="000B745C">
        <w:rPr>
          <w:rFonts w:ascii="Arial" w:hAnsi="Arial" w:cs="Arial"/>
          <w:noProof/>
          <w:szCs w:val="24"/>
        </w:rPr>
        <w:t xml:space="preserve">, 2017, </w:t>
      </w:r>
      <w:r w:rsidRPr="000B745C">
        <w:rPr>
          <w:rFonts w:ascii="Arial" w:hAnsi="Arial" w:cs="Arial"/>
          <w:b/>
          <w:bCs/>
          <w:noProof/>
          <w:szCs w:val="24"/>
        </w:rPr>
        <w:t>5</w:t>
      </w:r>
      <w:r w:rsidRPr="000B745C">
        <w:rPr>
          <w:rFonts w:ascii="Arial" w:hAnsi="Arial" w:cs="Arial"/>
          <w:noProof/>
          <w:szCs w:val="24"/>
        </w:rPr>
        <w:t>, 4886–4893.</w:t>
      </w:r>
    </w:p>
    <w:p w14:paraId="32F94607"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15</w:t>
      </w:r>
      <w:r w:rsidRPr="000B745C">
        <w:rPr>
          <w:rFonts w:ascii="Arial" w:hAnsi="Arial" w:cs="Arial"/>
          <w:noProof/>
          <w:szCs w:val="24"/>
        </w:rPr>
        <w:tab/>
        <w:t xml:space="preserve">N. Liang, W. Jiang, J. Hou and Z. Wang, </w:t>
      </w:r>
      <w:r w:rsidRPr="000B745C">
        <w:rPr>
          <w:rFonts w:ascii="Arial" w:hAnsi="Arial" w:cs="Arial"/>
          <w:i/>
          <w:iCs/>
          <w:noProof/>
          <w:szCs w:val="24"/>
        </w:rPr>
        <w:t>Mater. Chem. Front.</w:t>
      </w:r>
      <w:r w:rsidRPr="000B745C">
        <w:rPr>
          <w:rFonts w:ascii="Arial" w:hAnsi="Arial" w:cs="Arial"/>
          <w:noProof/>
          <w:szCs w:val="24"/>
        </w:rPr>
        <w:t xml:space="preserve">, 2017, </w:t>
      </w:r>
      <w:r w:rsidRPr="000B745C">
        <w:rPr>
          <w:rFonts w:ascii="Arial" w:hAnsi="Arial" w:cs="Arial"/>
          <w:b/>
          <w:bCs/>
          <w:noProof/>
          <w:szCs w:val="24"/>
        </w:rPr>
        <w:t>1</w:t>
      </w:r>
      <w:r w:rsidRPr="000B745C">
        <w:rPr>
          <w:rFonts w:ascii="Arial" w:hAnsi="Arial" w:cs="Arial"/>
          <w:noProof/>
          <w:szCs w:val="24"/>
        </w:rPr>
        <w:t>, 1291–1303.</w:t>
      </w:r>
    </w:p>
    <w:p w14:paraId="20005908"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16</w:t>
      </w:r>
      <w:r w:rsidRPr="000B745C">
        <w:rPr>
          <w:rFonts w:ascii="Arial" w:hAnsi="Arial" w:cs="Arial"/>
          <w:noProof/>
          <w:szCs w:val="24"/>
        </w:rPr>
        <w:tab/>
        <w:t xml:space="preserve">S. Few, J. M. Frost and J. Nelson, </w:t>
      </w:r>
      <w:r w:rsidRPr="000B745C">
        <w:rPr>
          <w:rFonts w:ascii="Arial" w:hAnsi="Arial" w:cs="Arial"/>
          <w:i/>
          <w:iCs/>
          <w:noProof/>
          <w:szCs w:val="24"/>
        </w:rPr>
        <w:t>Phys. Chem. Chem. Phys.</w:t>
      </w:r>
      <w:r w:rsidRPr="000B745C">
        <w:rPr>
          <w:rFonts w:ascii="Arial" w:hAnsi="Arial" w:cs="Arial"/>
          <w:noProof/>
          <w:szCs w:val="24"/>
        </w:rPr>
        <w:t xml:space="preserve">, 2015, </w:t>
      </w:r>
      <w:r w:rsidRPr="000B745C">
        <w:rPr>
          <w:rFonts w:ascii="Arial" w:hAnsi="Arial" w:cs="Arial"/>
          <w:b/>
          <w:bCs/>
          <w:noProof/>
          <w:szCs w:val="24"/>
        </w:rPr>
        <w:t>17</w:t>
      </w:r>
      <w:r w:rsidRPr="000B745C">
        <w:rPr>
          <w:rFonts w:ascii="Arial" w:hAnsi="Arial" w:cs="Arial"/>
          <w:noProof/>
          <w:szCs w:val="24"/>
        </w:rPr>
        <w:t>, 2311–2325.</w:t>
      </w:r>
    </w:p>
    <w:p w14:paraId="48643D41"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17</w:t>
      </w:r>
      <w:r w:rsidRPr="000B745C">
        <w:rPr>
          <w:rFonts w:ascii="Arial" w:hAnsi="Arial" w:cs="Arial"/>
          <w:noProof/>
          <w:szCs w:val="24"/>
        </w:rPr>
        <w:tab/>
        <w:t xml:space="preserve">D. L. Cheung and A. Troisi, </w:t>
      </w:r>
      <w:r w:rsidRPr="000B745C">
        <w:rPr>
          <w:rFonts w:ascii="Arial" w:hAnsi="Arial" w:cs="Arial"/>
          <w:i/>
          <w:iCs/>
          <w:noProof/>
          <w:szCs w:val="24"/>
        </w:rPr>
        <w:t>J. Phys. Chem. C</w:t>
      </w:r>
      <w:r w:rsidRPr="000B745C">
        <w:rPr>
          <w:rFonts w:ascii="Arial" w:hAnsi="Arial" w:cs="Arial"/>
          <w:noProof/>
          <w:szCs w:val="24"/>
        </w:rPr>
        <w:t xml:space="preserve">, 2010, </w:t>
      </w:r>
      <w:r w:rsidRPr="000B745C">
        <w:rPr>
          <w:rFonts w:ascii="Arial" w:hAnsi="Arial" w:cs="Arial"/>
          <w:b/>
          <w:bCs/>
          <w:noProof/>
          <w:szCs w:val="24"/>
        </w:rPr>
        <w:t>114</w:t>
      </w:r>
      <w:r w:rsidRPr="000B745C">
        <w:rPr>
          <w:rFonts w:ascii="Arial" w:hAnsi="Arial" w:cs="Arial"/>
          <w:noProof/>
          <w:szCs w:val="24"/>
        </w:rPr>
        <w:t>, 20479–20488.</w:t>
      </w:r>
    </w:p>
    <w:p w14:paraId="488ECD0A"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18</w:t>
      </w:r>
      <w:r w:rsidRPr="000B745C">
        <w:rPr>
          <w:rFonts w:ascii="Arial" w:hAnsi="Arial" w:cs="Arial"/>
          <w:noProof/>
          <w:szCs w:val="24"/>
        </w:rPr>
        <w:tab/>
        <w:t xml:space="preserve">S. M. Falke, C. A. Rozzi, D. Brida, M. Maiuri, M. Amato, E. Sommer, A. De Sio, A. Rubio, G. Cerullo and E. Molinari, </w:t>
      </w:r>
      <w:r w:rsidRPr="000B745C">
        <w:rPr>
          <w:rFonts w:ascii="Arial" w:hAnsi="Arial" w:cs="Arial"/>
          <w:i/>
          <w:iCs/>
          <w:noProof/>
          <w:szCs w:val="24"/>
        </w:rPr>
        <w:t>Science (80-. ).</w:t>
      </w:r>
      <w:r w:rsidRPr="000B745C">
        <w:rPr>
          <w:rFonts w:ascii="Arial" w:hAnsi="Arial" w:cs="Arial"/>
          <w:noProof/>
          <w:szCs w:val="24"/>
        </w:rPr>
        <w:t xml:space="preserve">, 2014, </w:t>
      </w:r>
      <w:r w:rsidRPr="000B745C">
        <w:rPr>
          <w:rFonts w:ascii="Arial" w:hAnsi="Arial" w:cs="Arial"/>
          <w:b/>
          <w:bCs/>
          <w:noProof/>
          <w:szCs w:val="24"/>
        </w:rPr>
        <w:t>344</w:t>
      </w:r>
      <w:r w:rsidRPr="000B745C">
        <w:rPr>
          <w:rFonts w:ascii="Arial" w:hAnsi="Arial" w:cs="Arial"/>
          <w:noProof/>
          <w:szCs w:val="24"/>
        </w:rPr>
        <w:t>, 1001–1005.</w:t>
      </w:r>
    </w:p>
    <w:p w14:paraId="295CDE16"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19</w:t>
      </w:r>
      <w:r w:rsidRPr="000B745C">
        <w:rPr>
          <w:rFonts w:ascii="Arial" w:hAnsi="Arial" w:cs="Arial"/>
          <w:noProof/>
          <w:szCs w:val="24"/>
        </w:rPr>
        <w:tab/>
        <w:t xml:space="preserve">D. Caruso and A. Troisi, </w:t>
      </w:r>
      <w:r w:rsidRPr="000B745C">
        <w:rPr>
          <w:rFonts w:ascii="Arial" w:hAnsi="Arial" w:cs="Arial"/>
          <w:i/>
          <w:iCs/>
          <w:noProof/>
          <w:szCs w:val="24"/>
        </w:rPr>
        <w:t>Proc. Natl. Acad. Sci.</w:t>
      </w:r>
      <w:r w:rsidRPr="000B745C">
        <w:rPr>
          <w:rFonts w:ascii="Arial" w:hAnsi="Arial" w:cs="Arial"/>
          <w:noProof/>
          <w:szCs w:val="24"/>
        </w:rPr>
        <w:t xml:space="preserve">, 2012, </w:t>
      </w:r>
      <w:r w:rsidRPr="000B745C">
        <w:rPr>
          <w:rFonts w:ascii="Arial" w:hAnsi="Arial" w:cs="Arial"/>
          <w:b/>
          <w:bCs/>
          <w:noProof/>
          <w:szCs w:val="24"/>
        </w:rPr>
        <w:t>109</w:t>
      </w:r>
      <w:r w:rsidRPr="000B745C">
        <w:rPr>
          <w:rFonts w:ascii="Arial" w:hAnsi="Arial" w:cs="Arial"/>
          <w:noProof/>
          <w:szCs w:val="24"/>
        </w:rPr>
        <w:t>, 13498–13502.</w:t>
      </w:r>
    </w:p>
    <w:p w14:paraId="6AC0C995"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20</w:t>
      </w:r>
      <w:r w:rsidRPr="000B745C">
        <w:rPr>
          <w:rFonts w:ascii="Arial" w:hAnsi="Arial" w:cs="Arial"/>
          <w:noProof/>
          <w:szCs w:val="24"/>
        </w:rPr>
        <w:tab/>
        <w:t xml:space="preserve">F. Provencher, N. Bérubé, A. W. Parker, G. M. Greetham, M. Towrie, C. Hellmann, M. Côté, N. Stingelin, C. Silva and S. C. Hayes, </w:t>
      </w:r>
      <w:r w:rsidRPr="000B745C">
        <w:rPr>
          <w:rFonts w:ascii="Arial" w:hAnsi="Arial" w:cs="Arial"/>
          <w:i/>
          <w:iCs/>
          <w:noProof/>
          <w:szCs w:val="24"/>
        </w:rPr>
        <w:t>Nat. Commun.</w:t>
      </w:r>
      <w:r w:rsidRPr="000B745C">
        <w:rPr>
          <w:rFonts w:ascii="Arial" w:hAnsi="Arial" w:cs="Arial"/>
          <w:noProof/>
          <w:szCs w:val="24"/>
        </w:rPr>
        <w:t xml:space="preserve">, 2014, </w:t>
      </w:r>
      <w:r w:rsidRPr="000B745C">
        <w:rPr>
          <w:rFonts w:ascii="Arial" w:hAnsi="Arial" w:cs="Arial"/>
          <w:b/>
          <w:bCs/>
          <w:noProof/>
          <w:szCs w:val="24"/>
        </w:rPr>
        <w:t>5</w:t>
      </w:r>
      <w:r w:rsidRPr="000B745C">
        <w:rPr>
          <w:rFonts w:ascii="Arial" w:hAnsi="Arial" w:cs="Arial"/>
          <w:noProof/>
          <w:szCs w:val="24"/>
        </w:rPr>
        <w:t>, 4288.</w:t>
      </w:r>
    </w:p>
    <w:p w14:paraId="01023FEF"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21</w:t>
      </w:r>
      <w:r w:rsidRPr="000B745C">
        <w:rPr>
          <w:rFonts w:ascii="Arial" w:hAnsi="Arial" w:cs="Arial"/>
          <w:noProof/>
          <w:szCs w:val="24"/>
        </w:rPr>
        <w:tab/>
        <w:t xml:space="preserve">A. Sharenko, D. Gehrig, F. Laquai and T.-Q. Nguyen, </w:t>
      </w:r>
      <w:r w:rsidRPr="000B745C">
        <w:rPr>
          <w:rFonts w:ascii="Arial" w:hAnsi="Arial" w:cs="Arial"/>
          <w:i/>
          <w:iCs/>
          <w:noProof/>
          <w:szCs w:val="24"/>
        </w:rPr>
        <w:t>Chem. Mater.</w:t>
      </w:r>
      <w:r w:rsidRPr="000B745C">
        <w:rPr>
          <w:rFonts w:ascii="Arial" w:hAnsi="Arial" w:cs="Arial"/>
          <w:noProof/>
          <w:szCs w:val="24"/>
        </w:rPr>
        <w:t xml:space="preserve">, 2014, </w:t>
      </w:r>
      <w:r w:rsidRPr="000B745C">
        <w:rPr>
          <w:rFonts w:ascii="Arial" w:hAnsi="Arial" w:cs="Arial"/>
          <w:b/>
          <w:bCs/>
          <w:noProof/>
          <w:szCs w:val="24"/>
        </w:rPr>
        <w:t>26</w:t>
      </w:r>
      <w:r w:rsidRPr="000B745C">
        <w:rPr>
          <w:rFonts w:ascii="Arial" w:hAnsi="Arial" w:cs="Arial"/>
          <w:noProof/>
          <w:szCs w:val="24"/>
        </w:rPr>
        <w:t>, 4109–4118.</w:t>
      </w:r>
    </w:p>
    <w:p w14:paraId="4E5B6F64"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0B745C">
        <w:rPr>
          <w:rFonts w:ascii="Arial" w:hAnsi="Arial" w:cs="Arial"/>
          <w:noProof/>
          <w:szCs w:val="24"/>
        </w:rPr>
        <w:t>22</w:t>
      </w:r>
      <w:r w:rsidRPr="000B745C">
        <w:rPr>
          <w:rFonts w:ascii="Arial" w:hAnsi="Arial" w:cs="Arial"/>
          <w:noProof/>
          <w:szCs w:val="24"/>
        </w:rPr>
        <w:tab/>
        <w:t xml:space="preserve">I. a Howard, F. Laquai, P. E. Keivanidis, R. H. Friend and N. C. Greenham, </w:t>
      </w:r>
      <w:r w:rsidRPr="000B745C">
        <w:rPr>
          <w:rFonts w:ascii="Arial" w:hAnsi="Arial" w:cs="Arial"/>
          <w:i/>
          <w:iCs/>
          <w:noProof/>
          <w:szCs w:val="24"/>
        </w:rPr>
        <w:t xml:space="preserve">J. Phys. </w:t>
      </w:r>
      <w:r w:rsidRPr="008544C4">
        <w:rPr>
          <w:rFonts w:ascii="Arial" w:hAnsi="Arial" w:cs="Arial"/>
          <w:i/>
          <w:iCs/>
          <w:noProof/>
          <w:szCs w:val="24"/>
          <w:lang w:val="de-DE"/>
        </w:rPr>
        <w:t>Chem. C</w:t>
      </w:r>
      <w:r w:rsidRPr="008544C4">
        <w:rPr>
          <w:rFonts w:ascii="Arial" w:hAnsi="Arial" w:cs="Arial"/>
          <w:noProof/>
          <w:szCs w:val="24"/>
          <w:lang w:val="de-DE"/>
        </w:rPr>
        <w:t xml:space="preserve">, 2009, </w:t>
      </w:r>
      <w:r w:rsidRPr="008544C4">
        <w:rPr>
          <w:rFonts w:ascii="Arial" w:hAnsi="Arial" w:cs="Arial"/>
          <w:b/>
          <w:bCs/>
          <w:noProof/>
          <w:szCs w:val="24"/>
          <w:lang w:val="de-DE"/>
        </w:rPr>
        <w:t>113</w:t>
      </w:r>
      <w:r w:rsidRPr="008544C4">
        <w:rPr>
          <w:rFonts w:ascii="Arial" w:hAnsi="Arial" w:cs="Arial"/>
          <w:noProof/>
          <w:szCs w:val="24"/>
          <w:lang w:val="de-DE"/>
        </w:rPr>
        <w:t>, 21225–21232.</w:t>
      </w:r>
    </w:p>
    <w:p w14:paraId="24CD38AE"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8544C4">
        <w:rPr>
          <w:rFonts w:ascii="Arial" w:hAnsi="Arial" w:cs="Arial"/>
          <w:noProof/>
          <w:szCs w:val="24"/>
          <w:lang w:val="de-DE"/>
        </w:rPr>
        <w:t>23</w:t>
      </w:r>
      <w:r w:rsidRPr="008544C4">
        <w:rPr>
          <w:rFonts w:ascii="Arial" w:hAnsi="Arial" w:cs="Arial"/>
          <w:noProof/>
          <w:szCs w:val="24"/>
          <w:lang w:val="de-DE"/>
        </w:rPr>
        <w:tab/>
        <w:t xml:space="preserve">A. Rademacher, S. Märkle and H. Langhals, </w:t>
      </w:r>
      <w:r w:rsidRPr="008544C4">
        <w:rPr>
          <w:rFonts w:ascii="Arial" w:hAnsi="Arial" w:cs="Arial"/>
          <w:i/>
          <w:iCs/>
          <w:noProof/>
          <w:szCs w:val="24"/>
          <w:lang w:val="de-DE"/>
        </w:rPr>
        <w:t>Chem. Ber.</w:t>
      </w:r>
      <w:r w:rsidRPr="008544C4">
        <w:rPr>
          <w:rFonts w:ascii="Arial" w:hAnsi="Arial" w:cs="Arial"/>
          <w:noProof/>
          <w:szCs w:val="24"/>
          <w:lang w:val="de-DE"/>
        </w:rPr>
        <w:t xml:space="preserve">, 1982, </w:t>
      </w:r>
      <w:r w:rsidRPr="008544C4">
        <w:rPr>
          <w:rFonts w:ascii="Arial" w:hAnsi="Arial" w:cs="Arial"/>
          <w:b/>
          <w:bCs/>
          <w:noProof/>
          <w:szCs w:val="24"/>
          <w:lang w:val="de-DE"/>
        </w:rPr>
        <w:t>115</w:t>
      </w:r>
      <w:r w:rsidRPr="008544C4">
        <w:rPr>
          <w:rFonts w:ascii="Arial" w:hAnsi="Arial" w:cs="Arial"/>
          <w:noProof/>
          <w:szCs w:val="24"/>
          <w:lang w:val="de-DE"/>
        </w:rPr>
        <w:t>, 2927–2934.</w:t>
      </w:r>
    </w:p>
    <w:p w14:paraId="700438FC"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24</w:t>
      </w:r>
      <w:r w:rsidRPr="000B745C">
        <w:rPr>
          <w:rFonts w:ascii="Arial" w:hAnsi="Arial" w:cs="Arial"/>
          <w:noProof/>
          <w:szCs w:val="24"/>
        </w:rPr>
        <w:tab/>
        <w:t xml:space="preserve">C. Nicklin, T. Arnold, J. Rawle and A. Warne, </w:t>
      </w:r>
      <w:r w:rsidRPr="000B745C">
        <w:rPr>
          <w:rFonts w:ascii="Arial" w:hAnsi="Arial" w:cs="Arial"/>
          <w:i/>
          <w:iCs/>
          <w:noProof/>
          <w:szCs w:val="24"/>
        </w:rPr>
        <w:t>J. Synchrotron Radiat.</w:t>
      </w:r>
      <w:r w:rsidRPr="000B745C">
        <w:rPr>
          <w:rFonts w:ascii="Arial" w:hAnsi="Arial" w:cs="Arial"/>
          <w:noProof/>
          <w:szCs w:val="24"/>
        </w:rPr>
        <w:t xml:space="preserve">, 2016, </w:t>
      </w:r>
      <w:r w:rsidRPr="000B745C">
        <w:rPr>
          <w:rFonts w:ascii="Arial" w:hAnsi="Arial" w:cs="Arial"/>
          <w:b/>
          <w:bCs/>
          <w:noProof/>
          <w:szCs w:val="24"/>
        </w:rPr>
        <w:t>23</w:t>
      </w:r>
      <w:r w:rsidRPr="000B745C">
        <w:rPr>
          <w:rFonts w:ascii="Arial" w:hAnsi="Arial" w:cs="Arial"/>
          <w:noProof/>
          <w:szCs w:val="24"/>
        </w:rPr>
        <w:t>, 1245–1253.</w:t>
      </w:r>
    </w:p>
    <w:p w14:paraId="6D0B0A37"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25</w:t>
      </w:r>
      <w:r w:rsidRPr="000B745C">
        <w:rPr>
          <w:rFonts w:ascii="Arial" w:hAnsi="Arial" w:cs="Arial"/>
          <w:noProof/>
          <w:szCs w:val="24"/>
        </w:rPr>
        <w:tab/>
        <w:t xml:space="preserve">J. Peet, E. Brocker, Y. Xu and G. C. Bazan, </w:t>
      </w:r>
      <w:r w:rsidRPr="000B745C">
        <w:rPr>
          <w:rFonts w:ascii="Arial" w:hAnsi="Arial" w:cs="Arial"/>
          <w:i/>
          <w:iCs/>
          <w:noProof/>
          <w:szCs w:val="24"/>
        </w:rPr>
        <w:t>Adv. Mater.</w:t>
      </w:r>
      <w:r w:rsidRPr="000B745C">
        <w:rPr>
          <w:rFonts w:ascii="Arial" w:hAnsi="Arial" w:cs="Arial"/>
          <w:noProof/>
          <w:szCs w:val="24"/>
        </w:rPr>
        <w:t xml:space="preserve">, 2008, </w:t>
      </w:r>
      <w:r w:rsidRPr="000B745C">
        <w:rPr>
          <w:rFonts w:ascii="Arial" w:hAnsi="Arial" w:cs="Arial"/>
          <w:b/>
          <w:bCs/>
          <w:noProof/>
          <w:szCs w:val="24"/>
        </w:rPr>
        <w:t>20</w:t>
      </w:r>
      <w:r w:rsidRPr="000B745C">
        <w:rPr>
          <w:rFonts w:ascii="Arial" w:hAnsi="Arial" w:cs="Arial"/>
          <w:noProof/>
          <w:szCs w:val="24"/>
        </w:rPr>
        <w:t>, 1882–1885.</w:t>
      </w:r>
    </w:p>
    <w:p w14:paraId="5B93C4C2"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26</w:t>
      </w:r>
      <w:r w:rsidRPr="000B745C">
        <w:rPr>
          <w:rFonts w:ascii="Arial" w:hAnsi="Arial" w:cs="Arial"/>
          <w:noProof/>
          <w:szCs w:val="24"/>
        </w:rPr>
        <w:tab/>
        <w:t xml:space="preserve">A. J. Cadby, P. A. Lane, H. Mellor, S. J. Martin, M. Grell, C. Giebeler, D. D. C. Bradley, M. Wohlgenannt, C. An and Z. V. Vardeny, </w:t>
      </w:r>
      <w:r w:rsidRPr="000B745C">
        <w:rPr>
          <w:rFonts w:ascii="Arial" w:hAnsi="Arial" w:cs="Arial"/>
          <w:i/>
          <w:iCs/>
          <w:noProof/>
          <w:szCs w:val="24"/>
        </w:rPr>
        <w:t>Phys. Rev. B - Condens. Matter Mater. Phys.</w:t>
      </w:r>
      <w:r w:rsidRPr="000B745C">
        <w:rPr>
          <w:rFonts w:ascii="Arial" w:hAnsi="Arial" w:cs="Arial"/>
          <w:noProof/>
          <w:szCs w:val="24"/>
        </w:rPr>
        <w:t xml:space="preserve">, 2000, </w:t>
      </w:r>
      <w:r w:rsidRPr="000B745C">
        <w:rPr>
          <w:rFonts w:ascii="Arial" w:hAnsi="Arial" w:cs="Arial"/>
          <w:b/>
          <w:bCs/>
          <w:noProof/>
          <w:szCs w:val="24"/>
        </w:rPr>
        <w:t>62</w:t>
      </w:r>
      <w:r w:rsidRPr="000B745C">
        <w:rPr>
          <w:rFonts w:ascii="Arial" w:hAnsi="Arial" w:cs="Arial"/>
          <w:noProof/>
          <w:szCs w:val="24"/>
        </w:rPr>
        <w:t>, 15604–15609.</w:t>
      </w:r>
    </w:p>
    <w:p w14:paraId="4EF02C27"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lastRenderedPageBreak/>
        <w:t>27</w:t>
      </w:r>
      <w:r w:rsidRPr="000B745C">
        <w:rPr>
          <w:rFonts w:ascii="Arial" w:hAnsi="Arial" w:cs="Arial"/>
          <w:noProof/>
          <w:szCs w:val="24"/>
        </w:rPr>
        <w:tab/>
        <w:t xml:space="preserve">M. Grell, D. D. C. Bradley, G. Ungar, J. Hill and K. S. Whitehead, </w:t>
      </w:r>
      <w:r w:rsidRPr="000B745C">
        <w:rPr>
          <w:rFonts w:ascii="Arial" w:hAnsi="Arial" w:cs="Arial"/>
          <w:i/>
          <w:iCs/>
          <w:noProof/>
          <w:szCs w:val="24"/>
        </w:rPr>
        <w:t>Macromolecules</w:t>
      </w:r>
      <w:r w:rsidRPr="000B745C">
        <w:rPr>
          <w:rFonts w:ascii="Arial" w:hAnsi="Arial" w:cs="Arial"/>
          <w:noProof/>
          <w:szCs w:val="24"/>
        </w:rPr>
        <w:t xml:space="preserve">, 1999, </w:t>
      </w:r>
      <w:r w:rsidRPr="000B745C">
        <w:rPr>
          <w:rFonts w:ascii="Arial" w:hAnsi="Arial" w:cs="Arial"/>
          <w:b/>
          <w:bCs/>
          <w:noProof/>
          <w:szCs w:val="24"/>
        </w:rPr>
        <w:t>32</w:t>
      </w:r>
      <w:r w:rsidRPr="000B745C">
        <w:rPr>
          <w:rFonts w:ascii="Arial" w:hAnsi="Arial" w:cs="Arial"/>
          <w:noProof/>
          <w:szCs w:val="24"/>
        </w:rPr>
        <w:t>, 5810–5817.</w:t>
      </w:r>
    </w:p>
    <w:p w14:paraId="6EDAC0A9"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28</w:t>
      </w:r>
      <w:r w:rsidRPr="000B745C">
        <w:rPr>
          <w:rFonts w:ascii="Arial" w:hAnsi="Arial" w:cs="Arial"/>
          <w:noProof/>
          <w:szCs w:val="24"/>
        </w:rPr>
        <w:tab/>
        <w:t xml:space="preserve">J. Clark, C. Silva, R. Friend and F. Spano, </w:t>
      </w:r>
      <w:r w:rsidRPr="000B745C">
        <w:rPr>
          <w:rFonts w:ascii="Arial" w:hAnsi="Arial" w:cs="Arial"/>
          <w:i/>
          <w:iCs/>
          <w:noProof/>
          <w:szCs w:val="24"/>
        </w:rPr>
        <w:t>Phys. Rev. Lett.</w:t>
      </w:r>
      <w:r w:rsidRPr="000B745C">
        <w:rPr>
          <w:rFonts w:ascii="Arial" w:hAnsi="Arial" w:cs="Arial"/>
          <w:noProof/>
          <w:szCs w:val="24"/>
        </w:rPr>
        <w:t xml:space="preserve">, 2007, </w:t>
      </w:r>
      <w:r w:rsidRPr="000B745C">
        <w:rPr>
          <w:rFonts w:ascii="Arial" w:hAnsi="Arial" w:cs="Arial"/>
          <w:b/>
          <w:bCs/>
          <w:noProof/>
          <w:szCs w:val="24"/>
        </w:rPr>
        <w:t>98</w:t>
      </w:r>
      <w:r w:rsidRPr="000B745C">
        <w:rPr>
          <w:rFonts w:ascii="Arial" w:hAnsi="Arial" w:cs="Arial"/>
          <w:noProof/>
          <w:szCs w:val="24"/>
        </w:rPr>
        <w:t>, 206406.</w:t>
      </w:r>
    </w:p>
    <w:p w14:paraId="591E1432"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29</w:t>
      </w:r>
      <w:r w:rsidRPr="000B745C">
        <w:rPr>
          <w:rFonts w:ascii="Arial" w:hAnsi="Arial" w:cs="Arial"/>
          <w:noProof/>
          <w:szCs w:val="24"/>
        </w:rPr>
        <w:tab/>
        <w:t xml:space="preserve">A. Perevedentsev, N. Chander, J. Kim and D. D. C. Bradley, </w:t>
      </w:r>
      <w:r w:rsidRPr="000B745C">
        <w:rPr>
          <w:rFonts w:ascii="Arial" w:hAnsi="Arial" w:cs="Arial"/>
          <w:i/>
          <w:iCs/>
          <w:noProof/>
          <w:szCs w:val="24"/>
        </w:rPr>
        <w:t>J. Polym. Sci. Part B Polym. Phys.</w:t>
      </w:r>
      <w:r w:rsidRPr="000B745C">
        <w:rPr>
          <w:rFonts w:ascii="Arial" w:hAnsi="Arial" w:cs="Arial"/>
          <w:noProof/>
          <w:szCs w:val="24"/>
        </w:rPr>
        <w:t xml:space="preserve">, 2016, </w:t>
      </w:r>
      <w:r w:rsidRPr="000B745C">
        <w:rPr>
          <w:rFonts w:ascii="Arial" w:hAnsi="Arial" w:cs="Arial"/>
          <w:b/>
          <w:bCs/>
          <w:noProof/>
          <w:szCs w:val="24"/>
        </w:rPr>
        <w:t>54</w:t>
      </w:r>
      <w:r w:rsidRPr="000B745C">
        <w:rPr>
          <w:rFonts w:ascii="Arial" w:hAnsi="Arial" w:cs="Arial"/>
          <w:noProof/>
          <w:szCs w:val="24"/>
        </w:rPr>
        <w:t>, 1995–2006.</w:t>
      </w:r>
    </w:p>
    <w:p w14:paraId="71F9A54B"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30</w:t>
      </w:r>
      <w:r w:rsidRPr="000B745C">
        <w:rPr>
          <w:rFonts w:ascii="Arial" w:hAnsi="Arial" w:cs="Arial"/>
          <w:noProof/>
          <w:szCs w:val="24"/>
        </w:rPr>
        <w:tab/>
        <w:t xml:space="preserve">A. Nowak-Król, B. Fimmel, M. Son, D. Kim and F. Würthner, </w:t>
      </w:r>
      <w:r w:rsidRPr="000B745C">
        <w:rPr>
          <w:rFonts w:ascii="Arial" w:hAnsi="Arial" w:cs="Arial"/>
          <w:i/>
          <w:iCs/>
          <w:noProof/>
          <w:szCs w:val="24"/>
        </w:rPr>
        <w:t>Faraday Discuss.</w:t>
      </w:r>
      <w:r w:rsidRPr="000B745C">
        <w:rPr>
          <w:rFonts w:ascii="Arial" w:hAnsi="Arial" w:cs="Arial"/>
          <w:noProof/>
          <w:szCs w:val="24"/>
        </w:rPr>
        <w:t>, 2015, 1–21.</w:t>
      </w:r>
    </w:p>
    <w:p w14:paraId="11471400"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31</w:t>
      </w:r>
      <w:r w:rsidRPr="000B745C">
        <w:rPr>
          <w:rFonts w:ascii="Arial" w:hAnsi="Arial" w:cs="Arial"/>
          <w:noProof/>
          <w:szCs w:val="24"/>
        </w:rPr>
        <w:tab/>
        <w:t xml:space="preserve">W. Maniukiewicz, J. Bojarska, A. Olczak, E. Dobruchowska and M. Wiatrowski, </w:t>
      </w:r>
      <w:r w:rsidRPr="000B745C">
        <w:rPr>
          <w:rFonts w:ascii="Arial" w:hAnsi="Arial" w:cs="Arial"/>
          <w:i/>
          <w:iCs/>
          <w:noProof/>
          <w:szCs w:val="24"/>
        </w:rPr>
        <w:t>Acta Crystallogr. Sect. E Struct. Reports Online</w:t>
      </w:r>
      <w:r w:rsidRPr="000B745C">
        <w:rPr>
          <w:rFonts w:ascii="Arial" w:hAnsi="Arial" w:cs="Arial"/>
          <w:noProof/>
          <w:szCs w:val="24"/>
        </w:rPr>
        <w:t xml:space="preserve">, 2010, </w:t>
      </w:r>
      <w:r w:rsidRPr="000B745C">
        <w:rPr>
          <w:rFonts w:ascii="Arial" w:hAnsi="Arial" w:cs="Arial"/>
          <w:b/>
          <w:bCs/>
          <w:noProof/>
          <w:szCs w:val="24"/>
        </w:rPr>
        <w:t>66</w:t>
      </w:r>
      <w:r w:rsidRPr="000B745C">
        <w:rPr>
          <w:rFonts w:ascii="Arial" w:hAnsi="Arial" w:cs="Arial"/>
          <w:noProof/>
          <w:szCs w:val="24"/>
        </w:rPr>
        <w:t>, o2570–o2571.</w:t>
      </w:r>
    </w:p>
    <w:p w14:paraId="6ED71140"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32</w:t>
      </w:r>
      <w:r w:rsidRPr="000B745C">
        <w:rPr>
          <w:rFonts w:ascii="Arial" w:hAnsi="Arial" w:cs="Arial"/>
          <w:noProof/>
          <w:szCs w:val="24"/>
        </w:rPr>
        <w:tab/>
        <w:t xml:space="preserve">M. Misaki, Y. Ueda, S. Nagamatsu, Y. Yoshida, N. Tanigaki and K. Yase, </w:t>
      </w:r>
      <w:r w:rsidRPr="000B745C">
        <w:rPr>
          <w:rFonts w:ascii="Arial" w:hAnsi="Arial" w:cs="Arial"/>
          <w:i/>
          <w:iCs/>
          <w:noProof/>
          <w:szCs w:val="24"/>
        </w:rPr>
        <w:t>Macromolecules</w:t>
      </w:r>
      <w:r w:rsidRPr="000B745C">
        <w:rPr>
          <w:rFonts w:ascii="Arial" w:hAnsi="Arial" w:cs="Arial"/>
          <w:noProof/>
          <w:szCs w:val="24"/>
        </w:rPr>
        <w:t xml:space="preserve">, 2004, </w:t>
      </w:r>
      <w:r w:rsidRPr="000B745C">
        <w:rPr>
          <w:rFonts w:ascii="Arial" w:hAnsi="Arial" w:cs="Arial"/>
          <w:b/>
          <w:bCs/>
          <w:noProof/>
          <w:szCs w:val="24"/>
        </w:rPr>
        <w:t>37</w:t>
      </w:r>
      <w:r w:rsidRPr="000B745C">
        <w:rPr>
          <w:rFonts w:ascii="Arial" w:hAnsi="Arial" w:cs="Arial"/>
          <w:noProof/>
          <w:szCs w:val="24"/>
        </w:rPr>
        <w:t>, 6926–6931.</w:t>
      </w:r>
    </w:p>
    <w:p w14:paraId="4BBDA881"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33</w:t>
      </w:r>
      <w:r w:rsidRPr="000B745C">
        <w:rPr>
          <w:rFonts w:ascii="Arial" w:hAnsi="Arial" w:cs="Arial"/>
          <w:noProof/>
          <w:szCs w:val="24"/>
        </w:rPr>
        <w:tab/>
        <w:t xml:space="preserve">M. Brinkmann, N. Charoenthai, R. Traiphol, P. Piyakulawat, J. Wlosnewski and U. Asawapirom, </w:t>
      </w:r>
      <w:r w:rsidRPr="000B745C">
        <w:rPr>
          <w:rFonts w:ascii="Arial" w:hAnsi="Arial" w:cs="Arial"/>
          <w:i/>
          <w:iCs/>
          <w:noProof/>
          <w:szCs w:val="24"/>
        </w:rPr>
        <w:t>Macromolecules</w:t>
      </w:r>
      <w:r w:rsidRPr="000B745C">
        <w:rPr>
          <w:rFonts w:ascii="Arial" w:hAnsi="Arial" w:cs="Arial"/>
          <w:noProof/>
          <w:szCs w:val="24"/>
        </w:rPr>
        <w:t xml:space="preserve">, 2009, </w:t>
      </w:r>
      <w:r w:rsidRPr="000B745C">
        <w:rPr>
          <w:rFonts w:ascii="Arial" w:hAnsi="Arial" w:cs="Arial"/>
          <w:b/>
          <w:bCs/>
          <w:noProof/>
          <w:szCs w:val="24"/>
        </w:rPr>
        <w:t>42</w:t>
      </w:r>
      <w:r w:rsidRPr="000B745C">
        <w:rPr>
          <w:rFonts w:ascii="Arial" w:hAnsi="Arial" w:cs="Arial"/>
          <w:noProof/>
          <w:szCs w:val="24"/>
        </w:rPr>
        <w:t>, 8298–8306.</w:t>
      </w:r>
    </w:p>
    <w:p w14:paraId="45F63833"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34</w:t>
      </w:r>
      <w:r w:rsidRPr="000B745C">
        <w:rPr>
          <w:rFonts w:ascii="Arial" w:hAnsi="Arial" w:cs="Arial"/>
          <w:noProof/>
          <w:szCs w:val="24"/>
        </w:rPr>
        <w:tab/>
        <w:t xml:space="preserve">R.-J. Roe, </w:t>
      </w:r>
      <w:r w:rsidRPr="000B745C">
        <w:rPr>
          <w:rFonts w:ascii="Arial" w:hAnsi="Arial" w:cs="Arial"/>
          <w:i/>
          <w:iCs/>
          <w:noProof/>
          <w:szCs w:val="24"/>
        </w:rPr>
        <w:t>Methods of X-ray and neutron scattering in polymer science</w:t>
      </w:r>
      <w:r w:rsidRPr="000B745C">
        <w:rPr>
          <w:rFonts w:ascii="Arial" w:hAnsi="Arial" w:cs="Arial"/>
          <w:noProof/>
          <w:szCs w:val="24"/>
        </w:rPr>
        <w:t>, Oxford University Press on Demand, 2000, vol. 739.</w:t>
      </w:r>
    </w:p>
    <w:p w14:paraId="11D6E67B"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35</w:t>
      </w:r>
      <w:r w:rsidRPr="000B745C">
        <w:rPr>
          <w:rFonts w:ascii="Arial" w:hAnsi="Arial" w:cs="Arial"/>
          <w:noProof/>
          <w:szCs w:val="24"/>
        </w:rPr>
        <w:tab/>
        <w:t xml:space="preserve">J. Cabanillas-Gonzalez, T. Virgili, G. Lanzani, S. Yeates, M. Ariu, J. Nelson and D. D. C. Bradley, </w:t>
      </w:r>
      <w:r w:rsidRPr="000B745C">
        <w:rPr>
          <w:rFonts w:ascii="Arial" w:hAnsi="Arial" w:cs="Arial"/>
          <w:i/>
          <w:iCs/>
          <w:noProof/>
          <w:szCs w:val="24"/>
        </w:rPr>
        <w:t>Phys. Rev. B</w:t>
      </w:r>
      <w:r w:rsidRPr="000B745C">
        <w:rPr>
          <w:rFonts w:ascii="Arial" w:hAnsi="Arial" w:cs="Arial"/>
          <w:noProof/>
          <w:szCs w:val="24"/>
        </w:rPr>
        <w:t xml:space="preserve">, 2005, </w:t>
      </w:r>
      <w:r w:rsidRPr="000B745C">
        <w:rPr>
          <w:rFonts w:ascii="Arial" w:hAnsi="Arial" w:cs="Arial"/>
          <w:b/>
          <w:bCs/>
          <w:noProof/>
          <w:szCs w:val="24"/>
        </w:rPr>
        <w:t>71</w:t>
      </w:r>
      <w:r w:rsidRPr="000B745C">
        <w:rPr>
          <w:rFonts w:ascii="Arial" w:hAnsi="Arial" w:cs="Arial"/>
          <w:noProof/>
          <w:szCs w:val="24"/>
        </w:rPr>
        <w:t>, 14211.</w:t>
      </w:r>
    </w:p>
    <w:p w14:paraId="7C54AA03"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36</w:t>
      </w:r>
      <w:r w:rsidRPr="000B745C">
        <w:rPr>
          <w:rFonts w:ascii="Arial" w:hAnsi="Arial" w:cs="Arial"/>
          <w:noProof/>
          <w:szCs w:val="24"/>
        </w:rPr>
        <w:tab/>
        <w:t xml:space="preserve">T. Virgili, D. Marinotto, C. Manzoni, G. Cerullo and G. Lanzani, </w:t>
      </w:r>
      <w:r w:rsidRPr="000B745C">
        <w:rPr>
          <w:rFonts w:ascii="Arial" w:hAnsi="Arial" w:cs="Arial"/>
          <w:i/>
          <w:iCs/>
          <w:noProof/>
          <w:szCs w:val="24"/>
        </w:rPr>
        <w:t>Phys. Rev. Lett.</w:t>
      </w:r>
      <w:r w:rsidRPr="000B745C">
        <w:rPr>
          <w:rFonts w:ascii="Arial" w:hAnsi="Arial" w:cs="Arial"/>
          <w:noProof/>
          <w:szCs w:val="24"/>
        </w:rPr>
        <w:t xml:space="preserve">, 2005, </w:t>
      </w:r>
      <w:r w:rsidRPr="000B745C">
        <w:rPr>
          <w:rFonts w:ascii="Arial" w:hAnsi="Arial" w:cs="Arial"/>
          <w:b/>
          <w:bCs/>
          <w:noProof/>
          <w:szCs w:val="24"/>
        </w:rPr>
        <w:t>94</w:t>
      </w:r>
      <w:r w:rsidRPr="000B745C">
        <w:rPr>
          <w:rFonts w:ascii="Arial" w:hAnsi="Arial" w:cs="Arial"/>
          <w:noProof/>
          <w:szCs w:val="24"/>
        </w:rPr>
        <w:t>, 117402.</w:t>
      </w:r>
    </w:p>
    <w:p w14:paraId="570B312C"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37</w:t>
      </w:r>
      <w:r w:rsidRPr="000B745C">
        <w:rPr>
          <w:rFonts w:ascii="Arial" w:hAnsi="Arial" w:cs="Arial"/>
          <w:noProof/>
          <w:szCs w:val="24"/>
        </w:rPr>
        <w:tab/>
        <w:t xml:space="preserve">O. J. Korovyanko and Z. V Vardeny, </w:t>
      </w:r>
      <w:r w:rsidRPr="000B745C">
        <w:rPr>
          <w:rFonts w:ascii="Arial" w:hAnsi="Arial" w:cs="Arial"/>
          <w:i/>
          <w:iCs/>
          <w:noProof/>
          <w:szCs w:val="24"/>
        </w:rPr>
        <w:t>Chem. Phys. Lett.</w:t>
      </w:r>
      <w:r w:rsidRPr="000B745C">
        <w:rPr>
          <w:rFonts w:ascii="Arial" w:hAnsi="Arial" w:cs="Arial"/>
          <w:noProof/>
          <w:szCs w:val="24"/>
        </w:rPr>
        <w:t xml:space="preserve">, 2002, </w:t>
      </w:r>
      <w:r w:rsidRPr="000B745C">
        <w:rPr>
          <w:rFonts w:ascii="Arial" w:hAnsi="Arial" w:cs="Arial"/>
          <w:b/>
          <w:bCs/>
          <w:noProof/>
          <w:szCs w:val="24"/>
        </w:rPr>
        <w:t>356</w:t>
      </w:r>
      <w:r w:rsidRPr="000B745C">
        <w:rPr>
          <w:rFonts w:ascii="Arial" w:hAnsi="Arial" w:cs="Arial"/>
          <w:noProof/>
          <w:szCs w:val="24"/>
        </w:rPr>
        <w:t>, 361–367.</w:t>
      </w:r>
    </w:p>
    <w:p w14:paraId="636A3707"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38</w:t>
      </w:r>
      <w:r w:rsidRPr="000B745C">
        <w:rPr>
          <w:rFonts w:ascii="Arial" w:hAnsi="Arial" w:cs="Arial"/>
          <w:noProof/>
          <w:szCs w:val="24"/>
        </w:rPr>
        <w:tab/>
        <w:t xml:space="preserve">M. Ariu, M. Sims, M. D. Rahn, J. Hill, A. M. Fox, D. G. Lidzey, M. Oda, J. Cabanillas-Gonzalez and D. D. C. Bradley, </w:t>
      </w:r>
      <w:r w:rsidRPr="000B745C">
        <w:rPr>
          <w:rFonts w:ascii="Arial" w:hAnsi="Arial" w:cs="Arial"/>
          <w:i/>
          <w:iCs/>
          <w:noProof/>
          <w:szCs w:val="24"/>
        </w:rPr>
        <w:t>Phys. Rev. B</w:t>
      </w:r>
      <w:r w:rsidRPr="000B745C">
        <w:rPr>
          <w:rFonts w:ascii="Arial" w:hAnsi="Arial" w:cs="Arial"/>
          <w:noProof/>
          <w:szCs w:val="24"/>
        </w:rPr>
        <w:t xml:space="preserve">, 2003, </w:t>
      </w:r>
      <w:r w:rsidRPr="000B745C">
        <w:rPr>
          <w:rFonts w:ascii="Arial" w:hAnsi="Arial" w:cs="Arial"/>
          <w:b/>
          <w:bCs/>
          <w:noProof/>
          <w:szCs w:val="24"/>
        </w:rPr>
        <w:t>67</w:t>
      </w:r>
      <w:r w:rsidRPr="000B745C">
        <w:rPr>
          <w:rFonts w:ascii="Arial" w:hAnsi="Arial" w:cs="Arial"/>
          <w:noProof/>
          <w:szCs w:val="24"/>
        </w:rPr>
        <w:t>, 195333.</w:t>
      </w:r>
    </w:p>
    <w:p w14:paraId="7CCE03C5"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39</w:t>
      </w:r>
      <w:r w:rsidRPr="000B745C">
        <w:rPr>
          <w:rFonts w:ascii="Arial" w:hAnsi="Arial" w:cs="Arial"/>
          <w:noProof/>
          <w:szCs w:val="24"/>
        </w:rPr>
        <w:tab/>
        <w:t xml:space="preserve">J. D. A. Lin, O. V Mikhnenko, J. Chen, Z. Masri, A. Ruseckas, A. Mikhailovsky, R. P. Raab, J. Liu, P. W. M. Blom and M. A. Loi, </w:t>
      </w:r>
      <w:r w:rsidRPr="000B745C">
        <w:rPr>
          <w:rFonts w:ascii="Arial" w:hAnsi="Arial" w:cs="Arial"/>
          <w:i/>
          <w:iCs/>
          <w:noProof/>
          <w:szCs w:val="24"/>
        </w:rPr>
        <w:t>Mater. Horizons</w:t>
      </w:r>
      <w:r w:rsidRPr="000B745C">
        <w:rPr>
          <w:rFonts w:ascii="Arial" w:hAnsi="Arial" w:cs="Arial"/>
          <w:noProof/>
          <w:szCs w:val="24"/>
        </w:rPr>
        <w:t xml:space="preserve">, 2014, </w:t>
      </w:r>
      <w:r w:rsidRPr="000B745C">
        <w:rPr>
          <w:rFonts w:ascii="Arial" w:hAnsi="Arial" w:cs="Arial"/>
          <w:b/>
          <w:bCs/>
          <w:noProof/>
          <w:szCs w:val="24"/>
        </w:rPr>
        <w:t>1</w:t>
      </w:r>
      <w:r w:rsidRPr="000B745C">
        <w:rPr>
          <w:rFonts w:ascii="Arial" w:hAnsi="Arial" w:cs="Arial"/>
          <w:noProof/>
          <w:szCs w:val="24"/>
        </w:rPr>
        <w:t>, 280–285.</w:t>
      </w:r>
    </w:p>
    <w:p w14:paraId="0673A2EB"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40</w:t>
      </w:r>
      <w:r w:rsidRPr="000B745C">
        <w:rPr>
          <w:rFonts w:ascii="Arial" w:hAnsi="Arial" w:cs="Arial"/>
          <w:noProof/>
          <w:szCs w:val="24"/>
        </w:rPr>
        <w:tab/>
        <w:t xml:space="preserve">V. I. Arkhipov, E. V Emelianova and H. Baessler, </w:t>
      </w:r>
      <w:r w:rsidRPr="000B745C">
        <w:rPr>
          <w:rFonts w:ascii="Arial" w:hAnsi="Arial" w:cs="Arial"/>
          <w:i/>
          <w:iCs/>
          <w:noProof/>
          <w:szCs w:val="24"/>
        </w:rPr>
        <w:t>Phys. Rev. B</w:t>
      </w:r>
      <w:r w:rsidRPr="000B745C">
        <w:rPr>
          <w:rFonts w:ascii="Arial" w:hAnsi="Arial" w:cs="Arial"/>
          <w:noProof/>
          <w:szCs w:val="24"/>
        </w:rPr>
        <w:t xml:space="preserve">, 2004, </w:t>
      </w:r>
      <w:r w:rsidRPr="000B745C">
        <w:rPr>
          <w:rFonts w:ascii="Arial" w:hAnsi="Arial" w:cs="Arial"/>
          <w:b/>
          <w:bCs/>
          <w:noProof/>
          <w:szCs w:val="24"/>
        </w:rPr>
        <w:t>70</w:t>
      </w:r>
      <w:r w:rsidRPr="000B745C">
        <w:rPr>
          <w:rFonts w:ascii="Arial" w:hAnsi="Arial" w:cs="Arial"/>
          <w:noProof/>
          <w:szCs w:val="24"/>
        </w:rPr>
        <w:t>, 205205.</w:t>
      </w:r>
    </w:p>
    <w:p w14:paraId="1D3DB8B6"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0B745C">
        <w:rPr>
          <w:rFonts w:ascii="Arial" w:hAnsi="Arial" w:cs="Arial"/>
          <w:noProof/>
          <w:szCs w:val="24"/>
        </w:rPr>
        <w:t>41</w:t>
      </w:r>
      <w:r w:rsidRPr="000B745C">
        <w:rPr>
          <w:rFonts w:ascii="Arial" w:hAnsi="Arial" w:cs="Arial"/>
          <w:noProof/>
          <w:szCs w:val="24"/>
        </w:rPr>
        <w:tab/>
        <w:t xml:space="preserve">C. Hippius, I. H. M. van Stokkum, E. Zangrando, R. M. Williams and F. Würthner, </w:t>
      </w:r>
      <w:r w:rsidRPr="000B745C">
        <w:rPr>
          <w:rFonts w:ascii="Arial" w:hAnsi="Arial" w:cs="Arial"/>
          <w:i/>
          <w:iCs/>
          <w:noProof/>
          <w:szCs w:val="24"/>
        </w:rPr>
        <w:t xml:space="preserve">J. Phys. Chem. </w:t>
      </w:r>
      <w:r w:rsidRPr="008544C4">
        <w:rPr>
          <w:rFonts w:ascii="Arial" w:hAnsi="Arial" w:cs="Arial"/>
          <w:i/>
          <w:iCs/>
          <w:noProof/>
          <w:szCs w:val="24"/>
          <w:lang w:val="de-DE"/>
        </w:rPr>
        <w:t>C</w:t>
      </w:r>
      <w:r w:rsidRPr="008544C4">
        <w:rPr>
          <w:rFonts w:ascii="Arial" w:hAnsi="Arial" w:cs="Arial"/>
          <w:noProof/>
          <w:szCs w:val="24"/>
          <w:lang w:val="de-DE"/>
        </w:rPr>
        <w:t xml:space="preserve">, 2007, </w:t>
      </w:r>
      <w:r w:rsidRPr="008544C4">
        <w:rPr>
          <w:rFonts w:ascii="Arial" w:hAnsi="Arial" w:cs="Arial"/>
          <w:b/>
          <w:bCs/>
          <w:noProof/>
          <w:szCs w:val="24"/>
          <w:lang w:val="de-DE"/>
        </w:rPr>
        <w:t>111</w:t>
      </w:r>
      <w:r w:rsidRPr="008544C4">
        <w:rPr>
          <w:rFonts w:ascii="Arial" w:hAnsi="Arial" w:cs="Arial"/>
          <w:noProof/>
          <w:szCs w:val="24"/>
          <w:lang w:val="de-DE"/>
        </w:rPr>
        <w:t>, 13988–13996.</w:t>
      </w:r>
    </w:p>
    <w:p w14:paraId="63E3DF74"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8544C4">
        <w:rPr>
          <w:rFonts w:ascii="Arial" w:hAnsi="Arial" w:cs="Arial"/>
          <w:noProof/>
          <w:szCs w:val="24"/>
          <w:lang w:val="de-DE"/>
        </w:rPr>
        <w:t>42</w:t>
      </w:r>
      <w:r w:rsidRPr="008544C4">
        <w:rPr>
          <w:rFonts w:ascii="Arial" w:hAnsi="Arial" w:cs="Arial"/>
          <w:noProof/>
          <w:szCs w:val="24"/>
          <w:lang w:val="de-DE"/>
        </w:rPr>
        <w:tab/>
        <w:t xml:space="preserve">J. Sung, A. Nowak-Król, F. Schlosser, B. Fimmel, W. Kim, D. Kim and F. Würthner, </w:t>
      </w:r>
      <w:r w:rsidRPr="008544C4">
        <w:rPr>
          <w:rFonts w:ascii="Arial" w:hAnsi="Arial" w:cs="Arial"/>
          <w:i/>
          <w:iCs/>
          <w:noProof/>
          <w:szCs w:val="24"/>
          <w:lang w:val="de-DE"/>
        </w:rPr>
        <w:t xml:space="preserve">J. Am. </w:t>
      </w:r>
      <w:r w:rsidRPr="000B745C">
        <w:rPr>
          <w:rFonts w:ascii="Arial" w:hAnsi="Arial" w:cs="Arial"/>
          <w:i/>
          <w:iCs/>
          <w:noProof/>
          <w:szCs w:val="24"/>
        </w:rPr>
        <w:t>Chem. Soc.</w:t>
      </w:r>
      <w:r w:rsidRPr="000B745C">
        <w:rPr>
          <w:rFonts w:ascii="Arial" w:hAnsi="Arial" w:cs="Arial"/>
          <w:noProof/>
          <w:szCs w:val="24"/>
        </w:rPr>
        <w:t xml:space="preserve">, 2016, </w:t>
      </w:r>
      <w:r w:rsidRPr="000B745C">
        <w:rPr>
          <w:rFonts w:ascii="Arial" w:hAnsi="Arial" w:cs="Arial"/>
          <w:b/>
          <w:bCs/>
          <w:noProof/>
          <w:szCs w:val="24"/>
        </w:rPr>
        <w:t>138</w:t>
      </w:r>
      <w:r w:rsidRPr="000B745C">
        <w:rPr>
          <w:rFonts w:ascii="Arial" w:hAnsi="Arial" w:cs="Arial"/>
          <w:noProof/>
          <w:szCs w:val="24"/>
        </w:rPr>
        <w:t>, 9029–9032.</w:t>
      </w:r>
    </w:p>
    <w:p w14:paraId="38004DF7"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0B745C">
        <w:rPr>
          <w:rFonts w:ascii="Arial" w:hAnsi="Arial" w:cs="Arial"/>
          <w:noProof/>
          <w:szCs w:val="24"/>
        </w:rPr>
        <w:t>43</w:t>
      </w:r>
      <w:r w:rsidRPr="000B745C">
        <w:rPr>
          <w:rFonts w:ascii="Arial" w:hAnsi="Arial" w:cs="Arial"/>
          <w:noProof/>
          <w:szCs w:val="24"/>
        </w:rPr>
        <w:tab/>
        <w:t xml:space="preserve">K. E. Brown, W. A. Salamant, L. E. Shoer, R. M. Young and M. R. Wasielewski, </w:t>
      </w:r>
      <w:r w:rsidRPr="000B745C">
        <w:rPr>
          <w:rFonts w:ascii="Arial" w:hAnsi="Arial" w:cs="Arial"/>
          <w:i/>
          <w:iCs/>
          <w:noProof/>
          <w:szCs w:val="24"/>
        </w:rPr>
        <w:t xml:space="preserve">J. Phys. </w:t>
      </w:r>
      <w:r w:rsidRPr="008544C4">
        <w:rPr>
          <w:rFonts w:ascii="Arial" w:hAnsi="Arial" w:cs="Arial"/>
          <w:i/>
          <w:iCs/>
          <w:noProof/>
          <w:szCs w:val="24"/>
          <w:lang w:val="de-DE"/>
        </w:rPr>
        <w:t>Chem. Lett.</w:t>
      </w:r>
      <w:r w:rsidRPr="008544C4">
        <w:rPr>
          <w:rFonts w:ascii="Arial" w:hAnsi="Arial" w:cs="Arial"/>
          <w:noProof/>
          <w:szCs w:val="24"/>
          <w:lang w:val="de-DE"/>
        </w:rPr>
        <w:t xml:space="preserve">, 2014, </w:t>
      </w:r>
      <w:r w:rsidRPr="008544C4">
        <w:rPr>
          <w:rFonts w:ascii="Arial" w:hAnsi="Arial" w:cs="Arial"/>
          <w:b/>
          <w:bCs/>
          <w:noProof/>
          <w:szCs w:val="24"/>
          <w:lang w:val="de-DE"/>
        </w:rPr>
        <w:t>5</w:t>
      </w:r>
      <w:r w:rsidRPr="008544C4">
        <w:rPr>
          <w:rFonts w:ascii="Arial" w:hAnsi="Arial" w:cs="Arial"/>
          <w:noProof/>
          <w:szCs w:val="24"/>
          <w:lang w:val="de-DE"/>
        </w:rPr>
        <w:t>, 2588–2593.</w:t>
      </w:r>
    </w:p>
    <w:p w14:paraId="7EBBDAFD"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8544C4">
        <w:rPr>
          <w:rFonts w:ascii="Arial" w:hAnsi="Arial" w:cs="Arial"/>
          <w:noProof/>
          <w:szCs w:val="24"/>
          <w:lang w:val="de-DE"/>
        </w:rPr>
        <w:lastRenderedPageBreak/>
        <w:t>44</w:t>
      </w:r>
      <w:r w:rsidRPr="008544C4">
        <w:rPr>
          <w:rFonts w:ascii="Arial" w:hAnsi="Arial" w:cs="Arial"/>
          <w:noProof/>
          <w:szCs w:val="24"/>
          <w:lang w:val="de-DE"/>
        </w:rPr>
        <w:tab/>
        <w:t xml:space="preserve">N. Vân Anh, F. Schlosser, M. M. Groeneveld, I. H. M. Van Stokkum, F. Würthner and R. M. Williams, </w:t>
      </w:r>
      <w:r w:rsidRPr="008544C4">
        <w:rPr>
          <w:rFonts w:ascii="Arial" w:hAnsi="Arial" w:cs="Arial"/>
          <w:i/>
          <w:iCs/>
          <w:noProof/>
          <w:szCs w:val="24"/>
          <w:lang w:val="de-DE"/>
        </w:rPr>
        <w:t xml:space="preserve">J. Phys. </w:t>
      </w:r>
      <w:r w:rsidRPr="000B745C">
        <w:rPr>
          <w:rFonts w:ascii="Arial" w:hAnsi="Arial" w:cs="Arial"/>
          <w:i/>
          <w:iCs/>
          <w:noProof/>
          <w:szCs w:val="24"/>
        </w:rPr>
        <w:t>Chem. C</w:t>
      </w:r>
      <w:r w:rsidRPr="000B745C">
        <w:rPr>
          <w:rFonts w:ascii="Arial" w:hAnsi="Arial" w:cs="Arial"/>
          <w:noProof/>
          <w:szCs w:val="24"/>
        </w:rPr>
        <w:t xml:space="preserve">, 2009, </w:t>
      </w:r>
      <w:r w:rsidRPr="000B745C">
        <w:rPr>
          <w:rFonts w:ascii="Arial" w:hAnsi="Arial" w:cs="Arial"/>
          <w:b/>
          <w:bCs/>
          <w:noProof/>
          <w:szCs w:val="24"/>
        </w:rPr>
        <w:t>113</w:t>
      </w:r>
      <w:r w:rsidRPr="000B745C">
        <w:rPr>
          <w:rFonts w:ascii="Arial" w:hAnsi="Arial" w:cs="Arial"/>
          <w:noProof/>
          <w:szCs w:val="24"/>
        </w:rPr>
        <w:t>, 18358–18368.</w:t>
      </w:r>
    </w:p>
    <w:p w14:paraId="07CD0916"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45</w:t>
      </w:r>
      <w:r w:rsidRPr="000B745C">
        <w:rPr>
          <w:rFonts w:ascii="Arial" w:hAnsi="Arial" w:cs="Arial"/>
          <w:noProof/>
          <w:szCs w:val="24"/>
        </w:rPr>
        <w:tab/>
        <w:t xml:space="preserve">J. M. Giaimo, J. V Lockard, L. E. Sinks, A. M. Scott, T. M. Wilson and M. R. Wasielewski, </w:t>
      </w:r>
      <w:r w:rsidRPr="000B745C">
        <w:rPr>
          <w:rFonts w:ascii="Arial" w:hAnsi="Arial" w:cs="Arial"/>
          <w:i/>
          <w:iCs/>
          <w:noProof/>
          <w:szCs w:val="24"/>
        </w:rPr>
        <w:t>J. Phys. Chem. A</w:t>
      </w:r>
      <w:r w:rsidRPr="000B745C">
        <w:rPr>
          <w:rFonts w:ascii="Arial" w:hAnsi="Arial" w:cs="Arial"/>
          <w:noProof/>
          <w:szCs w:val="24"/>
        </w:rPr>
        <w:t xml:space="preserve">, 2008, </w:t>
      </w:r>
      <w:r w:rsidRPr="000B745C">
        <w:rPr>
          <w:rFonts w:ascii="Arial" w:hAnsi="Arial" w:cs="Arial"/>
          <w:b/>
          <w:bCs/>
          <w:noProof/>
          <w:szCs w:val="24"/>
        </w:rPr>
        <w:t>112</w:t>
      </w:r>
      <w:r w:rsidRPr="000B745C">
        <w:rPr>
          <w:rFonts w:ascii="Arial" w:hAnsi="Arial" w:cs="Arial"/>
          <w:noProof/>
          <w:szCs w:val="24"/>
        </w:rPr>
        <w:t>, 2322–2330.</w:t>
      </w:r>
    </w:p>
    <w:p w14:paraId="5FE23721"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46</w:t>
      </w:r>
      <w:r w:rsidRPr="000B745C">
        <w:rPr>
          <w:rFonts w:ascii="Arial" w:hAnsi="Arial" w:cs="Arial"/>
          <w:noProof/>
          <w:szCs w:val="24"/>
        </w:rPr>
        <w:tab/>
        <w:t xml:space="preserve">L. Lüer, V. Moulisová, S. Henry, D. Polli, T. H. P. Brotosudarmo, S. Hoseinkhani, D. Brida, G. Lanzani, G. Cerullo and R. J. Cogdell, </w:t>
      </w:r>
      <w:r w:rsidRPr="000B745C">
        <w:rPr>
          <w:rFonts w:ascii="Arial" w:hAnsi="Arial" w:cs="Arial"/>
          <w:i/>
          <w:iCs/>
          <w:noProof/>
          <w:szCs w:val="24"/>
        </w:rPr>
        <w:t>Proc. Natl. Acad. Sci.</w:t>
      </w:r>
      <w:r w:rsidRPr="000B745C">
        <w:rPr>
          <w:rFonts w:ascii="Arial" w:hAnsi="Arial" w:cs="Arial"/>
          <w:noProof/>
          <w:szCs w:val="24"/>
        </w:rPr>
        <w:t xml:space="preserve">, 2012, </w:t>
      </w:r>
      <w:r w:rsidRPr="000B745C">
        <w:rPr>
          <w:rFonts w:ascii="Arial" w:hAnsi="Arial" w:cs="Arial"/>
          <w:b/>
          <w:bCs/>
          <w:noProof/>
          <w:szCs w:val="24"/>
        </w:rPr>
        <w:t>109</w:t>
      </w:r>
      <w:r w:rsidRPr="000B745C">
        <w:rPr>
          <w:rFonts w:ascii="Arial" w:hAnsi="Arial" w:cs="Arial"/>
          <w:noProof/>
          <w:szCs w:val="24"/>
        </w:rPr>
        <w:t>, 1473–1478.</w:t>
      </w:r>
    </w:p>
    <w:p w14:paraId="0469D84A"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47</w:t>
      </w:r>
      <w:r w:rsidRPr="000B745C">
        <w:rPr>
          <w:rFonts w:ascii="Arial" w:hAnsi="Arial" w:cs="Arial"/>
          <w:noProof/>
          <w:szCs w:val="24"/>
        </w:rPr>
        <w:tab/>
        <w:t xml:space="preserve">C. Ramanan, A. L. Smeigh, J. E. Anthony, T. J. Marks and M. R. Wasielewski, </w:t>
      </w:r>
      <w:r w:rsidRPr="000B745C">
        <w:rPr>
          <w:rFonts w:ascii="Arial" w:hAnsi="Arial" w:cs="Arial"/>
          <w:i/>
          <w:iCs/>
          <w:noProof/>
          <w:szCs w:val="24"/>
        </w:rPr>
        <w:t>J. Am. Chem. Soc.</w:t>
      </w:r>
      <w:r w:rsidRPr="000B745C">
        <w:rPr>
          <w:rFonts w:ascii="Arial" w:hAnsi="Arial" w:cs="Arial"/>
          <w:noProof/>
          <w:szCs w:val="24"/>
        </w:rPr>
        <w:t xml:space="preserve">, 2012, </w:t>
      </w:r>
      <w:r w:rsidRPr="000B745C">
        <w:rPr>
          <w:rFonts w:ascii="Arial" w:hAnsi="Arial" w:cs="Arial"/>
          <w:b/>
          <w:bCs/>
          <w:noProof/>
          <w:szCs w:val="24"/>
        </w:rPr>
        <w:t>134</w:t>
      </w:r>
      <w:r w:rsidRPr="000B745C">
        <w:rPr>
          <w:rFonts w:ascii="Arial" w:hAnsi="Arial" w:cs="Arial"/>
          <w:noProof/>
          <w:szCs w:val="24"/>
        </w:rPr>
        <w:t>, 386–397.</w:t>
      </w:r>
    </w:p>
    <w:p w14:paraId="6B9B468D"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48</w:t>
      </w:r>
      <w:r w:rsidRPr="000B745C">
        <w:rPr>
          <w:rFonts w:ascii="Arial" w:hAnsi="Arial" w:cs="Arial"/>
          <w:noProof/>
          <w:szCs w:val="24"/>
        </w:rPr>
        <w:tab/>
        <w:t xml:space="preserve">P. E. Shaw, A. Ruseckas, J. Peet, G. C. Bazan and I. D. W. Samuel, </w:t>
      </w:r>
      <w:r w:rsidRPr="000B745C">
        <w:rPr>
          <w:rFonts w:ascii="Arial" w:hAnsi="Arial" w:cs="Arial"/>
          <w:i/>
          <w:iCs/>
          <w:noProof/>
          <w:szCs w:val="24"/>
        </w:rPr>
        <w:t>Adv. Funct. Mater.</w:t>
      </w:r>
      <w:r w:rsidRPr="000B745C">
        <w:rPr>
          <w:rFonts w:ascii="Arial" w:hAnsi="Arial" w:cs="Arial"/>
          <w:noProof/>
          <w:szCs w:val="24"/>
        </w:rPr>
        <w:t xml:space="preserve">, 2010, </w:t>
      </w:r>
      <w:r w:rsidRPr="000B745C">
        <w:rPr>
          <w:rFonts w:ascii="Arial" w:hAnsi="Arial" w:cs="Arial"/>
          <w:b/>
          <w:bCs/>
          <w:noProof/>
          <w:szCs w:val="24"/>
        </w:rPr>
        <w:t>20</w:t>
      </w:r>
      <w:r w:rsidRPr="000B745C">
        <w:rPr>
          <w:rFonts w:ascii="Arial" w:hAnsi="Arial" w:cs="Arial"/>
          <w:noProof/>
          <w:szCs w:val="24"/>
        </w:rPr>
        <w:t>, 155–161.</w:t>
      </w:r>
    </w:p>
    <w:p w14:paraId="3EEE8DDA"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49</w:t>
      </w:r>
      <w:r w:rsidRPr="000B745C">
        <w:rPr>
          <w:rFonts w:ascii="Arial" w:hAnsi="Arial" w:cs="Arial"/>
          <w:noProof/>
          <w:szCs w:val="24"/>
        </w:rPr>
        <w:tab/>
        <w:t xml:space="preserve">A. Melianas, V. Pranculis, D. Spoltore, J. Benduhn, O. Inganäs, V. Gulbinas, K. Vandewal and M. Kemerink, </w:t>
      </w:r>
      <w:r w:rsidRPr="000B745C">
        <w:rPr>
          <w:rFonts w:ascii="Arial" w:hAnsi="Arial" w:cs="Arial"/>
          <w:i/>
          <w:iCs/>
          <w:noProof/>
          <w:szCs w:val="24"/>
        </w:rPr>
        <w:t>Adv. Energy Mater.</w:t>
      </w:r>
    </w:p>
    <w:p w14:paraId="60C4BD22"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50</w:t>
      </w:r>
      <w:r w:rsidRPr="000B745C">
        <w:rPr>
          <w:rFonts w:ascii="Arial" w:hAnsi="Arial" w:cs="Arial"/>
          <w:noProof/>
          <w:szCs w:val="24"/>
        </w:rPr>
        <w:tab/>
        <w:t xml:space="preserve">C. H. B. Cruz, J. P. Gordon, P. C. Becker, R. L. Fork and C. V Shank, </w:t>
      </w:r>
      <w:r w:rsidRPr="000B745C">
        <w:rPr>
          <w:rFonts w:ascii="Arial" w:hAnsi="Arial" w:cs="Arial"/>
          <w:i/>
          <w:iCs/>
          <w:noProof/>
          <w:szCs w:val="24"/>
        </w:rPr>
        <w:t>IEEE J. Quantum Electron.</w:t>
      </w:r>
      <w:r w:rsidRPr="000B745C">
        <w:rPr>
          <w:rFonts w:ascii="Arial" w:hAnsi="Arial" w:cs="Arial"/>
          <w:noProof/>
          <w:szCs w:val="24"/>
        </w:rPr>
        <w:t xml:space="preserve">, 1988, </w:t>
      </w:r>
      <w:r w:rsidRPr="000B745C">
        <w:rPr>
          <w:rFonts w:ascii="Arial" w:hAnsi="Arial" w:cs="Arial"/>
          <w:b/>
          <w:bCs/>
          <w:noProof/>
          <w:szCs w:val="24"/>
        </w:rPr>
        <w:t>24</w:t>
      </w:r>
      <w:r w:rsidRPr="000B745C">
        <w:rPr>
          <w:rFonts w:ascii="Arial" w:hAnsi="Arial" w:cs="Arial"/>
          <w:noProof/>
          <w:szCs w:val="24"/>
        </w:rPr>
        <w:t>, 261–269.</w:t>
      </w:r>
    </w:p>
    <w:p w14:paraId="7698B27E"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51</w:t>
      </w:r>
      <w:r w:rsidRPr="000B745C">
        <w:rPr>
          <w:rFonts w:ascii="Arial" w:hAnsi="Arial" w:cs="Arial"/>
          <w:noProof/>
          <w:szCs w:val="24"/>
        </w:rPr>
        <w:tab/>
        <w:t xml:space="preserve">M. van Burgel, D. A. Wiersma and K. Duppen, </w:t>
      </w:r>
      <w:r w:rsidRPr="000B745C">
        <w:rPr>
          <w:rFonts w:ascii="Arial" w:hAnsi="Arial" w:cs="Arial"/>
          <w:i/>
          <w:iCs/>
          <w:noProof/>
          <w:szCs w:val="24"/>
        </w:rPr>
        <w:t>J. Chem. Phys.</w:t>
      </w:r>
      <w:r w:rsidRPr="000B745C">
        <w:rPr>
          <w:rFonts w:ascii="Arial" w:hAnsi="Arial" w:cs="Arial"/>
          <w:noProof/>
          <w:szCs w:val="24"/>
        </w:rPr>
        <w:t xml:space="preserve">, 1995, </w:t>
      </w:r>
      <w:r w:rsidRPr="000B745C">
        <w:rPr>
          <w:rFonts w:ascii="Arial" w:hAnsi="Arial" w:cs="Arial"/>
          <w:b/>
          <w:bCs/>
          <w:noProof/>
          <w:szCs w:val="24"/>
        </w:rPr>
        <w:t>102</w:t>
      </w:r>
      <w:r w:rsidRPr="000B745C">
        <w:rPr>
          <w:rFonts w:ascii="Arial" w:hAnsi="Arial" w:cs="Arial"/>
          <w:noProof/>
          <w:szCs w:val="24"/>
        </w:rPr>
        <w:t>, 20–33.</w:t>
      </w:r>
    </w:p>
    <w:p w14:paraId="5B047040"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52</w:t>
      </w:r>
      <w:r w:rsidRPr="000B745C">
        <w:rPr>
          <w:rFonts w:ascii="Arial" w:hAnsi="Arial" w:cs="Arial"/>
          <w:noProof/>
          <w:szCs w:val="24"/>
        </w:rPr>
        <w:tab/>
        <w:t xml:space="preserve">S. Mukamel, S. Tretiak, T. Wagersreiter and V. Chernyak, </w:t>
      </w:r>
      <w:r w:rsidRPr="000B745C">
        <w:rPr>
          <w:rFonts w:ascii="Arial" w:hAnsi="Arial" w:cs="Arial"/>
          <w:i/>
          <w:iCs/>
          <w:noProof/>
          <w:szCs w:val="24"/>
        </w:rPr>
        <w:t>Science (80-. ).</w:t>
      </w:r>
      <w:r w:rsidRPr="000B745C">
        <w:rPr>
          <w:rFonts w:ascii="Arial" w:hAnsi="Arial" w:cs="Arial"/>
          <w:noProof/>
          <w:szCs w:val="24"/>
        </w:rPr>
        <w:t xml:space="preserve">, 1997, </w:t>
      </w:r>
      <w:r w:rsidRPr="000B745C">
        <w:rPr>
          <w:rFonts w:ascii="Arial" w:hAnsi="Arial" w:cs="Arial"/>
          <w:b/>
          <w:bCs/>
          <w:noProof/>
          <w:szCs w:val="24"/>
        </w:rPr>
        <w:t>277</w:t>
      </w:r>
      <w:r w:rsidRPr="000B745C">
        <w:rPr>
          <w:rFonts w:ascii="Arial" w:hAnsi="Arial" w:cs="Arial"/>
          <w:noProof/>
          <w:szCs w:val="24"/>
        </w:rPr>
        <w:t>, 781–787.</w:t>
      </w:r>
    </w:p>
    <w:p w14:paraId="5453376B"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0B745C">
        <w:rPr>
          <w:rFonts w:ascii="Arial" w:hAnsi="Arial" w:cs="Arial"/>
          <w:noProof/>
          <w:szCs w:val="24"/>
        </w:rPr>
        <w:t>53</w:t>
      </w:r>
      <w:r w:rsidRPr="000B745C">
        <w:rPr>
          <w:rFonts w:ascii="Arial" w:hAnsi="Arial" w:cs="Arial"/>
          <w:noProof/>
          <w:szCs w:val="24"/>
        </w:rPr>
        <w:tab/>
        <w:t xml:space="preserve">J. Guo, H. Ohkita, H. Benten and S. Ito, </w:t>
      </w:r>
      <w:r w:rsidRPr="000B745C">
        <w:rPr>
          <w:rFonts w:ascii="Arial" w:hAnsi="Arial" w:cs="Arial"/>
          <w:i/>
          <w:iCs/>
          <w:noProof/>
          <w:szCs w:val="24"/>
        </w:rPr>
        <w:t xml:space="preserve">J. Am. </w:t>
      </w:r>
      <w:r w:rsidRPr="008544C4">
        <w:rPr>
          <w:rFonts w:ascii="Arial" w:hAnsi="Arial" w:cs="Arial"/>
          <w:i/>
          <w:iCs/>
          <w:noProof/>
          <w:szCs w:val="24"/>
          <w:lang w:val="de-DE"/>
        </w:rPr>
        <w:t>Chem. Soc.</w:t>
      </w:r>
      <w:r w:rsidRPr="008544C4">
        <w:rPr>
          <w:rFonts w:ascii="Arial" w:hAnsi="Arial" w:cs="Arial"/>
          <w:noProof/>
          <w:szCs w:val="24"/>
          <w:lang w:val="de-DE"/>
        </w:rPr>
        <w:t xml:space="preserve">, 2009, </w:t>
      </w:r>
      <w:r w:rsidRPr="008544C4">
        <w:rPr>
          <w:rFonts w:ascii="Arial" w:hAnsi="Arial" w:cs="Arial"/>
          <w:b/>
          <w:bCs/>
          <w:noProof/>
          <w:szCs w:val="24"/>
          <w:lang w:val="de-DE"/>
        </w:rPr>
        <w:t>131</w:t>
      </w:r>
      <w:r w:rsidRPr="008544C4">
        <w:rPr>
          <w:rFonts w:ascii="Arial" w:hAnsi="Arial" w:cs="Arial"/>
          <w:noProof/>
          <w:szCs w:val="24"/>
          <w:lang w:val="de-DE"/>
        </w:rPr>
        <w:t>, 16869–16880.</w:t>
      </w:r>
    </w:p>
    <w:p w14:paraId="1781DA7E"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8544C4">
        <w:rPr>
          <w:rFonts w:ascii="Arial" w:hAnsi="Arial" w:cs="Arial"/>
          <w:noProof/>
          <w:szCs w:val="24"/>
          <w:lang w:val="de-DE"/>
        </w:rPr>
        <w:t>54</w:t>
      </w:r>
      <w:r w:rsidRPr="008544C4">
        <w:rPr>
          <w:rFonts w:ascii="Arial" w:hAnsi="Arial" w:cs="Arial"/>
          <w:noProof/>
          <w:szCs w:val="24"/>
          <w:lang w:val="de-DE"/>
        </w:rPr>
        <w:tab/>
        <w:t xml:space="preserve">B. Fimmel, M. Son, Y. M. Sung, M. Grüne, B. Engels, D. Kim and F. Würthner, </w:t>
      </w:r>
      <w:r w:rsidRPr="008544C4">
        <w:rPr>
          <w:rFonts w:ascii="Arial" w:hAnsi="Arial" w:cs="Arial"/>
          <w:i/>
          <w:iCs/>
          <w:noProof/>
          <w:szCs w:val="24"/>
          <w:lang w:val="de-DE"/>
        </w:rPr>
        <w:t>Chem. Eur. J.</w:t>
      </w:r>
      <w:r w:rsidRPr="008544C4">
        <w:rPr>
          <w:rFonts w:ascii="Arial" w:hAnsi="Arial" w:cs="Arial"/>
          <w:noProof/>
          <w:szCs w:val="24"/>
          <w:lang w:val="de-DE"/>
        </w:rPr>
        <w:t xml:space="preserve">, 2015, </w:t>
      </w:r>
      <w:r w:rsidRPr="008544C4">
        <w:rPr>
          <w:rFonts w:ascii="Arial" w:hAnsi="Arial" w:cs="Arial"/>
          <w:b/>
          <w:bCs/>
          <w:noProof/>
          <w:szCs w:val="24"/>
          <w:lang w:val="de-DE"/>
        </w:rPr>
        <w:t>21</w:t>
      </w:r>
      <w:r w:rsidRPr="008544C4">
        <w:rPr>
          <w:rFonts w:ascii="Arial" w:hAnsi="Arial" w:cs="Arial"/>
          <w:noProof/>
          <w:szCs w:val="24"/>
          <w:lang w:val="de-DE"/>
        </w:rPr>
        <w:t>, 615–630.</w:t>
      </w:r>
    </w:p>
    <w:p w14:paraId="6BA7C659"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8544C4">
        <w:rPr>
          <w:rFonts w:ascii="Arial" w:hAnsi="Arial" w:cs="Arial"/>
          <w:noProof/>
          <w:szCs w:val="24"/>
          <w:lang w:val="de-DE"/>
        </w:rPr>
        <w:t>55</w:t>
      </w:r>
      <w:r w:rsidRPr="008544C4">
        <w:rPr>
          <w:rFonts w:ascii="Arial" w:hAnsi="Arial" w:cs="Arial"/>
          <w:noProof/>
          <w:szCs w:val="24"/>
          <w:lang w:val="de-DE"/>
        </w:rPr>
        <w:tab/>
        <w:t xml:space="preserve">A. Schubert, V. Settels, W. Liu, F. Würthner, C. Meier, R. F. Fink, S. Schindlbeck, S. Lochbrunner, B. Engels and V. Engel, </w:t>
      </w:r>
      <w:r w:rsidRPr="008544C4">
        <w:rPr>
          <w:rFonts w:ascii="Arial" w:hAnsi="Arial" w:cs="Arial"/>
          <w:i/>
          <w:iCs/>
          <w:noProof/>
          <w:szCs w:val="24"/>
          <w:lang w:val="de-DE"/>
        </w:rPr>
        <w:t>J. Phys. Chem. Lett.</w:t>
      </w:r>
      <w:r w:rsidRPr="008544C4">
        <w:rPr>
          <w:rFonts w:ascii="Arial" w:hAnsi="Arial" w:cs="Arial"/>
          <w:noProof/>
          <w:szCs w:val="24"/>
          <w:lang w:val="de-DE"/>
        </w:rPr>
        <w:t xml:space="preserve">, 2013, </w:t>
      </w:r>
      <w:r w:rsidRPr="008544C4">
        <w:rPr>
          <w:rFonts w:ascii="Arial" w:hAnsi="Arial" w:cs="Arial"/>
          <w:b/>
          <w:bCs/>
          <w:noProof/>
          <w:szCs w:val="24"/>
          <w:lang w:val="de-DE"/>
        </w:rPr>
        <w:t>4</w:t>
      </w:r>
      <w:r w:rsidRPr="008544C4">
        <w:rPr>
          <w:rFonts w:ascii="Arial" w:hAnsi="Arial" w:cs="Arial"/>
          <w:noProof/>
          <w:szCs w:val="24"/>
          <w:lang w:val="de-DE"/>
        </w:rPr>
        <w:t>, 792–796.</w:t>
      </w:r>
    </w:p>
    <w:p w14:paraId="1E71357A"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de-DE"/>
        </w:rPr>
      </w:pPr>
      <w:r w:rsidRPr="008544C4">
        <w:rPr>
          <w:rFonts w:ascii="Arial" w:hAnsi="Arial" w:cs="Arial"/>
          <w:noProof/>
          <w:szCs w:val="24"/>
          <w:lang w:val="de-DE"/>
        </w:rPr>
        <w:t>56</w:t>
      </w:r>
      <w:r w:rsidRPr="008544C4">
        <w:rPr>
          <w:rFonts w:ascii="Arial" w:hAnsi="Arial" w:cs="Arial"/>
          <w:noProof/>
          <w:szCs w:val="24"/>
          <w:lang w:val="de-DE"/>
        </w:rPr>
        <w:tab/>
        <w:t xml:space="preserve">H. Yoo, J. Yang, A. Yousef, M. R. Wasielewski and D. Kim, </w:t>
      </w:r>
      <w:r w:rsidRPr="008544C4">
        <w:rPr>
          <w:rFonts w:ascii="Arial" w:hAnsi="Arial" w:cs="Arial"/>
          <w:i/>
          <w:iCs/>
          <w:noProof/>
          <w:szCs w:val="24"/>
          <w:lang w:val="de-DE"/>
        </w:rPr>
        <w:t>J. Am. Chem. Soc.</w:t>
      </w:r>
      <w:r w:rsidRPr="008544C4">
        <w:rPr>
          <w:rFonts w:ascii="Arial" w:hAnsi="Arial" w:cs="Arial"/>
          <w:noProof/>
          <w:szCs w:val="24"/>
          <w:lang w:val="de-DE"/>
        </w:rPr>
        <w:t xml:space="preserve">, 2010, </w:t>
      </w:r>
      <w:r w:rsidRPr="008544C4">
        <w:rPr>
          <w:rFonts w:ascii="Arial" w:hAnsi="Arial" w:cs="Arial"/>
          <w:b/>
          <w:bCs/>
          <w:noProof/>
          <w:szCs w:val="24"/>
          <w:lang w:val="de-DE"/>
        </w:rPr>
        <w:t>132</w:t>
      </w:r>
      <w:r w:rsidRPr="008544C4">
        <w:rPr>
          <w:rFonts w:ascii="Arial" w:hAnsi="Arial" w:cs="Arial"/>
          <w:noProof/>
          <w:szCs w:val="24"/>
          <w:lang w:val="de-DE"/>
        </w:rPr>
        <w:t>, 3939–3944.</w:t>
      </w:r>
    </w:p>
    <w:p w14:paraId="781D4795"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8544C4">
        <w:rPr>
          <w:rFonts w:ascii="Arial" w:hAnsi="Arial" w:cs="Arial"/>
          <w:noProof/>
          <w:szCs w:val="24"/>
          <w:lang w:val="de-DE"/>
        </w:rPr>
        <w:t>57</w:t>
      </w:r>
      <w:r w:rsidRPr="008544C4">
        <w:rPr>
          <w:rFonts w:ascii="Arial" w:hAnsi="Arial" w:cs="Arial"/>
          <w:noProof/>
          <w:szCs w:val="24"/>
          <w:lang w:val="de-DE"/>
        </w:rPr>
        <w:tab/>
        <w:t xml:space="preserve">J. Gierschner, L. Lüer, B. Milián-Medina, D. Oelkrug and H.-J. Egelhaaf, </w:t>
      </w:r>
      <w:r w:rsidRPr="008544C4">
        <w:rPr>
          <w:rFonts w:ascii="Arial" w:hAnsi="Arial" w:cs="Arial"/>
          <w:i/>
          <w:iCs/>
          <w:noProof/>
          <w:szCs w:val="24"/>
          <w:lang w:val="de-DE"/>
        </w:rPr>
        <w:t xml:space="preserve">J. Phys. </w:t>
      </w:r>
      <w:r w:rsidRPr="000B745C">
        <w:rPr>
          <w:rFonts w:ascii="Arial" w:hAnsi="Arial" w:cs="Arial"/>
          <w:i/>
          <w:iCs/>
          <w:noProof/>
          <w:szCs w:val="24"/>
        </w:rPr>
        <w:t>Chem. Lett.</w:t>
      </w:r>
      <w:r w:rsidRPr="000B745C">
        <w:rPr>
          <w:rFonts w:ascii="Arial" w:hAnsi="Arial" w:cs="Arial"/>
          <w:noProof/>
          <w:szCs w:val="24"/>
        </w:rPr>
        <w:t xml:space="preserve">, 2013, </w:t>
      </w:r>
      <w:r w:rsidRPr="000B745C">
        <w:rPr>
          <w:rFonts w:ascii="Arial" w:hAnsi="Arial" w:cs="Arial"/>
          <w:b/>
          <w:bCs/>
          <w:noProof/>
          <w:szCs w:val="24"/>
        </w:rPr>
        <w:t>4</w:t>
      </w:r>
      <w:r w:rsidRPr="000B745C">
        <w:rPr>
          <w:rFonts w:ascii="Arial" w:hAnsi="Arial" w:cs="Arial"/>
          <w:noProof/>
          <w:szCs w:val="24"/>
        </w:rPr>
        <w:t>, 2686–2697.</w:t>
      </w:r>
    </w:p>
    <w:p w14:paraId="16501D29"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58</w:t>
      </w:r>
      <w:r w:rsidRPr="000B745C">
        <w:rPr>
          <w:rFonts w:ascii="Arial" w:hAnsi="Arial" w:cs="Arial"/>
          <w:noProof/>
          <w:szCs w:val="24"/>
        </w:rPr>
        <w:tab/>
        <w:t xml:space="preserve">D. Veldman, S. M. A. Chopin, S. C. J. Meskers and R. A. J. Janssen, </w:t>
      </w:r>
      <w:r w:rsidRPr="000B745C">
        <w:rPr>
          <w:rFonts w:ascii="Arial" w:hAnsi="Arial" w:cs="Arial"/>
          <w:i/>
          <w:iCs/>
          <w:noProof/>
          <w:szCs w:val="24"/>
        </w:rPr>
        <w:t>J. Phys. Chem. A</w:t>
      </w:r>
      <w:r w:rsidRPr="000B745C">
        <w:rPr>
          <w:rFonts w:ascii="Arial" w:hAnsi="Arial" w:cs="Arial"/>
          <w:noProof/>
          <w:szCs w:val="24"/>
        </w:rPr>
        <w:t xml:space="preserve">, 2008, </w:t>
      </w:r>
      <w:r w:rsidRPr="000B745C">
        <w:rPr>
          <w:rFonts w:ascii="Arial" w:hAnsi="Arial" w:cs="Arial"/>
          <w:b/>
          <w:bCs/>
          <w:noProof/>
          <w:szCs w:val="24"/>
        </w:rPr>
        <w:t>112</w:t>
      </w:r>
      <w:r w:rsidRPr="000B745C">
        <w:rPr>
          <w:rFonts w:ascii="Arial" w:hAnsi="Arial" w:cs="Arial"/>
          <w:noProof/>
          <w:szCs w:val="24"/>
        </w:rPr>
        <w:t>, 8617–8632.</w:t>
      </w:r>
    </w:p>
    <w:p w14:paraId="1A7B7574"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59</w:t>
      </w:r>
      <w:r w:rsidRPr="000B745C">
        <w:rPr>
          <w:rFonts w:ascii="Arial" w:hAnsi="Arial" w:cs="Arial"/>
          <w:noProof/>
          <w:szCs w:val="24"/>
        </w:rPr>
        <w:tab/>
        <w:t xml:space="preserve">D. Bellinger, V. Settels, W. Liu, R. F. Fink and B. Engels, </w:t>
      </w:r>
      <w:r w:rsidRPr="000B745C">
        <w:rPr>
          <w:rFonts w:ascii="Arial" w:hAnsi="Arial" w:cs="Arial"/>
          <w:i/>
          <w:iCs/>
          <w:noProof/>
          <w:szCs w:val="24"/>
        </w:rPr>
        <w:t>J. Comput. Chem.</w:t>
      </w:r>
      <w:r w:rsidRPr="000B745C">
        <w:rPr>
          <w:rFonts w:ascii="Arial" w:hAnsi="Arial" w:cs="Arial"/>
          <w:noProof/>
          <w:szCs w:val="24"/>
        </w:rPr>
        <w:t xml:space="preserve">, 2016, </w:t>
      </w:r>
      <w:r w:rsidRPr="000B745C">
        <w:rPr>
          <w:rFonts w:ascii="Arial" w:hAnsi="Arial" w:cs="Arial"/>
          <w:b/>
          <w:bCs/>
          <w:noProof/>
          <w:szCs w:val="24"/>
        </w:rPr>
        <w:t>37</w:t>
      </w:r>
      <w:r w:rsidRPr="000B745C">
        <w:rPr>
          <w:rFonts w:ascii="Arial" w:hAnsi="Arial" w:cs="Arial"/>
          <w:noProof/>
          <w:szCs w:val="24"/>
        </w:rPr>
        <w:t>, 1601–1610.</w:t>
      </w:r>
    </w:p>
    <w:p w14:paraId="0D55A887"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es-ES"/>
        </w:rPr>
      </w:pPr>
      <w:r w:rsidRPr="000B745C">
        <w:rPr>
          <w:rFonts w:ascii="Arial" w:hAnsi="Arial" w:cs="Arial"/>
          <w:noProof/>
          <w:szCs w:val="24"/>
        </w:rPr>
        <w:lastRenderedPageBreak/>
        <w:t>60</w:t>
      </w:r>
      <w:r w:rsidRPr="000B745C">
        <w:rPr>
          <w:rFonts w:ascii="Arial" w:hAnsi="Arial" w:cs="Arial"/>
          <w:noProof/>
          <w:szCs w:val="24"/>
        </w:rPr>
        <w:tab/>
        <w:t xml:space="preserve">T. Heumueller, T. M. Burke, W. R. Mateker, I. T. Sachs-Quintana, K. Vandewal, C. J. Brabec and M. D. McGehee, </w:t>
      </w:r>
      <w:r w:rsidRPr="000B745C">
        <w:rPr>
          <w:rFonts w:ascii="Arial" w:hAnsi="Arial" w:cs="Arial"/>
          <w:i/>
          <w:iCs/>
          <w:noProof/>
          <w:szCs w:val="24"/>
        </w:rPr>
        <w:t xml:space="preserve">Adv. </w:t>
      </w:r>
      <w:r w:rsidRPr="008544C4">
        <w:rPr>
          <w:rFonts w:ascii="Arial" w:hAnsi="Arial" w:cs="Arial"/>
          <w:i/>
          <w:iCs/>
          <w:noProof/>
          <w:szCs w:val="24"/>
          <w:lang w:val="es-ES"/>
        </w:rPr>
        <w:t>Energy Mater.</w:t>
      </w:r>
      <w:r w:rsidRPr="008544C4">
        <w:rPr>
          <w:rFonts w:ascii="Arial" w:hAnsi="Arial" w:cs="Arial"/>
          <w:noProof/>
          <w:szCs w:val="24"/>
          <w:lang w:val="es-ES"/>
        </w:rPr>
        <w:t>, 2015, n/a-n/a.</w:t>
      </w:r>
    </w:p>
    <w:p w14:paraId="2A2EFE2A" w14:textId="77777777" w:rsidR="000B745C" w:rsidRPr="008544C4" w:rsidRDefault="000B745C" w:rsidP="000B745C">
      <w:pPr>
        <w:widowControl w:val="0"/>
        <w:autoSpaceDE w:val="0"/>
        <w:autoSpaceDN w:val="0"/>
        <w:adjustRightInd w:val="0"/>
        <w:spacing w:line="360" w:lineRule="auto"/>
        <w:ind w:left="640" w:hanging="640"/>
        <w:rPr>
          <w:rFonts w:ascii="Arial" w:hAnsi="Arial" w:cs="Arial"/>
          <w:noProof/>
          <w:szCs w:val="24"/>
          <w:lang w:val="es-ES"/>
        </w:rPr>
      </w:pPr>
      <w:r w:rsidRPr="008544C4">
        <w:rPr>
          <w:rFonts w:ascii="Arial" w:hAnsi="Arial" w:cs="Arial"/>
          <w:noProof/>
          <w:szCs w:val="24"/>
          <w:lang w:val="es-ES"/>
        </w:rPr>
        <w:t>61</w:t>
      </w:r>
      <w:r w:rsidRPr="008544C4">
        <w:rPr>
          <w:rFonts w:ascii="Arial" w:hAnsi="Arial" w:cs="Arial"/>
          <w:noProof/>
          <w:szCs w:val="24"/>
          <w:lang w:val="es-ES"/>
        </w:rPr>
        <w:tab/>
        <w:t xml:space="preserve">S. M. Tuladhar, M. Azzouzi, F. Delval, J. Yao, A. A. Y. Guilbert, T. Kirchartz, N. F. Montcada, R. Dominguez, F. Langa and E. Palomares, </w:t>
      </w:r>
      <w:r w:rsidRPr="008544C4">
        <w:rPr>
          <w:rFonts w:ascii="Arial" w:hAnsi="Arial" w:cs="Arial"/>
          <w:i/>
          <w:iCs/>
          <w:noProof/>
          <w:szCs w:val="24"/>
          <w:lang w:val="es-ES"/>
        </w:rPr>
        <w:t>ACS Energy Lett.</w:t>
      </w:r>
      <w:r w:rsidRPr="008544C4">
        <w:rPr>
          <w:rFonts w:ascii="Arial" w:hAnsi="Arial" w:cs="Arial"/>
          <w:noProof/>
          <w:szCs w:val="24"/>
          <w:lang w:val="es-ES"/>
        </w:rPr>
        <w:t xml:space="preserve">, 2016, </w:t>
      </w:r>
      <w:r w:rsidRPr="008544C4">
        <w:rPr>
          <w:rFonts w:ascii="Arial" w:hAnsi="Arial" w:cs="Arial"/>
          <w:b/>
          <w:bCs/>
          <w:noProof/>
          <w:szCs w:val="24"/>
          <w:lang w:val="es-ES"/>
        </w:rPr>
        <w:t>1</w:t>
      </w:r>
      <w:r w:rsidRPr="008544C4">
        <w:rPr>
          <w:rFonts w:ascii="Arial" w:hAnsi="Arial" w:cs="Arial"/>
          <w:noProof/>
          <w:szCs w:val="24"/>
          <w:lang w:val="es-ES"/>
        </w:rPr>
        <w:t>, 302–308.</w:t>
      </w:r>
    </w:p>
    <w:p w14:paraId="67D950CB"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62</w:t>
      </w:r>
      <w:r w:rsidRPr="000B745C">
        <w:rPr>
          <w:rFonts w:ascii="Arial" w:hAnsi="Arial" w:cs="Arial"/>
          <w:noProof/>
          <w:szCs w:val="24"/>
        </w:rPr>
        <w:tab/>
        <w:t xml:space="preserve">N. K. Elumalai and A. Uddin, </w:t>
      </w:r>
      <w:r w:rsidRPr="000B745C">
        <w:rPr>
          <w:rFonts w:ascii="Arial" w:hAnsi="Arial" w:cs="Arial"/>
          <w:i/>
          <w:iCs/>
          <w:noProof/>
          <w:szCs w:val="24"/>
        </w:rPr>
        <w:t>Energy Environ. Sci.</w:t>
      </w:r>
      <w:r w:rsidRPr="000B745C">
        <w:rPr>
          <w:rFonts w:ascii="Arial" w:hAnsi="Arial" w:cs="Arial"/>
          <w:noProof/>
          <w:szCs w:val="24"/>
        </w:rPr>
        <w:t xml:space="preserve">, 2016, </w:t>
      </w:r>
      <w:r w:rsidRPr="000B745C">
        <w:rPr>
          <w:rFonts w:ascii="Arial" w:hAnsi="Arial" w:cs="Arial"/>
          <w:b/>
          <w:bCs/>
          <w:noProof/>
          <w:szCs w:val="24"/>
        </w:rPr>
        <w:t>9</w:t>
      </w:r>
      <w:r w:rsidRPr="000B745C">
        <w:rPr>
          <w:rFonts w:ascii="Arial" w:hAnsi="Arial" w:cs="Arial"/>
          <w:noProof/>
          <w:szCs w:val="24"/>
        </w:rPr>
        <w:t>, 391–410.</w:t>
      </w:r>
    </w:p>
    <w:p w14:paraId="16FD7D26"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63</w:t>
      </w:r>
      <w:r w:rsidRPr="000B745C">
        <w:rPr>
          <w:rFonts w:ascii="Arial" w:hAnsi="Arial" w:cs="Arial"/>
          <w:noProof/>
          <w:szCs w:val="24"/>
        </w:rPr>
        <w:tab/>
        <w:t xml:space="preserve">D. Baran, T. Kirchartz, S. Wheeler, S. Dimitrov, M. Abdelsamie, J. Gorman, R. S. Ashraf, S. Holliday, A. Wadsworth and N. Gasparini, </w:t>
      </w:r>
      <w:r w:rsidRPr="000B745C">
        <w:rPr>
          <w:rFonts w:ascii="Arial" w:hAnsi="Arial" w:cs="Arial"/>
          <w:i/>
          <w:iCs/>
          <w:noProof/>
          <w:szCs w:val="24"/>
        </w:rPr>
        <w:t>Energy Environ. Sci.</w:t>
      </w:r>
      <w:r w:rsidRPr="000B745C">
        <w:rPr>
          <w:rFonts w:ascii="Arial" w:hAnsi="Arial" w:cs="Arial"/>
          <w:noProof/>
          <w:szCs w:val="24"/>
        </w:rPr>
        <w:t xml:space="preserve">, 2016, </w:t>
      </w:r>
      <w:r w:rsidRPr="000B745C">
        <w:rPr>
          <w:rFonts w:ascii="Arial" w:hAnsi="Arial" w:cs="Arial"/>
          <w:b/>
          <w:bCs/>
          <w:noProof/>
          <w:szCs w:val="24"/>
        </w:rPr>
        <w:t>9</w:t>
      </w:r>
      <w:r w:rsidRPr="000B745C">
        <w:rPr>
          <w:rFonts w:ascii="Arial" w:hAnsi="Arial" w:cs="Arial"/>
          <w:noProof/>
          <w:szCs w:val="24"/>
        </w:rPr>
        <w:t>, 3783–3793.</w:t>
      </w:r>
    </w:p>
    <w:p w14:paraId="15B6E8E2"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szCs w:val="24"/>
        </w:rPr>
      </w:pPr>
      <w:r w:rsidRPr="000B745C">
        <w:rPr>
          <w:rFonts w:ascii="Arial" w:hAnsi="Arial" w:cs="Arial"/>
          <w:noProof/>
          <w:szCs w:val="24"/>
        </w:rPr>
        <w:t>64</w:t>
      </w:r>
      <w:r w:rsidRPr="000B745C">
        <w:rPr>
          <w:rFonts w:ascii="Arial" w:hAnsi="Arial" w:cs="Arial"/>
          <w:noProof/>
          <w:szCs w:val="24"/>
        </w:rPr>
        <w:tab/>
        <w:t xml:space="preserve">Z. Hu, A. P. Willard, R. J. Ono, C. W. Bielawski, P. J. Rossky and D. A. Vanden Bout, </w:t>
      </w:r>
      <w:r w:rsidRPr="000B745C">
        <w:rPr>
          <w:rFonts w:ascii="Arial" w:hAnsi="Arial" w:cs="Arial"/>
          <w:i/>
          <w:iCs/>
          <w:noProof/>
          <w:szCs w:val="24"/>
        </w:rPr>
        <w:t>Nat. Commun.</w:t>
      </w:r>
    </w:p>
    <w:p w14:paraId="2510E3EB" w14:textId="77777777" w:rsidR="000B745C" w:rsidRPr="000B745C" w:rsidRDefault="000B745C" w:rsidP="000B745C">
      <w:pPr>
        <w:widowControl w:val="0"/>
        <w:autoSpaceDE w:val="0"/>
        <w:autoSpaceDN w:val="0"/>
        <w:adjustRightInd w:val="0"/>
        <w:spacing w:line="360" w:lineRule="auto"/>
        <w:ind w:left="640" w:hanging="640"/>
        <w:rPr>
          <w:rFonts w:ascii="Arial" w:hAnsi="Arial" w:cs="Arial"/>
          <w:noProof/>
        </w:rPr>
      </w:pPr>
      <w:r w:rsidRPr="000B745C">
        <w:rPr>
          <w:rFonts w:ascii="Arial" w:hAnsi="Arial" w:cs="Arial"/>
          <w:noProof/>
          <w:szCs w:val="24"/>
        </w:rPr>
        <w:t>65</w:t>
      </w:r>
      <w:r w:rsidRPr="000B745C">
        <w:rPr>
          <w:rFonts w:ascii="Arial" w:hAnsi="Arial" w:cs="Arial"/>
          <w:noProof/>
          <w:szCs w:val="24"/>
        </w:rPr>
        <w:tab/>
        <w:t xml:space="preserve">D. Raithel, S. Baderschneider, T. B. de Queiroz, R. Lohwasser, J. Köhler, M. Thelakkat, S. Kümmel and R. Hildner, </w:t>
      </w:r>
      <w:r w:rsidRPr="000B745C">
        <w:rPr>
          <w:rFonts w:ascii="Arial" w:hAnsi="Arial" w:cs="Arial"/>
          <w:i/>
          <w:iCs/>
          <w:noProof/>
          <w:szCs w:val="24"/>
        </w:rPr>
        <w:t>Macromolecules</w:t>
      </w:r>
      <w:r w:rsidRPr="000B745C">
        <w:rPr>
          <w:rFonts w:ascii="Arial" w:hAnsi="Arial" w:cs="Arial"/>
          <w:noProof/>
          <w:szCs w:val="24"/>
        </w:rPr>
        <w:t>.</w:t>
      </w:r>
    </w:p>
    <w:p w14:paraId="0F6D7908" w14:textId="7F80BFCD" w:rsidR="00902B27" w:rsidRPr="002F42A6" w:rsidRDefault="00843B90" w:rsidP="002F42A6">
      <w:pPr>
        <w:tabs>
          <w:tab w:val="left" w:pos="0"/>
        </w:tabs>
        <w:spacing w:line="360" w:lineRule="auto"/>
        <w:ind w:left="360"/>
        <w:jc w:val="both"/>
        <w:rPr>
          <w:rFonts w:ascii="Arial" w:hAnsi="Arial" w:cs="Arial"/>
        </w:rPr>
      </w:pPr>
      <w:r w:rsidRPr="002F42A6">
        <w:rPr>
          <w:rFonts w:ascii="Arial" w:hAnsi="Arial" w:cs="Arial"/>
        </w:rPr>
        <w:fldChar w:fldCharType="end"/>
      </w:r>
    </w:p>
    <w:sectPr w:rsidR="00902B27" w:rsidRPr="002F42A6" w:rsidSect="002236E1">
      <w:headerReference w:type="default" r:id="rId16"/>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3834C" w14:textId="77777777" w:rsidR="00383BE6" w:rsidRDefault="00383BE6" w:rsidP="00F82E02">
      <w:pPr>
        <w:spacing w:after="0" w:line="240" w:lineRule="auto"/>
      </w:pPr>
      <w:r>
        <w:separator/>
      </w:r>
    </w:p>
  </w:endnote>
  <w:endnote w:type="continuationSeparator" w:id="0">
    <w:p w14:paraId="22173B06" w14:textId="77777777" w:rsidR="00383BE6" w:rsidRDefault="00383BE6" w:rsidP="00F82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E4DB7" w14:textId="77777777" w:rsidR="00383BE6" w:rsidRDefault="00383BE6" w:rsidP="00F82E02">
      <w:pPr>
        <w:spacing w:after="0" w:line="240" w:lineRule="auto"/>
      </w:pPr>
      <w:r>
        <w:separator/>
      </w:r>
    </w:p>
  </w:footnote>
  <w:footnote w:type="continuationSeparator" w:id="0">
    <w:p w14:paraId="5BF6D5FF" w14:textId="77777777" w:rsidR="00383BE6" w:rsidRDefault="00383BE6" w:rsidP="00F82E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04244"/>
      <w:docPartObj>
        <w:docPartGallery w:val="Page Numbers (Top of Page)"/>
        <w:docPartUnique/>
      </w:docPartObj>
    </w:sdtPr>
    <w:sdtEndPr>
      <w:rPr>
        <w:noProof/>
      </w:rPr>
    </w:sdtEndPr>
    <w:sdtContent>
      <w:p w14:paraId="4D30DCE6" w14:textId="55CFDE32" w:rsidR="00722433" w:rsidRDefault="00722433">
        <w:pPr>
          <w:pStyle w:val="Header"/>
          <w:jc w:val="center"/>
        </w:pPr>
        <w:r>
          <w:fldChar w:fldCharType="begin"/>
        </w:r>
        <w:r>
          <w:instrText xml:space="preserve"> PAGE   \* MERGEFORMAT </w:instrText>
        </w:r>
        <w:r>
          <w:fldChar w:fldCharType="separate"/>
        </w:r>
        <w:r w:rsidR="001379AE">
          <w:rPr>
            <w:noProof/>
          </w:rPr>
          <w:t>6</w:t>
        </w:r>
        <w:r>
          <w:rPr>
            <w:noProof/>
          </w:rPr>
          <w:fldChar w:fldCharType="end"/>
        </w:r>
      </w:p>
    </w:sdtContent>
  </w:sdt>
  <w:p w14:paraId="363821F5" w14:textId="77777777" w:rsidR="00722433" w:rsidRDefault="007224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D4011"/>
    <w:multiLevelType w:val="hybridMultilevel"/>
    <w:tmpl w:val="34B69B10"/>
    <w:lvl w:ilvl="0" w:tplc="49C4398E">
      <w:start w:val="1"/>
      <w:numFmt w:val="bullet"/>
      <w:lvlText w:val="•"/>
      <w:lvlJc w:val="left"/>
      <w:pPr>
        <w:tabs>
          <w:tab w:val="num" w:pos="720"/>
        </w:tabs>
        <w:ind w:left="720" w:hanging="360"/>
      </w:pPr>
      <w:rPr>
        <w:rFonts w:ascii="Arial" w:hAnsi="Arial" w:hint="default"/>
      </w:rPr>
    </w:lvl>
    <w:lvl w:ilvl="1" w:tplc="73F290B0" w:tentative="1">
      <w:start w:val="1"/>
      <w:numFmt w:val="bullet"/>
      <w:lvlText w:val="•"/>
      <w:lvlJc w:val="left"/>
      <w:pPr>
        <w:tabs>
          <w:tab w:val="num" w:pos="1440"/>
        </w:tabs>
        <w:ind w:left="1440" w:hanging="360"/>
      </w:pPr>
      <w:rPr>
        <w:rFonts w:ascii="Arial" w:hAnsi="Arial" w:hint="default"/>
      </w:rPr>
    </w:lvl>
    <w:lvl w:ilvl="2" w:tplc="12AA62CE" w:tentative="1">
      <w:start w:val="1"/>
      <w:numFmt w:val="bullet"/>
      <w:lvlText w:val="•"/>
      <w:lvlJc w:val="left"/>
      <w:pPr>
        <w:tabs>
          <w:tab w:val="num" w:pos="2160"/>
        </w:tabs>
        <w:ind w:left="2160" w:hanging="360"/>
      </w:pPr>
      <w:rPr>
        <w:rFonts w:ascii="Arial" w:hAnsi="Arial" w:hint="default"/>
      </w:rPr>
    </w:lvl>
    <w:lvl w:ilvl="3" w:tplc="D9A0588C" w:tentative="1">
      <w:start w:val="1"/>
      <w:numFmt w:val="bullet"/>
      <w:lvlText w:val="•"/>
      <w:lvlJc w:val="left"/>
      <w:pPr>
        <w:tabs>
          <w:tab w:val="num" w:pos="2880"/>
        </w:tabs>
        <w:ind w:left="2880" w:hanging="360"/>
      </w:pPr>
      <w:rPr>
        <w:rFonts w:ascii="Arial" w:hAnsi="Arial" w:hint="default"/>
      </w:rPr>
    </w:lvl>
    <w:lvl w:ilvl="4" w:tplc="47A845C0" w:tentative="1">
      <w:start w:val="1"/>
      <w:numFmt w:val="bullet"/>
      <w:lvlText w:val="•"/>
      <w:lvlJc w:val="left"/>
      <w:pPr>
        <w:tabs>
          <w:tab w:val="num" w:pos="3600"/>
        </w:tabs>
        <w:ind w:left="3600" w:hanging="360"/>
      </w:pPr>
      <w:rPr>
        <w:rFonts w:ascii="Arial" w:hAnsi="Arial" w:hint="default"/>
      </w:rPr>
    </w:lvl>
    <w:lvl w:ilvl="5" w:tplc="3E687394" w:tentative="1">
      <w:start w:val="1"/>
      <w:numFmt w:val="bullet"/>
      <w:lvlText w:val="•"/>
      <w:lvlJc w:val="left"/>
      <w:pPr>
        <w:tabs>
          <w:tab w:val="num" w:pos="4320"/>
        </w:tabs>
        <w:ind w:left="4320" w:hanging="360"/>
      </w:pPr>
      <w:rPr>
        <w:rFonts w:ascii="Arial" w:hAnsi="Arial" w:hint="default"/>
      </w:rPr>
    </w:lvl>
    <w:lvl w:ilvl="6" w:tplc="5A2A6986" w:tentative="1">
      <w:start w:val="1"/>
      <w:numFmt w:val="bullet"/>
      <w:lvlText w:val="•"/>
      <w:lvlJc w:val="left"/>
      <w:pPr>
        <w:tabs>
          <w:tab w:val="num" w:pos="5040"/>
        </w:tabs>
        <w:ind w:left="5040" w:hanging="360"/>
      </w:pPr>
      <w:rPr>
        <w:rFonts w:ascii="Arial" w:hAnsi="Arial" w:hint="default"/>
      </w:rPr>
    </w:lvl>
    <w:lvl w:ilvl="7" w:tplc="A6EAEF04" w:tentative="1">
      <w:start w:val="1"/>
      <w:numFmt w:val="bullet"/>
      <w:lvlText w:val="•"/>
      <w:lvlJc w:val="left"/>
      <w:pPr>
        <w:tabs>
          <w:tab w:val="num" w:pos="5760"/>
        </w:tabs>
        <w:ind w:left="5760" w:hanging="360"/>
      </w:pPr>
      <w:rPr>
        <w:rFonts w:ascii="Arial" w:hAnsi="Arial" w:hint="default"/>
      </w:rPr>
    </w:lvl>
    <w:lvl w:ilvl="8" w:tplc="14F8B0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594F6E"/>
    <w:multiLevelType w:val="hybridMultilevel"/>
    <w:tmpl w:val="F0FCA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804D2F"/>
    <w:multiLevelType w:val="hybridMultilevel"/>
    <w:tmpl w:val="A3A20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CF3CFE"/>
    <w:multiLevelType w:val="hybridMultilevel"/>
    <w:tmpl w:val="4FACFCDE"/>
    <w:lvl w:ilvl="0" w:tplc="95B4A4FA">
      <w:start w:val="1"/>
      <w:numFmt w:val="bullet"/>
      <w:lvlText w:val="•"/>
      <w:lvlJc w:val="left"/>
      <w:pPr>
        <w:tabs>
          <w:tab w:val="num" w:pos="720"/>
        </w:tabs>
        <w:ind w:left="720" w:hanging="360"/>
      </w:pPr>
      <w:rPr>
        <w:rFonts w:ascii="Arial" w:hAnsi="Arial" w:hint="default"/>
      </w:rPr>
    </w:lvl>
    <w:lvl w:ilvl="1" w:tplc="A69084D0" w:tentative="1">
      <w:start w:val="1"/>
      <w:numFmt w:val="bullet"/>
      <w:lvlText w:val="•"/>
      <w:lvlJc w:val="left"/>
      <w:pPr>
        <w:tabs>
          <w:tab w:val="num" w:pos="1440"/>
        </w:tabs>
        <w:ind w:left="1440" w:hanging="360"/>
      </w:pPr>
      <w:rPr>
        <w:rFonts w:ascii="Arial" w:hAnsi="Arial" w:hint="default"/>
      </w:rPr>
    </w:lvl>
    <w:lvl w:ilvl="2" w:tplc="83B66AD2" w:tentative="1">
      <w:start w:val="1"/>
      <w:numFmt w:val="bullet"/>
      <w:lvlText w:val="•"/>
      <w:lvlJc w:val="left"/>
      <w:pPr>
        <w:tabs>
          <w:tab w:val="num" w:pos="2160"/>
        </w:tabs>
        <w:ind w:left="2160" w:hanging="360"/>
      </w:pPr>
      <w:rPr>
        <w:rFonts w:ascii="Arial" w:hAnsi="Arial" w:hint="default"/>
      </w:rPr>
    </w:lvl>
    <w:lvl w:ilvl="3" w:tplc="7D2A27C0" w:tentative="1">
      <w:start w:val="1"/>
      <w:numFmt w:val="bullet"/>
      <w:lvlText w:val="•"/>
      <w:lvlJc w:val="left"/>
      <w:pPr>
        <w:tabs>
          <w:tab w:val="num" w:pos="2880"/>
        </w:tabs>
        <w:ind w:left="2880" w:hanging="360"/>
      </w:pPr>
      <w:rPr>
        <w:rFonts w:ascii="Arial" w:hAnsi="Arial" w:hint="default"/>
      </w:rPr>
    </w:lvl>
    <w:lvl w:ilvl="4" w:tplc="73A0583C" w:tentative="1">
      <w:start w:val="1"/>
      <w:numFmt w:val="bullet"/>
      <w:lvlText w:val="•"/>
      <w:lvlJc w:val="left"/>
      <w:pPr>
        <w:tabs>
          <w:tab w:val="num" w:pos="3600"/>
        </w:tabs>
        <w:ind w:left="3600" w:hanging="360"/>
      </w:pPr>
      <w:rPr>
        <w:rFonts w:ascii="Arial" w:hAnsi="Arial" w:hint="default"/>
      </w:rPr>
    </w:lvl>
    <w:lvl w:ilvl="5" w:tplc="74BE361C" w:tentative="1">
      <w:start w:val="1"/>
      <w:numFmt w:val="bullet"/>
      <w:lvlText w:val="•"/>
      <w:lvlJc w:val="left"/>
      <w:pPr>
        <w:tabs>
          <w:tab w:val="num" w:pos="4320"/>
        </w:tabs>
        <w:ind w:left="4320" w:hanging="360"/>
      </w:pPr>
      <w:rPr>
        <w:rFonts w:ascii="Arial" w:hAnsi="Arial" w:hint="default"/>
      </w:rPr>
    </w:lvl>
    <w:lvl w:ilvl="6" w:tplc="46021C70" w:tentative="1">
      <w:start w:val="1"/>
      <w:numFmt w:val="bullet"/>
      <w:lvlText w:val="•"/>
      <w:lvlJc w:val="left"/>
      <w:pPr>
        <w:tabs>
          <w:tab w:val="num" w:pos="5040"/>
        </w:tabs>
        <w:ind w:left="5040" w:hanging="360"/>
      </w:pPr>
      <w:rPr>
        <w:rFonts w:ascii="Arial" w:hAnsi="Arial" w:hint="default"/>
      </w:rPr>
    </w:lvl>
    <w:lvl w:ilvl="7" w:tplc="44A4CC56" w:tentative="1">
      <w:start w:val="1"/>
      <w:numFmt w:val="bullet"/>
      <w:lvlText w:val="•"/>
      <w:lvlJc w:val="left"/>
      <w:pPr>
        <w:tabs>
          <w:tab w:val="num" w:pos="5760"/>
        </w:tabs>
        <w:ind w:left="5760" w:hanging="360"/>
      </w:pPr>
      <w:rPr>
        <w:rFonts w:ascii="Arial" w:hAnsi="Arial" w:hint="default"/>
      </w:rPr>
    </w:lvl>
    <w:lvl w:ilvl="8" w:tplc="B3E883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E8056D"/>
    <w:multiLevelType w:val="hybridMultilevel"/>
    <w:tmpl w:val="93BABB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23D377C"/>
    <w:multiLevelType w:val="hybridMultilevel"/>
    <w:tmpl w:val="9BF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BB36D4"/>
    <w:multiLevelType w:val="hybridMultilevel"/>
    <w:tmpl w:val="53D8F7D2"/>
    <w:lvl w:ilvl="0" w:tplc="F9D85552">
      <w:start w:val="1"/>
      <w:numFmt w:val="bullet"/>
      <w:lvlText w:val="•"/>
      <w:lvlJc w:val="left"/>
      <w:pPr>
        <w:tabs>
          <w:tab w:val="num" w:pos="720"/>
        </w:tabs>
        <w:ind w:left="720" w:hanging="360"/>
      </w:pPr>
      <w:rPr>
        <w:rFonts w:ascii="Arial" w:hAnsi="Arial" w:hint="default"/>
      </w:rPr>
    </w:lvl>
    <w:lvl w:ilvl="1" w:tplc="7E1EB116" w:tentative="1">
      <w:start w:val="1"/>
      <w:numFmt w:val="bullet"/>
      <w:lvlText w:val="•"/>
      <w:lvlJc w:val="left"/>
      <w:pPr>
        <w:tabs>
          <w:tab w:val="num" w:pos="1440"/>
        </w:tabs>
        <w:ind w:left="1440" w:hanging="360"/>
      </w:pPr>
      <w:rPr>
        <w:rFonts w:ascii="Arial" w:hAnsi="Arial" w:hint="default"/>
      </w:rPr>
    </w:lvl>
    <w:lvl w:ilvl="2" w:tplc="17CA2608" w:tentative="1">
      <w:start w:val="1"/>
      <w:numFmt w:val="bullet"/>
      <w:lvlText w:val="•"/>
      <w:lvlJc w:val="left"/>
      <w:pPr>
        <w:tabs>
          <w:tab w:val="num" w:pos="2160"/>
        </w:tabs>
        <w:ind w:left="2160" w:hanging="360"/>
      </w:pPr>
      <w:rPr>
        <w:rFonts w:ascii="Arial" w:hAnsi="Arial" w:hint="default"/>
      </w:rPr>
    </w:lvl>
    <w:lvl w:ilvl="3" w:tplc="6BB46BF0" w:tentative="1">
      <w:start w:val="1"/>
      <w:numFmt w:val="bullet"/>
      <w:lvlText w:val="•"/>
      <w:lvlJc w:val="left"/>
      <w:pPr>
        <w:tabs>
          <w:tab w:val="num" w:pos="2880"/>
        </w:tabs>
        <w:ind w:left="2880" w:hanging="360"/>
      </w:pPr>
      <w:rPr>
        <w:rFonts w:ascii="Arial" w:hAnsi="Arial" w:hint="default"/>
      </w:rPr>
    </w:lvl>
    <w:lvl w:ilvl="4" w:tplc="3FDE8016" w:tentative="1">
      <w:start w:val="1"/>
      <w:numFmt w:val="bullet"/>
      <w:lvlText w:val="•"/>
      <w:lvlJc w:val="left"/>
      <w:pPr>
        <w:tabs>
          <w:tab w:val="num" w:pos="3600"/>
        </w:tabs>
        <w:ind w:left="3600" w:hanging="360"/>
      </w:pPr>
      <w:rPr>
        <w:rFonts w:ascii="Arial" w:hAnsi="Arial" w:hint="default"/>
      </w:rPr>
    </w:lvl>
    <w:lvl w:ilvl="5" w:tplc="2DC64EA8" w:tentative="1">
      <w:start w:val="1"/>
      <w:numFmt w:val="bullet"/>
      <w:lvlText w:val="•"/>
      <w:lvlJc w:val="left"/>
      <w:pPr>
        <w:tabs>
          <w:tab w:val="num" w:pos="4320"/>
        </w:tabs>
        <w:ind w:left="4320" w:hanging="360"/>
      </w:pPr>
      <w:rPr>
        <w:rFonts w:ascii="Arial" w:hAnsi="Arial" w:hint="default"/>
      </w:rPr>
    </w:lvl>
    <w:lvl w:ilvl="6" w:tplc="E9945194" w:tentative="1">
      <w:start w:val="1"/>
      <w:numFmt w:val="bullet"/>
      <w:lvlText w:val="•"/>
      <w:lvlJc w:val="left"/>
      <w:pPr>
        <w:tabs>
          <w:tab w:val="num" w:pos="5040"/>
        </w:tabs>
        <w:ind w:left="5040" w:hanging="360"/>
      </w:pPr>
      <w:rPr>
        <w:rFonts w:ascii="Arial" w:hAnsi="Arial" w:hint="default"/>
      </w:rPr>
    </w:lvl>
    <w:lvl w:ilvl="7" w:tplc="EA320918" w:tentative="1">
      <w:start w:val="1"/>
      <w:numFmt w:val="bullet"/>
      <w:lvlText w:val="•"/>
      <w:lvlJc w:val="left"/>
      <w:pPr>
        <w:tabs>
          <w:tab w:val="num" w:pos="5760"/>
        </w:tabs>
        <w:ind w:left="5760" w:hanging="360"/>
      </w:pPr>
      <w:rPr>
        <w:rFonts w:ascii="Arial" w:hAnsi="Arial" w:hint="default"/>
      </w:rPr>
    </w:lvl>
    <w:lvl w:ilvl="8" w:tplc="1968E9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1065371"/>
    <w:multiLevelType w:val="hybridMultilevel"/>
    <w:tmpl w:val="CF3CC2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D30028"/>
    <w:multiLevelType w:val="hybridMultilevel"/>
    <w:tmpl w:val="5F220276"/>
    <w:lvl w:ilvl="0" w:tplc="CA281132">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6"/>
  </w:num>
  <w:num w:numId="5">
    <w:abstractNumId w:val="0"/>
  </w:num>
  <w:num w:numId="6">
    <w:abstractNumId w:val="4"/>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C3MDc3NjAxMjMzMTRS0lEKTi0uzszPAykwqQUAoteSCiwAAAA="/>
  </w:docVars>
  <w:rsids>
    <w:rsidRoot w:val="00CB032D"/>
    <w:rsid w:val="00003A36"/>
    <w:rsid w:val="00007315"/>
    <w:rsid w:val="0002317B"/>
    <w:rsid w:val="000232C7"/>
    <w:rsid w:val="000250BD"/>
    <w:rsid w:val="000257F6"/>
    <w:rsid w:val="00026FFE"/>
    <w:rsid w:val="0003015C"/>
    <w:rsid w:val="00032A1C"/>
    <w:rsid w:val="00033639"/>
    <w:rsid w:val="00035494"/>
    <w:rsid w:val="00037198"/>
    <w:rsid w:val="0003742D"/>
    <w:rsid w:val="0004274B"/>
    <w:rsid w:val="00043285"/>
    <w:rsid w:val="00044FBD"/>
    <w:rsid w:val="00045485"/>
    <w:rsid w:val="000471BE"/>
    <w:rsid w:val="0005001C"/>
    <w:rsid w:val="000569BD"/>
    <w:rsid w:val="00061174"/>
    <w:rsid w:val="00062EB5"/>
    <w:rsid w:val="0006782B"/>
    <w:rsid w:val="0006783F"/>
    <w:rsid w:val="00071CDB"/>
    <w:rsid w:val="000722C3"/>
    <w:rsid w:val="00075A70"/>
    <w:rsid w:val="00077A7A"/>
    <w:rsid w:val="000804BC"/>
    <w:rsid w:val="000831BC"/>
    <w:rsid w:val="000833B7"/>
    <w:rsid w:val="000849BD"/>
    <w:rsid w:val="00086B98"/>
    <w:rsid w:val="000903BD"/>
    <w:rsid w:val="000905EE"/>
    <w:rsid w:val="000909C3"/>
    <w:rsid w:val="000A3956"/>
    <w:rsid w:val="000A4291"/>
    <w:rsid w:val="000A4D6C"/>
    <w:rsid w:val="000A4F52"/>
    <w:rsid w:val="000B4D14"/>
    <w:rsid w:val="000B745C"/>
    <w:rsid w:val="000C047F"/>
    <w:rsid w:val="000C062E"/>
    <w:rsid w:val="000C5AA4"/>
    <w:rsid w:val="000D2676"/>
    <w:rsid w:val="000D509B"/>
    <w:rsid w:val="000E079F"/>
    <w:rsid w:val="000E34BA"/>
    <w:rsid w:val="000E5B02"/>
    <w:rsid w:val="000E66E9"/>
    <w:rsid w:val="000E6F00"/>
    <w:rsid w:val="000E7585"/>
    <w:rsid w:val="000F051D"/>
    <w:rsid w:val="000F081E"/>
    <w:rsid w:val="000F4818"/>
    <w:rsid w:val="000F6085"/>
    <w:rsid w:val="000F660B"/>
    <w:rsid w:val="000F7A72"/>
    <w:rsid w:val="00103CD3"/>
    <w:rsid w:val="001052D1"/>
    <w:rsid w:val="00106BCB"/>
    <w:rsid w:val="001124A9"/>
    <w:rsid w:val="00113D63"/>
    <w:rsid w:val="00115CAA"/>
    <w:rsid w:val="00116F78"/>
    <w:rsid w:val="00122FF3"/>
    <w:rsid w:val="0012337D"/>
    <w:rsid w:val="0012434F"/>
    <w:rsid w:val="00124FE9"/>
    <w:rsid w:val="00126EF1"/>
    <w:rsid w:val="00131913"/>
    <w:rsid w:val="00132424"/>
    <w:rsid w:val="001339E8"/>
    <w:rsid w:val="00135F8C"/>
    <w:rsid w:val="00136004"/>
    <w:rsid w:val="00137798"/>
    <w:rsid w:val="001379AE"/>
    <w:rsid w:val="001404D0"/>
    <w:rsid w:val="00142366"/>
    <w:rsid w:val="00145A8A"/>
    <w:rsid w:val="00147BA9"/>
    <w:rsid w:val="00151FC8"/>
    <w:rsid w:val="00154BC2"/>
    <w:rsid w:val="00157DB1"/>
    <w:rsid w:val="00161291"/>
    <w:rsid w:val="0016288D"/>
    <w:rsid w:val="00165F3E"/>
    <w:rsid w:val="00171B60"/>
    <w:rsid w:val="00184748"/>
    <w:rsid w:val="00191E57"/>
    <w:rsid w:val="00192732"/>
    <w:rsid w:val="00193C12"/>
    <w:rsid w:val="001A2010"/>
    <w:rsid w:val="001A21F7"/>
    <w:rsid w:val="001A4B28"/>
    <w:rsid w:val="001A4F8D"/>
    <w:rsid w:val="001A6A62"/>
    <w:rsid w:val="001C06BC"/>
    <w:rsid w:val="001C417C"/>
    <w:rsid w:val="001C6A35"/>
    <w:rsid w:val="001D03A1"/>
    <w:rsid w:val="001D1949"/>
    <w:rsid w:val="001D4677"/>
    <w:rsid w:val="001D7316"/>
    <w:rsid w:val="001E3434"/>
    <w:rsid w:val="001E4B1E"/>
    <w:rsid w:val="001E5981"/>
    <w:rsid w:val="001F02BB"/>
    <w:rsid w:val="001F2ADD"/>
    <w:rsid w:val="00200F05"/>
    <w:rsid w:val="002040FA"/>
    <w:rsid w:val="00207B77"/>
    <w:rsid w:val="00215DB7"/>
    <w:rsid w:val="002224E5"/>
    <w:rsid w:val="002236E1"/>
    <w:rsid w:val="002238BE"/>
    <w:rsid w:val="00231780"/>
    <w:rsid w:val="0023412E"/>
    <w:rsid w:val="00241B9B"/>
    <w:rsid w:val="00242EAA"/>
    <w:rsid w:val="00243C3E"/>
    <w:rsid w:val="002447BD"/>
    <w:rsid w:val="0024699A"/>
    <w:rsid w:val="00251BDE"/>
    <w:rsid w:val="00253282"/>
    <w:rsid w:val="002535EC"/>
    <w:rsid w:val="00255606"/>
    <w:rsid w:val="00255F44"/>
    <w:rsid w:val="00260B15"/>
    <w:rsid w:val="002664DA"/>
    <w:rsid w:val="00267F0C"/>
    <w:rsid w:val="00271136"/>
    <w:rsid w:val="002725C5"/>
    <w:rsid w:val="002746CC"/>
    <w:rsid w:val="002754C4"/>
    <w:rsid w:val="00276671"/>
    <w:rsid w:val="0028768E"/>
    <w:rsid w:val="0029359A"/>
    <w:rsid w:val="00295C5C"/>
    <w:rsid w:val="002A1C93"/>
    <w:rsid w:val="002A4952"/>
    <w:rsid w:val="002A6B42"/>
    <w:rsid w:val="002A703A"/>
    <w:rsid w:val="002A74FB"/>
    <w:rsid w:val="002B089F"/>
    <w:rsid w:val="002B1B0A"/>
    <w:rsid w:val="002B24ED"/>
    <w:rsid w:val="002B38AC"/>
    <w:rsid w:val="002B4514"/>
    <w:rsid w:val="002B7558"/>
    <w:rsid w:val="002C0AEC"/>
    <w:rsid w:val="002C5CC8"/>
    <w:rsid w:val="002C611F"/>
    <w:rsid w:val="002C6386"/>
    <w:rsid w:val="002C661D"/>
    <w:rsid w:val="002D5705"/>
    <w:rsid w:val="002E123E"/>
    <w:rsid w:val="002E238F"/>
    <w:rsid w:val="002E3880"/>
    <w:rsid w:val="002E5D15"/>
    <w:rsid w:val="002F0DD6"/>
    <w:rsid w:val="002F38DC"/>
    <w:rsid w:val="002F3FC8"/>
    <w:rsid w:val="002F42A6"/>
    <w:rsid w:val="00301C01"/>
    <w:rsid w:val="0030238F"/>
    <w:rsid w:val="0031171F"/>
    <w:rsid w:val="00312AF6"/>
    <w:rsid w:val="003165D6"/>
    <w:rsid w:val="00320B88"/>
    <w:rsid w:val="00322311"/>
    <w:rsid w:val="00324A4E"/>
    <w:rsid w:val="0032577B"/>
    <w:rsid w:val="003344DD"/>
    <w:rsid w:val="00335B7A"/>
    <w:rsid w:val="00336666"/>
    <w:rsid w:val="00336E5E"/>
    <w:rsid w:val="00337246"/>
    <w:rsid w:val="00341490"/>
    <w:rsid w:val="00341B60"/>
    <w:rsid w:val="0034528D"/>
    <w:rsid w:val="00347B5B"/>
    <w:rsid w:val="00351A49"/>
    <w:rsid w:val="00351FA2"/>
    <w:rsid w:val="0035497B"/>
    <w:rsid w:val="00364A5F"/>
    <w:rsid w:val="00371A7B"/>
    <w:rsid w:val="00371C64"/>
    <w:rsid w:val="0037270A"/>
    <w:rsid w:val="003741CC"/>
    <w:rsid w:val="00377FCE"/>
    <w:rsid w:val="00383BE6"/>
    <w:rsid w:val="003841D8"/>
    <w:rsid w:val="0038642A"/>
    <w:rsid w:val="003905ED"/>
    <w:rsid w:val="00392262"/>
    <w:rsid w:val="003926F5"/>
    <w:rsid w:val="003965D0"/>
    <w:rsid w:val="003A023D"/>
    <w:rsid w:val="003A197E"/>
    <w:rsid w:val="003A32E5"/>
    <w:rsid w:val="003A36D2"/>
    <w:rsid w:val="003A4245"/>
    <w:rsid w:val="003A6987"/>
    <w:rsid w:val="003B6B14"/>
    <w:rsid w:val="003C3193"/>
    <w:rsid w:val="003C5674"/>
    <w:rsid w:val="003C58C5"/>
    <w:rsid w:val="003C6405"/>
    <w:rsid w:val="003C68BC"/>
    <w:rsid w:val="003C7182"/>
    <w:rsid w:val="003D12C9"/>
    <w:rsid w:val="003D27C0"/>
    <w:rsid w:val="003D2864"/>
    <w:rsid w:val="003D699D"/>
    <w:rsid w:val="003E1702"/>
    <w:rsid w:val="003E70D2"/>
    <w:rsid w:val="003F551D"/>
    <w:rsid w:val="00404949"/>
    <w:rsid w:val="004060E3"/>
    <w:rsid w:val="00410790"/>
    <w:rsid w:val="004107F7"/>
    <w:rsid w:val="00411D36"/>
    <w:rsid w:val="00415167"/>
    <w:rsid w:val="004160F7"/>
    <w:rsid w:val="00420665"/>
    <w:rsid w:val="00421A4D"/>
    <w:rsid w:val="00422941"/>
    <w:rsid w:val="00426754"/>
    <w:rsid w:val="004267EB"/>
    <w:rsid w:val="00427556"/>
    <w:rsid w:val="004337F1"/>
    <w:rsid w:val="00435FD0"/>
    <w:rsid w:val="0044237B"/>
    <w:rsid w:val="00450BC3"/>
    <w:rsid w:val="0045534C"/>
    <w:rsid w:val="00461CCD"/>
    <w:rsid w:val="0046237F"/>
    <w:rsid w:val="0047127F"/>
    <w:rsid w:val="00483CBE"/>
    <w:rsid w:val="00492510"/>
    <w:rsid w:val="004A24CB"/>
    <w:rsid w:val="004A305F"/>
    <w:rsid w:val="004A4CC5"/>
    <w:rsid w:val="004A7F58"/>
    <w:rsid w:val="004B0C24"/>
    <w:rsid w:val="004B0E50"/>
    <w:rsid w:val="004B1D4F"/>
    <w:rsid w:val="004B2069"/>
    <w:rsid w:val="004B3FB5"/>
    <w:rsid w:val="004B580F"/>
    <w:rsid w:val="004B5DB8"/>
    <w:rsid w:val="004B5EB9"/>
    <w:rsid w:val="004B6FD3"/>
    <w:rsid w:val="004C0D75"/>
    <w:rsid w:val="004C23C2"/>
    <w:rsid w:val="004C35B0"/>
    <w:rsid w:val="004C61BD"/>
    <w:rsid w:val="004C69CC"/>
    <w:rsid w:val="004D3CF3"/>
    <w:rsid w:val="004D6B54"/>
    <w:rsid w:val="004E0920"/>
    <w:rsid w:val="004E1B80"/>
    <w:rsid w:val="004E6573"/>
    <w:rsid w:val="004E7558"/>
    <w:rsid w:val="004E7C31"/>
    <w:rsid w:val="004F20D1"/>
    <w:rsid w:val="004F37DC"/>
    <w:rsid w:val="004F4A79"/>
    <w:rsid w:val="004F6C7C"/>
    <w:rsid w:val="00501632"/>
    <w:rsid w:val="00502733"/>
    <w:rsid w:val="00506391"/>
    <w:rsid w:val="00506AED"/>
    <w:rsid w:val="00510F50"/>
    <w:rsid w:val="00513852"/>
    <w:rsid w:val="00514664"/>
    <w:rsid w:val="005159B4"/>
    <w:rsid w:val="0051678A"/>
    <w:rsid w:val="00520006"/>
    <w:rsid w:val="00523A36"/>
    <w:rsid w:val="005271F1"/>
    <w:rsid w:val="00531B37"/>
    <w:rsid w:val="00534431"/>
    <w:rsid w:val="005344E9"/>
    <w:rsid w:val="00534AA5"/>
    <w:rsid w:val="00537247"/>
    <w:rsid w:val="00537932"/>
    <w:rsid w:val="0054169C"/>
    <w:rsid w:val="0054330B"/>
    <w:rsid w:val="00543651"/>
    <w:rsid w:val="0054377E"/>
    <w:rsid w:val="00544FAA"/>
    <w:rsid w:val="005451AD"/>
    <w:rsid w:val="0054581A"/>
    <w:rsid w:val="00547B65"/>
    <w:rsid w:val="005501EB"/>
    <w:rsid w:val="00552CA0"/>
    <w:rsid w:val="00553F72"/>
    <w:rsid w:val="00556C1B"/>
    <w:rsid w:val="00557AE8"/>
    <w:rsid w:val="00561101"/>
    <w:rsid w:val="00561249"/>
    <w:rsid w:val="005677FA"/>
    <w:rsid w:val="00567B56"/>
    <w:rsid w:val="00573BB3"/>
    <w:rsid w:val="00583A61"/>
    <w:rsid w:val="00583F3E"/>
    <w:rsid w:val="005865CB"/>
    <w:rsid w:val="005870D2"/>
    <w:rsid w:val="00587678"/>
    <w:rsid w:val="00592C1E"/>
    <w:rsid w:val="0059498B"/>
    <w:rsid w:val="00594A08"/>
    <w:rsid w:val="00594EA7"/>
    <w:rsid w:val="005958A8"/>
    <w:rsid w:val="005A33F4"/>
    <w:rsid w:val="005A7D1B"/>
    <w:rsid w:val="005B13BD"/>
    <w:rsid w:val="005B2096"/>
    <w:rsid w:val="005B59FD"/>
    <w:rsid w:val="005B7C15"/>
    <w:rsid w:val="005C1CE2"/>
    <w:rsid w:val="005C1F88"/>
    <w:rsid w:val="005C24B0"/>
    <w:rsid w:val="005C30F5"/>
    <w:rsid w:val="005D0A44"/>
    <w:rsid w:val="005D2F17"/>
    <w:rsid w:val="005D33DD"/>
    <w:rsid w:val="005D74BA"/>
    <w:rsid w:val="005E49D3"/>
    <w:rsid w:val="005F0973"/>
    <w:rsid w:val="005F42A6"/>
    <w:rsid w:val="005F4C5C"/>
    <w:rsid w:val="00601583"/>
    <w:rsid w:val="00601634"/>
    <w:rsid w:val="00601A96"/>
    <w:rsid w:val="00607D08"/>
    <w:rsid w:val="00610FAF"/>
    <w:rsid w:val="00617FB8"/>
    <w:rsid w:val="00621AB6"/>
    <w:rsid w:val="00621F82"/>
    <w:rsid w:val="00622E85"/>
    <w:rsid w:val="0063185F"/>
    <w:rsid w:val="0063341E"/>
    <w:rsid w:val="006340BB"/>
    <w:rsid w:val="00635966"/>
    <w:rsid w:val="00636FDA"/>
    <w:rsid w:val="00642690"/>
    <w:rsid w:val="00644558"/>
    <w:rsid w:val="0064460F"/>
    <w:rsid w:val="00646A05"/>
    <w:rsid w:val="00654277"/>
    <w:rsid w:val="0066184D"/>
    <w:rsid w:val="0066465A"/>
    <w:rsid w:val="006674F9"/>
    <w:rsid w:val="006675D6"/>
    <w:rsid w:val="0067008C"/>
    <w:rsid w:val="006712CC"/>
    <w:rsid w:val="00674D89"/>
    <w:rsid w:val="00675A29"/>
    <w:rsid w:val="006800AB"/>
    <w:rsid w:val="006819CA"/>
    <w:rsid w:val="00686593"/>
    <w:rsid w:val="006873F5"/>
    <w:rsid w:val="006903E0"/>
    <w:rsid w:val="006907F1"/>
    <w:rsid w:val="00692C89"/>
    <w:rsid w:val="00692F25"/>
    <w:rsid w:val="00695E80"/>
    <w:rsid w:val="0069648A"/>
    <w:rsid w:val="006A1907"/>
    <w:rsid w:val="006A2A44"/>
    <w:rsid w:val="006A39F2"/>
    <w:rsid w:val="006A5771"/>
    <w:rsid w:val="006C0F3F"/>
    <w:rsid w:val="006C2FFF"/>
    <w:rsid w:val="006C3AC5"/>
    <w:rsid w:val="006C7801"/>
    <w:rsid w:val="006D0B98"/>
    <w:rsid w:val="006D5B8A"/>
    <w:rsid w:val="006D67E4"/>
    <w:rsid w:val="006D725F"/>
    <w:rsid w:val="006D727A"/>
    <w:rsid w:val="006E1C8C"/>
    <w:rsid w:val="006E1CDC"/>
    <w:rsid w:val="006E4CD6"/>
    <w:rsid w:val="006E5DA3"/>
    <w:rsid w:val="006E6725"/>
    <w:rsid w:val="006E69A7"/>
    <w:rsid w:val="006F44D5"/>
    <w:rsid w:val="006F7141"/>
    <w:rsid w:val="006F7B31"/>
    <w:rsid w:val="00704C22"/>
    <w:rsid w:val="007108E9"/>
    <w:rsid w:val="007147E5"/>
    <w:rsid w:val="007167FD"/>
    <w:rsid w:val="007178A3"/>
    <w:rsid w:val="0072012F"/>
    <w:rsid w:val="007203A1"/>
    <w:rsid w:val="00722433"/>
    <w:rsid w:val="007269BC"/>
    <w:rsid w:val="00733D7F"/>
    <w:rsid w:val="007404C8"/>
    <w:rsid w:val="00744838"/>
    <w:rsid w:val="0074596D"/>
    <w:rsid w:val="00745EEE"/>
    <w:rsid w:val="00751045"/>
    <w:rsid w:val="0075118E"/>
    <w:rsid w:val="00751E01"/>
    <w:rsid w:val="007521F4"/>
    <w:rsid w:val="007556F2"/>
    <w:rsid w:val="007602E9"/>
    <w:rsid w:val="007655A2"/>
    <w:rsid w:val="00766114"/>
    <w:rsid w:val="00767928"/>
    <w:rsid w:val="00770872"/>
    <w:rsid w:val="00770DFB"/>
    <w:rsid w:val="00771774"/>
    <w:rsid w:val="0077432E"/>
    <w:rsid w:val="00774AA3"/>
    <w:rsid w:val="00774CCC"/>
    <w:rsid w:val="0078120C"/>
    <w:rsid w:val="00783E76"/>
    <w:rsid w:val="00787D37"/>
    <w:rsid w:val="00794D99"/>
    <w:rsid w:val="00796E94"/>
    <w:rsid w:val="007974CD"/>
    <w:rsid w:val="007A087F"/>
    <w:rsid w:val="007A0A26"/>
    <w:rsid w:val="007A25DD"/>
    <w:rsid w:val="007A51CE"/>
    <w:rsid w:val="007A61C6"/>
    <w:rsid w:val="007A6C2A"/>
    <w:rsid w:val="007A7A8F"/>
    <w:rsid w:val="007A7C8A"/>
    <w:rsid w:val="007B519C"/>
    <w:rsid w:val="007B53C4"/>
    <w:rsid w:val="007C207E"/>
    <w:rsid w:val="007C5009"/>
    <w:rsid w:val="007C6602"/>
    <w:rsid w:val="007D3E80"/>
    <w:rsid w:val="007D4D62"/>
    <w:rsid w:val="007D59EE"/>
    <w:rsid w:val="007D781B"/>
    <w:rsid w:val="007E112E"/>
    <w:rsid w:val="007E29D4"/>
    <w:rsid w:val="007E45AE"/>
    <w:rsid w:val="007E5EA9"/>
    <w:rsid w:val="007E7813"/>
    <w:rsid w:val="007F0A13"/>
    <w:rsid w:val="007F1DFF"/>
    <w:rsid w:val="007F33CB"/>
    <w:rsid w:val="007F615F"/>
    <w:rsid w:val="007F6E57"/>
    <w:rsid w:val="0080346E"/>
    <w:rsid w:val="00803BFA"/>
    <w:rsid w:val="00816F98"/>
    <w:rsid w:val="00817CFB"/>
    <w:rsid w:val="0082041A"/>
    <w:rsid w:val="00821054"/>
    <w:rsid w:val="00822FAC"/>
    <w:rsid w:val="008252DC"/>
    <w:rsid w:val="00826A95"/>
    <w:rsid w:val="008271D2"/>
    <w:rsid w:val="00833A1D"/>
    <w:rsid w:val="00833DDB"/>
    <w:rsid w:val="00840A90"/>
    <w:rsid w:val="00843B47"/>
    <w:rsid w:val="00843B90"/>
    <w:rsid w:val="00844167"/>
    <w:rsid w:val="008512D0"/>
    <w:rsid w:val="008525C6"/>
    <w:rsid w:val="008544C4"/>
    <w:rsid w:val="00854CCD"/>
    <w:rsid w:val="00855207"/>
    <w:rsid w:val="0086101D"/>
    <w:rsid w:val="008625DE"/>
    <w:rsid w:val="0086325C"/>
    <w:rsid w:val="008730D1"/>
    <w:rsid w:val="008752D2"/>
    <w:rsid w:val="00880EB4"/>
    <w:rsid w:val="008812AA"/>
    <w:rsid w:val="0088139C"/>
    <w:rsid w:val="008838CC"/>
    <w:rsid w:val="0088636A"/>
    <w:rsid w:val="00886967"/>
    <w:rsid w:val="0089784C"/>
    <w:rsid w:val="008A1A6C"/>
    <w:rsid w:val="008A41CA"/>
    <w:rsid w:val="008A6E61"/>
    <w:rsid w:val="008B1541"/>
    <w:rsid w:val="008B488C"/>
    <w:rsid w:val="008B6ADC"/>
    <w:rsid w:val="008C0A6A"/>
    <w:rsid w:val="008C11C3"/>
    <w:rsid w:val="008C1380"/>
    <w:rsid w:val="008C44FB"/>
    <w:rsid w:val="008C4E15"/>
    <w:rsid w:val="008C7462"/>
    <w:rsid w:val="008D05E4"/>
    <w:rsid w:val="008D0BE0"/>
    <w:rsid w:val="008D2C7E"/>
    <w:rsid w:val="008D58B6"/>
    <w:rsid w:val="008D7C68"/>
    <w:rsid w:val="008E56BE"/>
    <w:rsid w:val="008F09DF"/>
    <w:rsid w:val="008F42A0"/>
    <w:rsid w:val="008F4743"/>
    <w:rsid w:val="008F4913"/>
    <w:rsid w:val="00900F6F"/>
    <w:rsid w:val="00902B27"/>
    <w:rsid w:val="00910329"/>
    <w:rsid w:val="00912E90"/>
    <w:rsid w:val="00922A79"/>
    <w:rsid w:val="0092464D"/>
    <w:rsid w:val="00925ABD"/>
    <w:rsid w:val="0092788E"/>
    <w:rsid w:val="009339CC"/>
    <w:rsid w:val="00934748"/>
    <w:rsid w:val="00940C66"/>
    <w:rsid w:val="00941966"/>
    <w:rsid w:val="0094210C"/>
    <w:rsid w:val="00945A56"/>
    <w:rsid w:val="00953706"/>
    <w:rsid w:val="00953F9C"/>
    <w:rsid w:val="00954D59"/>
    <w:rsid w:val="00961D8D"/>
    <w:rsid w:val="0096482A"/>
    <w:rsid w:val="00964843"/>
    <w:rsid w:val="00964EA3"/>
    <w:rsid w:val="00965754"/>
    <w:rsid w:val="00966F97"/>
    <w:rsid w:val="00970788"/>
    <w:rsid w:val="00973F98"/>
    <w:rsid w:val="00975410"/>
    <w:rsid w:val="00977335"/>
    <w:rsid w:val="00985F04"/>
    <w:rsid w:val="00986C2A"/>
    <w:rsid w:val="009A01AE"/>
    <w:rsid w:val="009A03B3"/>
    <w:rsid w:val="009A5885"/>
    <w:rsid w:val="009A671A"/>
    <w:rsid w:val="009A69A0"/>
    <w:rsid w:val="009B06D1"/>
    <w:rsid w:val="009B07A5"/>
    <w:rsid w:val="009B0B94"/>
    <w:rsid w:val="009B6515"/>
    <w:rsid w:val="009B7908"/>
    <w:rsid w:val="009C7FB3"/>
    <w:rsid w:val="009D1C66"/>
    <w:rsid w:val="009D1F9A"/>
    <w:rsid w:val="009D4CDD"/>
    <w:rsid w:val="009D5810"/>
    <w:rsid w:val="009E0149"/>
    <w:rsid w:val="009E2155"/>
    <w:rsid w:val="009E5302"/>
    <w:rsid w:val="009E5E77"/>
    <w:rsid w:val="009F0409"/>
    <w:rsid w:val="009F0E87"/>
    <w:rsid w:val="009F3F57"/>
    <w:rsid w:val="00A00028"/>
    <w:rsid w:val="00A01130"/>
    <w:rsid w:val="00A023F9"/>
    <w:rsid w:val="00A03CDE"/>
    <w:rsid w:val="00A03F6E"/>
    <w:rsid w:val="00A06555"/>
    <w:rsid w:val="00A10F08"/>
    <w:rsid w:val="00A12B8A"/>
    <w:rsid w:val="00A143DA"/>
    <w:rsid w:val="00A16563"/>
    <w:rsid w:val="00A2038A"/>
    <w:rsid w:val="00A2257D"/>
    <w:rsid w:val="00A2463D"/>
    <w:rsid w:val="00A27148"/>
    <w:rsid w:val="00A36DC7"/>
    <w:rsid w:val="00A40383"/>
    <w:rsid w:val="00A415D5"/>
    <w:rsid w:val="00A47C07"/>
    <w:rsid w:val="00A56274"/>
    <w:rsid w:val="00A56970"/>
    <w:rsid w:val="00A61FF8"/>
    <w:rsid w:val="00A64B51"/>
    <w:rsid w:val="00A6543B"/>
    <w:rsid w:val="00A6550D"/>
    <w:rsid w:val="00A72102"/>
    <w:rsid w:val="00A729B3"/>
    <w:rsid w:val="00A73913"/>
    <w:rsid w:val="00A73FE8"/>
    <w:rsid w:val="00A745A4"/>
    <w:rsid w:val="00A75E53"/>
    <w:rsid w:val="00A75F9F"/>
    <w:rsid w:val="00A76C02"/>
    <w:rsid w:val="00A80009"/>
    <w:rsid w:val="00A84454"/>
    <w:rsid w:val="00A850F4"/>
    <w:rsid w:val="00A877F2"/>
    <w:rsid w:val="00A905A9"/>
    <w:rsid w:val="00A90BEF"/>
    <w:rsid w:val="00A91B50"/>
    <w:rsid w:val="00A969DF"/>
    <w:rsid w:val="00AA616F"/>
    <w:rsid w:val="00AA7325"/>
    <w:rsid w:val="00AB3C15"/>
    <w:rsid w:val="00AB610D"/>
    <w:rsid w:val="00AC5AAC"/>
    <w:rsid w:val="00AC63A8"/>
    <w:rsid w:val="00AC7B4C"/>
    <w:rsid w:val="00AD1140"/>
    <w:rsid w:val="00AD1D43"/>
    <w:rsid w:val="00AD4AAC"/>
    <w:rsid w:val="00AD6E63"/>
    <w:rsid w:val="00AE2D7E"/>
    <w:rsid w:val="00AE58CB"/>
    <w:rsid w:val="00AE71E5"/>
    <w:rsid w:val="00AE7D83"/>
    <w:rsid w:val="00AF1B26"/>
    <w:rsid w:val="00AF1FB0"/>
    <w:rsid w:val="00AF4EEF"/>
    <w:rsid w:val="00AF7F7F"/>
    <w:rsid w:val="00B01624"/>
    <w:rsid w:val="00B01CCA"/>
    <w:rsid w:val="00B030D4"/>
    <w:rsid w:val="00B03E3C"/>
    <w:rsid w:val="00B045D5"/>
    <w:rsid w:val="00B05132"/>
    <w:rsid w:val="00B13D71"/>
    <w:rsid w:val="00B21B06"/>
    <w:rsid w:val="00B258B7"/>
    <w:rsid w:val="00B300C0"/>
    <w:rsid w:val="00B33FB8"/>
    <w:rsid w:val="00B34D4B"/>
    <w:rsid w:val="00B3599A"/>
    <w:rsid w:val="00B4433B"/>
    <w:rsid w:val="00B44C79"/>
    <w:rsid w:val="00B5056B"/>
    <w:rsid w:val="00B52613"/>
    <w:rsid w:val="00B53C33"/>
    <w:rsid w:val="00B541B2"/>
    <w:rsid w:val="00B541CE"/>
    <w:rsid w:val="00B55CED"/>
    <w:rsid w:val="00B55E1E"/>
    <w:rsid w:val="00B622F5"/>
    <w:rsid w:val="00B633FA"/>
    <w:rsid w:val="00B63B21"/>
    <w:rsid w:val="00B64024"/>
    <w:rsid w:val="00B6674D"/>
    <w:rsid w:val="00B66E0C"/>
    <w:rsid w:val="00B67624"/>
    <w:rsid w:val="00B67FBF"/>
    <w:rsid w:val="00B70B50"/>
    <w:rsid w:val="00B726F1"/>
    <w:rsid w:val="00B747F1"/>
    <w:rsid w:val="00B750B0"/>
    <w:rsid w:val="00B80569"/>
    <w:rsid w:val="00B8112C"/>
    <w:rsid w:val="00B823C1"/>
    <w:rsid w:val="00B8375A"/>
    <w:rsid w:val="00B83A8C"/>
    <w:rsid w:val="00B86013"/>
    <w:rsid w:val="00B90B63"/>
    <w:rsid w:val="00B94072"/>
    <w:rsid w:val="00B9424F"/>
    <w:rsid w:val="00B9538C"/>
    <w:rsid w:val="00B95EBD"/>
    <w:rsid w:val="00B96FED"/>
    <w:rsid w:val="00B9784C"/>
    <w:rsid w:val="00BA0E88"/>
    <w:rsid w:val="00BA20BC"/>
    <w:rsid w:val="00BA2FAA"/>
    <w:rsid w:val="00BA35A9"/>
    <w:rsid w:val="00BA3B9A"/>
    <w:rsid w:val="00BB1797"/>
    <w:rsid w:val="00BB59E8"/>
    <w:rsid w:val="00BB5C67"/>
    <w:rsid w:val="00BB7117"/>
    <w:rsid w:val="00BC479B"/>
    <w:rsid w:val="00BC4AC9"/>
    <w:rsid w:val="00BC5E0A"/>
    <w:rsid w:val="00BC632E"/>
    <w:rsid w:val="00BC649A"/>
    <w:rsid w:val="00BC76E1"/>
    <w:rsid w:val="00BD1FB7"/>
    <w:rsid w:val="00BD2E99"/>
    <w:rsid w:val="00BD50E1"/>
    <w:rsid w:val="00BD74EF"/>
    <w:rsid w:val="00BE2D32"/>
    <w:rsid w:val="00BE33A8"/>
    <w:rsid w:val="00BE5AE7"/>
    <w:rsid w:val="00BF02B4"/>
    <w:rsid w:val="00BF37C4"/>
    <w:rsid w:val="00BF528E"/>
    <w:rsid w:val="00BF6FD3"/>
    <w:rsid w:val="00BF709A"/>
    <w:rsid w:val="00C015C4"/>
    <w:rsid w:val="00C02723"/>
    <w:rsid w:val="00C02A97"/>
    <w:rsid w:val="00C04237"/>
    <w:rsid w:val="00C065C0"/>
    <w:rsid w:val="00C14141"/>
    <w:rsid w:val="00C24059"/>
    <w:rsid w:val="00C26B04"/>
    <w:rsid w:val="00C26B49"/>
    <w:rsid w:val="00C32041"/>
    <w:rsid w:val="00C3305C"/>
    <w:rsid w:val="00C35FA0"/>
    <w:rsid w:val="00C3758B"/>
    <w:rsid w:val="00C4005A"/>
    <w:rsid w:val="00C43840"/>
    <w:rsid w:val="00C5007B"/>
    <w:rsid w:val="00C50D69"/>
    <w:rsid w:val="00C528AF"/>
    <w:rsid w:val="00C52F24"/>
    <w:rsid w:val="00C5558F"/>
    <w:rsid w:val="00C56BF3"/>
    <w:rsid w:val="00C620E8"/>
    <w:rsid w:val="00C65088"/>
    <w:rsid w:val="00C671C6"/>
    <w:rsid w:val="00C743F7"/>
    <w:rsid w:val="00C76A96"/>
    <w:rsid w:val="00C80473"/>
    <w:rsid w:val="00C80C47"/>
    <w:rsid w:val="00C81146"/>
    <w:rsid w:val="00C82D52"/>
    <w:rsid w:val="00C8462D"/>
    <w:rsid w:val="00C846B9"/>
    <w:rsid w:val="00C86638"/>
    <w:rsid w:val="00C913DB"/>
    <w:rsid w:val="00C9727E"/>
    <w:rsid w:val="00CA1376"/>
    <w:rsid w:val="00CA154C"/>
    <w:rsid w:val="00CA22A0"/>
    <w:rsid w:val="00CA4BEF"/>
    <w:rsid w:val="00CA6C51"/>
    <w:rsid w:val="00CB032D"/>
    <w:rsid w:val="00CB0460"/>
    <w:rsid w:val="00CB100A"/>
    <w:rsid w:val="00CB2C1E"/>
    <w:rsid w:val="00CC1CDA"/>
    <w:rsid w:val="00CC37B7"/>
    <w:rsid w:val="00CC55AC"/>
    <w:rsid w:val="00CC7168"/>
    <w:rsid w:val="00CD2881"/>
    <w:rsid w:val="00CD452F"/>
    <w:rsid w:val="00CE2AAE"/>
    <w:rsid w:val="00CF402F"/>
    <w:rsid w:val="00CF5546"/>
    <w:rsid w:val="00CF5547"/>
    <w:rsid w:val="00CF7FA8"/>
    <w:rsid w:val="00D031B3"/>
    <w:rsid w:val="00D0493B"/>
    <w:rsid w:val="00D049D4"/>
    <w:rsid w:val="00D05076"/>
    <w:rsid w:val="00D07306"/>
    <w:rsid w:val="00D11DE2"/>
    <w:rsid w:val="00D13835"/>
    <w:rsid w:val="00D154FB"/>
    <w:rsid w:val="00D15906"/>
    <w:rsid w:val="00D15B07"/>
    <w:rsid w:val="00D1749D"/>
    <w:rsid w:val="00D17E45"/>
    <w:rsid w:val="00D2350C"/>
    <w:rsid w:val="00D24778"/>
    <w:rsid w:val="00D27859"/>
    <w:rsid w:val="00D30C95"/>
    <w:rsid w:val="00D31976"/>
    <w:rsid w:val="00D32700"/>
    <w:rsid w:val="00D33037"/>
    <w:rsid w:val="00D332C0"/>
    <w:rsid w:val="00D35106"/>
    <w:rsid w:val="00D35B0C"/>
    <w:rsid w:val="00D3640C"/>
    <w:rsid w:val="00D36693"/>
    <w:rsid w:val="00D41D69"/>
    <w:rsid w:val="00D42C1C"/>
    <w:rsid w:val="00D43FA6"/>
    <w:rsid w:val="00D467BD"/>
    <w:rsid w:val="00D47723"/>
    <w:rsid w:val="00D54AB6"/>
    <w:rsid w:val="00D57E22"/>
    <w:rsid w:val="00D63159"/>
    <w:rsid w:val="00D63926"/>
    <w:rsid w:val="00D63DB0"/>
    <w:rsid w:val="00D6410B"/>
    <w:rsid w:val="00D659FB"/>
    <w:rsid w:val="00D73195"/>
    <w:rsid w:val="00D74310"/>
    <w:rsid w:val="00D76BC8"/>
    <w:rsid w:val="00D8097D"/>
    <w:rsid w:val="00D810FE"/>
    <w:rsid w:val="00D8189C"/>
    <w:rsid w:val="00D827A3"/>
    <w:rsid w:val="00D8399E"/>
    <w:rsid w:val="00D83E4B"/>
    <w:rsid w:val="00D90BA7"/>
    <w:rsid w:val="00D90C4D"/>
    <w:rsid w:val="00D92A7D"/>
    <w:rsid w:val="00D93750"/>
    <w:rsid w:val="00DA0004"/>
    <w:rsid w:val="00DA18F4"/>
    <w:rsid w:val="00DA24BD"/>
    <w:rsid w:val="00DA3534"/>
    <w:rsid w:val="00DA3761"/>
    <w:rsid w:val="00DA3BB3"/>
    <w:rsid w:val="00DA3FE5"/>
    <w:rsid w:val="00DB1C9E"/>
    <w:rsid w:val="00DB2199"/>
    <w:rsid w:val="00DB3D26"/>
    <w:rsid w:val="00DB712D"/>
    <w:rsid w:val="00DC05C4"/>
    <w:rsid w:val="00DC572C"/>
    <w:rsid w:val="00DC6088"/>
    <w:rsid w:val="00DC6335"/>
    <w:rsid w:val="00DC6EC1"/>
    <w:rsid w:val="00DC74EF"/>
    <w:rsid w:val="00DC769C"/>
    <w:rsid w:val="00DD6727"/>
    <w:rsid w:val="00DE2A6F"/>
    <w:rsid w:val="00DE4A92"/>
    <w:rsid w:val="00DE5AF8"/>
    <w:rsid w:val="00DE6945"/>
    <w:rsid w:val="00DF15DB"/>
    <w:rsid w:val="00DF2B10"/>
    <w:rsid w:val="00DF68B6"/>
    <w:rsid w:val="00E00CBA"/>
    <w:rsid w:val="00E024A9"/>
    <w:rsid w:val="00E027F6"/>
    <w:rsid w:val="00E0657C"/>
    <w:rsid w:val="00E06ECA"/>
    <w:rsid w:val="00E0777B"/>
    <w:rsid w:val="00E07FB3"/>
    <w:rsid w:val="00E129C2"/>
    <w:rsid w:val="00E15362"/>
    <w:rsid w:val="00E154F6"/>
    <w:rsid w:val="00E223F6"/>
    <w:rsid w:val="00E22770"/>
    <w:rsid w:val="00E25022"/>
    <w:rsid w:val="00E253AA"/>
    <w:rsid w:val="00E267A2"/>
    <w:rsid w:val="00E270A0"/>
    <w:rsid w:val="00E306A1"/>
    <w:rsid w:val="00E307BF"/>
    <w:rsid w:val="00E33C24"/>
    <w:rsid w:val="00E34B8D"/>
    <w:rsid w:val="00E40E2D"/>
    <w:rsid w:val="00E41CEE"/>
    <w:rsid w:val="00E45504"/>
    <w:rsid w:val="00E478C8"/>
    <w:rsid w:val="00E50CDC"/>
    <w:rsid w:val="00E50DA6"/>
    <w:rsid w:val="00E51002"/>
    <w:rsid w:val="00E51620"/>
    <w:rsid w:val="00E544F0"/>
    <w:rsid w:val="00E54946"/>
    <w:rsid w:val="00E55862"/>
    <w:rsid w:val="00E6003E"/>
    <w:rsid w:val="00E601FC"/>
    <w:rsid w:val="00E61C6D"/>
    <w:rsid w:val="00E629D2"/>
    <w:rsid w:val="00E670A1"/>
    <w:rsid w:val="00E728F4"/>
    <w:rsid w:val="00E74311"/>
    <w:rsid w:val="00E74F7A"/>
    <w:rsid w:val="00E81B72"/>
    <w:rsid w:val="00E8387F"/>
    <w:rsid w:val="00E843BE"/>
    <w:rsid w:val="00E87F58"/>
    <w:rsid w:val="00E90B19"/>
    <w:rsid w:val="00E93431"/>
    <w:rsid w:val="00E94C67"/>
    <w:rsid w:val="00E94EED"/>
    <w:rsid w:val="00E95853"/>
    <w:rsid w:val="00E979EB"/>
    <w:rsid w:val="00EA4380"/>
    <w:rsid w:val="00EA4D99"/>
    <w:rsid w:val="00EB0890"/>
    <w:rsid w:val="00EB3209"/>
    <w:rsid w:val="00EB6649"/>
    <w:rsid w:val="00EC337C"/>
    <w:rsid w:val="00EC385B"/>
    <w:rsid w:val="00EC5394"/>
    <w:rsid w:val="00EC7AD3"/>
    <w:rsid w:val="00ED1917"/>
    <w:rsid w:val="00ED2619"/>
    <w:rsid w:val="00ED361E"/>
    <w:rsid w:val="00EE06AE"/>
    <w:rsid w:val="00EE5EEA"/>
    <w:rsid w:val="00EE7741"/>
    <w:rsid w:val="00EF0177"/>
    <w:rsid w:val="00EF030B"/>
    <w:rsid w:val="00EF49EA"/>
    <w:rsid w:val="00EF4CCD"/>
    <w:rsid w:val="00EF5398"/>
    <w:rsid w:val="00EF79C6"/>
    <w:rsid w:val="00F01EFA"/>
    <w:rsid w:val="00F052BF"/>
    <w:rsid w:val="00F05D13"/>
    <w:rsid w:val="00F07D74"/>
    <w:rsid w:val="00F120A6"/>
    <w:rsid w:val="00F15545"/>
    <w:rsid w:val="00F21D01"/>
    <w:rsid w:val="00F23F59"/>
    <w:rsid w:val="00F24EA0"/>
    <w:rsid w:val="00F25C87"/>
    <w:rsid w:val="00F266F9"/>
    <w:rsid w:val="00F30EB6"/>
    <w:rsid w:val="00F365AF"/>
    <w:rsid w:val="00F4781D"/>
    <w:rsid w:val="00F503B4"/>
    <w:rsid w:val="00F5231E"/>
    <w:rsid w:val="00F54654"/>
    <w:rsid w:val="00F55ADA"/>
    <w:rsid w:val="00F60E74"/>
    <w:rsid w:val="00F626E3"/>
    <w:rsid w:val="00F63816"/>
    <w:rsid w:val="00F63875"/>
    <w:rsid w:val="00F66B9C"/>
    <w:rsid w:val="00F7181A"/>
    <w:rsid w:val="00F72740"/>
    <w:rsid w:val="00F75C69"/>
    <w:rsid w:val="00F77A03"/>
    <w:rsid w:val="00F8009A"/>
    <w:rsid w:val="00F82003"/>
    <w:rsid w:val="00F82E02"/>
    <w:rsid w:val="00F84775"/>
    <w:rsid w:val="00F861D8"/>
    <w:rsid w:val="00F87D98"/>
    <w:rsid w:val="00F904CD"/>
    <w:rsid w:val="00F90628"/>
    <w:rsid w:val="00F972F4"/>
    <w:rsid w:val="00FA1679"/>
    <w:rsid w:val="00FA3043"/>
    <w:rsid w:val="00FA66C2"/>
    <w:rsid w:val="00FB1091"/>
    <w:rsid w:val="00FB1322"/>
    <w:rsid w:val="00FB1E5F"/>
    <w:rsid w:val="00FB33B1"/>
    <w:rsid w:val="00FB36BC"/>
    <w:rsid w:val="00FB3BE3"/>
    <w:rsid w:val="00FC3312"/>
    <w:rsid w:val="00FD29F6"/>
    <w:rsid w:val="00FE2AC8"/>
    <w:rsid w:val="00FE70B6"/>
    <w:rsid w:val="00FF0B12"/>
    <w:rsid w:val="00FF1021"/>
    <w:rsid w:val="00FF1946"/>
    <w:rsid w:val="00FF1B4F"/>
    <w:rsid w:val="00FF27FB"/>
    <w:rsid w:val="00FF2F4A"/>
    <w:rsid w:val="00FF70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9A8233"/>
  <w15:docId w15:val="{FEA66579-F94D-4B56-8DD3-FFA61B778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E49D3"/>
    <w:pPr>
      <w:keepNext/>
      <w:keepLines/>
      <w:spacing w:before="240" w:after="0"/>
      <w:outlineLvl w:val="0"/>
    </w:pPr>
    <w:rPr>
      <w:rFonts w:ascii="Arial" w:eastAsiaTheme="majorEastAsia" w:hAnsi="Arial" w:cstheme="majorBidi"/>
      <w:b/>
      <w:color w:val="000000" w:themeColor="text1"/>
      <w:sz w:val="24"/>
      <w:szCs w:val="32"/>
    </w:rPr>
  </w:style>
  <w:style w:type="paragraph" w:styleId="Heading2">
    <w:name w:val="heading 2"/>
    <w:basedOn w:val="Normal"/>
    <w:next w:val="Normal"/>
    <w:link w:val="Heading2Char"/>
    <w:uiPriority w:val="9"/>
    <w:unhideWhenUsed/>
    <w:qFormat/>
    <w:rsid w:val="005E49D3"/>
    <w:pPr>
      <w:keepNext/>
      <w:keepLines/>
      <w:spacing w:before="40" w:after="0"/>
      <w:outlineLvl w:val="1"/>
    </w:pPr>
    <w:rPr>
      <w:rFonts w:ascii="Arial" w:eastAsiaTheme="majorEastAsia" w:hAnsi="Arial"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9D3"/>
    <w:rPr>
      <w:rFonts w:ascii="Arial" w:eastAsiaTheme="majorEastAsia" w:hAnsi="Arial" w:cstheme="majorBidi"/>
      <w:b/>
      <w:color w:val="000000" w:themeColor="text1"/>
      <w:sz w:val="24"/>
      <w:szCs w:val="32"/>
    </w:rPr>
  </w:style>
  <w:style w:type="character" w:customStyle="1" w:styleId="Heading2Char">
    <w:name w:val="Heading 2 Char"/>
    <w:basedOn w:val="DefaultParagraphFont"/>
    <w:link w:val="Heading2"/>
    <w:uiPriority w:val="9"/>
    <w:rsid w:val="005E49D3"/>
    <w:rPr>
      <w:rFonts w:ascii="Arial" w:eastAsiaTheme="majorEastAsia" w:hAnsi="Arial" w:cstheme="majorBidi"/>
      <w:b/>
      <w:szCs w:val="26"/>
    </w:rPr>
  </w:style>
  <w:style w:type="paragraph" w:styleId="ListParagraph">
    <w:name w:val="List Paragraph"/>
    <w:basedOn w:val="Normal"/>
    <w:uiPriority w:val="34"/>
    <w:qFormat/>
    <w:rsid w:val="00CB032D"/>
    <w:pPr>
      <w:ind w:left="720"/>
      <w:contextualSpacing/>
    </w:pPr>
  </w:style>
  <w:style w:type="character" w:styleId="CommentReference">
    <w:name w:val="annotation reference"/>
    <w:basedOn w:val="DefaultParagraphFont"/>
    <w:uiPriority w:val="99"/>
    <w:semiHidden/>
    <w:unhideWhenUsed/>
    <w:rsid w:val="00351FA2"/>
    <w:rPr>
      <w:sz w:val="16"/>
      <w:szCs w:val="16"/>
    </w:rPr>
  </w:style>
  <w:style w:type="paragraph" w:styleId="CommentText">
    <w:name w:val="annotation text"/>
    <w:basedOn w:val="Normal"/>
    <w:link w:val="CommentTextChar"/>
    <w:uiPriority w:val="99"/>
    <w:unhideWhenUsed/>
    <w:rsid w:val="00351FA2"/>
    <w:pPr>
      <w:spacing w:line="240" w:lineRule="auto"/>
    </w:pPr>
    <w:rPr>
      <w:sz w:val="20"/>
      <w:szCs w:val="20"/>
    </w:rPr>
  </w:style>
  <w:style w:type="character" w:customStyle="1" w:styleId="CommentTextChar">
    <w:name w:val="Comment Text Char"/>
    <w:basedOn w:val="DefaultParagraphFont"/>
    <w:link w:val="CommentText"/>
    <w:uiPriority w:val="99"/>
    <w:rsid w:val="00351FA2"/>
    <w:rPr>
      <w:sz w:val="20"/>
      <w:szCs w:val="20"/>
    </w:rPr>
  </w:style>
  <w:style w:type="paragraph" w:styleId="CommentSubject">
    <w:name w:val="annotation subject"/>
    <w:basedOn w:val="CommentText"/>
    <w:next w:val="CommentText"/>
    <w:link w:val="CommentSubjectChar"/>
    <w:uiPriority w:val="99"/>
    <w:semiHidden/>
    <w:unhideWhenUsed/>
    <w:rsid w:val="00351FA2"/>
    <w:rPr>
      <w:b/>
      <w:bCs/>
    </w:rPr>
  </w:style>
  <w:style w:type="character" w:customStyle="1" w:styleId="CommentSubjectChar">
    <w:name w:val="Comment Subject Char"/>
    <w:basedOn w:val="CommentTextChar"/>
    <w:link w:val="CommentSubject"/>
    <w:uiPriority w:val="99"/>
    <w:semiHidden/>
    <w:rsid w:val="00351FA2"/>
    <w:rPr>
      <w:b/>
      <w:bCs/>
      <w:sz w:val="20"/>
      <w:szCs w:val="20"/>
    </w:rPr>
  </w:style>
  <w:style w:type="paragraph" w:styleId="BalloonText">
    <w:name w:val="Balloon Text"/>
    <w:basedOn w:val="Normal"/>
    <w:link w:val="BalloonTextChar"/>
    <w:uiPriority w:val="99"/>
    <w:semiHidden/>
    <w:unhideWhenUsed/>
    <w:rsid w:val="00351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FA2"/>
    <w:rPr>
      <w:rFonts w:ascii="Segoe UI" w:hAnsi="Segoe UI" w:cs="Segoe UI"/>
      <w:sz w:val="18"/>
      <w:szCs w:val="18"/>
    </w:rPr>
  </w:style>
  <w:style w:type="paragraph" w:styleId="NoSpacing">
    <w:name w:val="No Spacing"/>
    <w:uiPriority w:val="1"/>
    <w:qFormat/>
    <w:rsid w:val="00B6674D"/>
    <w:pPr>
      <w:spacing w:after="0" w:line="240" w:lineRule="auto"/>
    </w:pPr>
  </w:style>
  <w:style w:type="character" w:styleId="PlaceholderText">
    <w:name w:val="Placeholder Text"/>
    <w:basedOn w:val="DefaultParagraphFont"/>
    <w:uiPriority w:val="99"/>
    <w:semiHidden/>
    <w:rsid w:val="00341490"/>
    <w:rPr>
      <w:color w:val="808080"/>
    </w:rPr>
  </w:style>
  <w:style w:type="paragraph" w:styleId="Revision">
    <w:name w:val="Revision"/>
    <w:hidden/>
    <w:uiPriority w:val="99"/>
    <w:semiHidden/>
    <w:rsid w:val="00821054"/>
    <w:pPr>
      <w:spacing w:after="0" w:line="240" w:lineRule="auto"/>
    </w:pPr>
  </w:style>
  <w:style w:type="paragraph" w:styleId="EndnoteText">
    <w:name w:val="endnote text"/>
    <w:basedOn w:val="Normal"/>
    <w:link w:val="EndnoteTextChar"/>
    <w:uiPriority w:val="99"/>
    <w:unhideWhenUsed/>
    <w:rsid w:val="00F82E02"/>
    <w:pPr>
      <w:spacing w:after="0" w:line="240" w:lineRule="auto"/>
    </w:pPr>
    <w:rPr>
      <w:sz w:val="20"/>
      <w:szCs w:val="20"/>
    </w:rPr>
  </w:style>
  <w:style w:type="character" w:customStyle="1" w:styleId="EndnoteTextChar">
    <w:name w:val="Endnote Text Char"/>
    <w:basedOn w:val="DefaultParagraphFont"/>
    <w:link w:val="EndnoteText"/>
    <w:uiPriority w:val="99"/>
    <w:rsid w:val="00F82E02"/>
    <w:rPr>
      <w:sz w:val="20"/>
      <w:szCs w:val="20"/>
    </w:rPr>
  </w:style>
  <w:style w:type="character" w:styleId="EndnoteReference">
    <w:name w:val="endnote reference"/>
    <w:basedOn w:val="DefaultParagraphFont"/>
    <w:uiPriority w:val="99"/>
    <w:semiHidden/>
    <w:unhideWhenUsed/>
    <w:rsid w:val="00F82E02"/>
    <w:rPr>
      <w:vertAlign w:val="superscript"/>
    </w:rPr>
  </w:style>
  <w:style w:type="character" w:customStyle="1" w:styleId="highlight">
    <w:name w:val="highlight"/>
    <w:basedOn w:val="DefaultParagraphFont"/>
    <w:rsid w:val="00CE2AAE"/>
  </w:style>
  <w:style w:type="paragraph" w:customStyle="1" w:styleId="Head1">
    <w:name w:val="Head 1"/>
    <w:basedOn w:val="Normal"/>
    <w:autoRedefine/>
    <w:rsid w:val="00A2463D"/>
    <w:pPr>
      <w:spacing w:after="0" w:line="360" w:lineRule="auto"/>
      <w:jc w:val="both"/>
    </w:pPr>
    <w:rPr>
      <w:rFonts w:ascii="Times New Roman" w:eastAsia="MS Mincho" w:hAnsi="Times New Roman" w:cs="Times New Roman"/>
      <w:b/>
      <w:sz w:val="24"/>
      <w:szCs w:val="24"/>
      <w:lang w:val="en-US" w:eastAsia="ja-JP"/>
    </w:rPr>
  </w:style>
  <w:style w:type="character" w:styleId="Hyperlink">
    <w:name w:val="Hyperlink"/>
    <w:basedOn w:val="DefaultParagraphFont"/>
    <w:uiPriority w:val="99"/>
    <w:unhideWhenUsed/>
    <w:rsid w:val="007E5EA9"/>
    <w:rPr>
      <w:color w:val="0563C1" w:themeColor="hyperlink"/>
      <w:u w:val="single"/>
    </w:rPr>
  </w:style>
  <w:style w:type="character" w:styleId="Emphasis">
    <w:name w:val="Emphasis"/>
    <w:basedOn w:val="DefaultParagraphFont"/>
    <w:uiPriority w:val="20"/>
    <w:qFormat/>
    <w:rsid w:val="007655A2"/>
    <w:rPr>
      <w:i/>
      <w:iCs/>
    </w:rPr>
  </w:style>
  <w:style w:type="character" w:customStyle="1" w:styleId="strong-value2">
    <w:name w:val="strong-value2"/>
    <w:basedOn w:val="DefaultParagraphFont"/>
    <w:rsid w:val="007655A2"/>
    <w:rPr>
      <w:b/>
      <w:bCs/>
    </w:rPr>
  </w:style>
  <w:style w:type="paragraph" w:styleId="Header">
    <w:name w:val="header"/>
    <w:basedOn w:val="Normal"/>
    <w:link w:val="HeaderChar"/>
    <w:uiPriority w:val="99"/>
    <w:unhideWhenUsed/>
    <w:rsid w:val="007224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433"/>
  </w:style>
  <w:style w:type="paragraph" w:styleId="Footer">
    <w:name w:val="footer"/>
    <w:basedOn w:val="Normal"/>
    <w:link w:val="FooterChar"/>
    <w:uiPriority w:val="99"/>
    <w:unhideWhenUsed/>
    <w:rsid w:val="007224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30247">
      <w:bodyDiv w:val="1"/>
      <w:marLeft w:val="0"/>
      <w:marRight w:val="0"/>
      <w:marTop w:val="0"/>
      <w:marBottom w:val="0"/>
      <w:divBdr>
        <w:top w:val="none" w:sz="0" w:space="0" w:color="auto"/>
        <w:left w:val="none" w:sz="0" w:space="0" w:color="auto"/>
        <w:bottom w:val="none" w:sz="0" w:space="0" w:color="auto"/>
        <w:right w:val="none" w:sz="0" w:space="0" w:color="auto"/>
      </w:divBdr>
      <w:divsChild>
        <w:div w:id="574823663">
          <w:marLeft w:val="360"/>
          <w:marRight w:val="0"/>
          <w:marTop w:val="200"/>
          <w:marBottom w:val="0"/>
          <w:divBdr>
            <w:top w:val="none" w:sz="0" w:space="0" w:color="auto"/>
            <w:left w:val="none" w:sz="0" w:space="0" w:color="auto"/>
            <w:bottom w:val="none" w:sz="0" w:space="0" w:color="auto"/>
            <w:right w:val="none" w:sz="0" w:space="0" w:color="auto"/>
          </w:divBdr>
        </w:div>
        <w:div w:id="569198215">
          <w:marLeft w:val="360"/>
          <w:marRight w:val="0"/>
          <w:marTop w:val="200"/>
          <w:marBottom w:val="0"/>
          <w:divBdr>
            <w:top w:val="none" w:sz="0" w:space="0" w:color="auto"/>
            <w:left w:val="none" w:sz="0" w:space="0" w:color="auto"/>
            <w:bottom w:val="none" w:sz="0" w:space="0" w:color="auto"/>
            <w:right w:val="none" w:sz="0" w:space="0" w:color="auto"/>
          </w:divBdr>
        </w:div>
        <w:div w:id="1967004992">
          <w:marLeft w:val="360"/>
          <w:marRight w:val="0"/>
          <w:marTop w:val="200"/>
          <w:marBottom w:val="0"/>
          <w:divBdr>
            <w:top w:val="none" w:sz="0" w:space="0" w:color="auto"/>
            <w:left w:val="none" w:sz="0" w:space="0" w:color="auto"/>
            <w:bottom w:val="none" w:sz="0" w:space="0" w:color="auto"/>
            <w:right w:val="none" w:sz="0" w:space="0" w:color="auto"/>
          </w:divBdr>
        </w:div>
        <w:div w:id="900212605">
          <w:marLeft w:val="360"/>
          <w:marRight w:val="0"/>
          <w:marTop w:val="200"/>
          <w:marBottom w:val="0"/>
          <w:divBdr>
            <w:top w:val="none" w:sz="0" w:space="0" w:color="auto"/>
            <w:left w:val="none" w:sz="0" w:space="0" w:color="auto"/>
            <w:bottom w:val="none" w:sz="0" w:space="0" w:color="auto"/>
            <w:right w:val="none" w:sz="0" w:space="0" w:color="auto"/>
          </w:divBdr>
        </w:div>
      </w:divsChild>
    </w:div>
    <w:div w:id="224293000">
      <w:bodyDiv w:val="1"/>
      <w:marLeft w:val="0"/>
      <w:marRight w:val="0"/>
      <w:marTop w:val="0"/>
      <w:marBottom w:val="0"/>
      <w:divBdr>
        <w:top w:val="none" w:sz="0" w:space="0" w:color="auto"/>
        <w:left w:val="none" w:sz="0" w:space="0" w:color="auto"/>
        <w:bottom w:val="none" w:sz="0" w:space="0" w:color="auto"/>
        <w:right w:val="none" w:sz="0" w:space="0" w:color="auto"/>
      </w:divBdr>
    </w:div>
    <w:div w:id="252858045">
      <w:bodyDiv w:val="1"/>
      <w:marLeft w:val="0"/>
      <w:marRight w:val="0"/>
      <w:marTop w:val="0"/>
      <w:marBottom w:val="0"/>
      <w:divBdr>
        <w:top w:val="none" w:sz="0" w:space="0" w:color="auto"/>
        <w:left w:val="none" w:sz="0" w:space="0" w:color="auto"/>
        <w:bottom w:val="none" w:sz="0" w:space="0" w:color="auto"/>
        <w:right w:val="none" w:sz="0" w:space="0" w:color="auto"/>
      </w:divBdr>
    </w:div>
    <w:div w:id="273827860">
      <w:bodyDiv w:val="1"/>
      <w:marLeft w:val="0"/>
      <w:marRight w:val="0"/>
      <w:marTop w:val="0"/>
      <w:marBottom w:val="0"/>
      <w:divBdr>
        <w:top w:val="none" w:sz="0" w:space="0" w:color="auto"/>
        <w:left w:val="none" w:sz="0" w:space="0" w:color="auto"/>
        <w:bottom w:val="none" w:sz="0" w:space="0" w:color="auto"/>
        <w:right w:val="none" w:sz="0" w:space="0" w:color="auto"/>
      </w:divBdr>
    </w:div>
    <w:div w:id="298996189">
      <w:bodyDiv w:val="1"/>
      <w:marLeft w:val="0"/>
      <w:marRight w:val="0"/>
      <w:marTop w:val="0"/>
      <w:marBottom w:val="0"/>
      <w:divBdr>
        <w:top w:val="none" w:sz="0" w:space="0" w:color="auto"/>
        <w:left w:val="none" w:sz="0" w:space="0" w:color="auto"/>
        <w:bottom w:val="none" w:sz="0" w:space="0" w:color="auto"/>
        <w:right w:val="none" w:sz="0" w:space="0" w:color="auto"/>
      </w:divBdr>
    </w:div>
    <w:div w:id="426927570">
      <w:bodyDiv w:val="1"/>
      <w:marLeft w:val="0"/>
      <w:marRight w:val="0"/>
      <w:marTop w:val="0"/>
      <w:marBottom w:val="0"/>
      <w:divBdr>
        <w:top w:val="none" w:sz="0" w:space="0" w:color="auto"/>
        <w:left w:val="none" w:sz="0" w:space="0" w:color="auto"/>
        <w:bottom w:val="none" w:sz="0" w:space="0" w:color="auto"/>
        <w:right w:val="none" w:sz="0" w:space="0" w:color="auto"/>
      </w:divBdr>
    </w:div>
    <w:div w:id="487287141">
      <w:bodyDiv w:val="1"/>
      <w:marLeft w:val="0"/>
      <w:marRight w:val="0"/>
      <w:marTop w:val="0"/>
      <w:marBottom w:val="0"/>
      <w:divBdr>
        <w:top w:val="none" w:sz="0" w:space="0" w:color="auto"/>
        <w:left w:val="none" w:sz="0" w:space="0" w:color="auto"/>
        <w:bottom w:val="none" w:sz="0" w:space="0" w:color="auto"/>
        <w:right w:val="none" w:sz="0" w:space="0" w:color="auto"/>
      </w:divBdr>
    </w:div>
    <w:div w:id="533543716">
      <w:bodyDiv w:val="1"/>
      <w:marLeft w:val="0"/>
      <w:marRight w:val="0"/>
      <w:marTop w:val="0"/>
      <w:marBottom w:val="0"/>
      <w:divBdr>
        <w:top w:val="none" w:sz="0" w:space="0" w:color="auto"/>
        <w:left w:val="none" w:sz="0" w:space="0" w:color="auto"/>
        <w:bottom w:val="none" w:sz="0" w:space="0" w:color="auto"/>
        <w:right w:val="none" w:sz="0" w:space="0" w:color="auto"/>
      </w:divBdr>
    </w:div>
    <w:div w:id="723408343">
      <w:bodyDiv w:val="1"/>
      <w:marLeft w:val="0"/>
      <w:marRight w:val="0"/>
      <w:marTop w:val="0"/>
      <w:marBottom w:val="0"/>
      <w:divBdr>
        <w:top w:val="none" w:sz="0" w:space="0" w:color="auto"/>
        <w:left w:val="none" w:sz="0" w:space="0" w:color="auto"/>
        <w:bottom w:val="none" w:sz="0" w:space="0" w:color="auto"/>
        <w:right w:val="none" w:sz="0" w:space="0" w:color="auto"/>
      </w:divBdr>
      <w:divsChild>
        <w:div w:id="1209028712">
          <w:marLeft w:val="0"/>
          <w:marRight w:val="0"/>
          <w:marTop w:val="0"/>
          <w:marBottom w:val="0"/>
          <w:divBdr>
            <w:top w:val="none" w:sz="0" w:space="0" w:color="auto"/>
            <w:left w:val="none" w:sz="0" w:space="0" w:color="auto"/>
            <w:bottom w:val="none" w:sz="0" w:space="0" w:color="auto"/>
            <w:right w:val="none" w:sz="0" w:space="0" w:color="auto"/>
          </w:divBdr>
        </w:div>
        <w:div w:id="1091439053">
          <w:marLeft w:val="0"/>
          <w:marRight w:val="0"/>
          <w:marTop w:val="0"/>
          <w:marBottom w:val="0"/>
          <w:divBdr>
            <w:top w:val="none" w:sz="0" w:space="0" w:color="auto"/>
            <w:left w:val="none" w:sz="0" w:space="0" w:color="auto"/>
            <w:bottom w:val="none" w:sz="0" w:space="0" w:color="auto"/>
            <w:right w:val="none" w:sz="0" w:space="0" w:color="auto"/>
          </w:divBdr>
        </w:div>
        <w:div w:id="367529092">
          <w:marLeft w:val="0"/>
          <w:marRight w:val="0"/>
          <w:marTop w:val="0"/>
          <w:marBottom w:val="0"/>
          <w:divBdr>
            <w:top w:val="none" w:sz="0" w:space="0" w:color="auto"/>
            <w:left w:val="none" w:sz="0" w:space="0" w:color="auto"/>
            <w:bottom w:val="none" w:sz="0" w:space="0" w:color="auto"/>
            <w:right w:val="none" w:sz="0" w:space="0" w:color="auto"/>
          </w:divBdr>
        </w:div>
      </w:divsChild>
    </w:div>
    <w:div w:id="7510441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258">
          <w:marLeft w:val="446"/>
          <w:marRight w:val="0"/>
          <w:marTop w:val="0"/>
          <w:marBottom w:val="0"/>
          <w:divBdr>
            <w:top w:val="none" w:sz="0" w:space="0" w:color="auto"/>
            <w:left w:val="none" w:sz="0" w:space="0" w:color="auto"/>
            <w:bottom w:val="none" w:sz="0" w:space="0" w:color="auto"/>
            <w:right w:val="none" w:sz="0" w:space="0" w:color="auto"/>
          </w:divBdr>
        </w:div>
        <w:div w:id="111634934">
          <w:marLeft w:val="446"/>
          <w:marRight w:val="0"/>
          <w:marTop w:val="0"/>
          <w:marBottom w:val="0"/>
          <w:divBdr>
            <w:top w:val="none" w:sz="0" w:space="0" w:color="auto"/>
            <w:left w:val="none" w:sz="0" w:space="0" w:color="auto"/>
            <w:bottom w:val="none" w:sz="0" w:space="0" w:color="auto"/>
            <w:right w:val="none" w:sz="0" w:space="0" w:color="auto"/>
          </w:divBdr>
        </w:div>
        <w:div w:id="1611087805">
          <w:marLeft w:val="446"/>
          <w:marRight w:val="0"/>
          <w:marTop w:val="0"/>
          <w:marBottom w:val="0"/>
          <w:divBdr>
            <w:top w:val="none" w:sz="0" w:space="0" w:color="auto"/>
            <w:left w:val="none" w:sz="0" w:space="0" w:color="auto"/>
            <w:bottom w:val="none" w:sz="0" w:space="0" w:color="auto"/>
            <w:right w:val="none" w:sz="0" w:space="0" w:color="auto"/>
          </w:divBdr>
        </w:div>
        <w:div w:id="256446734">
          <w:marLeft w:val="446"/>
          <w:marRight w:val="0"/>
          <w:marTop w:val="0"/>
          <w:marBottom w:val="0"/>
          <w:divBdr>
            <w:top w:val="none" w:sz="0" w:space="0" w:color="auto"/>
            <w:left w:val="none" w:sz="0" w:space="0" w:color="auto"/>
            <w:bottom w:val="none" w:sz="0" w:space="0" w:color="auto"/>
            <w:right w:val="none" w:sz="0" w:space="0" w:color="auto"/>
          </w:divBdr>
        </w:div>
        <w:div w:id="856848413">
          <w:marLeft w:val="446"/>
          <w:marRight w:val="0"/>
          <w:marTop w:val="0"/>
          <w:marBottom w:val="0"/>
          <w:divBdr>
            <w:top w:val="none" w:sz="0" w:space="0" w:color="auto"/>
            <w:left w:val="none" w:sz="0" w:space="0" w:color="auto"/>
            <w:bottom w:val="none" w:sz="0" w:space="0" w:color="auto"/>
            <w:right w:val="none" w:sz="0" w:space="0" w:color="auto"/>
          </w:divBdr>
        </w:div>
      </w:divsChild>
    </w:div>
    <w:div w:id="840000520">
      <w:bodyDiv w:val="1"/>
      <w:marLeft w:val="0"/>
      <w:marRight w:val="0"/>
      <w:marTop w:val="0"/>
      <w:marBottom w:val="0"/>
      <w:divBdr>
        <w:top w:val="none" w:sz="0" w:space="0" w:color="auto"/>
        <w:left w:val="none" w:sz="0" w:space="0" w:color="auto"/>
        <w:bottom w:val="none" w:sz="0" w:space="0" w:color="auto"/>
        <w:right w:val="none" w:sz="0" w:space="0" w:color="auto"/>
      </w:divBdr>
      <w:divsChild>
        <w:div w:id="1063213010">
          <w:marLeft w:val="0"/>
          <w:marRight w:val="0"/>
          <w:marTop w:val="100"/>
          <w:marBottom w:val="100"/>
          <w:divBdr>
            <w:top w:val="none" w:sz="0" w:space="0" w:color="auto"/>
            <w:left w:val="none" w:sz="0" w:space="0" w:color="auto"/>
            <w:bottom w:val="none" w:sz="0" w:space="0" w:color="auto"/>
            <w:right w:val="none" w:sz="0" w:space="0" w:color="auto"/>
          </w:divBdr>
          <w:divsChild>
            <w:div w:id="764502103">
              <w:marLeft w:val="0"/>
              <w:marRight w:val="0"/>
              <w:marTop w:val="0"/>
              <w:marBottom w:val="0"/>
              <w:divBdr>
                <w:top w:val="none" w:sz="0" w:space="0" w:color="auto"/>
                <w:left w:val="none" w:sz="0" w:space="0" w:color="auto"/>
                <w:bottom w:val="none" w:sz="0" w:space="0" w:color="auto"/>
                <w:right w:val="none" w:sz="0" w:space="0" w:color="auto"/>
              </w:divBdr>
            </w:div>
            <w:div w:id="42481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5060">
      <w:bodyDiv w:val="1"/>
      <w:marLeft w:val="0"/>
      <w:marRight w:val="0"/>
      <w:marTop w:val="0"/>
      <w:marBottom w:val="0"/>
      <w:divBdr>
        <w:top w:val="none" w:sz="0" w:space="0" w:color="auto"/>
        <w:left w:val="none" w:sz="0" w:space="0" w:color="auto"/>
        <w:bottom w:val="none" w:sz="0" w:space="0" w:color="auto"/>
        <w:right w:val="none" w:sz="0" w:space="0" w:color="auto"/>
      </w:divBdr>
      <w:divsChild>
        <w:div w:id="842203186">
          <w:marLeft w:val="360"/>
          <w:marRight w:val="0"/>
          <w:marTop w:val="200"/>
          <w:marBottom w:val="0"/>
          <w:divBdr>
            <w:top w:val="none" w:sz="0" w:space="0" w:color="auto"/>
            <w:left w:val="none" w:sz="0" w:space="0" w:color="auto"/>
            <w:bottom w:val="none" w:sz="0" w:space="0" w:color="auto"/>
            <w:right w:val="none" w:sz="0" w:space="0" w:color="auto"/>
          </w:divBdr>
        </w:div>
        <w:div w:id="1857767224">
          <w:marLeft w:val="360"/>
          <w:marRight w:val="0"/>
          <w:marTop w:val="200"/>
          <w:marBottom w:val="0"/>
          <w:divBdr>
            <w:top w:val="none" w:sz="0" w:space="0" w:color="auto"/>
            <w:left w:val="none" w:sz="0" w:space="0" w:color="auto"/>
            <w:bottom w:val="none" w:sz="0" w:space="0" w:color="auto"/>
            <w:right w:val="none" w:sz="0" w:space="0" w:color="auto"/>
          </w:divBdr>
        </w:div>
        <w:div w:id="378407157">
          <w:marLeft w:val="360"/>
          <w:marRight w:val="0"/>
          <w:marTop w:val="200"/>
          <w:marBottom w:val="0"/>
          <w:divBdr>
            <w:top w:val="none" w:sz="0" w:space="0" w:color="auto"/>
            <w:left w:val="none" w:sz="0" w:space="0" w:color="auto"/>
            <w:bottom w:val="none" w:sz="0" w:space="0" w:color="auto"/>
            <w:right w:val="none" w:sz="0" w:space="0" w:color="auto"/>
          </w:divBdr>
        </w:div>
        <w:div w:id="370541542">
          <w:marLeft w:val="360"/>
          <w:marRight w:val="0"/>
          <w:marTop w:val="200"/>
          <w:marBottom w:val="0"/>
          <w:divBdr>
            <w:top w:val="none" w:sz="0" w:space="0" w:color="auto"/>
            <w:left w:val="none" w:sz="0" w:space="0" w:color="auto"/>
            <w:bottom w:val="none" w:sz="0" w:space="0" w:color="auto"/>
            <w:right w:val="none" w:sz="0" w:space="0" w:color="auto"/>
          </w:divBdr>
        </w:div>
        <w:div w:id="789083390">
          <w:marLeft w:val="360"/>
          <w:marRight w:val="0"/>
          <w:marTop w:val="200"/>
          <w:marBottom w:val="0"/>
          <w:divBdr>
            <w:top w:val="none" w:sz="0" w:space="0" w:color="auto"/>
            <w:left w:val="none" w:sz="0" w:space="0" w:color="auto"/>
            <w:bottom w:val="none" w:sz="0" w:space="0" w:color="auto"/>
            <w:right w:val="none" w:sz="0" w:space="0" w:color="auto"/>
          </w:divBdr>
        </w:div>
        <w:div w:id="874122446">
          <w:marLeft w:val="360"/>
          <w:marRight w:val="0"/>
          <w:marTop w:val="200"/>
          <w:marBottom w:val="0"/>
          <w:divBdr>
            <w:top w:val="none" w:sz="0" w:space="0" w:color="auto"/>
            <w:left w:val="none" w:sz="0" w:space="0" w:color="auto"/>
            <w:bottom w:val="none" w:sz="0" w:space="0" w:color="auto"/>
            <w:right w:val="none" w:sz="0" w:space="0" w:color="auto"/>
          </w:divBdr>
        </w:div>
      </w:divsChild>
    </w:div>
    <w:div w:id="941838546">
      <w:bodyDiv w:val="1"/>
      <w:marLeft w:val="0"/>
      <w:marRight w:val="0"/>
      <w:marTop w:val="0"/>
      <w:marBottom w:val="0"/>
      <w:divBdr>
        <w:top w:val="none" w:sz="0" w:space="0" w:color="auto"/>
        <w:left w:val="none" w:sz="0" w:space="0" w:color="auto"/>
        <w:bottom w:val="none" w:sz="0" w:space="0" w:color="auto"/>
        <w:right w:val="none" w:sz="0" w:space="0" w:color="auto"/>
      </w:divBdr>
      <w:divsChild>
        <w:div w:id="156384968">
          <w:marLeft w:val="360"/>
          <w:marRight w:val="0"/>
          <w:marTop w:val="200"/>
          <w:marBottom w:val="0"/>
          <w:divBdr>
            <w:top w:val="none" w:sz="0" w:space="0" w:color="auto"/>
            <w:left w:val="none" w:sz="0" w:space="0" w:color="auto"/>
            <w:bottom w:val="none" w:sz="0" w:space="0" w:color="auto"/>
            <w:right w:val="none" w:sz="0" w:space="0" w:color="auto"/>
          </w:divBdr>
        </w:div>
        <w:div w:id="986937240">
          <w:marLeft w:val="360"/>
          <w:marRight w:val="0"/>
          <w:marTop w:val="200"/>
          <w:marBottom w:val="0"/>
          <w:divBdr>
            <w:top w:val="none" w:sz="0" w:space="0" w:color="auto"/>
            <w:left w:val="none" w:sz="0" w:space="0" w:color="auto"/>
            <w:bottom w:val="none" w:sz="0" w:space="0" w:color="auto"/>
            <w:right w:val="none" w:sz="0" w:space="0" w:color="auto"/>
          </w:divBdr>
        </w:div>
        <w:div w:id="1364747809">
          <w:marLeft w:val="360"/>
          <w:marRight w:val="0"/>
          <w:marTop w:val="200"/>
          <w:marBottom w:val="0"/>
          <w:divBdr>
            <w:top w:val="none" w:sz="0" w:space="0" w:color="auto"/>
            <w:left w:val="none" w:sz="0" w:space="0" w:color="auto"/>
            <w:bottom w:val="none" w:sz="0" w:space="0" w:color="auto"/>
            <w:right w:val="none" w:sz="0" w:space="0" w:color="auto"/>
          </w:divBdr>
        </w:div>
        <w:div w:id="608782875">
          <w:marLeft w:val="360"/>
          <w:marRight w:val="0"/>
          <w:marTop w:val="200"/>
          <w:marBottom w:val="0"/>
          <w:divBdr>
            <w:top w:val="none" w:sz="0" w:space="0" w:color="auto"/>
            <w:left w:val="none" w:sz="0" w:space="0" w:color="auto"/>
            <w:bottom w:val="none" w:sz="0" w:space="0" w:color="auto"/>
            <w:right w:val="none" w:sz="0" w:space="0" w:color="auto"/>
          </w:divBdr>
        </w:div>
        <w:div w:id="301694069">
          <w:marLeft w:val="360"/>
          <w:marRight w:val="0"/>
          <w:marTop w:val="200"/>
          <w:marBottom w:val="0"/>
          <w:divBdr>
            <w:top w:val="none" w:sz="0" w:space="0" w:color="auto"/>
            <w:left w:val="none" w:sz="0" w:space="0" w:color="auto"/>
            <w:bottom w:val="none" w:sz="0" w:space="0" w:color="auto"/>
            <w:right w:val="none" w:sz="0" w:space="0" w:color="auto"/>
          </w:divBdr>
        </w:div>
      </w:divsChild>
    </w:div>
    <w:div w:id="1175222454">
      <w:bodyDiv w:val="1"/>
      <w:marLeft w:val="0"/>
      <w:marRight w:val="0"/>
      <w:marTop w:val="0"/>
      <w:marBottom w:val="0"/>
      <w:divBdr>
        <w:top w:val="none" w:sz="0" w:space="0" w:color="auto"/>
        <w:left w:val="none" w:sz="0" w:space="0" w:color="auto"/>
        <w:bottom w:val="none" w:sz="0" w:space="0" w:color="auto"/>
        <w:right w:val="none" w:sz="0" w:space="0" w:color="auto"/>
      </w:divBdr>
    </w:div>
    <w:div w:id="1573468242">
      <w:bodyDiv w:val="1"/>
      <w:marLeft w:val="0"/>
      <w:marRight w:val="0"/>
      <w:marTop w:val="0"/>
      <w:marBottom w:val="0"/>
      <w:divBdr>
        <w:top w:val="none" w:sz="0" w:space="0" w:color="auto"/>
        <w:left w:val="none" w:sz="0" w:space="0" w:color="auto"/>
        <w:bottom w:val="none" w:sz="0" w:space="0" w:color="auto"/>
        <w:right w:val="none" w:sz="0" w:space="0" w:color="auto"/>
      </w:divBdr>
    </w:div>
    <w:div w:id="1584493236">
      <w:bodyDiv w:val="1"/>
      <w:marLeft w:val="0"/>
      <w:marRight w:val="0"/>
      <w:marTop w:val="0"/>
      <w:marBottom w:val="0"/>
      <w:divBdr>
        <w:top w:val="none" w:sz="0" w:space="0" w:color="auto"/>
        <w:left w:val="none" w:sz="0" w:space="0" w:color="auto"/>
        <w:bottom w:val="none" w:sz="0" w:space="0" w:color="auto"/>
        <w:right w:val="none" w:sz="0" w:space="0" w:color="auto"/>
      </w:divBdr>
    </w:div>
    <w:div w:id="1678314263">
      <w:bodyDiv w:val="1"/>
      <w:marLeft w:val="0"/>
      <w:marRight w:val="0"/>
      <w:marTop w:val="0"/>
      <w:marBottom w:val="0"/>
      <w:divBdr>
        <w:top w:val="none" w:sz="0" w:space="0" w:color="auto"/>
        <w:left w:val="none" w:sz="0" w:space="0" w:color="auto"/>
        <w:bottom w:val="none" w:sz="0" w:space="0" w:color="auto"/>
        <w:right w:val="none" w:sz="0" w:space="0" w:color="auto"/>
      </w:divBdr>
    </w:div>
    <w:div w:id="1822042408">
      <w:bodyDiv w:val="1"/>
      <w:marLeft w:val="0"/>
      <w:marRight w:val="0"/>
      <w:marTop w:val="0"/>
      <w:marBottom w:val="0"/>
      <w:divBdr>
        <w:top w:val="none" w:sz="0" w:space="0" w:color="auto"/>
        <w:left w:val="none" w:sz="0" w:space="0" w:color="auto"/>
        <w:bottom w:val="none" w:sz="0" w:space="0" w:color="auto"/>
        <w:right w:val="none" w:sz="0" w:space="0" w:color="auto"/>
      </w:divBdr>
    </w:div>
    <w:div w:id="1839299267">
      <w:bodyDiv w:val="1"/>
      <w:marLeft w:val="0"/>
      <w:marRight w:val="0"/>
      <w:marTop w:val="0"/>
      <w:marBottom w:val="0"/>
      <w:divBdr>
        <w:top w:val="none" w:sz="0" w:space="0" w:color="auto"/>
        <w:left w:val="none" w:sz="0" w:space="0" w:color="auto"/>
        <w:bottom w:val="none" w:sz="0" w:space="0" w:color="auto"/>
        <w:right w:val="none" w:sz="0" w:space="0" w:color="auto"/>
      </w:divBdr>
    </w:div>
    <w:div w:id="1890679522">
      <w:bodyDiv w:val="1"/>
      <w:marLeft w:val="0"/>
      <w:marRight w:val="0"/>
      <w:marTop w:val="0"/>
      <w:marBottom w:val="0"/>
      <w:divBdr>
        <w:top w:val="none" w:sz="0" w:space="0" w:color="auto"/>
        <w:left w:val="none" w:sz="0" w:space="0" w:color="auto"/>
        <w:bottom w:val="none" w:sz="0" w:space="0" w:color="auto"/>
        <w:right w:val="none" w:sz="0" w:space="0" w:color="auto"/>
      </w:divBdr>
    </w:div>
    <w:div w:id="1987931110">
      <w:bodyDiv w:val="1"/>
      <w:marLeft w:val="0"/>
      <w:marRight w:val="0"/>
      <w:marTop w:val="0"/>
      <w:marBottom w:val="0"/>
      <w:divBdr>
        <w:top w:val="none" w:sz="0" w:space="0" w:color="auto"/>
        <w:left w:val="none" w:sz="0" w:space="0" w:color="auto"/>
        <w:bottom w:val="none" w:sz="0" w:space="0" w:color="auto"/>
        <w:right w:val="none" w:sz="0" w:space="0" w:color="auto"/>
      </w:divBdr>
    </w:div>
    <w:div w:id="2023243668">
      <w:bodyDiv w:val="1"/>
      <w:marLeft w:val="0"/>
      <w:marRight w:val="0"/>
      <w:marTop w:val="0"/>
      <w:marBottom w:val="0"/>
      <w:divBdr>
        <w:top w:val="none" w:sz="0" w:space="0" w:color="auto"/>
        <w:left w:val="none" w:sz="0" w:space="0" w:color="auto"/>
        <w:bottom w:val="none" w:sz="0" w:space="0" w:color="auto"/>
        <w:right w:val="none" w:sz="0" w:space="0" w:color="auto"/>
      </w:divBdr>
    </w:div>
    <w:div w:id="2026514075">
      <w:bodyDiv w:val="1"/>
      <w:marLeft w:val="0"/>
      <w:marRight w:val="0"/>
      <w:marTop w:val="0"/>
      <w:marBottom w:val="0"/>
      <w:divBdr>
        <w:top w:val="none" w:sz="0" w:space="0" w:color="auto"/>
        <w:left w:val="none" w:sz="0" w:space="0" w:color="auto"/>
        <w:bottom w:val="none" w:sz="0" w:space="0" w:color="auto"/>
        <w:right w:val="none" w:sz="0" w:space="0" w:color="auto"/>
      </w:divBdr>
    </w:div>
    <w:div w:id="206976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toolan@sheffield.ac.uk"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larry.luer@imdea.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F698D-8880-4FAD-A34C-90D6D2EB4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29265</Words>
  <Characters>166816</Characters>
  <Application>Microsoft Office Word</Application>
  <DocSecurity>0</DocSecurity>
  <Lines>1390</Lines>
  <Paragraphs>391</Paragraphs>
  <ScaleCrop>false</ScaleCrop>
  <HeadingPairs>
    <vt:vector size="2" baseType="variant">
      <vt:variant>
        <vt:lpstr>Title</vt:lpstr>
      </vt:variant>
      <vt:variant>
        <vt:i4>1</vt:i4>
      </vt:variant>
    </vt:vector>
  </HeadingPairs>
  <TitlesOfParts>
    <vt:vector size="1" baseType="lpstr">
      <vt:lpstr/>
    </vt:vector>
  </TitlesOfParts>
  <Company>Diamond Light Source Ltd.</Company>
  <LinksUpToDate>false</LinksUpToDate>
  <CharactersWithSpaces>195690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Isakova</dc:creator>
  <cp:lastModifiedBy>Topham, Paul</cp:lastModifiedBy>
  <cp:revision>2</cp:revision>
  <cp:lastPrinted>2017-08-14T15:25:00Z</cp:lastPrinted>
  <dcterms:created xsi:type="dcterms:W3CDTF">2018-05-17T10:38:00Z</dcterms:created>
  <dcterms:modified xsi:type="dcterms:W3CDTF">2018-05-17T10:38:00Z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http://www.zotero.org/styles/elsevier-without-titles</vt:lpwstr>
  </property>
  <property fmtid="{D5CDD505-2E9C-101B-9397-08002B2CF9AE}" pid="13" name="Mendeley Recent Style Name 5_1">
    <vt:lpwstr>Elsevier (numeric, without titles)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http://www.zotero.org/styles/macromolecules</vt:lpwstr>
  </property>
  <property fmtid="{D5CDD505-2E9C-101B-9397-08002B2CF9AE}" pid="17" name="Mendeley Recent Style Name 7_1">
    <vt:lpwstr>Macromolecules</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http://www.zotero.org/styles/polymer-chemistry</vt:lpwstr>
  </property>
  <property fmtid="{D5CDD505-2E9C-101B-9397-08002B2CF9AE}" pid="21" name="Mendeley Recent Style Name 9_1">
    <vt:lpwstr>Polymer Chemistry</vt:lpwstr>
  </property>
  <property fmtid="{D5CDD505-2E9C-101B-9397-08002B2CF9AE}" pid="22" name="Mendeley Document_1">
    <vt:lpwstr>True</vt:lpwstr>
  </property>
  <property fmtid="{D5CDD505-2E9C-101B-9397-08002B2CF9AE}" pid="23" name="Mendeley Unique User Id_1">
    <vt:lpwstr>622f15c7-d4e6-37da-9fb8-b2aaa3e2fc1e</vt:lpwstr>
  </property>
  <property fmtid="{D5CDD505-2E9C-101B-9397-08002B2CF9AE}" pid="24" name="Mendeley Citation Style_1">
    <vt:lpwstr>http://www.zotero.org/styles/polymer-chemistry</vt:lpwstr>
  </property>
</Properties>
</file>