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3E4" w:rsidRDefault="00D720D3" w:rsidP="00D720D3">
      <w:pPr>
        <w:jc w:val="center"/>
        <w:rPr>
          <w:rFonts w:ascii="Arial" w:hAnsi="Arial" w:cs="Arial"/>
          <w:b/>
          <w:sz w:val="28"/>
          <w:szCs w:val="28"/>
        </w:rPr>
      </w:pPr>
      <w:bookmarkStart w:id="0" w:name="_GoBack"/>
      <w:bookmarkEnd w:id="0"/>
      <w:r w:rsidRPr="00D720D3">
        <w:rPr>
          <w:rFonts w:ascii="Arial" w:hAnsi="Arial" w:cs="Arial"/>
          <w:b/>
          <w:sz w:val="28"/>
          <w:szCs w:val="28"/>
        </w:rPr>
        <w:t xml:space="preserve">This Time </w:t>
      </w:r>
      <w:r w:rsidR="00BF7303">
        <w:rPr>
          <w:rFonts w:ascii="Arial" w:hAnsi="Arial" w:cs="Arial"/>
          <w:b/>
          <w:sz w:val="28"/>
          <w:szCs w:val="28"/>
        </w:rPr>
        <w:t>i</w:t>
      </w:r>
      <w:r w:rsidRPr="00D720D3">
        <w:rPr>
          <w:rFonts w:ascii="Arial" w:hAnsi="Arial" w:cs="Arial"/>
          <w:b/>
          <w:sz w:val="28"/>
          <w:szCs w:val="28"/>
        </w:rPr>
        <w:t>t's Different: Legitimacy and the Limits of Differentiat</w:t>
      </w:r>
      <w:r w:rsidR="00FC772C">
        <w:rPr>
          <w:rFonts w:ascii="Arial" w:hAnsi="Arial" w:cs="Arial"/>
          <w:b/>
          <w:sz w:val="28"/>
          <w:szCs w:val="28"/>
        </w:rPr>
        <w:t>ion</w:t>
      </w:r>
      <w:r w:rsidRPr="00D720D3">
        <w:rPr>
          <w:rFonts w:ascii="Arial" w:hAnsi="Arial" w:cs="Arial"/>
          <w:b/>
          <w:sz w:val="28"/>
          <w:szCs w:val="28"/>
        </w:rPr>
        <w:t xml:space="preserve"> after Brexit</w:t>
      </w:r>
    </w:p>
    <w:p w:rsidR="008A6176" w:rsidRDefault="008A6176" w:rsidP="00D720D3">
      <w:pPr>
        <w:jc w:val="center"/>
        <w:rPr>
          <w:rFonts w:ascii="Arial" w:hAnsi="Arial" w:cs="Arial"/>
          <w:b/>
          <w:sz w:val="28"/>
          <w:szCs w:val="28"/>
        </w:rPr>
      </w:pPr>
    </w:p>
    <w:p w:rsidR="008A6176" w:rsidRDefault="008A6176" w:rsidP="00D720D3">
      <w:pPr>
        <w:jc w:val="center"/>
        <w:rPr>
          <w:rFonts w:ascii="Arial" w:hAnsi="Arial" w:cs="Arial"/>
          <w:b/>
          <w:sz w:val="28"/>
          <w:szCs w:val="28"/>
        </w:rPr>
      </w:pPr>
      <w:r>
        <w:rPr>
          <w:rFonts w:ascii="Arial" w:hAnsi="Arial" w:cs="Arial"/>
          <w:b/>
          <w:sz w:val="28"/>
          <w:szCs w:val="28"/>
        </w:rPr>
        <w:t>ANDREW GLENCROSS</w:t>
      </w:r>
    </w:p>
    <w:p w:rsidR="008A6176" w:rsidRDefault="008A6176" w:rsidP="00D720D3">
      <w:pPr>
        <w:jc w:val="center"/>
        <w:rPr>
          <w:rFonts w:ascii="Arial" w:hAnsi="Arial" w:cs="Arial"/>
          <w:b/>
          <w:sz w:val="28"/>
          <w:szCs w:val="28"/>
        </w:rPr>
      </w:pPr>
      <w:r>
        <w:rPr>
          <w:rFonts w:ascii="Arial" w:hAnsi="Arial" w:cs="Arial"/>
          <w:b/>
          <w:sz w:val="28"/>
          <w:szCs w:val="28"/>
        </w:rPr>
        <w:t>Aston University</w:t>
      </w:r>
    </w:p>
    <w:p w:rsidR="008A6176" w:rsidRDefault="00B702FD" w:rsidP="00D720D3">
      <w:pPr>
        <w:jc w:val="center"/>
        <w:rPr>
          <w:rFonts w:ascii="Arial" w:hAnsi="Arial" w:cs="Arial"/>
          <w:b/>
          <w:sz w:val="28"/>
          <w:szCs w:val="28"/>
        </w:rPr>
      </w:pPr>
      <w:hyperlink r:id="rId8" w:history="1">
        <w:r w:rsidR="008A6176" w:rsidRPr="00044AD5">
          <w:rPr>
            <w:rStyle w:val="Hyperlink"/>
            <w:rFonts w:ascii="Arial" w:hAnsi="Arial" w:cs="Arial"/>
            <w:b/>
            <w:sz w:val="28"/>
            <w:szCs w:val="28"/>
          </w:rPr>
          <w:t>a.glencross@aston.ac.uk</w:t>
        </w:r>
      </w:hyperlink>
    </w:p>
    <w:p w:rsidR="008A6176" w:rsidRDefault="008A6176" w:rsidP="00D720D3">
      <w:pPr>
        <w:jc w:val="center"/>
        <w:rPr>
          <w:rFonts w:ascii="Arial" w:hAnsi="Arial" w:cs="Arial"/>
          <w:b/>
          <w:sz w:val="28"/>
          <w:szCs w:val="28"/>
        </w:rPr>
      </w:pPr>
    </w:p>
    <w:p w:rsidR="008A6176" w:rsidRDefault="008A6176" w:rsidP="00D720D3">
      <w:pPr>
        <w:jc w:val="center"/>
        <w:rPr>
          <w:rFonts w:ascii="Arial" w:hAnsi="Arial" w:cs="Arial"/>
          <w:b/>
          <w:sz w:val="28"/>
          <w:szCs w:val="28"/>
        </w:rPr>
      </w:pPr>
      <w:r>
        <w:rPr>
          <w:rFonts w:ascii="Arial" w:hAnsi="Arial" w:cs="Arial"/>
          <w:b/>
          <w:sz w:val="28"/>
          <w:szCs w:val="28"/>
        </w:rPr>
        <w:t>THE POLITICAL QUARTERLY (</w:t>
      </w:r>
      <w:r w:rsidRPr="008A6176">
        <w:rPr>
          <w:rFonts w:ascii="Arial" w:hAnsi="Arial" w:cs="Arial"/>
          <w:b/>
          <w:i/>
          <w:sz w:val="28"/>
          <w:szCs w:val="28"/>
        </w:rPr>
        <w:t>forthcoming</w:t>
      </w:r>
      <w:r>
        <w:rPr>
          <w:rFonts w:ascii="Arial" w:hAnsi="Arial" w:cs="Arial"/>
          <w:b/>
          <w:sz w:val="28"/>
          <w:szCs w:val="28"/>
        </w:rPr>
        <w:t>)</w:t>
      </w:r>
    </w:p>
    <w:p w:rsidR="008A6176" w:rsidRDefault="008A6176" w:rsidP="00D720D3">
      <w:pPr>
        <w:jc w:val="center"/>
        <w:rPr>
          <w:rFonts w:ascii="Arial" w:hAnsi="Arial" w:cs="Arial"/>
          <w:b/>
          <w:sz w:val="28"/>
          <w:szCs w:val="28"/>
        </w:rPr>
      </w:pPr>
    </w:p>
    <w:p w:rsidR="008A6176" w:rsidRDefault="008A6176" w:rsidP="008A6176">
      <w:pPr>
        <w:spacing w:after="0" w:line="240" w:lineRule="auto"/>
        <w:jc w:val="both"/>
        <w:rPr>
          <w:rFonts w:ascii="Arial" w:hAnsi="Arial" w:cs="Arial"/>
          <w:sz w:val="24"/>
          <w:szCs w:val="24"/>
        </w:rPr>
      </w:pPr>
      <w:r>
        <w:rPr>
          <w:rFonts w:ascii="Arial" w:hAnsi="Arial" w:cs="Arial"/>
          <w:sz w:val="24"/>
          <w:szCs w:val="24"/>
        </w:rPr>
        <w:t>British political debate since the EU referendum has hinged on what type of Brexit to pursue: hard or soft. Yet, unlike in instances of treaty rejection, the EU made no counter offer to avoid a breakdown in relations that would follow the hardest of exits. This remarkable unity in not discounting the possibility of a hard Brexit demonstrates that UK withdrawal is very distinct from previous wrangles over EU reform. Drawing on the work of Kissinger, this article argues Brexit is a revolutionary act that denies the legitimacy of the EU order. Hence this process does not conform to other episodes of differentiation. When Westminster sought opt-outs, it did not reject the core principles of integration. By not seeking to oppose a hard Brexit, Brussels has forced the UK government to find a new legitimizing principle to govern EU-UK relations, transferring the burden of adjustment to London.</w:t>
      </w:r>
    </w:p>
    <w:p w:rsidR="008A6176" w:rsidRDefault="008A6176" w:rsidP="008A6176">
      <w:pPr>
        <w:spacing w:after="0" w:line="240" w:lineRule="auto"/>
        <w:jc w:val="both"/>
        <w:rPr>
          <w:rFonts w:ascii="Arial" w:hAnsi="Arial" w:cs="Arial"/>
          <w:sz w:val="24"/>
          <w:szCs w:val="24"/>
        </w:rPr>
      </w:pPr>
    </w:p>
    <w:p w:rsidR="008A6176" w:rsidRDefault="008A6176" w:rsidP="008A6176">
      <w:pPr>
        <w:spacing w:after="0" w:line="240" w:lineRule="auto"/>
        <w:jc w:val="both"/>
        <w:rPr>
          <w:rFonts w:ascii="Arial" w:hAnsi="Arial" w:cs="Arial"/>
          <w:sz w:val="24"/>
          <w:szCs w:val="24"/>
        </w:rPr>
      </w:pPr>
      <w:r>
        <w:rPr>
          <w:rFonts w:ascii="Arial" w:hAnsi="Arial" w:cs="Arial"/>
          <w:sz w:val="24"/>
          <w:szCs w:val="24"/>
        </w:rPr>
        <w:t>Key words:</w:t>
      </w:r>
    </w:p>
    <w:p w:rsidR="008A6176" w:rsidRDefault="008A6176" w:rsidP="008A6176">
      <w:pPr>
        <w:spacing w:after="0" w:line="240" w:lineRule="auto"/>
        <w:jc w:val="both"/>
        <w:rPr>
          <w:rFonts w:ascii="Arial" w:hAnsi="Arial" w:cs="Arial"/>
          <w:sz w:val="24"/>
          <w:szCs w:val="24"/>
        </w:rPr>
      </w:pPr>
    </w:p>
    <w:p w:rsidR="008A6176" w:rsidRDefault="008A6176" w:rsidP="008A6176">
      <w:pPr>
        <w:spacing w:after="0" w:line="240" w:lineRule="auto"/>
        <w:jc w:val="both"/>
        <w:rPr>
          <w:rFonts w:ascii="Arial" w:hAnsi="Arial" w:cs="Arial"/>
          <w:sz w:val="24"/>
          <w:szCs w:val="24"/>
        </w:rPr>
      </w:pPr>
      <w:r>
        <w:rPr>
          <w:rFonts w:ascii="Arial" w:hAnsi="Arial" w:cs="Arial"/>
          <w:sz w:val="24"/>
          <w:szCs w:val="24"/>
        </w:rPr>
        <w:t>Hard Brexit, legitimacy, referendum, Article 50, Kissinger</w:t>
      </w:r>
    </w:p>
    <w:p w:rsidR="008A6176" w:rsidRDefault="008A6176" w:rsidP="00D720D3">
      <w:pPr>
        <w:jc w:val="center"/>
        <w:rPr>
          <w:rFonts w:ascii="Arial" w:hAnsi="Arial" w:cs="Arial"/>
          <w:b/>
          <w:sz w:val="28"/>
          <w:szCs w:val="28"/>
        </w:rPr>
      </w:pPr>
    </w:p>
    <w:p w:rsidR="008A6176" w:rsidRDefault="008A6176" w:rsidP="00D720D3">
      <w:pPr>
        <w:jc w:val="center"/>
        <w:rPr>
          <w:rFonts w:ascii="Arial" w:hAnsi="Arial" w:cs="Arial"/>
          <w:b/>
          <w:sz w:val="28"/>
          <w:szCs w:val="28"/>
        </w:rPr>
      </w:pPr>
    </w:p>
    <w:p w:rsidR="008A6176" w:rsidRPr="00D720D3" w:rsidRDefault="008A6176" w:rsidP="00D720D3">
      <w:pPr>
        <w:jc w:val="center"/>
        <w:rPr>
          <w:rFonts w:ascii="Arial" w:hAnsi="Arial" w:cs="Arial"/>
          <w:b/>
          <w:sz w:val="28"/>
          <w:szCs w:val="28"/>
        </w:rPr>
      </w:pPr>
    </w:p>
    <w:p w:rsidR="00D13AA8" w:rsidRDefault="004B3DB6" w:rsidP="00DF2387">
      <w:pPr>
        <w:jc w:val="both"/>
        <w:rPr>
          <w:rFonts w:ascii="Arial" w:hAnsi="Arial" w:cs="Arial"/>
          <w:sz w:val="24"/>
          <w:szCs w:val="24"/>
        </w:rPr>
      </w:pPr>
      <w:r w:rsidRPr="00A04ED7">
        <w:rPr>
          <w:rFonts w:ascii="Arial" w:hAnsi="Arial" w:cs="Arial"/>
          <w:sz w:val="24"/>
          <w:szCs w:val="24"/>
        </w:rPr>
        <w:t xml:space="preserve">The outcome of the </w:t>
      </w:r>
      <w:r w:rsidR="00CF2BAE" w:rsidRPr="00A04ED7">
        <w:rPr>
          <w:rFonts w:ascii="Arial" w:hAnsi="Arial" w:cs="Arial"/>
          <w:sz w:val="24"/>
          <w:szCs w:val="24"/>
        </w:rPr>
        <w:t xml:space="preserve">2016 </w:t>
      </w:r>
      <w:r w:rsidRPr="00A04ED7">
        <w:rPr>
          <w:rFonts w:ascii="Arial" w:hAnsi="Arial" w:cs="Arial"/>
          <w:sz w:val="24"/>
          <w:szCs w:val="24"/>
        </w:rPr>
        <w:t xml:space="preserve">UK referendum on leaving the EU </w:t>
      </w:r>
      <w:r w:rsidR="00CB6182">
        <w:rPr>
          <w:rFonts w:ascii="Arial" w:hAnsi="Arial" w:cs="Arial"/>
          <w:sz w:val="24"/>
          <w:szCs w:val="24"/>
        </w:rPr>
        <w:t xml:space="preserve">instantly </w:t>
      </w:r>
      <w:r w:rsidRPr="00A04ED7">
        <w:rPr>
          <w:rFonts w:ascii="Arial" w:hAnsi="Arial" w:cs="Arial"/>
          <w:sz w:val="24"/>
          <w:szCs w:val="24"/>
        </w:rPr>
        <w:t xml:space="preserve">led to a heated debate over the legitimacy of the </w:t>
      </w:r>
      <w:r w:rsidR="00ED3158">
        <w:rPr>
          <w:rFonts w:ascii="Arial" w:hAnsi="Arial" w:cs="Arial"/>
          <w:sz w:val="24"/>
          <w:szCs w:val="24"/>
        </w:rPr>
        <w:t xml:space="preserve">Brexit </w:t>
      </w:r>
      <w:r w:rsidRPr="00A04ED7">
        <w:rPr>
          <w:rFonts w:ascii="Arial" w:hAnsi="Arial" w:cs="Arial"/>
          <w:sz w:val="24"/>
          <w:szCs w:val="24"/>
        </w:rPr>
        <w:t xml:space="preserve">process itself. </w:t>
      </w:r>
      <w:r w:rsidR="00D13AA8">
        <w:rPr>
          <w:rFonts w:ascii="Arial" w:hAnsi="Arial" w:cs="Arial"/>
          <w:sz w:val="24"/>
          <w:szCs w:val="24"/>
        </w:rPr>
        <w:t>Crucial</w:t>
      </w:r>
      <w:r w:rsidR="0023736E" w:rsidRPr="00A04ED7">
        <w:rPr>
          <w:rFonts w:ascii="Arial" w:hAnsi="Arial" w:cs="Arial"/>
          <w:sz w:val="24"/>
          <w:szCs w:val="24"/>
        </w:rPr>
        <w:t xml:space="preserve"> to this legitimacy dilemma is the question of how exactly to </w:t>
      </w:r>
      <w:r w:rsidRPr="00A04ED7">
        <w:rPr>
          <w:rFonts w:ascii="Arial" w:hAnsi="Arial" w:cs="Arial"/>
          <w:sz w:val="24"/>
          <w:szCs w:val="24"/>
        </w:rPr>
        <w:t>disassociate from the EU</w:t>
      </w:r>
      <w:r w:rsidR="00556D9D" w:rsidRPr="00A04ED7">
        <w:rPr>
          <w:rFonts w:ascii="Arial" w:hAnsi="Arial" w:cs="Arial"/>
          <w:sz w:val="24"/>
          <w:szCs w:val="24"/>
        </w:rPr>
        <w:t xml:space="preserve"> </w:t>
      </w:r>
      <w:r w:rsidR="0090340B" w:rsidRPr="00A04ED7">
        <w:rPr>
          <w:rFonts w:ascii="Arial" w:hAnsi="Arial" w:cs="Arial"/>
          <w:sz w:val="24"/>
          <w:szCs w:val="24"/>
        </w:rPr>
        <w:t xml:space="preserve">when no concrete alternative to membership was put to the British electorate. </w:t>
      </w:r>
      <w:bookmarkStart w:id="1" w:name="_Hlk495586941"/>
      <w:r w:rsidR="0090340B" w:rsidRPr="00A04ED7">
        <w:rPr>
          <w:rFonts w:ascii="Arial" w:hAnsi="Arial" w:cs="Arial"/>
          <w:sz w:val="24"/>
          <w:szCs w:val="24"/>
        </w:rPr>
        <w:t xml:space="preserve">A spectrum of options </w:t>
      </w:r>
      <w:r w:rsidR="00C22630">
        <w:rPr>
          <w:rFonts w:ascii="Arial" w:hAnsi="Arial" w:cs="Arial"/>
          <w:sz w:val="24"/>
          <w:szCs w:val="24"/>
        </w:rPr>
        <w:t>immediately became apparent, ranging</w:t>
      </w:r>
      <w:r w:rsidR="0090340B" w:rsidRPr="00A04ED7">
        <w:rPr>
          <w:rFonts w:ascii="Arial" w:hAnsi="Arial" w:cs="Arial"/>
          <w:sz w:val="24"/>
          <w:szCs w:val="24"/>
        </w:rPr>
        <w:t xml:space="preserve"> from </w:t>
      </w:r>
      <w:r w:rsidR="00556D9D" w:rsidRPr="00A04ED7">
        <w:rPr>
          <w:rFonts w:ascii="Arial" w:hAnsi="Arial" w:cs="Arial"/>
          <w:sz w:val="24"/>
          <w:szCs w:val="24"/>
        </w:rPr>
        <w:t xml:space="preserve">a hard </w:t>
      </w:r>
      <w:r w:rsidR="000A2339">
        <w:rPr>
          <w:rFonts w:ascii="Arial" w:hAnsi="Arial" w:cs="Arial"/>
          <w:sz w:val="24"/>
          <w:szCs w:val="24"/>
        </w:rPr>
        <w:t>to a</w:t>
      </w:r>
      <w:r w:rsidR="00556D9D" w:rsidRPr="00A04ED7">
        <w:rPr>
          <w:rFonts w:ascii="Arial" w:hAnsi="Arial" w:cs="Arial"/>
          <w:sz w:val="24"/>
          <w:szCs w:val="24"/>
        </w:rPr>
        <w:t xml:space="preserve"> soft exit</w:t>
      </w:r>
      <w:r w:rsidR="00E506FE">
        <w:rPr>
          <w:rFonts w:ascii="Arial" w:hAnsi="Arial" w:cs="Arial"/>
          <w:sz w:val="24"/>
          <w:szCs w:val="24"/>
        </w:rPr>
        <w:t>;</w:t>
      </w:r>
      <w:r w:rsidR="003B7415" w:rsidRPr="00A04ED7">
        <w:rPr>
          <w:rFonts w:ascii="Arial" w:hAnsi="Arial" w:cs="Arial"/>
          <w:sz w:val="24"/>
          <w:szCs w:val="24"/>
        </w:rPr>
        <w:t xml:space="preserve"> </w:t>
      </w:r>
      <w:r w:rsidR="004E6FD9" w:rsidRPr="00A04ED7">
        <w:rPr>
          <w:rFonts w:ascii="Arial" w:hAnsi="Arial" w:cs="Arial"/>
          <w:sz w:val="24"/>
          <w:szCs w:val="24"/>
        </w:rPr>
        <w:t xml:space="preserve">the latter </w:t>
      </w:r>
      <w:r w:rsidR="00C22630">
        <w:rPr>
          <w:rFonts w:ascii="Arial" w:hAnsi="Arial" w:cs="Arial"/>
          <w:sz w:val="24"/>
          <w:szCs w:val="24"/>
        </w:rPr>
        <w:t>scenario</w:t>
      </w:r>
      <w:r w:rsidR="004E6FD9" w:rsidRPr="00A04ED7">
        <w:rPr>
          <w:rFonts w:ascii="Arial" w:hAnsi="Arial" w:cs="Arial"/>
          <w:sz w:val="24"/>
          <w:szCs w:val="24"/>
        </w:rPr>
        <w:t xml:space="preserve"> </w:t>
      </w:r>
      <w:r w:rsidR="005474B1" w:rsidRPr="00A04ED7">
        <w:rPr>
          <w:rFonts w:ascii="Arial" w:hAnsi="Arial" w:cs="Arial"/>
          <w:sz w:val="24"/>
          <w:szCs w:val="24"/>
        </w:rPr>
        <w:t>relates to</w:t>
      </w:r>
      <w:r w:rsidR="004E6FD9" w:rsidRPr="00A04ED7">
        <w:rPr>
          <w:rFonts w:ascii="Arial" w:hAnsi="Arial" w:cs="Arial"/>
          <w:sz w:val="24"/>
          <w:szCs w:val="24"/>
        </w:rPr>
        <w:t xml:space="preserve"> retaining membership of the single market and/or the Customs Union</w:t>
      </w:r>
      <w:r w:rsidR="001037AA">
        <w:rPr>
          <w:rFonts w:ascii="Arial" w:hAnsi="Arial" w:cs="Arial"/>
          <w:sz w:val="24"/>
          <w:szCs w:val="24"/>
        </w:rPr>
        <w:t>;</w:t>
      </w:r>
      <w:r w:rsidR="0090340B" w:rsidRPr="00A04ED7">
        <w:rPr>
          <w:rFonts w:ascii="Arial" w:hAnsi="Arial" w:cs="Arial"/>
          <w:sz w:val="24"/>
          <w:szCs w:val="24"/>
        </w:rPr>
        <w:t xml:space="preserve"> reliance on WTO trading rules </w:t>
      </w:r>
      <w:r w:rsidR="00456704">
        <w:rPr>
          <w:rFonts w:ascii="Arial" w:hAnsi="Arial" w:cs="Arial"/>
          <w:sz w:val="24"/>
          <w:szCs w:val="24"/>
        </w:rPr>
        <w:t>in the absence of a free trade agreement</w:t>
      </w:r>
      <w:r w:rsidR="0090340B" w:rsidRPr="00A04ED7">
        <w:rPr>
          <w:rFonts w:ascii="Arial" w:hAnsi="Arial" w:cs="Arial"/>
          <w:sz w:val="24"/>
          <w:szCs w:val="24"/>
        </w:rPr>
        <w:t xml:space="preserve"> with the EU </w:t>
      </w:r>
      <w:r w:rsidR="005474B1" w:rsidRPr="00A04ED7">
        <w:rPr>
          <w:rFonts w:ascii="Arial" w:hAnsi="Arial" w:cs="Arial"/>
          <w:sz w:val="24"/>
          <w:szCs w:val="24"/>
        </w:rPr>
        <w:t>is</w:t>
      </w:r>
      <w:r w:rsidR="002413E4" w:rsidRPr="00A04ED7">
        <w:rPr>
          <w:rFonts w:ascii="Arial" w:hAnsi="Arial" w:cs="Arial"/>
          <w:sz w:val="24"/>
          <w:szCs w:val="24"/>
        </w:rPr>
        <w:t>, conversely,</w:t>
      </w:r>
      <w:r w:rsidR="005474B1" w:rsidRPr="00A04ED7">
        <w:rPr>
          <w:rFonts w:ascii="Arial" w:hAnsi="Arial" w:cs="Arial"/>
          <w:sz w:val="24"/>
          <w:szCs w:val="24"/>
        </w:rPr>
        <w:t xml:space="preserve"> </w:t>
      </w:r>
      <w:r w:rsidR="0090340B" w:rsidRPr="00A04ED7">
        <w:rPr>
          <w:rFonts w:ascii="Arial" w:hAnsi="Arial" w:cs="Arial"/>
          <w:sz w:val="24"/>
          <w:szCs w:val="24"/>
        </w:rPr>
        <w:t>the hardest of exits</w:t>
      </w:r>
      <w:r w:rsidR="00ED3158">
        <w:rPr>
          <w:rFonts w:ascii="Arial" w:hAnsi="Arial" w:cs="Arial"/>
          <w:sz w:val="24"/>
          <w:szCs w:val="24"/>
        </w:rPr>
        <w:t xml:space="preserve">. </w:t>
      </w:r>
      <w:bookmarkEnd w:id="1"/>
      <w:r w:rsidR="00CB6182">
        <w:rPr>
          <w:rFonts w:ascii="Arial" w:hAnsi="Arial" w:cs="Arial"/>
          <w:sz w:val="24"/>
          <w:szCs w:val="24"/>
        </w:rPr>
        <w:t xml:space="preserve">What thus took centre stage in British political debate was the issue of whether a hard Brexit was a legitimate reflection of the referendum result. </w:t>
      </w:r>
    </w:p>
    <w:p w:rsidR="00AE45BC" w:rsidRDefault="009C5A1D" w:rsidP="004D0238">
      <w:pPr>
        <w:jc w:val="both"/>
        <w:rPr>
          <w:rFonts w:ascii="Arial" w:hAnsi="Arial" w:cs="Arial"/>
          <w:sz w:val="24"/>
          <w:szCs w:val="24"/>
        </w:rPr>
      </w:pPr>
      <w:r>
        <w:rPr>
          <w:rFonts w:ascii="Arial" w:hAnsi="Arial" w:cs="Arial"/>
          <w:sz w:val="24"/>
          <w:szCs w:val="24"/>
        </w:rPr>
        <w:t xml:space="preserve">Looming large over </w:t>
      </w:r>
      <w:r w:rsidR="00AE4804">
        <w:rPr>
          <w:rFonts w:ascii="Arial" w:hAnsi="Arial" w:cs="Arial"/>
          <w:sz w:val="24"/>
          <w:szCs w:val="24"/>
        </w:rPr>
        <w:t>this</w:t>
      </w:r>
      <w:r>
        <w:rPr>
          <w:rFonts w:ascii="Arial" w:hAnsi="Arial" w:cs="Arial"/>
          <w:sz w:val="24"/>
          <w:szCs w:val="24"/>
        </w:rPr>
        <w:t xml:space="preserve"> internal UK wrangling over the best way to </w:t>
      </w:r>
      <w:r w:rsidR="00AE45BC">
        <w:rPr>
          <w:rFonts w:ascii="Arial" w:hAnsi="Arial" w:cs="Arial"/>
          <w:sz w:val="24"/>
          <w:szCs w:val="24"/>
        </w:rPr>
        <w:t>alter</w:t>
      </w:r>
      <w:r>
        <w:rPr>
          <w:rFonts w:ascii="Arial" w:hAnsi="Arial" w:cs="Arial"/>
          <w:sz w:val="24"/>
          <w:szCs w:val="24"/>
        </w:rPr>
        <w:t xml:space="preserve"> post-Brexit relations from actual EU membership is the previous history of differentiation among member states, especially that initiated by the UK.</w:t>
      </w:r>
      <w:r w:rsidR="004D0238">
        <w:rPr>
          <w:rFonts w:ascii="Arial" w:hAnsi="Arial" w:cs="Arial"/>
          <w:sz w:val="24"/>
          <w:szCs w:val="24"/>
        </w:rPr>
        <w:t xml:space="preserve"> The EU has, after all, a track record of providing counter-offers after certain unsuccessful referendums on EU treaties to limit the risk of an insuperable gulf developing between both parties. Differentiation of obligations – notably in the form of </w:t>
      </w:r>
      <w:r w:rsidR="00610C52">
        <w:rPr>
          <w:rFonts w:ascii="Arial" w:hAnsi="Arial" w:cs="Arial"/>
          <w:sz w:val="24"/>
          <w:szCs w:val="24"/>
        </w:rPr>
        <w:t xml:space="preserve">treaty </w:t>
      </w:r>
      <w:r w:rsidR="004D0238">
        <w:rPr>
          <w:rFonts w:ascii="Arial" w:hAnsi="Arial" w:cs="Arial"/>
          <w:sz w:val="24"/>
          <w:szCs w:val="24"/>
        </w:rPr>
        <w:t>opt</w:t>
      </w:r>
      <w:r w:rsidR="000A2339">
        <w:rPr>
          <w:rFonts w:ascii="Arial" w:hAnsi="Arial" w:cs="Arial"/>
          <w:sz w:val="24"/>
          <w:szCs w:val="24"/>
        </w:rPr>
        <w:t>-</w:t>
      </w:r>
      <w:r w:rsidR="004D0238">
        <w:rPr>
          <w:rFonts w:ascii="Arial" w:hAnsi="Arial" w:cs="Arial"/>
          <w:sz w:val="24"/>
          <w:szCs w:val="24"/>
        </w:rPr>
        <w:t xml:space="preserve">outs – indicates the flexibility that has characterized European integration at times of deep division or domestic dissent. </w:t>
      </w:r>
      <w:r w:rsidR="00AE45BC">
        <w:rPr>
          <w:rFonts w:ascii="Arial" w:hAnsi="Arial" w:cs="Arial"/>
          <w:sz w:val="24"/>
          <w:szCs w:val="24"/>
        </w:rPr>
        <w:t>Yet</w:t>
      </w:r>
      <w:r w:rsidR="004D0238">
        <w:rPr>
          <w:rFonts w:ascii="Arial" w:hAnsi="Arial" w:cs="Arial"/>
          <w:sz w:val="24"/>
          <w:szCs w:val="24"/>
        </w:rPr>
        <w:t xml:space="preserve"> no </w:t>
      </w:r>
      <w:r w:rsidR="00AE45BC">
        <w:rPr>
          <w:rFonts w:ascii="Arial" w:hAnsi="Arial" w:cs="Arial"/>
          <w:sz w:val="24"/>
          <w:szCs w:val="24"/>
        </w:rPr>
        <w:t xml:space="preserve">EU </w:t>
      </w:r>
      <w:r w:rsidR="004D0238">
        <w:rPr>
          <w:rFonts w:ascii="Arial" w:hAnsi="Arial" w:cs="Arial"/>
          <w:sz w:val="24"/>
          <w:szCs w:val="24"/>
        </w:rPr>
        <w:t xml:space="preserve">concessions were </w:t>
      </w:r>
      <w:r w:rsidR="00AE45BC">
        <w:rPr>
          <w:rFonts w:ascii="Arial" w:hAnsi="Arial" w:cs="Arial"/>
          <w:sz w:val="24"/>
          <w:szCs w:val="24"/>
        </w:rPr>
        <w:t>f</w:t>
      </w:r>
      <w:r w:rsidR="004D0238">
        <w:rPr>
          <w:rFonts w:ascii="Arial" w:hAnsi="Arial" w:cs="Arial"/>
          <w:sz w:val="24"/>
          <w:szCs w:val="24"/>
        </w:rPr>
        <w:t xml:space="preserve">orthcoming following the June 2016 vote, meaning the Article 50 negotiations were conducted </w:t>
      </w:r>
      <w:r w:rsidR="00AE45BC">
        <w:rPr>
          <w:rFonts w:ascii="Arial" w:hAnsi="Arial" w:cs="Arial"/>
          <w:sz w:val="24"/>
          <w:szCs w:val="24"/>
        </w:rPr>
        <w:t xml:space="preserve">not just in the absence of a Cabinet consensus position on what type of Brexit to aim for, but also </w:t>
      </w:r>
      <w:r w:rsidR="004D0238">
        <w:rPr>
          <w:rFonts w:ascii="Arial" w:hAnsi="Arial" w:cs="Arial"/>
          <w:sz w:val="24"/>
          <w:szCs w:val="24"/>
        </w:rPr>
        <w:t>under the cloud of a potential breakdown of talks</w:t>
      </w:r>
      <w:r w:rsidR="00AE45BC">
        <w:rPr>
          <w:rFonts w:ascii="Arial" w:hAnsi="Arial" w:cs="Arial"/>
          <w:sz w:val="24"/>
          <w:szCs w:val="24"/>
        </w:rPr>
        <w:t>.</w:t>
      </w:r>
      <w:r w:rsidR="006A3681">
        <w:rPr>
          <w:rFonts w:ascii="Arial" w:hAnsi="Arial" w:cs="Arial"/>
          <w:sz w:val="24"/>
          <w:szCs w:val="24"/>
        </w:rPr>
        <w:t xml:space="preserve"> </w:t>
      </w:r>
    </w:p>
    <w:p w:rsidR="00610C52" w:rsidRDefault="001543CB" w:rsidP="00CB763D">
      <w:pPr>
        <w:jc w:val="both"/>
        <w:rPr>
          <w:rFonts w:ascii="Arial" w:hAnsi="Arial" w:cs="Arial"/>
          <w:sz w:val="24"/>
          <w:szCs w:val="24"/>
        </w:rPr>
      </w:pPr>
      <w:r>
        <w:rPr>
          <w:rFonts w:ascii="Arial" w:hAnsi="Arial" w:cs="Arial"/>
          <w:sz w:val="24"/>
          <w:szCs w:val="24"/>
        </w:rPr>
        <w:t>That is, the E</w:t>
      </w:r>
      <w:r w:rsidR="00CB763D">
        <w:rPr>
          <w:rFonts w:ascii="Arial" w:hAnsi="Arial" w:cs="Arial"/>
          <w:sz w:val="24"/>
          <w:szCs w:val="24"/>
        </w:rPr>
        <w:t xml:space="preserve">uropean Council, which provides the </w:t>
      </w:r>
      <w:r w:rsidR="00F7412D">
        <w:rPr>
          <w:rFonts w:ascii="Arial" w:hAnsi="Arial" w:cs="Arial"/>
          <w:sz w:val="24"/>
          <w:szCs w:val="24"/>
        </w:rPr>
        <w:t xml:space="preserve">legal </w:t>
      </w:r>
      <w:r w:rsidR="00610C52">
        <w:rPr>
          <w:rFonts w:ascii="Arial" w:hAnsi="Arial" w:cs="Arial"/>
          <w:sz w:val="24"/>
          <w:szCs w:val="24"/>
        </w:rPr>
        <w:t>mandate</w:t>
      </w:r>
      <w:r w:rsidR="00CB763D">
        <w:rPr>
          <w:rFonts w:ascii="Arial" w:hAnsi="Arial" w:cs="Arial"/>
          <w:sz w:val="24"/>
          <w:szCs w:val="24"/>
        </w:rPr>
        <w:t xml:space="preserve"> for the Commission’s negotiators,</w:t>
      </w:r>
      <w:r>
        <w:rPr>
          <w:rFonts w:ascii="Arial" w:hAnsi="Arial" w:cs="Arial"/>
          <w:sz w:val="24"/>
          <w:szCs w:val="24"/>
        </w:rPr>
        <w:t xml:space="preserve"> never </w:t>
      </w:r>
      <w:r w:rsidR="006A3681">
        <w:rPr>
          <w:rFonts w:ascii="Arial" w:hAnsi="Arial" w:cs="Arial"/>
          <w:sz w:val="24"/>
          <w:szCs w:val="24"/>
        </w:rPr>
        <w:t>committed itself to compromise for the purposes of ruling</w:t>
      </w:r>
      <w:r>
        <w:rPr>
          <w:rFonts w:ascii="Arial" w:hAnsi="Arial" w:cs="Arial"/>
          <w:sz w:val="24"/>
          <w:szCs w:val="24"/>
        </w:rPr>
        <w:t xml:space="preserve"> out a hard Brexit as an illegitimate endpoint. </w:t>
      </w:r>
      <w:r w:rsidR="006A3681">
        <w:rPr>
          <w:rFonts w:ascii="Arial" w:hAnsi="Arial" w:cs="Arial"/>
          <w:sz w:val="24"/>
          <w:szCs w:val="24"/>
        </w:rPr>
        <w:t xml:space="preserve">In the aftermath of the vote, </w:t>
      </w:r>
      <w:r w:rsidR="006A3681" w:rsidRPr="00A04ED7">
        <w:rPr>
          <w:rFonts w:ascii="Arial" w:hAnsi="Arial" w:cs="Arial"/>
          <w:sz w:val="24"/>
          <w:szCs w:val="24"/>
        </w:rPr>
        <w:t xml:space="preserve">Brexit </w:t>
      </w:r>
      <w:r w:rsidR="006A3681">
        <w:rPr>
          <w:rFonts w:ascii="Arial" w:hAnsi="Arial" w:cs="Arial"/>
          <w:sz w:val="24"/>
          <w:szCs w:val="24"/>
        </w:rPr>
        <w:t>wa</w:t>
      </w:r>
      <w:r w:rsidR="006A3681" w:rsidRPr="00A04ED7">
        <w:rPr>
          <w:rFonts w:ascii="Arial" w:hAnsi="Arial" w:cs="Arial"/>
          <w:sz w:val="24"/>
          <w:szCs w:val="24"/>
        </w:rPr>
        <w:t xml:space="preserve">s </w:t>
      </w:r>
      <w:r w:rsidR="006A3681">
        <w:rPr>
          <w:rFonts w:ascii="Arial" w:hAnsi="Arial" w:cs="Arial"/>
          <w:sz w:val="24"/>
          <w:szCs w:val="24"/>
        </w:rPr>
        <w:t xml:space="preserve">considered from </w:t>
      </w:r>
      <w:r w:rsidR="00743EB5">
        <w:rPr>
          <w:rFonts w:ascii="Arial" w:hAnsi="Arial" w:cs="Arial"/>
          <w:sz w:val="24"/>
          <w:szCs w:val="24"/>
        </w:rPr>
        <w:t xml:space="preserve">the standpoint of </w:t>
      </w:r>
      <w:r w:rsidR="006A3681">
        <w:rPr>
          <w:rFonts w:ascii="Arial" w:hAnsi="Arial" w:cs="Arial"/>
          <w:sz w:val="24"/>
          <w:szCs w:val="24"/>
        </w:rPr>
        <w:t xml:space="preserve">Brussels and national capitals as </w:t>
      </w:r>
      <w:r w:rsidR="006A3681" w:rsidRPr="00A04ED7">
        <w:rPr>
          <w:rFonts w:ascii="Arial" w:hAnsi="Arial" w:cs="Arial"/>
          <w:sz w:val="24"/>
          <w:szCs w:val="24"/>
        </w:rPr>
        <w:t xml:space="preserve">first and foremost a matter of principle regarding the proper manner of exit, not a </w:t>
      </w:r>
      <w:r w:rsidR="006A3681">
        <w:rPr>
          <w:rFonts w:ascii="Arial" w:hAnsi="Arial" w:cs="Arial"/>
          <w:sz w:val="24"/>
          <w:szCs w:val="24"/>
        </w:rPr>
        <w:t>dispute</w:t>
      </w:r>
      <w:r w:rsidR="006A3681" w:rsidRPr="00A04ED7">
        <w:rPr>
          <w:rFonts w:ascii="Arial" w:hAnsi="Arial" w:cs="Arial"/>
          <w:sz w:val="24"/>
          <w:szCs w:val="24"/>
        </w:rPr>
        <w:t xml:space="preserve"> over what form of </w:t>
      </w:r>
      <w:r w:rsidR="006A3681">
        <w:rPr>
          <w:rFonts w:ascii="Arial" w:hAnsi="Arial" w:cs="Arial"/>
          <w:sz w:val="24"/>
          <w:szCs w:val="24"/>
        </w:rPr>
        <w:t xml:space="preserve">differentiation should define the future EU-UK </w:t>
      </w:r>
      <w:r w:rsidR="006A3681" w:rsidRPr="00A04ED7">
        <w:rPr>
          <w:rFonts w:ascii="Arial" w:hAnsi="Arial" w:cs="Arial"/>
          <w:sz w:val="24"/>
          <w:szCs w:val="24"/>
        </w:rPr>
        <w:t xml:space="preserve">relationship. </w:t>
      </w:r>
      <w:r w:rsidR="006A3681">
        <w:rPr>
          <w:rFonts w:ascii="Arial" w:hAnsi="Arial" w:cs="Arial"/>
          <w:sz w:val="24"/>
          <w:szCs w:val="24"/>
        </w:rPr>
        <w:t>European leaders did not follow the cue of domestic opponents of Brexit by decrying a hard separation as illegitimate</w:t>
      </w:r>
      <w:r w:rsidR="00CB763D">
        <w:rPr>
          <w:rFonts w:ascii="Arial" w:hAnsi="Arial" w:cs="Arial"/>
          <w:sz w:val="24"/>
          <w:szCs w:val="24"/>
        </w:rPr>
        <w:t>. E</w:t>
      </w:r>
      <w:r w:rsidR="004204FF">
        <w:rPr>
          <w:rFonts w:ascii="Arial" w:hAnsi="Arial" w:cs="Arial"/>
          <w:sz w:val="24"/>
          <w:szCs w:val="24"/>
        </w:rPr>
        <w:t>ven after the 2017 general election that seemingly weakened the UK government’s ability to opt for maximum differentiation</w:t>
      </w:r>
      <w:r w:rsidR="00CB763D">
        <w:rPr>
          <w:rFonts w:ascii="Arial" w:hAnsi="Arial" w:cs="Arial"/>
          <w:sz w:val="24"/>
          <w:szCs w:val="24"/>
        </w:rPr>
        <w:t xml:space="preserve"> there was no EU attempt to cajole the British public into accepting single market and/or customs </w:t>
      </w:r>
      <w:r w:rsidR="000A2339">
        <w:rPr>
          <w:rFonts w:ascii="Arial" w:hAnsi="Arial" w:cs="Arial"/>
          <w:sz w:val="24"/>
          <w:szCs w:val="24"/>
        </w:rPr>
        <w:t xml:space="preserve">union </w:t>
      </w:r>
      <w:r w:rsidR="00CB763D">
        <w:rPr>
          <w:rFonts w:ascii="Arial" w:hAnsi="Arial" w:cs="Arial"/>
          <w:sz w:val="24"/>
          <w:szCs w:val="24"/>
        </w:rPr>
        <w:t xml:space="preserve">membership. </w:t>
      </w:r>
    </w:p>
    <w:p w:rsidR="00B647DB" w:rsidRDefault="00CB763D" w:rsidP="00F7412D">
      <w:pPr>
        <w:jc w:val="both"/>
        <w:rPr>
          <w:rFonts w:ascii="Arial" w:hAnsi="Arial" w:cs="Arial"/>
          <w:sz w:val="24"/>
          <w:szCs w:val="24"/>
        </w:rPr>
      </w:pPr>
      <w:r>
        <w:rPr>
          <w:rFonts w:ascii="Arial" w:hAnsi="Arial" w:cs="Arial"/>
          <w:sz w:val="24"/>
          <w:szCs w:val="24"/>
        </w:rPr>
        <w:t xml:space="preserve">Negotiations continued </w:t>
      </w:r>
      <w:r w:rsidR="00610C52">
        <w:rPr>
          <w:rFonts w:ascii="Arial" w:hAnsi="Arial" w:cs="Arial"/>
          <w:sz w:val="24"/>
          <w:szCs w:val="24"/>
        </w:rPr>
        <w:t xml:space="preserve">instead </w:t>
      </w:r>
      <w:r>
        <w:rPr>
          <w:rFonts w:ascii="Arial" w:hAnsi="Arial" w:cs="Arial"/>
          <w:sz w:val="24"/>
          <w:szCs w:val="24"/>
        </w:rPr>
        <w:t xml:space="preserve">on the basis of </w:t>
      </w:r>
      <w:r w:rsidR="001A7F4B">
        <w:rPr>
          <w:rFonts w:ascii="Arial" w:hAnsi="Arial" w:cs="Arial"/>
          <w:sz w:val="24"/>
          <w:szCs w:val="24"/>
        </w:rPr>
        <w:t xml:space="preserve">the original </w:t>
      </w:r>
      <w:r w:rsidR="00610C52">
        <w:rPr>
          <w:rFonts w:ascii="Arial" w:hAnsi="Arial" w:cs="Arial"/>
          <w:sz w:val="24"/>
          <w:szCs w:val="24"/>
        </w:rPr>
        <w:t>instructions</w:t>
      </w:r>
      <w:r w:rsidR="001A7F4B">
        <w:rPr>
          <w:rFonts w:ascii="Arial" w:hAnsi="Arial" w:cs="Arial"/>
          <w:sz w:val="24"/>
          <w:szCs w:val="24"/>
        </w:rPr>
        <w:t xml:space="preserve"> </w:t>
      </w:r>
      <w:r w:rsidR="001A7F4B" w:rsidRPr="00EA3E33">
        <w:rPr>
          <w:rFonts w:ascii="Arial" w:hAnsi="Arial" w:cs="Arial"/>
          <w:sz w:val="24"/>
          <w:szCs w:val="24"/>
        </w:rPr>
        <w:t xml:space="preserve">that </w:t>
      </w:r>
      <w:r w:rsidR="001A7F4B">
        <w:rPr>
          <w:rFonts w:ascii="Arial" w:hAnsi="Arial" w:cs="Arial"/>
          <w:sz w:val="24"/>
          <w:szCs w:val="24"/>
        </w:rPr>
        <w:t>the EU</w:t>
      </w:r>
      <w:r w:rsidR="001A7F4B" w:rsidRPr="00EA3E33">
        <w:rPr>
          <w:rFonts w:ascii="Arial" w:hAnsi="Arial" w:cs="Arial"/>
          <w:sz w:val="24"/>
          <w:szCs w:val="24"/>
        </w:rPr>
        <w:t xml:space="preserve"> ‘will prepare itself to be able to handle the situation also i</w:t>
      </w:r>
      <w:r w:rsidR="001A7F4B">
        <w:rPr>
          <w:rFonts w:ascii="Arial" w:hAnsi="Arial" w:cs="Arial"/>
          <w:sz w:val="24"/>
          <w:szCs w:val="24"/>
        </w:rPr>
        <w:t>f the negotiations were to fail</w:t>
      </w:r>
      <w:r w:rsidR="001A7F4B" w:rsidRPr="00EA3E33">
        <w:rPr>
          <w:rFonts w:ascii="Arial" w:hAnsi="Arial" w:cs="Arial"/>
          <w:sz w:val="24"/>
          <w:szCs w:val="24"/>
        </w:rPr>
        <w:t>’</w:t>
      </w:r>
      <w:r w:rsidR="001A7F4B">
        <w:rPr>
          <w:rFonts w:ascii="Arial" w:hAnsi="Arial" w:cs="Arial"/>
          <w:sz w:val="24"/>
          <w:szCs w:val="24"/>
        </w:rPr>
        <w:t>.</w:t>
      </w:r>
      <w:r w:rsidR="001A7F4B">
        <w:rPr>
          <w:rStyle w:val="EndnoteReference"/>
          <w:rFonts w:ascii="Arial" w:hAnsi="Arial" w:cs="Arial"/>
          <w:sz w:val="24"/>
          <w:szCs w:val="24"/>
        </w:rPr>
        <w:endnoteReference w:id="1"/>
      </w:r>
      <w:r w:rsidR="000F2221">
        <w:rPr>
          <w:rFonts w:ascii="Arial" w:hAnsi="Arial" w:cs="Arial"/>
          <w:sz w:val="24"/>
          <w:szCs w:val="24"/>
        </w:rPr>
        <w:t xml:space="preserve"> </w:t>
      </w:r>
      <w:r w:rsidR="001856A4">
        <w:rPr>
          <w:rFonts w:ascii="Arial" w:hAnsi="Arial" w:cs="Arial"/>
          <w:sz w:val="24"/>
          <w:szCs w:val="24"/>
        </w:rPr>
        <w:t>This united front</w:t>
      </w:r>
      <w:r w:rsidR="007A2AA0">
        <w:rPr>
          <w:rFonts w:ascii="Arial" w:hAnsi="Arial" w:cs="Arial"/>
          <w:sz w:val="24"/>
          <w:szCs w:val="24"/>
        </w:rPr>
        <w:t>, which</w:t>
      </w:r>
      <w:r w:rsidR="00610C52">
        <w:rPr>
          <w:rFonts w:ascii="Arial" w:hAnsi="Arial" w:cs="Arial"/>
          <w:sz w:val="24"/>
          <w:szCs w:val="24"/>
        </w:rPr>
        <w:t xml:space="preserve"> accept</w:t>
      </w:r>
      <w:r w:rsidR="001856A4">
        <w:rPr>
          <w:rFonts w:ascii="Arial" w:hAnsi="Arial" w:cs="Arial"/>
          <w:sz w:val="24"/>
          <w:szCs w:val="24"/>
        </w:rPr>
        <w:t>s</w:t>
      </w:r>
      <w:r w:rsidR="00610C52">
        <w:rPr>
          <w:rFonts w:ascii="Arial" w:hAnsi="Arial" w:cs="Arial"/>
          <w:sz w:val="24"/>
          <w:szCs w:val="24"/>
        </w:rPr>
        <w:t xml:space="preserve"> the possibility </w:t>
      </w:r>
      <w:r w:rsidR="001856A4">
        <w:rPr>
          <w:rFonts w:ascii="Arial" w:hAnsi="Arial" w:cs="Arial"/>
          <w:sz w:val="24"/>
          <w:szCs w:val="24"/>
        </w:rPr>
        <w:t xml:space="preserve">of a hard </w:t>
      </w:r>
      <w:r w:rsidR="00610C52">
        <w:rPr>
          <w:rFonts w:ascii="Arial" w:hAnsi="Arial" w:cs="Arial"/>
          <w:sz w:val="24"/>
          <w:szCs w:val="24"/>
        </w:rPr>
        <w:t xml:space="preserve">Brexit </w:t>
      </w:r>
      <w:r w:rsidR="001856A4">
        <w:rPr>
          <w:rFonts w:ascii="Arial" w:hAnsi="Arial" w:cs="Arial"/>
          <w:sz w:val="24"/>
          <w:szCs w:val="24"/>
        </w:rPr>
        <w:t xml:space="preserve">as preferable to a compromise </w:t>
      </w:r>
      <w:r w:rsidR="00B647DB">
        <w:rPr>
          <w:rFonts w:ascii="Arial" w:hAnsi="Arial" w:cs="Arial"/>
          <w:sz w:val="24"/>
          <w:szCs w:val="24"/>
        </w:rPr>
        <w:t xml:space="preserve">deal </w:t>
      </w:r>
      <w:r w:rsidR="001856A4">
        <w:rPr>
          <w:rFonts w:ascii="Arial" w:hAnsi="Arial" w:cs="Arial"/>
          <w:sz w:val="24"/>
          <w:szCs w:val="24"/>
        </w:rPr>
        <w:t>that offer</w:t>
      </w:r>
      <w:r w:rsidR="00B647DB">
        <w:rPr>
          <w:rFonts w:ascii="Arial" w:hAnsi="Arial" w:cs="Arial"/>
          <w:sz w:val="24"/>
          <w:szCs w:val="24"/>
        </w:rPr>
        <w:t>s</w:t>
      </w:r>
      <w:r w:rsidR="001856A4">
        <w:rPr>
          <w:rFonts w:ascii="Arial" w:hAnsi="Arial" w:cs="Arial"/>
          <w:sz w:val="24"/>
          <w:szCs w:val="24"/>
        </w:rPr>
        <w:t xml:space="preserve"> too many advantages without corresponding obliga</w:t>
      </w:r>
      <w:r w:rsidR="001856A4">
        <w:rPr>
          <w:rFonts w:ascii="Arial" w:hAnsi="Arial" w:cs="Arial"/>
          <w:sz w:val="24"/>
          <w:szCs w:val="24"/>
        </w:rPr>
        <w:lastRenderedPageBreak/>
        <w:t>tions</w:t>
      </w:r>
      <w:r w:rsidR="007A2AA0">
        <w:rPr>
          <w:rFonts w:ascii="Arial" w:hAnsi="Arial" w:cs="Arial"/>
          <w:sz w:val="24"/>
          <w:szCs w:val="24"/>
        </w:rPr>
        <w:t>,</w:t>
      </w:r>
      <w:r w:rsidR="001856A4">
        <w:rPr>
          <w:rFonts w:ascii="Arial" w:hAnsi="Arial" w:cs="Arial"/>
          <w:sz w:val="24"/>
          <w:szCs w:val="24"/>
        </w:rPr>
        <w:t xml:space="preserve"> is remarkable. </w:t>
      </w:r>
      <w:r w:rsidR="00F95303">
        <w:rPr>
          <w:rFonts w:ascii="Arial" w:hAnsi="Arial" w:cs="Arial"/>
          <w:sz w:val="24"/>
          <w:szCs w:val="24"/>
        </w:rPr>
        <w:t>It flies in the face of Eurosceptic expectations – emboldened by the twin migration and Eurozone crises – that the UK referendum could have a domino effect, acting a</w:t>
      </w:r>
      <w:r w:rsidR="00F95303" w:rsidRPr="00C954D7">
        <w:rPr>
          <w:rFonts w:ascii="Arial" w:hAnsi="Arial" w:cs="Arial"/>
          <w:sz w:val="24"/>
          <w:szCs w:val="24"/>
        </w:rPr>
        <w:t xml:space="preserve">s a catalyst for rolling back </w:t>
      </w:r>
      <w:r w:rsidR="00F95303">
        <w:rPr>
          <w:rFonts w:ascii="Arial" w:hAnsi="Arial" w:cs="Arial"/>
          <w:sz w:val="24"/>
          <w:szCs w:val="24"/>
        </w:rPr>
        <w:t xml:space="preserve">decades of </w:t>
      </w:r>
      <w:r w:rsidR="00F95303" w:rsidRPr="00C954D7">
        <w:rPr>
          <w:rFonts w:ascii="Arial" w:hAnsi="Arial" w:cs="Arial"/>
          <w:sz w:val="24"/>
          <w:szCs w:val="24"/>
        </w:rPr>
        <w:t>integratio</w:t>
      </w:r>
      <w:r w:rsidR="00F95303">
        <w:rPr>
          <w:rFonts w:ascii="Arial" w:hAnsi="Arial" w:cs="Arial"/>
          <w:sz w:val="24"/>
          <w:szCs w:val="24"/>
        </w:rPr>
        <w:t xml:space="preserve">n. </w:t>
      </w:r>
    </w:p>
    <w:p w:rsidR="00B647DB" w:rsidRDefault="00B647DB" w:rsidP="00F7412D">
      <w:pPr>
        <w:jc w:val="both"/>
        <w:rPr>
          <w:rFonts w:ascii="Arial" w:hAnsi="Arial" w:cs="Arial"/>
          <w:sz w:val="24"/>
          <w:szCs w:val="24"/>
        </w:rPr>
      </w:pPr>
    </w:p>
    <w:p w:rsidR="00F7412D" w:rsidRDefault="00B647DB" w:rsidP="00F7412D">
      <w:pPr>
        <w:jc w:val="both"/>
        <w:rPr>
          <w:rFonts w:ascii="Arial" w:hAnsi="Arial" w:cs="Arial"/>
          <w:sz w:val="24"/>
          <w:szCs w:val="24"/>
        </w:rPr>
      </w:pPr>
      <w:r>
        <w:rPr>
          <w:rFonts w:ascii="Arial" w:hAnsi="Arial" w:cs="Arial"/>
          <w:sz w:val="24"/>
          <w:szCs w:val="24"/>
        </w:rPr>
        <w:t xml:space="preserve">Consequently, </w:t>
      </w:r>
      <w:r w:rsidR="00610C52">
        <w:rPr>
          <w:rFonts w:ascii="Arial" w:hAnsi="Arial" w:cs="Arial"/>
          <w:sz w:val="24"/>
          <w:szCs w:val="24"/>
        </w:rPr>
        <w:t>t</w:t>
      </w:r>
      <w:r w:rsidR="00F7412D">
        <w:rPr>
          <w:rFonts w:ascii="Arial" w:hAnsi="Arial" w:cs="Arial"/>
          <w:sz w:val="24"/>
          <w:szCs w:val="24"/>
        </w:rPr>
        <w:t xml:space="preserve">he UK’s departure from the EU </w:t>
      </w:r>
      <w:r w:rsidR="001856A4">
        <w:rPr>
          <w:rFonts w:ascii="Arial" w:hAnsi="Arial" w:cs="Arial"/>
          <w:sz w:val="24"/>
          <w:szCs w:val="24"/>
        </w:rPr>
        <w:t>must</w:t>
      </w:r>
      <w:r w:rsidR="00F7412D">
        <w:rPr>
          <w:rFonts w:ascii="Arial" w:hAnsi="Arial" w:cs="Arial"/>
          <w:sz w:val="24"/>
          <w:szCs w:val="24"/>
        </w:rPr>
        <w:t xml:space="preserve"> be understood as conceptually very distinct from previous or ongoing wrangles over reform of the EU. Earlier episodes, notably as this paper shows those involving UK attempts to gain special treatment during its time as an EEC/EU member, related to differentiated integration, in the sense of legitimate divergence over the pace and depth of integration. Brexit is different, precisely because it constitutes a fundamental repudiation of EU legitimacy. Following Henry Kissinger, the UK’s withdrawal is defined here as a revolutionary act that denies the legitimacy of a particular international order. This is contrasted with the idea, also found in Kissinger’s account of the nineteenth</w:t>
      </w:r>
      <w:r w:rsidR="000A2339">
        <w:rPr>
          <w:rFonts w:ascii="Arial" w:hAnsi="Arial" w:cs="Arial"/>
          <w:sz w:val="24"/>
          <w:szCs w:val="24"/>
        </w:rPr>
        <w:t>-</w:t>
      </w:r>
      <w:r w:rsidR="00F7412D">
        <w:rPr>
          <w:rFonts w:ascii="Arial" w:hAnsi="Arial" w:cs="Arial"/>
          <w:sz w:val="24"/>
          <w:szCs w:val="24"/>
        </w:rPr>
        <w:t>century Concert of Europe of negotiating differences over a “just arrangement” within a settled order.</w:t>
      </w:r>
      <w:r w:rsidR="00F7412D">
        <w:rPr>
          <w:rStyle w:val="EndnoteReference"/>
          <w:rFonts w:ascii="Arial" w:hAnsi="Arial" w:cs="Arial"/>
          <w:sz w:val="24"/>
          <w:szCs w:val="24"/>
        </w:rPr>
        <w:endnoteReference w:id="2"/>
      </w:r>
      <w:r w:rsidR="00F7412D">
        <w:rPr>
          <w:rFonts w:ascii="Arial" w:hAnsi="Arial" w:cs="Arial"/>
          <w:sz w:val="24"/>
          <w:szCs w:val="24"/>
        </w:rPr>
        <w:t xml:space="preserve"> Whereas differentiation is a process of negotiating differences within such a settled system, Brexit is based on rejecting the EU consensus over the legitimacy of the founding principles of European integration, especially free movement and legal supremacy. </w:t>
      </w:r>
    </w:p>
    <w:p w:rsidR="00AE4804" w:rsidRDefault="00AE4804" w:rsidP="00AE4804">
      <w:pPr>
        <w:jc w:val="both"/>
        <w:rPr>
          <w:rFonts w:ascii="Arial" w:hAnsi="Arial" w:cs="Arial"/>
          <w:sz w:val="24"/>
          <w:szCs w:val="24"/>
        </w:rPr>
      </w:pPr>
      <w:r>
        <w:rPr>
          <w:rFonts w:ascii="Arial" w:hAnsi="Arial" w:cs="Arial"/>
          <w:sz w:val="24"/>
          <w:szCs w:val="24"/>
        </w:rPr>
        <w:t xml:space="preserve">By reading the Article 50 negotiations as a unilateral move born of a revolutionary mindset, it </w:t>
      </w:r>
      <w:r w:rsidR="00F025D8">
        <w:rPr>
          <w:rFonts w:ascii="Arial" w:hAnsi="Arial" w:cs="Arial"/>
          <w:sz w:val="24"/>
          <w:szCs w:val="24"/>
        </w:rPr>
        <w:t>becomes</w:t>
      </w:r>
      <w:r>
        <w:rPr>
          <w:rFonts w:ascii="Arial" w:hAnsi="Arial" w:cs="Arial"/>
          <w:sz w:val="24"/>
          <w:szCs w:val="24"/>
        </w:rPr>
        <w:t xml:space="preserve"> clear why the Brexit process does not conform to standard models of differentiation. As Kissinger might put it, the talks have struggled to find a new legitimizing principle by which the UK can relate to the EU. British attempts to negotiate a way to decouple comprehensive trade relations from free movement and from jurisdiction of the European Court of Justice have been met by a constant EU reminder that such “cherry picking” is not preferable to a hard Brexit. The latter is thus a perfectly legitimate outcome for the EU, unlike the idea of accommodating UK interests with a form of differentiation that avoids the political downsides of interdependence. </w:t>
      </w:r>
    </w:p>
    <w:p w:rsidR="00F95303" w:rsidRDefault="00F95303" w:rsidP="00F7412D">
      <w:pPr>
        <w:jc w:val="both"/>
        <w:rPr>
          <w:rFonts w:ascii="Arial" w:hAnsi="Arial" w:cs="Arial"/>
          <w:sz w:val="24"/>
          <w:szCs w:val="24"/>
        </w:rPr>
      </w:pPr>
    </w:p>
    <w:p w:rsidR="00F95303" w:rsidRDefault="00F95303" w:rsidP="00F7412D">
      <w:pPr>
        <w:jc w:val="both"/>
        <w:rPr>
          <w:rFonts w:ascii="Arial" w:hAnsi="Arial" w:cs="Arial"/>
          <w:sz w:val="24"/>
          <w:szCs w:val="24"/>
        </w:rPr>
      </w:pPr>
    </w:p>
    <w:p w:rsidR="00F95303" w:rsidRDefault="00F95303" w:rsidP="007A2AA0">
      <w:pPr>
        <w:jc w:val="both"/>
        <w:rPr>
          <w:rFonts w:ascii="Arial" w:hAnsi="Arial" w:cs="Arial"/>
          <w:sz w:val="24"/>
          <w:szCs w:val="24"/>
        </w:rPr>
      </w:pPr>
    </w:p>
    <w:p w:rsidR="001A7F4B" w:rsidRDefault="001A7F4B" w:rsidP="00CB763D">
      <w:pPr>
        <w:jc w:val="both"/>
        <w:rPr>
          <w:rFonts w:ascii="Arial" w:hAnsi="Arial" w:cs="Arial"/>
          <w:sz w:val="24"/>
          <w:szCs w:val="24"/>
        </w:rPr>
      </w:pPr>
    </w:p>
    <w:p w:rsidR="00CB763D" w:rsidRDefault="00CB763D" w:rsidP="004D0238">
      <w:pPr>
        <w:jc w:val="both"/>
        <w:rPr>
          <w:rFonts w:ascii="Arial" w:hAnsi="Arial" w:cs="Arial"/>
          <w:sz w:val="24"/>
          <w:szCs w:val="24"/>
        </w:rPr>
      </w:pPr>
    </w:p>
    <w:p w:rsidR="00AE45BC" w:rsidRDefault="00AE45BC" w:rsidP="004D0238">
      <w:pPr>
        <w:jc w:val="both"/>
        <w:rPr>
          <w:rFonts w:ascii="Arial" w:hAnsi="Arial" w:cs="Arial"/>
          <w:sz w:val="24"/>
          <w:szCs w:val="24"/>
        </w:rPr>
      </w:pPr>
    </w:p>
    <w:p w:rsidR="009C5A1D" w:rsidRDefault="009C5A1D" w:rsidP="00DF2387">
      <w:pPr>
        <w:jc w:val="both"/>
        <w:rPr>
          <w:rFonts w:ascii="Arial" w:hAnsi="Arial" w:cs="Arial"/>
          <w:sz w:val="24"/>
          <w:szCs w:val="24"/>
        </w:rPr>
      </w:pPr>
    </w:p>
    <w:p w:rsidR="00D13AA8" w:rsidRDefault="00D13AA8" w:rsidP="00F025D8">
      <w:pPr>
        <w:jc w:val="both"/>
        <w:rPr>
          <w:rFonts w:ascii="Arial" w:hAnsi="Arial" w:cs="Arial"/>
          <w:sz w:val="24"/>
          <w:szCs w:val="24"/>
        </w:rPr>
      </w:pPr>
    </w:p>
    <w:p w:rsidR="008729A2" w:rsidRDefault="007D40C8" w:rsidP="004B3DB6">
      <w:pPr>
        <w:rPr>
          <w:rFonts w:ascii="Arial" w:hAnsi="Arial" w:cs="Arial"/>
          <w:b/>
          <w:sz w:val="24"/>
          <w:szCs w:val="24"/>
        </w:rPr>
      </w:pPr>
      <w:r>
        <w:rPr>
          <w:rFonts w:ascii="Arial" w:hAnsi="Arial" w:cs="Arial"/>
          <w:b/>
          <w:sz w:val="24"/>
          <w:szCs w:val="24"/>
        </w:rPr>
        <w:t xml:space="preserve">The </w:t>
      </w:r>
      <w:r w:rsidR="000079FE" w:rsidRPr="00172BA9">
        <w:rPr>
          <w:rFonts w:ascii="Arial" w:hAnsi="Arial" w:cs="Arial"/>
          <w:b/>
          <w:sz w:val="24"/>
          <w:szCs w:val="24"/>
        </w:rPr>
        <w:t>Hard/Soft Distinction</w:t>
      </w:r>
      <w:r w:rsidR="00124244">
        <w:rPr>
          <w:rFonts w:ascii="Arial" w:hAnsi="Arial" w:cs="Arial"/>
          <w:b/>
          <w:sz w:val="24"/>
          <w:szCs w:val="24"/>
        </w:rPr>
        <w:t xml:space="preserve"> and its Unimportance to the EU</w:t>
      </w:r>
    </w:p>
    <w:p w:rsidR="00AD1CDF" w:rsidRDefault="009B4F9A" w:rsidP="00AA2AD6">
      <w:pPr>
        <w:jc w:val="both"/>
        <w:rPr>
          <w:rFonts w:ascii="Arial" w:hAnsi="Arial" w:cs="Arial"/>
          <w:sz w:val="24"/>
          <w:szCs w:val="24"/>
        </w:rPr>
      </w:pPr>
      <w:r>
        <w:rPr>
          <w:rFonts w:ascii="Arial" w:hAnsi="Arial" w:cs="Arial"/>
          <w:sz w:val="24"/>
          <w:szCs w:val="24"/>
        </w:rPr>
        <w:t>Leaving the EU became the all-consuming preoccupation of UK politics as soon as the referendum result was announced. In this context, the hard-soft spectrum of plausible Brexit scenarios became of the utmost significance and quickly established itself as a cleavage issue within the two main parties. However, t</w:t>
      </w:r>
      <w:r w:rsidR="00423DAE" w:rsidRPr="004E11D9">
        <w:rPr>
          <w:rFonts w:ascii="Arial" w:hAnsi="Arial" w:cs="Arial"/>
          <w:sz w:val="24"/>
          <w:szCs w:val="24"/>
        </w:rPr>
        <w:t xml:space="preserve">he </w:t>
      </w:r>
      <w:r w:rsidR="005847D5">
        <w:rPr>
          <w:rFonts w:ascii="Arial" w:hAnsi="Arial" w:cs="Arial"/>
          <w:sz w:val="24"/>
          <w:szCs w:val="24"/>
        </w:rPr>
        <w:t>notion</w:t>
      </w:r>
      <w:r w:rsidR="00423DAE" w:rsidRPr="004E11D9">
        <w:rPr>
          <w:rFonts w:ascii="Arial" w:hAnsi="Arial" w:cs="Arial"/>
          <w:sz w:val="24"/>
          <w:szCs w:val="24"/>
        </w:rPr>
        <w:t xml:space="preserve"> that there might be different kinds of options for how to leave the EU</w:t>
      </w:r>
      <w:r w:rsidR="0038133B" w:rsidRPr="004E11D9">
        <w:rPr>
          <w:rFonts w:ascii="Arial" w:hAnsi="Arial" w:cs="Arial"/>
          <w:sz w:val="24"/>
          <w:szCs w:val="24"/>
        </w:rPr>
        <w:t xml:space="preserve"> </w:t>
      </w:r>
      <w:r w:rsidR="00423DAE" w:rsidRPr="004E11D9">
        <w:rPr>
          <w:rFonts w:ascii="Arial" w:hAnsi="Arial" w:cs="Arial"/>
          <w:sz w:val="24"/>
          <w:szCs w:val="24"/>
        </w:rPr>
        <w:t xml:space="preserve">did not </w:t>
      </w:r>
      <w:r w:rsidR="0038133B" w:rsidRPr="004E11D9">
        <w:rPr>
          <w:rFonts w:ascii="Arial" w:hAnsi="Arial" w:cs="Arial"/>
          <w:sz w:val="24"/>
          <w:szCs w:val="24"/>
        </w:rPr>
        <w:t>feature</w:t>
      </w:r>
      <w:r w:rsidR="00423DAE" w:rsidRPr="004E11D9">
        <w:rPr>
          <w:rFonts w:ascii="Arial" w:hAnsi="Arial" w:cs="Arial"/>
          <w:sz w:val="24"/>
          <w:szCs w:val="24"/>
        </w:rPr>
        <w:t xml:space="preserve"> prominen</w:t>
      </w:r>
      <w:r w:rsidR="0038133B" w:rsidRPr="004E11D9">
        <w:rPr>
          <w:rFonts w:ascii="Arial" w:hAnsi="Arial" w:cs="Arial"/>
          <w:sz w:val="24"/>
          <w:szCs w:val="24"/>
        </w:rPr>
        <w:t>tly</w:t>
      </w:r>
      <w:r w:rsidR="00423DAE" w:rsidRPr="004E11D9">
        <w:rPr>
          <w:rFonts w:ascii="Arial" w:hAnsi="Arial" w:cs="Arial"/>
          <w:sz w:val="24"/>
          <w:szCs w:val="24"/>
        </w:rPr>
        <w:t xml:space="preserve"> in the prelude to the </w:t>
      </w:r>
      <w:r w:rsidR="00042463">
        <w:rPr>
          <w:rFonts w:ascii="Arial" w:hAnsi="Arial" w:cs="Arial"/>
          <w:sz w:val="24"/>
          <w:szCs w:val="24"/>
        </w:rPr>
        <w:t xml:space="preserve">2016 UK </w:t>
      </w:r>
      <w:r w:rsidR="00423DAE" w:rsidRPr="004E11D9">
        <w:rPr>
          <w:rFonts w:ascii="Arial" w:hAnsi="Arial" w:cs="Arial"/>
          <w:sz w:val="24"/>
          <w:szCs w:val="24"/>
        </w:rPr>
        <w:t xml:space="preserve">referendum. </w:t>
      </w:r>
      <w:r w:rsidR="00B42824">
        <w:rPr>
          <w:rFonts w:ascii="Arial" w:hAnsi="Arial" w:cs="Arial"/>
          <w:sz w:val="24"/>
          <w:szCs w:val="24"/>
        </w:rPr>
        <w:t xml:space="preserve">A twitter hashtag search reveals no use of </w:t>
      </w:r>
      <w:r w:rsidR="009C5D23">
        <w:rPr>
          <w:rFonts w:ascii="Arial" w:hAnsi="Arial" w:cs="Arial"/>
          <w:sz w:val="24"/>
          <w:szCs w:val="24"/>
        </w:rPr>
        <w:t>either #</w:t>
      </w:r>
      <w:r w:rsidR="00B42824">
        <w:rPr>
          <w:rFonts w:ascii="Arial" w:hAnsi="Arial" w:cs="Arial"/>
          <w:sz w:val="24"/>
          <w:szCs w:val="24"/>
        </w:rPr>
        <w:t>HardBrexit</w:t>
      </w:r>
      <w:r w:rsidR="009C5D23">
        <w:rPr>
          <w:rFonts w:ascii="Arial" w:hAnsi="Arial" w:cs="Arial"/>
          <w:sz w:val="24"/>
          <w:szCs w:val="24"/>
        </w:rPr>
        <w:t xml:space="preserve"> or #SoftBrexit worldwide</w:t>
      </w:r>
      <w:r w:rsidR="00B42824">
        <w:rPr>
          <w:rFonts w:ascii="Arial" w:hAnsi="Arial" w:cs="Arial"/>
          <w:sz w:val="24"/>
          <w:szCs w:val="24"/>
        </w:rPr>
        <w:t xml:space="preserve"> from the date of the 2010 General election until the day before the </w:t>
      </w:r>
      <w:r w:rsidR="009C5D23">
        <w:rPr>
          <w:rFonts w:ascii="Arial" w:hAnsi="Arial" w:cs="Arial"/>
          <w:sz w:val="24"/>
          <w:szCs w:val="24"/>
        </w:rPr>
        <w:t xml:space="preserve">referendum on 23 June 2016. </w:t>
      </w:r>
      <w:r w:rsidR="00AD1CDF">
        <w:rPr>
          <w:rFonts w:ascii="Arial" w:hAnsi="Arial" w:cs="Arial"/>
          <w:sz w:val="24"/>
          <w:szCs w:val="24"/>
        </w:rPr>
        <w:t>The relevant hard/soft distinction prior to the vote was that between hard and soft Eurosceptics, with the latter the implicit target of David Cameron’s renegotiation that concluded with the European Council meeting 18-19 February 2016.</w:t>
      </w:r>
      <w:r w:rsidR="00BC4EC3">
        <w:rPr>
          <w:rFonts w:ascii="Arial" w:hAnsi="Arial" w:cs="Arial"/>
          <w:sz w:val="24"/>
          <w:szCs w:val="24"/>
        </w:rPr>
        <w:t xml:space="preserve"> </w:t>
      </w:r>
      <w:r w:rsidR="00AD1CDF">
        <w:rPr>
          <w:rFonts w:ascii="Arial" w:hAnsi="Arial" w:cs="Arial"/>
          <w:sz w:val="24"/>
          <w:szCs w:val="24"/>
        </w:rPr>
        <w:t>Indeed, the decision to hold a referendum was fundamentally shaped by the rise of hard Euroscepticism among Conservative MPs as the Eurosceptic/Europhile cleavage was replaced by the hard/soft Eurosceptic division.</w:t>
      </w:r>
    </w:p>
    <w:p w:rsidR="00DA521B" w:rsidRDefault="0077697E" w:rsidP="00AA2AD6">
      <w:pPr>
        <w:jc w:val="both"/>
        <w:rPr>
          <w:rFonts w:ascii="Arial" w:hAnsi="Arial" w:cs="Arial"/>
          <w:sz w:val="24"/>
          <w:szCs w:val="24"/>
        </w:rPr>
      </w:pPr>
      <w:r w:rsidRPr="004E11D9">
        <w:rPr>
          <w:rFonts w:ascii="Arial" w:hAnsi="Arial" w:cs="Arial"/>
          <w:sz w:val="24"/>
          <w:szCs w:val="24"/>
        </w:rPr>
        <w:t>Neither side had an incentive during the pro- and anti-EU debate to focus on the gradations of nuance possible in the ev</w:t>
      </w:r>
      <w:r w:rsidR="00F54024">
        <w:rPr>
          <w:rFonts w:ascii="Arial" w:hAnsi="Arial" w:cs="Arial"/>
          <w:sz w:val="24"/>
          <w:szCs w:val="24"/>
        </w:rPr>
        <w:t>ent of a vote to end membership</w:t>
      </w:r>
      <w:r w:rsidRPr="004E11D9">
        <w:rPr>
          <w:rFonts w:ascii="Arial" w:hAnsi="Arial" w:cs="Arial"/>
          <w:sz w:val="24"/>
          <w:szCs w:val="24"/>
        </w:rPr>
        <w:t>. T</w:t>
      </w:r>
      <w:r w:rsidR="00423DAE" w:rsidRPr="004E11D9">
        <w:rPr>
          <w:rFonts w:ascii="Arial" w:hAnsi="Arial" w:cs="Arial"/>
          <w:sz w:val="24"/>
          <w:szCs w:val="24"/>
        </w:rPr>
        <w:t>he Remain camp sought to magnify the threats associated with leaving</w:t>
      </w:r>
      <w:r w:rsidRPr="004E11D9">
        <w:rPr>
          <w:rFonts w:ascii="Arial" w:hAnsi="Arial" w:cs="Arial"/>
          <w:sz w:val="24"/>
          <w:szCs w:val="24"/>
        </w:rPr>
        <w:t xml:space="preserve">, thereby </w:t>
      </w:r>
      <w:r w:rsidR="00DA521B" w:rsidRPr="004E11D9">
        <w:rPr>
          <w:rFonts w:ascii="Arial" w:hAnsi="Arial" w:cs="Arial"/>
          <w:sz w:val="24"/>
          <w:szCs w:val="24"/>
        </w:rPr>
        <w:t xml:space="preserve">always </w:t>
      </w:r>
      <w:r w:rsidRPr="004E11D9">
        <w:rPr>
          <w:rFonts w:ascii="Arial" w:hAnsi="Arial" w:cs="Arial"/>
          <w:sz w:val="24"/>
          <w:szCs w:val="24"/>
        </w:rPr>
        <w:t xml:space="preserve">presenting Brexit in the most economically damaging </w:t>
      </w:r>
      <w:r w:rsidR="00F54024">
        <w:rPr>
          <w:rFonts w:ascii="Arial" w:hAnsi="Arial" w:cs="Arial"/>
          <w:sz w:val="24"/>
          <w:szCs w:val="24"/>
        </w:rPr>
        <w:t>light</w:t>
      </w:r>
      <w:r w:rsidRPr="004E11D9">
        <w:rPr>
          <w:rFonts w:ascii="Arial" w:hAnsi="Arial" w:cs="Arial"/>
          <w:sz w:val="24"/>
          <w:szCs w:val="24"/>
        </w:rPr>
        <w:t xml:space="preserve">. </w:t>
      </w:r>
      <w:r w:rsidR="0040786B">
        <w:rPr>
          <w:rFonts w:ascii="Arial" w:hAnsi="Arial" w:cs="Arial"/>
          <w:sz w:val="24"/>
          <w:szCs w:val="24"/>
        </w:rPr>
        <w:t>T</w:t>
      </w:r>
      <w:r w:rsidRPr="004E11D9">
        <w:rPr>
          <w:rFonts w:ascii="Arial" w:hAnsi="Arial" w:cs="Arial"/>
          <w:sz w:val="24"/>
          <w:szCs w:val="24"/>
        </w:rPr>
        <w:t>he Vote</w:t>
      </w:r>
      <w:r w:rsidR="00423DAE" w:rsidRPr="004E11D9">
        <w:rPr>
          <w:rFonts w:ascii="Arial" w:hAnsi="Arial" w:cs="Arial"/>
          <w:sz w:val="24"/>
          <w:szCs w:val="24"/>
        </w:rPr>
        <w:t xml:space="preserve"> Leave </w:t>
      </w:r>
      <w:r w:rsidRPr="004E11D9">
        <w:rPr>
          <w:rFonts w:ascii="Arial" w:hAnsi="Arial" w:cs="Arial"/>
          <w:sz w:val="24"/>
          <w:szCs w:val="24"/>
        </w:rPr>
        <w:t>campaign</w:t>
      </w:r>
      <w:r w:rsidR="0040786B">
        <w:rPr>
          <w:rFonts w:ascii="Arial" w:hAnsi="Arial" w:cs="Arial"/>
          <w:sz w:val="24"/>
          <w:szCs w:val="24"/>
        </w:rPr>
        <w:t>, by contrast,</w:t>
      </w:r>
      <w:r w:rsidRPr="004E11D9">
        <w:rPr>
          <w:rFonts w:ascii="Arial" w:hAnsi="Arial" w:cs="Arial"/>
          <w:sz w:val="24"/>
          <w:szCs w:val="24"/>
        </w:rPr>
        <w:t xml:space="preserve"> </w:t>
      </w:r>
      <w:r w:rsidR="00423DAE" w:rsidRPr="004E11D9">
        <w:rPr>
          <w:rFonts w:ascii="Arial" w:hAnsi="Arial" w:cs="Arial"/>
          <w:sz w:val="24"/>
          <w:szCs w:val="24"/>
        </w:rPr>
        <w:t xml:space="preserve">could appeal to a large constituency by </w:t>
      </w:r>
      <w:r w:rsidRPr="004E11D9">
        <w:rPr>
          <w:rFonts w:ascii="Arial" w:hAnsi="Arial" w:cs="Arial"/>
          <w:sz w:val="24"/>
          <w:szCs w:val="24"/>
        </w:rPr>
        <w:t xml:space="preserve">consciously </w:t>
      </w:r>
      <w:r w:rsidR="00423DAE" w:rsidRPr="004E11D9">
        <w:rPr>
          <w:rFonts w:ascii="Arial" w:hAnsi="Arial" w:cs="Arial"/>
          <w:sz w:val="24"/>
          <w:szCs w:val="24"/>
        </w:rPr>
        <w:t>maintaining ambiguity over future plans for immigration or the economy</w:t>
      </w:r>
      <w:r w:rsidRPr="004E11D9">
        <w:rPr>
          <w:rFonts w:ascii="Arial" w:hAnsi="Arial" w:cs="Arial"/>
          <w:sz w:val="24"/>
          <w:szCs w:val="24"/>
        </w:rPr>
        <w:t xml:space="preserve"> outside the EU</w:t>
      </w:r>
      <w:r w:rsidR="00423DAE" w:rsidRPr="004E11D9">
        <w:rPr>
          <w:rFonts w:ascii="Arial" w:hAnsi="Arial" w:cs="Arial"/>
          <w:sz w:val="24"/>
          <w:szCs w:val="24"/>
        </w:rPr>
        <w:t>.</w:t>
      </w:r>
      <w:r w:rsidRPr="004E11D9">
        <w:rPr>
          <w:rFonts w:ascii="Arial" w:hAnsi="Arial" w:cs="Arial"/>
          <w:sz w:val="24"/>
          <w:szCs w:val="24"/>
        </w:rPr>
        <w:t xml:space="preserve"> In this regard, the British Electoral Commission’s designation of Vote Leave as </w:t>
      </w:r>
      <w:r w:rsidR="00DB603E" w:rsidRPr="004E11D9">
        <w:rPr>
          <w:rFonts w:ascii="Arial" w:hAnsi="Arial" w:cs="Arial"/>
          <w:sz w:val="24"/>
          <w:szCs w:val="24"/>
        </w:rPr>
        <w:t xml:space="preserve">the </w:t>
      </w:r>
      <w:r w:rsidRPr="004E11D9">
        <w:rPr>
          <w:rFonts w:ascii="Arial" w:hAnsi="Arial" w:cs="Arial"/>
          <w:sz w:val="24"/>
          <w:szCs w:val="24"/>
        </w:rPr>
        <w:t>official</w:t>
      </w:r>
      <w:r w:rsidR="00DB603E" w:rsidRPr="004E11D9">
        <w:rPr>
          <w:rFonts w:ascii="Arial" w:hAnsi="Arial" w:cs="Arial"/>
          <w:sz w:val="24"/>
          <w:szCs w:val="24"/>
        </w:rPr>
        <w:t>ly funded</w:t>
      </w:r>
      <w:r w:rsidRPr="004E11D9">
        <w:rPr>
          <w:rFonts w:ascii="Arial" w:hAnsi="Arial" w:cs="Arial"/>
          <w:sz w:val="24"/>
          <w:szCs w:val="24"/>
        </w:rPr>
        <w:t xml:space="preserve"> representative of the No position </w:t>
      </w:r>
      <w:r w:rsidR="00DB603E" w:rsidRPr="004E11D9">
        <w:rPr>
          <w:rFonts w:ascii="Arial" w:hAnsi="Arial" w:cs="Arial"/>
          <w:sz w:val="24"/>
          <w:szCs w:val="24"/>
        </w:rPr>
        <w:t xml:space="preserve">was crucial because it marginalized the </w:t>
      </w:r>
      <w:r w:rsidRPr="004E11D9">
        <w:rPr>
          <w:rFonts w:ascii="Arial" w:hAnsi="Arial" w:cs="Arial"/>
          <w:sz w:val="24"/>
          <w:szCs w:val="24"/>
        </w:rPr>
        <w:t>rival</w:t>
      </w:r>
      <w:r w:rsidR="00DB603E" w:rsidRPr="004E11D9">
        <w:rPr>
          <w:rFonts w:ascii="Arial" w:hAnsi="Arial" w:cs="Arial"/>
          <w:sz w:val="24"/>
          <w:szCs w:val="24"/>
        </w:rPr>
        <w:t>,</w:t>
      </w:r>
      <w:r w:rsidRPr="004E11D9">
        <w:rPr>
          <w:rFonts w:ascii="Arial" w:hAnsi="Arial" w:cs="Arial"/>
          <w:sz w:val="24"/>
          <w:szCs w:val="24"/>
        </w:rPr>
        <w:t xml:space="preserve"> UKIP-affiliated Grassroots Out movement</w:t>
      </w:r>
      <w:r w:rsidR="00DB603E" w:rsidRPr="004E11D9">
        <w:rPr>
          <w:rFonts w:ascii="Arial" w:hAnsi="Arial" w:cs="Arial"/>
          <w:sz w:val="24"/>
          <w:szCs w:val="24"/>
        </w:rPr>
        <w:t>, which was explicit about ending free movement and thus leaving the single market.</w:t>
      </w:r>
      <w:r w:rsidR="00DA521B" w:rsidRPr="004E11D9">
        <w:rPr>
          <w:rFonts w:ascii="Arial" w:hAnsi="Arial" w:cs="Arial"/>
          <w:sz w:val="24"/>
          <w:szCs w:val="24"/>
        </w:rPr>
        <w:t xml:space="preserve"> Cabinet ministers such as Boris Johnson and Michael Gove</w:t>
      </w:r>
      <w:r w:rsidR="00E34CF0">
        <w:rPr>
          <w:rFonts w:ascii="Arial" w:hAnsi="Arial" w:cs="Arial"/>
          <w:sz w:val="24"/>
          <w:szCs w:val="24"/>
        </w:rPr>
        <w:t>,</w:t>
      </w:r>
      <w:r w:rsidR="00DA521B" w:rsidRPr="004E11D9">
        <w:rPr>
          <w:rFonts w:ascii="Arial" w:hAnsi="Arial" w:cs="Arial"/>
          <w:sz w:val="24"/>
          <w:szCs w:val="24"/>
        </w:rPr>
        <w:t xml:space="preserve"> who</w:t>
      </w:r>
      <w:r w:rsidR="00E34CF0">
        <w:rPr>
          <w:rFonts w:ascii="Arial" w:hAnsi="Arial" w:cs="Arial"/>
          <w:sz w:val="24"/>
          <w:szCs w:val="24"/>
        </w:rPr>
        <w:t>se</w:t>
      </w:r>
      <w:r w:rsidR="00DA521B" w:rsidRPr="004E11D9">
        <w:rPr>
          <w:rFonts w:ascii="Arial" w:hAnsi="Arial" w:cs="Arial"/>
          <w:sz w:val="24"/>
          <w:szCs w:val="24"/>
        </w:rPr>
        <w:t xml:space="preserve"> </w:t>
      </w:r>
      <w:r w:rsidR="00E34CF0">
        <w:rPr>
          <w:rFonts w:ascii="Arial" w:hAnsi="Arial" w:cs="Arial"/>
          <w:sz w:val="24"/>
          <w:szCs w:val="24"/>
        </w:rPr>
        <w:t>defiance of</w:t>
      </w:r>
      <w:r w:rsidR="00DA521B" w:rsidRPr="004E11D9">
        <w:rPr>
          <w:rFonts w:ascii="Arial" w:hAnsi="Arial" w:cs="Arial"/>
          <w:sz w:val="24"/>
          <w:szCs w:val="24"/>
        </w:rPr>
        <w:t xml:space="preserve"> the pro-EU line of Prime Minister David Cameron</w:t>
      </w:r>
      <w:r w:rsidR="00E34CF0">
        <w:rPr>
          <w:rFonts w:ascii="Arial" w:hAnsi="Arial" w:cs="Arial"/>
          <w:sz w:val="24"/>
          <w:szCs w:val="24"/>
        </w:rPr>
        <w:t xml:space="preserve"> proved decisive in mobilizing voters</w:t>
      </w:r>
      <w:r w:rsidR="00DA521B" w:rsidRPr="004E11D9">
        <w:rPr>
          <w:rFonts w:ascii="Arial" w:hAnsi="Arial" w:cs="Arial"/>
          <w:sz w:val="24"/>
          <w:szCs w:val="24"/>
        </w:rPr>
        <w:t>, would not otherwise have been so comfortable in leading the</w:t>
      </w:r>
      <w:r w:rsidR="00E34CF0">
        <w:rPr>
          <w:rFonts w:ascii="Arial" w:hAnsi="Arial" w:cs="Arial"/>
          <w:sz w:val="24"/>
          <w:szCs w:val="24"/>
        </w:rPr>
        <w:t xml:space="preserve"> Leave campaign.</w:t>
      </w:r>
      <w:r w:rsidR="002F3D40">
        <w:rPr>
          <w:rStyle w:val="EndnoteReference"/>
          <w:rFonts w:ascii="Arial" w:hAnsi="Arial" w:cs="Arial"/>
          <w:sz w:val="24"/>
          <w:szCs w:val="24"/>
        </w:rPr>
        <w:endnoteReference w:id="3"/>
      </w:r>
    </w:p>
    <w:p w:rsidR="0040786B" w:rsidRDefault="00052BE0" w:rsidP="0036226B">
      <w:pPr>
        <w:jc w:val="both"/>
        <w:rPr>
          <w:rFonts w:ascii="Arial" w:hAnsi="Arial" w:cs="Arial"/>
          <w:sz w:val="24"/>
          <w:szCs w:val="24"/>
        </w:rPr>
      </w:pPr>
      <w:r>
        <w:rPr>
          <w:rFonts w:ascii="Arial" w:hAnsi="Arial" w:cs="Arial"/>
          <w:sz w:val="24"/>
          <w:szCs w:val="24"/>
        </w:rPr>
        <w:t xml:space="preserve">The </w:t>
      </w:r>
      <w:r w:rsidR="00121E9E">
        <w:rPr>
          <w:rFonts w:ascii="Arial" w:hAnsi="Arial" w:cs="Arial"/>
          <w:sz w:val="24"/>
          <w:szCs w:val="24"/>
        </w:rPr>
        <w:t>soft/hard issue lea</w:t>
      </w:r>
      <w:r>
        <w:rPr>
          <w:rFonts w:ascii="Arial" w:hAnsi="Arial" w:cs="Arial"/>
          <w:sz w:val="24"/>
          <w:szCs w:val="24"/>
        </w:rPr>
        <w:t xml:space="preserve">ched into partisan politics during the </w:t>
      </w:r>
      <w:r w:rsidR="00042463">
        <w:rPr>
          <w:rFonts w:ascii="Arial" w:hAnsi="Arial" w:cs="Arial"/>
          <w:sz w:val="24"/>
          <w:szCs w:val="24"/>
        </w:rPr>
        <w:t xml:space="preserve">2017 UK </w:t>
      </w:r>
      <w:r>
        <w:rPr>
          <w:rFonts w:ascii="Arial" w:hAnsi="Arial" w:cs="Arial"/>
          <w:sz w:val="24"/>
          <w:szCs w:val="24"/>
        </w:rPr>
        <w:t>election</w:t>
      </w:r>
      <w:r w:rsidR="00331847">
        <w:rPr>
          <w:rFonts w:ascii="Arial" w:hAnsi="Arial" w:cs="Arial"/>
          <w:sz w:val="24"/>
          <w:szCs w:val="24"/>
        </w:rPr>
        <w:t>. Jeremy Corbyn’s</w:t>
      </w:r>
      <w:r>
        <w:rPr>
          <w:rFonts w:ascii="Arial" w:hAnsi="Arial" w:cs="Arial"/>
          <w:sz w:val="24"/>
          <w:szCs w:val="24"/>
        </w:rPr>
        <w:t xml:space="preserve"> Labour Party </w:t>
      </w:r>
      <w:r w:rsidR="00042463">
        <w:rPr>
          <w:rFonts w:ascii="Arial" w:hAnsi="Arial" w:cs="Arial"/>
          <w:sz w:val="24"/>
          <w:szCs w:val="24"/>
        </w:rPr>
        <w:t>advanced</w:t>
      </w:r>
      <w:r>
        <w:rPr>
          <w:rFonts w:ascii="Arial" w:hAnsi="Arial" w:cs="Arial"/>
          <w:sz w:val="24"/>
          <w:szCs w:val="24"/>
        </w:rPr>
        <w:t xml:space="preserve"> a suitably ambiguous “jobs first Brexit” that could appeal to the broadest constituency regardless of the referendum vote. </w:t>
      </w:r>
      <w:r w:rsidR="003502CE">
        <w:rPr>
          <w:rFonts w:ascii="Arial" w:hAnsi="Arial" w:cs="Arial"/>
          <w:sz w:val="24"/>
          <w:szCs w:val="24"/>
        </w:rPr>
        <w:t xml:space="preserve">That did not prevent Corbyn – long suspected of opposing EU membership – sacking three </w:t>
      </w:r>
      <w:r w:rsidR="003502CE">
        <w:rPr>
          <w:rFonts w:ascii="Arial" w:hAnsi="Arial" w:cs="Arial"/>
          <w:sz w:val="24"/>
          <w:szCs w:val="24"/>
        </w:rPr>
        <w:lastRenderedPageBreak/>
        <w:t>shadow cabinet ministers who, after the election, backed an amendment to the Queen’s Speech to preserve membership of the single market and the customs union. Th</w:t>
      </w:r>
      <w:r>
        <w:rPr>
          <w:rFonts w:ascii="Arial" w:hAnsi="Arial" w:cs="Arial"/>
          <w:sz w:val="24"/>
          <w:szCs w:val="24"/>
        </w:rPr>
        <w:t>e establishment of a cross party parliamentary group on EU relations by Conservative MP Anna Soubry and Labour MP Chuka Umunna</w:t>
      </w:r>
      <w:r w:rsidR="003A571C">
        <w:rPr>
          <w:rFonts w:ascii="Arial" w:hAnsi="Arial" w:cs="Arial"/>
          <w:sz w:val="24"/>
          <w:szCs w:val="24"/>
        </w:rPr>
        <w:t xml:space="preserve"> </w:t>
      </w:r>
      <w:r w:rsidR="003502CE">
        <w:rPr>
          <w:rFonts w:ascii="Arial" w:hAnsi="Arial" w:cs="Arial"/>
          <w:sz w:val="24"/>
          <w:szCs w:val="24"/>
        </w:rPr>
        <w:t xml:space="preserve">equally </w:t>
      </w:r>
      <w:r w:rsidR="003A571C">
        <w:rPr>
          <w:rFonts w:ascii="Arial" w:hAnsi="Arial" w:cs="Arial"/>
          <w:sz w:val="24"/>
          <w:szCs w:val="24"/>
        </w:rPr>
        <w:t>indicated the extent to which the cleavage over what type of Brexit t</w:t>
      </w:r>
      <w:r w:rsidR="00841003">
        <w:rPr>
          <w:rFonts w:ascii="Arial" w:hAnsi="Arial" w:cs="Arial"/>
          <w:sz w:val="24"/>
          <w:szCs w:val="24"/>
        </w:rPr>
        <w:t xml:space="preserve">o pursue </w:t>
      </w:r>
      <w:r w:rsidR="00760615">
        <w:rPr>
          <w:rFonts w:ascii="Arial" w:hAnsi="Arial" w:cs="Arial"/>
          <w:sz w:val="24"/>
          <w:szCs w:val="24"/>
        </w:rPr>
        <w:t>had become</w:t>
      </w:r>
      <w:r w:rsidR="00841003">
        <w:rPr>
          <w:rFonts w:ascii="Arial" w:hAnsi="Arial" w:cs="Arial"/>
          <w:sz w:val="24"/>
          <w:szCs w:val="24"/>
        </w:rPr>
        <w:t xml:space="preserve"> an intra-party one. </w:t>
      </w:r>
    </w:p>
    <w:p w:rsidR="00F70122" w:rsidRDefault="00052BE0" w:rsidP="00AA2AD6">
      <w:pPr>
        <w:jc w:val="both"/>
        <w:rPr>
          <w:rFonts w:ascii="Arial" w:hAnsi="Arial" w:cs="Arial"/>
          <w:sz w:val="24"/>
          <w:szCs w:val="24"/>
        </w:rPr>
      </w:pPr>
      <w:r w:rsidRPr="000D7305">
        <w:rPr>
          <w:rFonts w:ascii="Arial" w:hAnsi="Arial" w:cs="Arial"/>
          <w:sz w:val="24"/>
          <w:szCs w:val="24"/>
        </w:rPr>
        <w:t xml:space="preserve">Britain’s obsession with the soft/hard debate over EU withdrawal certainly became an object of political </w:t>
      </w:r>
      <w:r w:rsidR="0040786B">
        <w:rPr>
          <w:rFonts w:ascii="Arial" w:hAnsi="Arial" w:cs="Arial"/>
          <w:sz w:val="24"/>
          <w:szCs w:val="24"/>
        </w:rPr>
        <w:t>commentary</w:t>
      </w:r>
      <w:r w:rsidR="003A571C" w:rsidRPr="000D7305">
        <w:rPr>
          <w:rFonts w:ascii="Arial" w:hAnsi="Arial" w:cs="Arial"/>
          <w:sz w:val="24"/>
          <w:szCs w:val="24"/>
        </w:rPr>
        <w:t xml:space="preserve"> elsewhere in Europe, </w:t>
      </w:r>
      <w:r w:rsidR="000F2583">
        <w:rPr>
          <w:rFonts w:ascii="Arial" w:hAnsi="Arial" w:cs="Arial"/>
          <w:sz w:val="24"/>
          <w:szCs w:val="24"/>
        </w:rPr>
        <w:t xml:space="preserve">as </w:t>
      </w:r>
      <w:r w:rsidR="00F70122">
        <w:rPr>
          <w:rFonts w:ascii="Arial" w:hAnsi="Arial" w:cs="Arial"/>
          <w:sz w:val="24"/>
          <w:szCs w:val="24"/>
        </w:rPr>
        <w:t>illustrated</w:t>
      </w:r>
      <w:r w:rsidR="000F2583">
        <w:rPr>
          <w:rFonts w:ascii="Arial" w:hAnsi="Arial" w:cs="Arial"/>
          <w:sz w:val="24"/>
          <w:szCs w:val="24"/>
        </w:rPr>
        <w:t xml:space="preserve"> by the fact coverage in French, German, Spanish, or Italian is peppered with the antinomies </w:t>
      </w:r>
      <w:r w:rsidR="000F2583" w:rsidRPr="00690685">
        <w:rPr>
          <w:rFonts w:ascii="Arial" w:hAnsi="Arial" w:cs="Arial"/>
          <w:i/>
          <w:sz w:val="24"/>
          <w:szCs w:val="24"/>
        </w:rPr>
        <w:t>dur/mou</w:t>
      </w:r>
      <w:r w:rsidR="000F2583">
        <w:rPr>
          <w:rFonts w:ascii="Arial" w:hAnsi="Arial" w:cs="Arial"/>
          <w:sz w:val="24"/>
          <w:szCs w:val="24"/>
        </w:rPr>
        <w:t xml:space="preserve">, </w:t>
      </w:r>
      <w:r w:rsidR="000F2583" w:rsidRPr="00690685">
        <w:rPr>
          <w:rFonts w:ascii="Arial" w:hAnsi="Arial" w:cs="Arial"/>
          <w:i/>
          <w:sz w:val="24"/>
          <w:szCs w:val="24"/>
        </w:rPr>
        <w:t>hart/weich</w:t>
      </w:r>
      <w:r w:rsidR="000F2583">
        <w:rPr>
          <w:rFonts w:ascii="Arial" w:hAnsi="Arial" w:cs="Arial"/>
          <w:sz w:val="24"/>
          <w:szCs w:val="24"/>
        </w:rPr>
        <w:t xml:space="preserve">, </w:t>
      </w:r>
      <w:r w:rsidR="000F2583" w:rsidRPr="00690685">
        <w:rPr>
          <w:rFonts w:ascii="Arial" w:hAnsi="Arial" w:cs="Arial"/>
          <w:i/>
          <w:sz w:val="24"/>
          <w:szCs w:val="24"/>
        </w:rPr>
        <w:t>duro/blando</w:t>
      </w:r>
      <w:r w:rsidR="000F2583">
        <w:rPr>
          <w:rFonts w:ascii="Arial" w:hAnsi="Arial" w:cs="Arial"/>
          <w:sz w:val="24"/>
          <w:szCs w:val="24"/>
        </w:rPr>
        <w:t xml:space="preserve">, </w:t>
      </w:r>
      <w:r w:rsidR="000F2583" w:rsidRPr="00690685">
        <w:rPr>
          <w:rFonts w:ascii="Arial" w:hAnsi="Arial" w:cs="Arial"/>
          <w:i/>
          <w:sz w:val="24"/>
          <w:szCs w:val="24"/>
        </w:rPr>
        <w:t>dura/morbida</w:t>
      </w:r>
      <w:r w:rsidR="000F2583">
        <w:rPr>
          <w:rFonts w:ascii="Arial" w:hAnsi="Arial" w:cs="Arial"/>
          <w:sz w:val="24"/>
          <w:szCs w:val="24"/>
        </w:rPr>
        <w:t xml:space="preserve"> respectively). The different </w:t>
      </w:r>
      <w:r w:rsidR="00165623">
        <w:rPr>
          <w:rFonts w:ascii="Arial" w:hAnsi="Arial" w:cs="Arial"/>
          <w:sz w:val="24"/>
          <w:szCs w:val="24"/>
        </w:rPr>
        <w:t xml:space="preserve">options for how Brexit can be delivered </w:t>
      </w:r>
      <w:r w:rsidR="000A2339">
        <w:rPr>
          <w:rFonts w:ascii="Arial" w:hAnsi="Arial" w:cs="Arial"/>
          <w:sz w:val="24"/>
          <w:szCs w:val="24"/>
        </w:rPr>
        <w:t>have</w:t>
      </w:r>
      <w:r w:rsidR="00165623">
        <w:rPr>
          <w:rFonts w:ascii="Arial" w:hAnsi="Arial" w:cs="Arial"/>
          <w:sz w:val="24"/>
          <w:szCs w:val="24"/>
        </w:rPr>
        <w:t xml:space="preserve"> also been picked up in polling on attitudes to the future UK-EU relationship amongst citizens in the EU27</w:t>
      </w:r>
      <w:r w:rsidR="000F2583">
        <w:rPr>
          <w:rFonts w:ascii="Arial" w:hAnsi="Arial" w:cs="Arial"/>
          <w:sz w:val="24"/>
          <w:szCs w:val="24"/>
        </w:rPr>
        <w:t>.</w:t>
      </w:r>
      <w:r w:rsidR="000F2583">
        <w:rPr>
          <w:rStyle w:val="EndnoteReference"/>
          <w:rFonts w:ascii="Arial" w:hAnsi="Arial" w:cs="Arial"/>
          <w:sz w:val="24"/>
          <w:szCs w:val="24"/>
        </w:rPr>
        <w:endnoteReference w:id="4"/>
      </w:r>
      <w:r w:rsidR="00F70122">
        <w:rPr>
          <w:rFonts w:ascii="Arial" w:hAnsi="Arial" w:cs="Arial"/>
          <w:sz w:val="24"/>
          <w:szCs w:val="24"/>
        </w:rPr>
        <w:t xml:space="preserve"> Yet the official European response to Brexit is defined by an indifference to the soft/hard Brexit distinction</w:t>
      </w:r>
      <w:r w:rsidR="0040786B">
        <w:rPr>
          <w:rFonts w:ascii="Arial" w:hAnsi="Arial" w:cs="Arial"/>
          <w:sz w:val="24"/>
          <w:szCs w:val="24"/>
        </w:rPr>
        <w:t>T</w:t>
      </w:r>
      <w:r w:rsidR="0036226B" w:rsidRPr="000D7305">
        <w:rPr>
          <w:rFonts w:ascii="Arial" w:hAnsi="Arial" w:cs="Arial"/>
          <w:sz w:val="24"/>
          <w:szCs w:val="24"/>
        </w:rPr>
        <w:t>h</w:t>
      </w:r>
      <w:r w:rsidR="00F144D3" w:rsidRPr="000D7305">
        <w:rPr>
          <w:rFonts w:ascii="Arial" w:hAnsi="Arial" w:cs="Arial"/>
          <w:sz w:val="24"/>
          <w:szCs w:val="24"/>
        </w:rPr>
        <w:t xml:space="preserve">is </w:t>
      </w:r>
      <w:r w:rsidR="0040786B">
        <w:rPr>
          <w:rFonts w:ascii="Arial" w:hAnsi="Arial" w:cs="Arial"/>
          <w:sz w:val="24"/>
          <w:szCs w:val="24"/>
        </w:rPr>
        <w:t>can be</w:t>
      </w:r>
      <w:r w:rsidR="00F144D3" w:rsidRPr="000D7305">
        <w:rPr>
          <w:rFonts w:ascii="Arial" w:hAnsi="Arial" w:cs="Arial"/>
          <w:sz w:val="24"/>
          <w:szCs w:val="24"/>
        </w:rPr>
        <w:t xml:space="preserve"> demonstrated </w:t>
      </w:r>
      <w:r w:rsidR="0036226B" w:rsidRPr="000D7305">
        <w:rPr>
          <w:rFonts w:ascii="Arial" w:hAnsi="Arial" w:cs="Arial"/>
          <w:sz w:val="24"/>
          <w:szCs w:val="24"/>
        </w:rPr>
        <w:t xml:space="preserve">by the absence of </w:t>
      </w:r>
      <w:r w:rsidR="0040786B">
        <w:rPr>
          <w:rFonts w:ascii="Arial" w:hAnsi="Arial" w:cs="Arial"/>
          <w:sz w:val="24"/>
          <w:szCs w:val="24"/>
        </w:rPr>
        <w:t>the hard/soft</w:t>
      </w:r>
      <w:r w:rsidR="003F1B83" w:rsidRPr="000D7305">
        <w:rPr>
          <w:rFonts w:ascii="Arial" w:hAnsi="Arial" w:cs="Arial"/>
          <w:sz w:val="24"/>
          <w:szCs w:val="24"/>
        </w:rPr>
        <w:t xml:space="preserve"> </w:t>
      </w:r>
      <w:r w:rsidR="0040786B">
        <w:rPr>
          <w:rFonts w:ascii="Arial" w:hAnsi="Arial" w:cs="Arial"/>
          <w:sz w:val="24"/>
          <w:szCs w:val="24"/>
        </w:rPr>
        <w:t>dichotomy</w:t>
      </w:r>
      <w:r w:rsidR="0036226B" w:rsidRPr="000D7305">
        <w:rPr>
          <w:rFonts w:ascii="Arial" w:hAnsi="Arial" w:cs="Arial"/>
          <w:sz w:val="24"/>
          <w:szCs w:val="24"/>
        </w:rPr>
        <w:t xml:space="preserve"> in the language used by major EU figures when discussing Brexit.</w:t>
      </w:r>
      <w:r w:rsidR="00DF0038" w:rsidRPr="000D7305">
        <w:rPr>
          <w:rFonts w:ascii="Arial" w:hAnsi="Arial" w:cs="Arial"/>
          <w:sz w:val="24"/>
          <w:szCs w:val="24"/>
        </w:rPr>
        <w:t xml:space="preserve"> </w:t>
      </w:r>
    </w:p>
    <w:p w:rsidR="003833BA" w:rsidRDefault="0036226B" w:rsidP="00AA2AD6">
      <w:pPr>
        <w:jc w:val="both"/>
        <w:rPr>
          <w:rFonts w:ascii="Arial" w:hAnsi="Arial" w:cs="Arial"/>
          <w:sz w:val="24"/>
          <w:szCs w:val="24"/>
        </w:rPr>
      </w:pPr>
      <w:r w:rsidRPr="000D7305">
        <w:rPr>
          <w:rFonts w:ascii="Arial" w:hAnsi="Arial" w:cs="Arial"/>
          <w:sz w:val="24"/>
          <w:szCs w:val="24"/>
        </w:rPr>
        <w:t xml:space="preserve">Emmanuel Macron gave </w:t>
      </w:r>
      <w:r w:rsidR="00347F9F">
        <w:rPr>
          <w:rFonts w:ascii="Arial" w:hAnsi="Arial" w:cs="Arial"/>
          <w:sz w:val="24"/>
          <w:szCs w:val="24"/>
        </w:rPr>
        <w:t>31</w:t>
      </w:r>
      <w:r w:rsidRPr="000D7305">
        <w:rPr>
          <w:rFonts w:ascii="Arial" w:hAnsi="Arial" w:cs="Arial"/>
          <w:sz w:val="24"/>
          <w:szCs w:val="24"/>
        </w:rPr>
        <w:t xml:space="preserve"> speeches and official interviews mentioning Brexit between the date the referendum result was known and </w:t>
      </w:r>
      <w:r w:rsidR="0040786B">
        <w:rPr>
          <w:rFonts w:ascii="Arial" w:hAnsi="Arial" w:cs="Arial"/>
          <w:sz w:val="24"/>
          <w:szCs w:val="24"/>
        </w:rPr>
        <w:t>the conclusion of th</w:t>
      </w:r>
      <w:r w:rsidR="00F05500">
        <w:rPr>
          <w:rFonts w:ascii="Arial" w:hAnsi="Arial" w:cs="Arial"/>
          <w:sz w:val="24"/>
          <w:szCs w:val="24"/>
        </w:rPr>
        <w:t xml:space="preserve">e publication of the joint report on phase I of Article 50 talks in </w:t>
      </w:r>
      <w:r w:rsidR="0040786B">
        <w:rPr>
          <w:rFonts w:ascii="Arial" w:hAnsi="Arial" w:cs="Arial"/>
          <w:sz w:val="24"/>
          <w:szCs w:val="24"/>
        </w:rPr>
        <w:t>December 2017</w:t>
      </w:r>
      <w:r w:rsidRPr="000D7305">
        <w:rPr>
          <w:rFonts w:ascii="Arial" w:hAnsi="Arial" w:cs="Arial"/>
          <w:sz w:val="24"/>
          <w:szCs w:val="24"/>
        </w:rPr>
        <w:t>. Never once did he make use of the distinction between two opposing types of Brexit</w:t>
      </w:r>
      <w:r w:rsidR="00BE0BAA">
        <w:rPr>
          <w:rFonts w:ascii="Arial" w:hAnsi="Arial" w:cs="Arial"/>
          <w:sz w:val="24"/>
          <w:szCs w:val="24"/>
        </w:rPr>
        <w:t>. W</w:t>
      </w:r>
      <w:r w:rsidRPr="000D7305">
        <w:rPr>
          <w:rFonts w:ascii="Arial" w:hAnsi="Arial" w:cs="Arial"/>
          <w:sz w:val="24"/>
          <w:szCs w:val="24"/>
        </w:rPr>
        <w:t xml:space="preserve"> when asked at a joint press conference with Theresa May whether the result of the June election augur</w:t>
      </w:r>
      <w:r w:rsidR="008771E5">
        <w:rPr>
          <w:rFonts w:ascii="Arial" w:hAnsi="Arial" w:cs="Arial"/>
          <w:sz w:val="24"/>
          <w:szCs w:val="24"/>
        </w:rPr>
        <w:t xml:space="preserve">ed a “softer Brexit” he avoided </w:t>
      </w:r>
      <w:r w:rsidRPr="000D7305">
        <w:rPr>
          <w:rFonts w:ascii="Arial" w:hAnsi="Arial" w:cs="Arial"/>
          <w:sz w:val="24"/>
          <w:szCs w:val="24"/>
        </w:rPr>
        <w:t>using this language</w:t>
      </w:r>
      <w:r w:rsidR="008771E5">
        <w:rPr>
          <w:rFonts w:ascii="Arial" w:hAnsi="Arial" w:cs="Arial"/>
          <w:sz w:val="24"/>
          <w:szCs w:val="24"/>
        </w:rPr>
        <w:t xml:space="preserve"> in his answer</w:t>
      </w:r>
      <w:r w:rsidRPr="000D7305">
        <w:rPr>
          <w:rFonts w:ascii="Arial" w:hAnsi="Arial" w:cs="Arial"/>
          <w:sz w:val="24"/>
          <w:szCs w:val="24"/>
        </w:rPr>
        <w:t>.</w:t>
      </w:r>
      <w:r w:rsidR="00674D75">
        <w:rPr>
          <w:rFonts w:ascii="Arial" w:hAnsi="Arial" w:cs="Arial"/>
          <w:sz w:val="24"/>
          <w:szCs w:val="24"/>
        </w:rPr>
        <w:t xml:space="preserve"> </w:t>
      </w:r>
      <w:r w:rsidR="003F1B83" w:rsidRPr="000D7305">
        <w:rPr>
          <w:rFonts w:ascii="Arial" w:hAnsi="Arial" w:cs="Arial"/>
          <w:sz w:val="24"/>
          <w:szCs w:val="24"/>
        </w:rPr>
        <w:t>Michel Barnier</w:t>
      </w:r>
      <w:r w:rsidR="00347F9F">
        <w:rPr>
          <w:rFonts w:ascii="Arial" w:hAnsi="Arial" w:cs="Arial"/>
          <w:sz w:val="24"/>
          <w:szCs w:val="24"/>
        </w:rPr>
        <w:t>, the EU’s designated article 50 negotiator,</w:t>
      </w:r>
      <w:r w:rsidR="00674D75">
        <w:rPr>
          <w:rFonts w:ascii="Arial" w:hAnsi="Arial" w:cs="Arial"/>
          <w:sz w:val="24"/>
          <w:szCs w:val="24"/>
        </w:rPr>
        <w:t xml:space="preserve"> has also refrained from using this conceptual framework in his speeches and press conferences. </w:t>
      </w:r>
      <w:r w:rsidR="00E95D59" w:rsidRPr="00EA3E33">
        <w:rPr>
          <w:rFonts w:ascii="Arial" w:hAnsi="Arial" w:cs="Arial"/>
          <w:sz w:val="24"/>
          <w:szCs w:val="24"/>
        </w:rPr>
        <w:t>Instead of replicating the new cleavages of British politics, the EU forge</w:t>
      </w:r>
      <w:r w:rsidR="00725CEB" w:rsidRPr="00EA3E33">
        <w:rPr>
          <w:rFonts w:ascii="Arial" w:hAnsi="Arial" w:cs="Arial"/>
          <w:sz w:val="24"/>
          <w:szCs w:val="24"/>
        </w:rPr>
        <w:t>d</w:t>
      </w:r>
      <w:r w:rsidR="00E95D59" w:rsidRPr="00EA3E33">
        <w:rPr>
          <w:rFonts w:ascii="Arial" w:hAnsi="Arial" w:cs="Arial"/>
          <w:sz w:val="24"/>
          <w:szCs w:val="24"/>
        </w:rPr>
        <w:t xml:space="preserve"> a quick consensus on the mandate for conducting talks with the UK</w:t>
      </w:r>
      <w:r w:rsidR="00EA3E33" w:rsidRPr="00EA3E33">
        <w:rPr>
          <w:rFonts w:ascii="Arial" w:hAnsi="Arial" w:cs="Arial"/>
          <w:sz w:val="24"/>
          <w:szCs w:val="24"/>
        </w:rPr>
        <w:t xml:space="preserve">, </w:t>
      </w:r>
      <w:r w:rsidR="006825DF">
        <w:rPr>
          <w:rFonts w:ascii="Arial" w:hAnsi="Arial" w:cs="Arial"/>
          <w:sz w:val="24"/>
          <w:szCs w:val="24"/>
        </w:rPr>
        <w:t>specifically forbidding</w:t>
      </w:r>
      <w:r w:rsidR="00EA3E33" w:rsidRPr="00EA3E33">
        <w:rPr>
          <w:rFonts w:ascii="Arial" w:hAnsi="Arial" w:cs="Arial"/>
          <w:sz w:val="24"/>
          <w:szCs w:val="24"/>
        </w:rPr>
        <w:t xml:space="preserve"> bilateral negotiations with individual member states</w:t>
      </w:r>
      <w:r w:rsidR="00E95D59" w:rsidRPr="00EA3E33">
        <w:rPr>
          <w:rFonts w:ascii="Arial" w:hAnsi="Arial" w:cs="Arial"/>
          <w:sz w:val="24"/>
          <w:szCs w:val="24"/>
        </w:rPr>
        <w:t xml:space="preserve">. </w:t>
      </w:r>
    </w:p>
    <w:p w:rsidR="003833BA" w:rsidRDefault="00EA3E33" w:rsidP="00212857">
      <w:pPr>
        <w:jc w:val="both"/>
        <w:rPr>
          <w:rFonts w:ascii="Arial" w:hAnsi="Arial" w:cs="Arial"/>
          <w:sz w:val="24"/>
          <w:szCs w:val="24"/>
        </w:rPr>
      </w:pPr>
      <w:r w:rsidRPr="00EA3E33">
        <w:rPr>
          <w:rFonts w:ascii="Arial" w:hAnsi="Arial" w:cs="Arial"/>
          <w:sz w:val="24"/>
          <w:szCs w:val="24"/>
        </w:rPr>
        <w:t>Most significantly, t</w:t>
      </w:r>
      <w:r w:rsidR="00DC51D1" w:rsidRPr="00EA3E33">
        <w:rPr>
          <w:rFonts w:ascii="Arial" w:hAnsi="Arial" w:cs="Arial"/>
          <w:sz w:val="24"/>
          <w:szCs w:val="24"/>
        </w:rPr>
        <w:t xml:space="preserve">he </w:t>
      </w:r>
      <w:bookmarkStart w:id="2" w:name="_Hlk495587616"/>
      <w:r w:rsidR="00DC51D1" w:rsidRPr="00EA3E33">
        <w:rPr>
          <w:rFonts w:ascii="Arial" w:hAnsi="Arial" w:cs="Arial"/>
          <w:sz w:val="24"/>
          <w:szCs w:val="24"/>
        </w:rPr>
        <w:t>European Council devised guidelines and procedures that in no way preclude a hard Brexit</w:t>
      </w:r>
      <w:bookmarkEnd w:id="2"/>
      <w:r w:rsidR="00DC51D1" w:rsidRPr="00EA3E33">
        <w:rPr>
          <w:rFonts w:ascii="Arial" w:hAnsi="Arial" w:cs="Arial"/>
          <w:sz w:val="24"/>
          <w:szCs w:val="24"/>
        </w:rPr>
        <w:t xml:space="preserve">. </w:t>
      </w:r>
      <w:r w:rsidR="008771E5">
        <w:rPr>
          <w:rFonts w:ascii="Arial" w:hAnsi="Arial" w:cs="Arial"/>
          <w:sz w:val="24"/>
          <w:szCs w:val="24"/>
        </w:rPr>
        <w:t>Hence t</w:t>
      </w:r>
      <w:r w:rsidR="00DC51D1" w:rsidRPr="00EA3E33">
        <w:rPr>
          <w:rFonts w:ascii="Arial" w:hAnsi="Arial" w:cs="Arial"/>
          <w:sz w:val="24"/>
          <w:szCs w:val="24"/>
        </w:rPr>
        <w:t xml:space="preserve">here </w:t>
      </w:r>
      <w:r w:rsidR="003E316A">
        <w:rPr>
          <w:rFonts w:ascii="Arial" w:hAnsi="Arial" w:cs="Arial"/>
          <w:sz w:val="24"/>
          <w:szCs w:val="24"/>
        </w:rPr>
        <w:t>wa</w:t>
      </w:r>
      <w:r w:rsidR="00DC51D1" w:rsidRPr="00EA3E33">
        <w:rPr>
          <w:rFonts w:ascii="Arial" w:hAnsi="Arial" w:cs="Arial"/>
          <w:sz w:val="24"/>
          <w:szCs w:val="24"/>
        </w:rPr>
        <w:t xml:space="preserve">s no </w:t>
      </w:r>
      <w:r w:rsidR="003413BC">
        <w:rPr>
          <w:rFonts w:ascii="Arial" w:hAnsi="Arial" w:cs="Arial"/>
          <w:sz w:val="24"/>
          <w:szCs w:val="24"/>
        </w:rPr>
        <w:t>hint</w:t>
      </w:r>
      <w:r w:rsidR="008771E5">
        <w:rPr>
          <w:rFonts w:ascii="Arial" w:hAnsi="Arial" w:cs="Arial"/>
          <w:sz w:val="24"/>
          <w:szCs w:val="24"/>
        </w:rPr>
        <w:t xml:space="preserve"> </w:t>
      </w:r>
      <w:r w:rsidR="00DC51D1" w:rsidRPr="00EA3E33">
        <w:rPr>
          <w:rFonts w:ascii="Arial" w:hAnsi="Arial" w:cs="Arial"/>
          <w:sz w:val="24"/>
          <w:szCs w:val="24"/>
        </w:rPr>
        <w:t xml:space="preserve">of </w:t>
      </w:r>
      <w:r w:rsidR="008771E5">
        <w:rPr>
          <w:rFonts w:ascii="Arial" w:hAnsi="Arial" w:cs="Arial"/>
          <w:sz w:val="24"/>
          <w:szCs w:val="24"/>
        </w:rPr>
        <w:t>potential</w:t>
      </w:r>
      <w:r w:rsidR="00DC51D1" w:rsidRPr="00EA3E33">
        <w:rPr>
          <w:rFonts w:ascii="Arial" w:hAnsi="Arial" w:cs="Arial"/>
          <w:sz w:val="24"/>
          <w:szCs w:val="24"/>
        </w:rPr>
        <w:t xml:space="preserve"> </w:t>
      </w:r>
      <w:r w:rsidR="0013791D">
        <w:rPr>
          <w:rFonts w:ascii="Arial" w:hAnsi="Arial" w:cs="Arial"/>
          <w:sz w:val="24"/>
          <w:szCs w:val="24"/>
        </w:rPr>
        <w:t xml:space="preserve">concessions </w:t>
      </w:r>
      <w:r w:rsidR="00DC51D1" w:rsidRPr="00EA3E33">
        <w:rPr>
          <w:rFonts w:ascii="Arial" w:hAnsi="Arial" w:cs="Arial"/>
          <w:sz w:val="24"/>
          <w:szCs w:val="24"/>
        </w:rPr>
        <w:t xml:space="preserve">to avoid </w:t>
      </w:r>
      <w:r w:rsidR="000113C6">
        <w:rPr>
          <w:rFonts w:ascii="Arial" w:hAnsi="Arial" w:cs="Arial"/>
          <w:sz w:val="24"/>
          <w:szCs w:val="24"/>
        </w:rPr>
        <w:t>this</w:t>
      </w:r>
      <w:r w:rsidR="00273377">
        <w:rPr>
          <w:rFonts w:ascii="Arial" w:hAnsi="Arial" w:cs="Arial"/>
          <w:sz w:val="24"/>
          <w:szCs w:val="24"/>
        </w:rPr>
        <w:t xml:space="preserve"> most unwelcome outcome</w:t>
      </w:r>
      <w:r w:rsidR="00BE0BAA">
        <w:rPr>
          <w:rFonts w:ascii="Arial" w:hAnsi="Arial" w:cs="Arial"/>
          <w:sz w:val="24"/>
          <w:szCs w:val="24"/>
        </w:rPr>
        <w:t>;</w:t>
      </w:r>
      <w:r w:rsidR="00583A64">
        <w:rPr>
          <w:rFonts w:ascii="Arial" w:hAnsi="Arial" w:cs="Arial"/>
          <w:sz w:val="24"/>
          <w:szCs w:val="24"/>
        </w:rPr>
        <w:t xml:space="preserve"> </w:t>
      </w:r>
      <w:r w:rsidR="00273377">
        <w:rPr>
          <w:rFonts w:ascii="Arial" w:hAnsi="Arial" w:cs="Arial"/>
          <w:sz w:val="24"/>
          <w:szCs w:val="24"/>
        </w:rPr>
        <w:t xml:space="preserve"> the emphasis</w:t>
      </w:r>
      <w:r w:rsidR="003E316A">
        <w:rPr>
          <w:rFonts w:ascii="Arial" w:hAnsi="Arial" w:cs="Arial"/>
          <w:sz w:val="24"/>
          <w:szCs w:val="24"/>
        </w:rPr>
        <w:t xml:space="preserve"> </w:t>
      </w:r>
      <w:r w:rsidR="003833BA">
        <w:rPr>
          <w:rFonts w:ascii="Arial" w:hAnsi="Arial" w:cs="Arial"/>
          <w:sz w:val="24"/>
          <w:szCs w:val="24"/>
        </w:rPr>
        <w:t xml:space="preserve">was squarely on the process of Brexit itself rather than on favouring one particular </w:t>
      </w:r>
      <w:r w:rsidR="00A9700E">
        <w:rPr>
          <w:rFonts w:ascii="Arial" w:hAnsi="Arial" w:cs="Arial"/>
          <w:sz w:val="24"/>
          <w:szCs w:val="24"/>
        </w:rPr>
        <w:t>finality</w:t>
      </w:r>
      <w:r w:rsidR="003833BA">
        <w:rPr>
          <w:rFonts w:ascii="Arial" w:hAnsi="Arial" w:cs="Arial"/>
          <w:sz w:val="24"/>
          <w:szCs w:val="24"/>
        </w:rPr>
        <w:t xml:space="preserve"> over another. </w:t>
      </w:r>
      <w:r w:rsidR="00ED431B">
        <w:rPr>
          <w:rFonts w:ascii="Arial" w:hAnsi="Arial" w:cs="Arial"/>
          <w:sz w:val="24"/>
          <w:szCs w:val="24"/>
        </w:rPr>
        <w:t>During the first phase of Article 50 talks t</w:t>
      </w:r>
      <w:r w:rsidR="003833BA">
        <w:rPr>
          <w:rFonts w:ascii="Arial" w:hAnsi="Arial" w:cs="Arial"/>
          <w:sz w:val="24"/>
          <w:szCs w:val="24"/>
        </w:rPr>
        <w:t>he EU was unwavering in its position that it was up to the UK to choose which type of Brexit was deemed legitimate.</w:t>
      </w:r>
    </w:p>
    <w:p w:rsidR="00212857" w:rsidRDefault="00212857" w:rsidP="00AA2AD6">
      <w:pPr>
        <w:jc w:val="both"/>
        <w:rPr>
          <w:rFonts w:ascii="Arial" w:hAnsi="Arial" w:cs="Arial"/>
          <w:sz w:val="24"/>
          <w:szCs w:val="24"/>
        </w:rPr>
      </w:pPr>
    </w:p>
    <w:p w:rsidR="00804452" w:rsidRDefault="00C022A4" w:rsidP="00AA2AD6">
      <w:pPr>
        <w:jc w:val="both"/>
        <w:rPr>
          <w:rFonts w:ascii="Arial" w:hAnsi="Arial" w:cs="Arial"/>
          <w:b/>
          <w:sz w:val="24"/>
          <w:szCs w:val="24"/>
        </w:rPr>
      </w:pPr>
      <w:r w:rsidRPr="00890569">
        <w:rPr>
          <w:rFonts w:ascii="Arial" w:hAnsi="Arial" w:cs="Arial"/>
          <w:b/>
          <w:sz w:val="24"/>
          <w:szCs w:val="24"/>
        </w:rPr>
        <w:t>L</w:t>
      </w:r>
      <w:r w:rsidR="00890569">
        <w:rPr>
          <w:rFonts w:ascii="Arial" w:hAnsi="Arial" w:cs="Arial"/>
          <w:b/>
          <w:sz w:val="24"/>
          <w:szCs w:val="24"/>
        </w:rPr>
        <w:t>egitimacy and the reordering of Europe</w:t>
      </w:r>
    </w:p>
    <w:p w:rsidR="006D15DA" w:rsidRDefault="008C2713" w:rsidP="00AA2AD6">
      <w:pPr>
        <w:jc w:val="both"/>
        <w:rPr>
          <w:rFonts w:ascii="Arial" w:hAnsi="Arial" w:cs="Arial"/>
          <w:sz w:val="24"/>
          <w:szCs w:val="24"/>
        </w:rPr>
      </w:pPr>
      <w:r>
        <w:rPr>
          <w:rFonts w:ascii="Arial" w:hAnsi="Arial" w:cs="Arial"/>
          <w:sz w:val="24"/>
          <w:szCs w:val="24"/>
        </w:rPr>
        <w:lastRenderedPageBreak/>
        <w:t xml:space="preserve">So why in the year of unprecedented uncertainty after the UK referendum did the EU never actively seek to prevent a hard Brexit, especially when the British government’s own mandate for this outcome was increasingly called into question domestically? The answer to this question lies in understanding that </w:t>
      </w:r>
      <w:r w:rsidR="00C022A4">
        <w:rPr>
          <w:rFonts w:ascii="Arial" w:hAnsi="Arial" w:cs="Arial"/>
          <w:sz w:val="24"/>
          <w:szCs w:val="24"/>
        </w:rPr>
        <w:t>Brexit</w:t>
      </w:r>
      <w:r w:rsidR="004C1E57">
        <w:rPr>
          <w:rFonts w:ascii="Arial" w:hAnsi="Arial" w:cs="Arial"/>
          <w:sz w:val="24"/>
          <w:szCs w:val="24"/>
        </w:rPr>
        <w:t xml:space="preserve"> </w:t>
      </w:r>
      <w:r w:rsidR="00C022A4">
        <w:rPr>
          <w:rFonts w:ascii="Arial" w:hAnsi="Arial" w:cs="Arial"/>
          <w:sz w:val="24"/>
          <w:szCs w:val="24"/>
        </w:rPr>
        <w:t xml:space="preserve">marks a new phase of European </w:t>
      </w:r>
      <w:r w:rsidR="00A74E14">
        <w:rPr>
          <w:rFonts w:ascii="Arial" w:hAnsi="Arial" w:cs="Arial"/>
          <w:sz w:val="24"/>
          <w:szCs w:val="24"/>
        </w:rPr>
        <w:t>(dis)</w:t>
      </w:r>
      <w:r w:rsidR="00C022A4">
        <w:rPr>
          <w:rFonts w:ascii="Arial" w:hAnsi="Arial" w:cs="Arial"/>
          <w:sz w:val="24"/>
          <w:szCs w:val="24"/>
        </w:rPr>
        <w:t>integratio</w:t>
      </w:r>
      <w:r>
        <w:rPr>
          <w:rFonts w:ascii="Arial" w:hAnsi="Arial" w:cs="Arial"/>
          <w:sz w:val="24"/>
          <w:szCs w:val="24"/>
        </w:rPr>
        <w:t xml:space="preserve">n in which the problem of legitimacy becomes central. This is because the UK’s departure from the EU </w:t>
      </w:r>
      <w:r w:rsidR="00C022A4">
        <w:rPr>
          <w:rFonts w:ascii="Arial" w:hAnsi="Arial" w:cs="Arial"/>
          <w:sz w:val="24"/>
          <w:szCs w:val="24"/>
        </w:rPr>
        <w:t xml:space="preserve">necessarily </w:t>
      </w:r>
      <w:r w:rsidR="00633AB6">
        <w:rPr>
          <w:rFonts w:ascii="Arial" w:hAnsi="Arial" w:cs="Arial"/>
          <w:sz w:val="24"/>
          <w:szCs w:val="24"/>
        </w:rPr>
        <w:t>entails</w:t>
      </w:r>
      <w:r w:rsidR="00C022A4">
        <w:rPr>
          <w:rFonts w:ascii="Arial" w:hAnsi="Arial" w:cs="Arial"/>
          <w:sz w:val="24"/>
          <w:szCs w:val="24"/>
        </w:rPr>
        <w:t xml:space="preserve"> a re-consideration of the European order given the importance of the UK to the continent’s economy and security. Hence the challenge posed by the UK referendum is </w:t>
      </w:r>
      <w:r w:rsidR="00F456C1">
        <w:rPr>
          <w:rFonts w:ascii="Arial" w:hAnsi="Arial" w:cs="Arial"/>
          <w:sz w:val="24"/>
          <w:szCs w:val="24"/>
        </w:rPr>
        <w:t xml:space="preserve">of a type </w:t>
      </w:r>
      <w:r w:rsidR="00E2165F">
        <w:rPr>
          <w:rFonts w:ascii="Arial" w:hAnsi="Arial" w:cs="Arial"/>
          <w:sz w:val="24"/>
          <w:szCs w:val="24"/>
        </w:rPr>
        <w:t xml:space="preserve">and magnitude </w:t>
      </w:r>
      <w:r w:rsidR="00C022A4">
        <w:rPr>
          <w:rFonts w:ascii="Arial" w:hAnsi="Arial" w:cs="Arial"/>
          <w:sz w:val="24"/>
          <w:szCs w:val="24"/>
        </w:rPr>
        <w:t xml:space="preserve">comparable to the Congress of Vienna’s task of creating a stable international order for post-Napoleonic Europe. Of course, the allied powers that </w:t>
      </w:r>
      <w:r w:rsidR="00440FEA">
        <w:rPr>
          <w:rFonts w:ascii="Arial" w:hAnsi="Arial" w:cs="Arial"/>
          <w:sz w:val="24"/>
          <w:szCs w:val="24"/>
        </w:rPr>
        <w:t>assembled in Vienna</w:t>
      </w:r>
      <w:r w:rsidR="00C022A4">
        <w:rPr>
          <w:rFonts w:ascii="Arial" w:hAnsi="Arial" w:cs="Arial"/>
          <w:sz w:val="24"/>
          <w:szCs w:val="24"/>
        </w:rPr>
        <w:t xml:space="preserve"> to redraw Europe’s borders and associated spheres of influence were primarily interested in the military equilibrium that could remove threats to </w:t>
      </w:r>
      <w:r w:rsidR="00A8249E">
        <w:rPr>
          <w:rFonts w:ascii="Arial" w:hAnsi="Arial" w:cs="Arial"/>
          <w:sz w:val="24"/>
          <w:szCs w:val="24"/>
        </w:rPr>
        <w:t xml:space="preserve">peace, whereas recourse to force is unthinkable in the EU-UK relationship. </w:t>
      </w:r>
      <w:r w:rsidR="004C1E57">
        <w:rPr>
          <w:rFonts w:ascii="Arial" w:hAnsi="Arial" w:cs="Arial"/>
          <w:sz w:val="24"/>
          <w:szCs w:val="24"/>
        </w:rPr>
        <w:t xml:space="preserve">However, intimately nestled within </w:t>
      </w:r>
      <w:r w:rsidR="00F302C7">
        <w:rPr>
          <w:rFonts w:ascii="Arial" w:hAnsi="Arial" w:cs="Arial"/>
          <w:sz w:val="24"/>
          <w:szCs w:val="24"/>
        </w:rPr>
        <w:t xml:space="preserve">nineteenth-century </w:t>
      </w:r>
      <w:r w:rsidR="00A8249E">
        <w:rPr>
          <w:rFonts w:ascii="Arial" w:hAnsi="Arial" w:cs="Arial"/>
          <w:sz w:val="24"/>
          <w:szCs w:val="24"/>
        </w:rPr>
        <w:t>Europe’s</w:t>
      </w:r>
      <w:r w:rsidR="004C1E57">
        <w:rPr>
          <w:rFonts w:ascii="Arial" w:hAnsi="Arial" w:cs="Arial"/>
          <w:sz w:val="24"/>
          <w:szCs w:val="24"/>
        </w:rPr>
        <w:t xml:space="preserve"> balance of power consideration was the issue, as Kissinger masterfully demonstrated, of the legitimacy of the settlement. </w:t>
      </w:r>
      <w:r w:rsidR="00B74627">
        <w:rPr>
          <w:rFonts w:ascii="Arial" w:hAnsi="Arial" w:cs="Arial"/>
          <w:sz w:val="24"/>
          <w:szCs w:val="24"/>
        </w:rPr>
        <w:t>It is precisely on this point that parallels with Article 50 talks emerge.</w:t>
      </w:r>
    </w:p>
    <w:p w:rsidR="00F456C1" w:rsidRDefault="004C1E57" w:rsidP="00AA2AD6">
      <w:pPr>
        <w:jc w:val="both"/>
        <w:rPr>
          <w:rFonts w:ascii="Arial" w:hAnsi="Arial" w:cs="Arial"/>
          <w:sz w:val="24"/>
          <w:szCs w:val="24"/>
        </w:rPr>
      </w:pPr>
      <w:r>
        <w:rPr>
          <w:rFonts w:ascii="Arial" w:hAnsi="Arial" w:cs="Arial"/>
          <w:sz w:val="24"/>
          <w:szCs w:val="24"/>
        </w:rPr>
        <w:t>What the Congress needed to achieve</w:t>
      </w:r>
      <w:r w:rsidR="008C55B9">
        <w:rPr>
          <w:rFonts w:ascii="Arial" w:hAnsi="Arial" w:cs="Arial"/>
          <w:sz w:val="24"/>
          <w:szCs w:val="24"/>
        </w:rPr>
        <w:t>,</w:t>
      </w:r>
      <w:r>
        <w:rPr>
          <w:rFonts w:ascii="Arial" w:hAnsi="Arial" w:cs="Arial"/>
          <w:sz w:val="24"/>
          <w:szCs w:val="24"/>
        </w:rPr>
        <w:t xml:space="preserve"> </w:t>
      </w:r>
      <w:r w:rsidR="00440FEA">
        <w:rPr>
          <w:rFonts w:ascii="Arial" w:hAnsi="Arial" w:cs="Arial"/>
          <w:sz w:val="24"/>
          <w:szCs w:val="24"/>
        </w:rPr>
        <w:t>i</w:t>
      </w:r>
      <w:r w:rsidR="0077512C">
        <w:rPr>
          <w:rFonts w:ascii="Arial" w:hAnsi="Arial" w:cs="Arial"/>
          <w:sz w:val="24"/>
          <w:szCs w:val="24"/>
        </w:rPr>
        <w:t>n Kissinger’s reading</w:t>
      </w:r>
      <w:r w:rsidR="008C55B9">
        <w:rPr>
          <w:rFonts w:ascii="Arial" w:hAnsi="Arial" w:cs="Arial"/>
          <w:sz w:val="24"/>
          <w:szCs w:val="24"/>
        </w:rPr>
        <w:t>,</w:t>
      </w:r>
      <w:r w:rsidR="0077512C">
        <w:rPr>
          <w:rFonts w:ascii="Arial" w:hAnsi="Arial" w:cs="Arial"/>
          <w:sz w:val="24"/>
          <w:szCs w:val="24"/>
        </w:rPr>
        <w:t xml:space="preserve"> </w:t>
      </w:r>
      <w:r>
        <w:rPr>
          <w:rFonts w:ascii="Arial" w:hAnsi="Arial" w:cs="Arial"/>
          <w:sz w:val="24"/>
          <w:szCs w:val="24"/>
        </w:rPr>
        <w:t>was an outcome that gave neither total satisfaction nor total dissatisfaction to any of the majo</w:t>
      </w:r>
      <w:r w:rsidR="00043C0D">
        <w:rPr>
          <w:rFonts w:ascii="Arial" w:hAnsi="Arial" w:cs="Arial"/>
          <w:sz w:val="24"/>
          <w:szCs w:val="24"/>
        </w:rPr>
        <w:t>r powers</w:t>
      </w:r>
      <w:r w:rsidR="00A8249E">
        <w:rPr>
          <w:rFonts w:ascii="Arial" w:hAnsi="Arial" w:cs="Arial"/>
          <w:sz w:val="24"/>
          <w:szCs w:val="24"/>
        </w:rPr>
        <w:t xml:space="preserve"> (Austria, Great Britain, Prussia, and Russia)</w:t>
      </w:r>
      <w:r w:rsidR="00043C0D">
        <w:rPr>
          <w:rFonts w:ascii="Arial" w:hAnsi="Arial" w:cs="Arial"/>
          <w:sz w:val="24"/>
          <w:szCs w:val="24"/>
        </w:rPr>
        <w:t xml:space="preserve">. </w:t>
      </w:r>
      <w:r w:rsidR="00890569">
        <w:rPr>
          <w:rFonts w:ascii="Arial" w:hAnsi="Arial" w:cs="Arial"/>
          <w:sz w:val="24"/>
          <w:szCs w:val="24"/>
        </w:rPr>
        <w:t>Reaching</w:t>
      </w:r>
      <w:r w:rsidR="00043C0D">
        <w:rPr>
          <w:rFonts w:ascii="Arial" w:hAnsi="Arial" w:cs="Arial"/>
          <w:sz w:val="24"/>
          <w:szCs w:val="24"/>
        </w:rPr>
        <w:t xml:space="preserve"> this goal was not a mechanical calculation based on </w:t>
      </w:r>
      <w:r w:rsidR="00A8249E">
        <w:rPr>
          <w:rFonts w:ascii="Arial" w:hAnsi="Arial" w:cs="Arial"/>
          <w:sz w:val="24"/>
          <w:szCs w:val="24"/>
        </w:rPr>
        <w:t xml:space="preserve">an abstract formula for </w:t>
      </w:r>
      <w:r w:rsidR="00043C0D">
        <w:rPr>
          <w:rFonts w:ascii="Arial" w:hAnsi="Arial" w:cs="Arial"/>
          <w:sz w:val="24"/>
          <w:szCs w:val="24"/>
        </w:rPr>
        <w:t>how to carve up Europe</w:t>
      </w:r>
      <w:r w:rsidR="00B62924">
        <w:rPr>
          <w:rFonts w:ascii="Arial" w:hAnsi="Arial" w:cs="Arial"/>
          <w:sz w:val="24"/>
          <w:szCs w:val="24"/>
        </w:rPr>
        <w:t xml:space="preserve"> in a manner that could reconcile competing interests</w:t>
      </w:r>
      <w:r w:rsidR="00A8249E">
        <w:rPr>
          <w:rFonts w:ascii="Arial" w:hAnsi="Arial" w:cs="Arial"/>
          <w:sz w:val="24"/>
          <w:szCs w:val="24"/>
        </w:rPr>
        <w:t xml:space="preserve">. Rather, it was a negotiation centred on accepting a legitimizing principle that allowed </w:t>
      </w:r>
      <w:r w:rsidR="00440FEA">
        <w:rPr>
          <w:rFonts w:ascii="Arial" w:hAnsi="Arial" w:cs="Arial"/>
          <w:sz w:val="24"/>
          <w:szCs w:val="24"/>
        </w:rPr>
        <w:t xml:space="preserve">each </w:t>
      </w:r>
      <w:r w:rsidR="00A8249E">
        <w:rPr>
          <w:rFonts w:ascii="Arial" w:hAnsi="Arial" w:cs="Arial"/>
          <w:sz w:val="24"/>
          <w:szCs w:val="24"/>
        </w:rPr>
        <w:t>major power to accept the</w:t>
      </w:r>
      <w:r w:rsidR="00043C0D">
        <w:rPr>
          <w:rFonts w:ascii="Arial" w:hAnsi="Arial" w:cs="Arial"/>
          <w:sz w:val="24"/>
          <w:szCs w:val="24"/>
        </w:rPr>
        <w:t xml:space="preserve"> existence of the others and their associated claims. </w:t>
      </w:r>
      <w:r w:rsidR="00A8249E">
        <w:rPr>
          <w:rFonts w:ascii="Arial" w:hAnsi="Arial" w:cs="Arial"/>
          <w:sz w:val="24"/>
          <w:szCs w:val="24"/>
        </w:rPr>
        <w:t xml:space="preserve">The key to success was finding a consensus over territory, rights, and obligations that was compatible with each of the great power’s historical and cultural understandings of their standing and interests. In Kissinger’s memorable words, the Vienna settlement that lasted </w:t>
      </w:r>
      <w:r w:rsidR="00890569">
        <w:rPr>
          <w:rFonts w:ascii="Arial" w:hAnsi="Arial" w:cs="Arial"/>
          <w:sz w:val="24"/>
          <w:szCs w:val="24"/>
        </w:rPr>
        <w:t xml:space="preserve">the best part of fifty years </w:t>
      </w:r>
      <w:r w:rsidR="00A8249E">
        <w:rPr>
          <w:rFonts w:ascii="Arial" w:hAnsi="Arial" w:cs="Arial"/>
          <w:sz w:val="24"/>
          <w:szCs w:val="24"/>
        </w:rPr>
        <w:t>was ‘a stage in a process by which a nation reconcile[d] its vision of itself with the vision of it by other powers’.</w:t>
      </w:r>
      <w:r w:rsidR="00804452">
        <w:rPr>
          <w:rStyle w:val="EndnoteReference"/>
          <w:rFonts w:ascii="Arial" w:hAnsi="Arial" w:cs="Arial"/>
          <w:sz w:val="24"/>
          <w:szCs w:val="24"/>
        </w:rPr>
        <w:endnoteReference w:id="5"/>
      </w:r>
      <w:r w:rsidR="00C41387">
        <w:rPr>
          <w:rFonts w:ascii="Arial" w:hAnsi="Arial" w:cs="Arial"/>
          <w:sz w:val="24"/>
          <w:szCs w:val="24"/>
        </w:rPr>
        <w:t xml:space="preserve"> </w:t>
      </w:r>
      <w:r w:rsidR="00F456C1">
        <w:rPr>
          <w:rFonts w:ascii="Arial" w:hAnsi="Arial" w:cs="Arial"/>
          <w:sz w:val="24"/>
          <w:szCs w:val="24"/>
        </w:rPr>
        <w:t>The UK referendum of 2016 was nothing if not a debate over the UK’s vision of itself in relation to Europe and the world beyond</w:t>
      </w:r>
      <w:r w:rsidR="00440FEA">
        <w:rPr>
          <w:rFonts w:ascii="Arial" w:hAnsi="Arial" w:cs="Arial"/>
          <w:sz w:val="24"/>
          <w:szCs w:val="24"/>
        </w:rPr>
        <w:t>.</w:t>
      </w:r>
      <w:r w:rsidR="00F456C1">
        <w:rPr>
          <w:rFonts w:ascii="Arial" w:hAnsi="Arial" w:cs="Arial"/>
          <w:sz w:val="24"/>
          <w:szCs w:val="24"/>
        </w:rPr>
        <w:t xml:space="preserve"> Article 50 talks over withdrawal thus </w:t>
      </w:r>
      <w:r w:rsidR="0077512C">
        <w:rPr>
          <w:rFonts w:ascii="Arial" w:hAnsi="Arial" w:cs="Arial"/>
          <w:sz w:val="24"/>
          <w:szCs w:val="24"/>
        </w:rPr>
        <w:t>immediately became</w:t>
      </w:r>
      <w:r w:rsidR="00F456C1">
        <w:rPr>
          <w:rFonts w:ascii="Arial" w:hAnsi="Arial" w:cs="Arial"/>
          <w:sz w:val="24"/>
          <w:szCs w:val="24"/>
        </w:rPr>
        <w:t xml:space="preserve"> a negotiation over whether there is common ground with the remaining EU27 for accepting what Britain’s vision of itself is deemed to be.</w:t>
      </w:r>
    </w:p>
    <w:p w:rsidR="00D409BA" w:rsidRDefault="003A5A45" w:rsidP="00AA2AD6">
      <w:pPr>
        <w:jc w:val="both"/>
        <w:rPr>
          <w:rFonts w:ascii="Arial" w:hAnsi="Arial" w:cs="Arial"/>
          <w:sz w:val="24"/>
          <w:szCs w:val="24"/>
        </w:rPr>
      </w:pPr>
      <w:r>
        <w:rPr>
          <w:rFonts w:ascii="Arial" w:hAnsi="Arial" w:cs="Arial"/>
          <w:sz w:val="24"/>
          <w:szCs w:val="24"/>
        </w:rPr>
        <w:t>Critics have pointed to t</w:t>
      </w:r>
      <w:r w:rsidR="001375F6">
        <w:rPr>
          <w:rFonts w:ascii="Arial" w:hAnsi="Arial" w:cs="Arial"/>
          <w:sz w:val="24"/>
          <w:szCs w:val="24"/>
        </w:rPr>
        <w:t>he somewhat fuzzy definition of what the legitimizing principle really was in the case of the Vienna settlement</w:t>
      </w:r>
      <w:r>
        <w:rPr>
          <w:rFonts w:ascii="Arial" w:hAnsi="Arial" w:cs="Arial"/>
          <w:sz w:val="24"/>
          <w:szCs w:val="24"/>
        </w:rPr>
        <w:t xml:space="preserve">. </w:t>
      </w:r>
      <w:r w:rsidR="004D792C">
        <w:rPr>
          <w:rFonts w:ascii="Arial" w:hAnsi="Arial" w:cs="Arial"/>
          <w:sz w:val="24"/>
          <w:szCs w:val="24"/>
        </w:rPr>
        <w:t>Claiming that an order whose structure is accepted by a</w:t>
      </w:r>
      <w:r w:rsidR="00B22202">
        <w:rPr>
          <w:rFonts w:ascii="Arial" w:hAnsi="Arial" w:cs="Arial"/>
          <w:sz w:val="24"/>
          <w:szCs w:val="24"/>
        </w:rPr>
        <w:t>ll major powers is “legitimate”</w:t>
      </w:r>
      <w:r w:rsidR="004D792C">
        <w:rPr>
          <w:rFonts w:ascii="Arial" w:hAnsi="Arial" w:cs="Arial"/>
          <w:sz w:val="24"/>
          <w:szCs w:val="24"/>
        </w:rPr>
        <w:t xml:space="preserve"> begs the question of why those same powers have come to this conclusion. </w:t>
      </w:r>
      <w:r>
        <w:rPr>
          <w:rFonts w:ascii="Arial" w:hAnsi="Arial" w:cs="Arial"/>
          <w:sz w:val="24"/>
          <w:szCs w:val="24"/>
        </w:rPr>
        <w:t>Where Kissinger’s analysis is much more analytically precise is on the subject of what constitut</w:t>
      </w:r>
      <w:r w:rsidR="0076724F">
        <w:rPr>
          <w:rFonts w:ascii="Arial" w:hAnsi="Arial" w:cs="Arial"/>
          <w:sz w:val="24"/>
          <w:szCs w:val="24"/>
        </w:rPr>
        <w:t>ed a break wi</w:t>
      </w:r>
      <w:r w:rsidR="004D792C">
        <w:rPr>
          <w:rFonts w:ascii="Arial" w:hAnsi="Arial" w:cs="Arial"/>
          <w:sz w:val="24"/>
          <w:szCs w:val="24"/>
        </w:rPr>
        <w:t>th</w:t>
      </w:r>
      <w:r w:rsidR="001B282A">
        <w:rPr>
          <w:rFonts w:ascii="Arial" w:hAnsi="Arial" w:cs="Arial"/>
          <w:sz w:val="24"/>
          <w:szCs w:val="24"/>
        </w:rPr>
        <w:t xml:space="preserve"> established principles of</w:t>
      </w:r>
      <w:r w:rsidR="004D792C">
        <w:rPr>
          <w:rFonts w:ascii="Arial" w:hAnsi="Arial" w:cs="Arial"/>
          <w:sz w:val="24"/>
          <w:szCs w:val="24"/>
        </w:rPr>
        <w:t xml:space="preserve"> legitimacy</w:t>
      </w:r>
      <w:r w:rsidR="00837226">
        <w:rPr>
          <w:rFonts w:ascii="Arial" w:hAnsi="Arial" w:cs="Arial"/>
          <w:sz w:val="24"/>
          <w:szCs w:val="24"/>
        </w:rPr>
        <w:t xml:space="preserve"> i.e.</w:t>
      </w:r>
      <w:r w:rsidR="004D792C">
        <w:rPr>
          <w:rFonts w:ascii="Arial" w:hAnsi="Arial" w:cs="Arial"/>
          <w:sz w:val="24"/>
          <w:szCs w:val="24"/>
        </w:rPr>
        <w:t xml:space="preserve"> a </w:t>
      </w:r>
      <w:r w:rsidR="004D792C">
        <w:rPr>
          <w:rFonts w:ascii="Arial" w:hAnsi="Arial" w:cs="Arial"/>
          <w:sz w:val="24"/>
          <w:szCs w:val="24"/>
        </w:rPr>
        <w:lastRenderedPageBreak/>
        <w:t>revolutionary creed</w:t>
      </w:r>
      <w:r w:rsidR="00837226">
        <w:rPr>
          <w:rFonts w:ascii="Arial" w:hAnsi="Arial" w:cs="Arial"/>
          <w:sz w:val="24"/>
          <w:szCs w:val="24"/>
        </w:rPr>
        <w:t>, which</w:t>
      </w:r>
      <w:r w:rsidR="004D792C">
        <w:rPr>
          <w:rFonts w:ascii="Arial" w:hAnsi="Arial" w:cs="Arial"/>
          <w:sz w:val="24"/>
          <w:szCs w:val="24"/>
        </w:rPr>
        <w:t xml:space="preserve"> is one that </w:t>
      </w:r>
      <w:r w:rsidR="00890569">
        <w:rPr>
          <w:rFonts w:ascii="Arial" w:hAnsi="Arial" w:cs="Arial"/>
          <w:sz w:val="24"/>
          <w:szCs w:val="24"/>
        </w:rPr>
        <w:t>is open</w:t>
      </w:r>
      <w:r w:rsidR="00440FEA">
        <w:rPr>
          <w:rFonts w:ascii="Arial" w:hAnsi="Arial" w:cs="Arial"/>
          <w:sz w:val="24"/>
          <w:szCs w:val="24"/>
        </w:rPr>
        <w:t>-</w:t>
      </w:r>
      <w:r w:rsidR="00890569">
        <w:rPr>
          <w:rFonts w:ascii="Arial" w:hAnsi="Arial" w:cs="Arial"/>
          <w:sz w:val="24"/>
          <w:szCs w:val="24"/>
        </w:rPr>
        <w:t xml:space="preserve">ended and not self-limiting. </w:t>
      </w:r>
      <w:r w:rsidR="00AB15D6">
        <w:rPr>
          <w:rFonts w:ascii="Arial" w:hAnsi="Arial" w:cs="Arial"/>
          <w:sz w:val="24"/>
          <w:szCs w:val="24"/>
        </w:rPr>
        <w:t>It is on these terms exactly that a productive comparison with the Article 50 talks can be based.</w:t>
      </w:r>
    </w:p>
    <w:p w:rsidR="009C78F4" w:rsidRDefault="009E503E" w:rsidP="00AA2AD6">
      <w:pPr>
        <w:jc w:val="both"/>
        <w:rPr>
          <w:rFonts w:ascii="Arial" w:hAnsi="Arial" w:cs="Arial"/>
          <w:sz w:val="24"/>
          <w:szCs w:val="24"/>
        </w:rPr>
      </w:pPr>
      <w:r>
        <w:rPr>
          <w:rFonts w:ascii="Arial" w:hAnsi="Arial" w:cs="Arial"/>
          <w:sz w:val="24"/>
          <w:szCs w:val="24"/>
        </w:rPr>
        <w:t xml:space="preserve">Kissinger associates the development </w:t>
      </w:r>
      <w:r w:rsidR="00837226">
        <w:rPr>
          <w:rFonts w:ascii="Arial" w:hAnsi="Arial" w:cs="Arial"/>
          <w:sz w:val="24"/>
          <w:szCs w:val="24"/>
        </w:rPr>
        <w:t>of a revolutionary intention of upending an existing order with a power that considers the existing international order “oppressive”. This perspective certainly echoes the rhetoric of the Brexit campaign, which at its core consisted of, on the one hand, railing against the free movement of people principle, and, on the other hand, suggested that a more outward-looking Global Britain would emerge once freed from the constraints of EU trade and regulatory policy</w:t>
      </w:r>
      <w:r w:rsidR="002A3EDF">
        <w:rPr>
          <w:rFonts w:ascii="Arial" w:hAnsi="Arial" w:cs="Arial"/>
          <w:sz w:val="24"/>
          <w:szCs w:val="24"/>
        </w:rPr>
        <w:t>. Central to the</w:t>
      </w:r>
      <w:r w:rsidR="00AB15D6">
        <w:rPr>
          <w:rFonts w:ascii="Arial" w:hAnsi="Arial" w:cs="Arial"/>
          <w:sz w:val="24"/>
          <w:szCs w:val="24"/>
        </w:rPr>
        <w:t xml:space="preserve"> success of the </w:t>
      </w:r>
      <w:r w:rsidR="002A3EDF">
        <w:rPr>
          <w:rFonts w:ascii="Arial" w:hAnsi="Arial" w:cs="Arial"/>
          <w:sz w:val="24"/>
          <w:szCs w:val="24"/>
        </w:rPr>
        <w:t>anti-EU message was the notion that major policy and ideological differences could not be set</w:t>
      </w:r>
      <w:r w:rsidR="00A74E14">
        <w:rPr>
          <w:rFonts w:ascii="Arial" w:hAnsi="Arial" w:cs="Arial"/>
          <w:sz w:val="24"/>
          <w:szCs w:val="24"/>
        </w:rPr>
        <w:t>tled from within the EU system, as exemplified by the inability of the UK to repatriate powers during the renegotiation.</w:t>
      </w:r>
    </w:p>
    <w:p w:rsidR="00511987" w:rsidRDefault="002A3EDF" w:rsidP="00AA2AD6">
      <w:pPr>
        <w:jc w:val="both"/>
        <w:rPr>
          <w:rFonts w:ascii="Arial" w:hAnsi="Arial" w:cs="Arial"/>
          <w:sz w:val="24"/>
          <w:szCs w:val="24"/>
        </w:rPr>
      </w:pPr>
      <w:r>
        <w:rPr>
          <w:rFonts w:ascii="Arial" w:hAnsi="Arial" w:cs="Arial"/>
          <w:sz w:val="24"/>
          <w:szCs w:val="24"/>
        </w:rPr>
        <w:t xml:space="preserve">The referendum </w:t>
      </w:r>
      <w:r w:rsidR="00440FEA">
        <w:rPr>
          <w:rFonts w:ascii="Arial" w:hAnsi="Arial" w:cs="Arial"/>
          <w:sz w:val="24"/>
          <w:szCs w:val="24"/>
        </w:rPr>
        <w:t xml:space="preserve">result </w:t>
      </w:r>
      <w:r>
        <w:rPr>
          <w:rFonts w:ascii="Arial" w:hAnsi="Arial" w:cs="Arial"/>
          <w:sz w:val="24"/>
          <w:szCs w:val="24"/>
        </w:rPr>
        <w:t>was a</w:t>
      </w:r>
      <w:r w:rsidR="00A74E14">
        <w:rPr>
          <w:rFonts w:ascii="Arial" w:hAnsi="Arial" w:cs="Arial"/>
          <w:sz w:val="24"/>
          <w:szCs w:val="24"/>
        </w:rPr>
        <w:t>n explicit</w:t>
      </w:r>
      <w:r>
        <w:rPr>
          <w:rFonts w:ascii="Arial" w:hAnsi="Arial" w:cs="Arial"/>
          <w:sz w:val="24"/>
          <w:szCs w:val="24"/>
        </w:rPr>
        <w:t xml:space="preserve"> disavowal of David Cameron’s prior renegotiation</w:t>
      </w:r>
      <w:r w:rsidR="00440FEA">
        <w:rPr>
          <w:rFonts w:ascii="Arial" w:hAnsi="Arial" w:cs="Arial"/>
          <w:sz w:val="24"/>
          <w:szCs w:val="24"/>
        </w:rPr>
        <w:t>,</w:t>
      </w:r>
      <w:r>
        <w:rPr>
          <w:rFonts w:ascii="Arial" w:hAnsi="Arial" w:cs="Arial"/>
          <w:sz w:val="24"/>
          <w:szCs w:val="24"/>
        </w:rPr>
        <w:t xml:space="preserve"> which was </w:t>
      </w:r>
      <w:r w:rsidR="009C78F4">
        <w:rPr>
          <w:rFonts w:ascii="Arial" w:hAnsi="Arial" w:cs="Arial"/>
          <w:sz w:val="24"/>
          <w:szCs w:val="24"/>
        </w:rPr>
        <w:t xml:space="preserve">precisely </w:t>
      </w:r>
      <w:r>
        <w:rPr>
          <w:rFonts w:ascii="Arial" w:hAnsi="Arial" w:cs="Arial"/>
          <w:sz w:val="24"/>
          <w:szCs w:val="24"/>
        </w:rPr>
        <w:t xml:space="preserve">intended to show that the UK could find a just settlement of these differences as a member state. </w:t>
      </w:r>
      <w:r w:rsidR="009C78F4">
        <w:rPr>
          <w:rFonts w:ascii="Arial" w:hAnsi="Arial" w:cs="Arial"/>
          <w:sz w:val="24"/>
          <w:szCs w:val="24"/>
        </w:rPr>
        <w:t>For Kissinger, the ability to find such an arrangement is a fundamental way to demarcate a legitimate order in which all states are somewhat unsatisfied with the outcome from one in which revolutionary claims are made by a particular state that feels particularly oppressed. Most importantly, a “legitimate order limits the possible by the just; a revolutionary order identifies the just with the physi</w:t>
      </w:r>
      <w:r w:rsidR="00B22202">
        <w:rPr>
          <w:rFonts w:ascii="Arial" w:hAnsi="Arial" w:cs="Arial"/>
          <w:sz w:val="24"/>
          <w:szCs w:val="24"/>
        </w:rPr>
        <w:t>cally possible”</w:t>
      </w:r>
      <w:r w:rsidR="009C78F4">
        <w:rPr>
          <w:rFonts w:ascii="Arial" w:hAnsi="Arial" w:cs="Arial"/>
          <w:sz w:val="24"/>
          <w:szCs w:val="24"/>
        </w:rPr>
        <w:t>.</w:t>
      </w:r>
      <w:r w:rsidR="00804452">
        <w:rPr>
          <w:rStyle w:val="EndnoteReference"/>
          <w:rFonts w:ascii="Arial" w:hAnsi="Arial" w:cs="Arial"/>
          <w:sz w:val="24"/>
          <w:szCs w:val="24"/>
        </w:rPr>
        <w:endnoteReference w:id="6"/>
      </w:r>
      <w:r w:rsidR="009C78F4">
        <w:rPr>
          <w:rFonts w:ascii="Arial" w:hAnsi="Arial" w:cs="Arial"/>
          <w:sz w:val="24"/>
          <w:szCs w:val="24"/>
        </w:rPr>
        <w:t xml:space="preserve"> </w:t>
      </w:r>
      <w:r w:rsidR="00511987">
        <w:rPr>
          <w:rFonts w:ascii="Arial" w:hAnsi="Arial" w:cs="Arial"/>
          <w:sz w:val="24"/>
          <w:szCs w:val="24"/>
        </w:rPr>
        <w:t>The prelude to Brexit was in fact punctuated by precisely such revolutionary claims</w:t>
      </w:r>
      <w:r w:rsidR="00440FEA">
        <w:rPr>
          <w:rFonts w:ascii="Arial" w:hAnsi="Arial" w:cs="Arial"/>
          <w:sz w:val="24"/>
          <w:szCs w:val="24"/>
        </w:rPr>
        <w:t>;</w:t>
      </w:r>
      <w:r w:rsidR="00511987">
        <w:rPr>
          <w:rFonts w:ascii="Arial" w:hAnsi="Arial" w:cs="Arial"/>
          <w:sz w:val="24"/>
          <w:szCs w:val="24"/>
        </w:rPr>
        <w:t xml:space="preserve"> </w:t>
      </w:r>
      <w:r w:rsidR="00F302C7">
        <w:rPr>
          <w:rFonts w:ascii="Arial" w:hAnsi="Arial" w:cs="Arial"/>
          <w:sz w:val="24"/>
          <w:szCs w:val="24"/>
        </w:rPr>
        <w:t>for instance</w:t>
      </w:r>
      <w:r w:rsidR="00511987">
        <w:rPr>
          <w:rFonts w:ascii="Arial" w:hAnsi="Arial" w:cs="Arial"/>
          <w:sz w:val="24"/>
          <w:szCs w:val="24"/>
        </w:rPr>
        <w:t xml:space="preserve"> Conservative MPs attempts to have a British parliamentary veto on single market legislation accepted as part of the renegotiation, as well as Boris Johnson’s advocacy </w:t>
      </w:r>
      <w:r w:rsidR="00440FEA">
        <w:rPr>
          <w:rFonts w:ascii="Arial" w:hAnsi="Arial" w:cs="Arial"/>
          <w:sz w:val="24"/>
          <w:szCs w:val="24"/>
        </w:rPr>
        <w:t xml:space="preserve">of </w:t>
      </w:r>
      <w:r w:rsidR="00511987">
        <w:rPr>
          <w:rFonts w:ascii="Arial" w:hAnsi="Arial" w:cs="Arial"/>
          <w:sz w:val="24"/>
          <w:szCs w:val="24"/>
        </w:rPr>
        <w:t>a “two referendum” scenario in which a first rejection of the EU would serve as a mechanism for subsequently extracting greater concessions</w:t>
      </w:r>
      <w:r w:rsidR="00804452">
        <w:rPr>
          <w:rFonts w:ascii="Arial" w:hAnsi="Arial" w:cs="Arial"/>
          <w:sz w:val="24"/>
          <w:szCs w:val="24"/>
        </w:rPr>
        <w:t>.</w:t>
      </w:r>
      <w:r w:rsidR="00804452">
        <w:rPr>
          <w:rStyle w:val="EndnoteReference"/>
          <w:rFonts w:ascii="Arial" w:hAnsi="Arial" w:cs="Arial"/>
          <w:sz w:val="24"/>
          <w:szCs w:val="24"/>
        </w:rPr>
        <w:endnoteReference w:id="7"/>
      </w:r>
      <w:r w:rsidR="00511987">
        <w:rPr>
          <w:rFonts w:ascii="Arial" w:hAnsi="Arial" w:cs="Arial"/>
          <w:sz w:val="24"/>
          <w:szCs w:val="24"/>
        </w:rPr>
        <w:t xml:space="preserve"> </w:t>
      </w:r>
    </w:p>
    <w:p w:rsidR="004D792C" w:rsidRDefault="00FD56E4" w:rsidP="00AA2AD6">
      <w:pPr>
        <w:jc w:val="both"/>
        <w:rPr>
          <w:rFonts w:ascii="Arial" w:hAnsi="Arial" w:cs="Arial"/>
          <w:sz w:val="24"/>
          <w:szCs w:val="24"/>
        </w:rPr>
      </w:pPr>
      <w:r>
        <w:rPr>
          <w:rFonts w:ascii="Arial" w:hAnsi="Arial" w:cs="Arial"/>
          <w:sz w:val="24"/>
          <w:szCs w:val="24"/>
        </w:rPr>
        <w:t xml:space="preserve">At every turn in the </w:t>
      </w:r>
      <w:r w:rsidR="00AB15D6">
        <w:rPr>
          <w:rFonts w:ascii="Arial" w:hAnsi="Arial" w:cs="Arial"/>
          <w:sz w:val="24"/>
          <w:szCs w:val="24"/>
        </w:rPr>
        <w:t xml:space="preserve">first phase of </w:t>
      </w:r>
      <w:r>
        <w:rPr>
          <w:rFonts w:ascii="Arial" w:hAnsi="Arial" w:cs="Arial"/>
          <w:sz w:val="24"/>
          <w:szCs w:val="24"/>
        </w:rPr>
        <w:t xml:space="preserve">negotiations following the referendum, the British government adopted this revolutionary approach of identifying </w:t>
      </w:r>
      <w:r w:rsidR="001B6CCA">
        <w:rPr>
          <w:rFonts w:ascii="Arial" w:hAnsi="Arial" w:cs="Arial"/>
          <w:sz w:val="24"/>
          <w:szCs w:val="24"/>
        </w:rPr>
        <w:t>possible solutions to myriad problems of uncoupling from the EU without having to take account of the EU’s consensus-based preferences</w:t>
      </w:r>
      <w:r w:rsidR="00A377D1">
        <w:rPr>
          <w:rFonts w:ascii="Arial" w:hAnsi="Arial" w:cs="Arial"/>
          <w:sz w:val="24"/>
          <w:szCs w:val="24"/>
        </w:rPr>
        <w:t xml:space="preserve"> or its legal principles</w:t>
      </w:r>
      <w:r w:rsidR="001B6CCA">
        <w:rPr>
          <w:rFonts w:ascii="Arial" w:hAnsi="Arial" w:cs="Arial"/>
          <w:sz w:val="24"/>
          <w:szCs w:val="24"/>
        </w:rPr>
        <w:t>. This list include</w:t>
      </w:r>
      <w:r w:rsidR="00AB15D6">
        <w:rPr>
          <w:rFonts w:ascii="Arial" w:hAnsi="Arial" w:cs="Arial"/>
          <w:sz w:val="24"/>
          <w:szCs w:val="24"/>
        </w:rPr>
        <w:t>d</w:t>
      </w:r>
      <w:r w:rsidR="001B6CCA">
        <w:rPr>
          <w:rFonts w:ascii="Arial" w:hAnsi="Arial" w:cs="Arial"/>
          <w:sz w:val="24"/>
          <w:szCs w:val="24"/>
        </w:rPr>
        <w:t xml:space="preserve"> the idea of a “frictionless” border in Ireland made possible by advanced technology, </w:t>
      </w:r>
      <w:r w:rsidR="00A377D1">
        <w:rPr>
          <w:rFonts w:ascii="Arial" w:hAnsi="Arial" w:cs="Arial"/>
          <w:sz w:val="24"/>
          <w:szCs w:val="24"/>
        </w:rPr>
        <w:t xml:space="preserve">mooting </w:t>
      </w:r>
      <w:r w:rsidR="001B6CCA">
        <w:rPr>
          <w:rFonts w:ascii="Arial" w:hAnsi="Arial" w:cs="Arial"/>
          <w:sz w:val="24"/>
          <w:szCs w:val="24"/>
        </w:rPr>
        <w:t xml:space="preserve">reneging on financial liabilities incurred whilst the UK was a member state, or avoiding the jurisdiction of the </w:t>
      </w:r>
      <w:r w:rsidR="00804452">
        <w:rPr>
          <w:rFonts w:ascii="Arial" w:hAnsi="Arial" w:cs="Arial"/>
          <w:sz w:val="24"/>
          <w:szCs w:val="24"/>
        </w:rPr>
        <w:t xml:space="preserve">European Court of Justice </w:t>
      </w:r>
      <w:r w:rsidR="001B6CCA">
        <w:rPr>
          <w:rFonts w:ascii="Arial" w:hAnsi="Arial" w:cs="Arial"/>
          <w:sz w:val="24"/>
          <w:szCs w:val="24"/>
        </w:rPr>
        <w:t xml:space="preserve">even while seeking to participate in certain aspects of the single market. Similarly, even opponents of a hard Brexit put forward suggestions involving further unilateral concessions to the UK, such as Tony Blair’s idea that the UK could be granted an exemption from free movement in order to remain a member </w:t>
      </w:r>
      <w:r w:rsidR="00440FEA">
        <w:rPr>
          <w:rFonts w:ascii="Arial" w:hAnsi="Arial" w:cs="Arial"/>
          <w:sz w:val="24"/>
          <w:szCs w:val="24"/>
        </w:rPr>
        <w:t>s</w:t>
      </w:r>
      <w:r w:rsidR="001B6CCA">
        <w:rPr>
          <w:rFonts w:ascii="Arial" w:hAnsi="Arial" w:cs="Arial"/>
          <w:sz w:val="24"/>
          <w:szCs w:val="24"/>
        </w:rPr>
        <w:t>tate</w:t>
      </w:r>
      <w:r w:rsidR="00A377D1">
        <w:rPr>
          <w:rFonts w:ascii="Arial" w:hAnsi="Arial" w:cs="Arial"/>
          <w:sz w:val="24"/>
          <w:szCs w:val="24"/>
        </w:rPr>
        <w:t>.</w:t>
      </w:r>
      <w:r w:rsidR="001B6CCA">
        <w:rPr>
          <w:rFonts w:ascii="Arial" w:hAnsi="Arial" w:cs="Arial"/>
          <w:sz w:val="24"/>
          <w:szCs w:val="24"/>
        </w:rPr>
        <w:t xml:space="preserve"> </w:t>
      </w:r>
    </w:p>
    <w:p w:rsidR="00485521" w:rsidRDefault="00442CCD" w:rsidP="00485521">
      <w:pPr>
        <w:jc w:val="both"/>
        <w:rPr>
          <w:rFonts w:ascii="Arial" w:hAnsi="Arial" w:cs="Arial"/>
          <w:sz w:val="24"/>
          <w:szCs w:val="24"/>
        </w:rPr>
      </w:pPr>
      <w:r>
        <w:rPr>
          <w:rFonts w:ascii="Arial" w:hAnsi="Arial" w:cs="Arial"/>
          <w:sz w:val="24"/>
          <w:szCs w:val="24"/>
        </w:rPr>
        <w:lastRenderedPageBreak/>
        <w:t xml:space="preserve">In other words, the before and after </w:t>
      </w:r>
      <w:r w:rsidR="004D3F5F">
        <w:rPr>
          <w:rFonts w:ascii="Arial" w:hAnsi="Arial" w:cs="Arial"/>
          <w:sz w:val="24"/>
          <w:szCs w:val="24"/>
        </w:rPr>
        <w:t xml:space="preserve">of </w:t>
      </w:r>
      <w:r>
        <w:rPr>
          <w:rFonts w:ascii="Arial" w:hAnsi="Arial" w:cs="Arial"/>
          <w:sz w:val="24"/>
          <w:szCs w:val="24"/>
        </w:rPr>
        <w:t xml:space="preserve">Brexit </w:t>
      </w:r>
      <w:r w:rsidR="00AB15D6">
        <w:rPr>
          <w:rFonts w:ascii="Arial" w:hAnsi="Arial" w:cs="Arial"/>
          <w:sz w:val="24"/>
          <w:szCs w:val="24"/>
        </w:rPr>
        <w:t>were</w:t>
      </w:r>
      <w:r>
        <w:rPr>
          <w:rFonts w:ascii="Arial" w:hAnsi="Arial" w:cs="Arial"/>
          <w:sz w:val="24"/>
          <w:szCs w:val="24"/>
        </w:rPr>
        <w:t xml:space="preserve"> predicated on calling into question the legitimacy of the EU order, at least from the perspective of British interests</w:t>
      </w:r>
      <w:r w:rsidR="00290F0D">
        <w:rPr>
          <w:rFonts w:ascii="Arial" w:hAnsi="Arial" w:cs="Arial"/>
          <w:sz w:val="24"/>
          <w:szCs w:val="24"/>
        </w:rPr>
        <w:t xml:space="preserve"> that apparently could be much better served under a completely new framework, or even none at all</w:t>
      </w:r>
      <w:r>
        <w:rPr>
          <w:rFonts w:ascii="Arial" w:hAnsi="Arial" w:cs="Arial"/>
          <w:sz w:val="24"/>
          <w:szCs w:val="24"/>
        </w:rPr>
        <w:t xml:space="preserve">. This approach constitutes a departure from the traditional </w:t>
      </w:r>
      <w:r w:rsidR="00290F0D">
        <w:rPr>
          <w:rFonts w:ascii="Arial" w:hAnsi="Arial" w:cs="Arial"/>
          <w:sz w:val="24"/>
          <w:szCs w:val="24"/>
        </w:rPr>
        <w:t>approach</w:t>
      </w:r>
      <w:r>
        <w:rPr>
          <w:rFonts w:ascii="Arial" w:hAnsi="Arial" w:cs="Arial"/>
          <w:sz w:val="24"/>
          <w:szCs w:val="24"/>
        </w:rPr>
        <w:t xml:space="preserve"> </w:t>
      </w:r>
      <w:r w:rsidR="00485521">
        <w:rPr>
          <w:rFonts w:ascii="Arial" w:hAnsi="Arial" w:cs="Arial"/>
          <w:sz w:val="24"/>
          <w:szCs w:val="24"/>
        </w:rPr>
        <w:t>for</w:t>
      </w:r>
      <w:r>
        <w:rPr>
          <w:rFonts w:ascii="Arial" w:hAnsi="Arial" w:cs="Arial"/>
          <w:sz w:val="24"/>
          <w:szCs w:val="24"/>
        </w:rPr>
        <w:t xml:space="preserve"> </w:t>
      </w:r>
      <w:r w:rsidR="00485521">
        <w:rPr>
          <w:rFonts w:ascii="Arial" w:hAnsi="Arial" w:cs="Arial"/>
          <w:sz w:val="24"/>
          <w:szCs w:val="24"/>
        </w:rPr>
        <w:t xml:space="preserve">negotiating </w:t>
      </w:r>
      <w:r>
        <w:rPr>
          <w:rFonts w:ascii="Arial" w:hAnsi="Arial" w:cs="Arial"/>
          <w:sz w:val="24"/>
          <w:szCs w:val="24"/>
        </w:rPr>
        <w:t xml:space="preserve">differentiated integration, which functioned on the basis of finding what Kissinger would have called a just arrangement via consensus and self-limitation on the goals advocated. </w:t>
      </w:r>
      <w:r w:rsidR="00485521">
        <w:rPr>
          <w:rFonts w:ascii="Arial" w:hAnsi="Arial" w:cs="Arial"/>
          <w:sz w:val="24"/>
          <w:szCs w:val="24"/>
        </w:rPr>
        <w:t xml:space="preserve">The importance of this distinction can be identified by examining the record of the UK’s previous attempts to establish differentiation in its relationship with the EU: the 1974-75 renegotiation, the 1984 budget rebate dispute, and David Cameron’s </w:t>
      </w:r>
      <w:r w:rsidR="00A91606">
        <w:rPr>
          <w:rFonts w:ascii="Arial" w:hAnsi="Arial" w:cs="Arial"/>
          <w:sz w:val="24"/>
          <w:szCs w:val="24"/>
        </w:rPr>
        <w:t>now-</w:t>
      </w:r>
      <w:r w:rsidR="00485521">
        <w:rPr>
          <w:rFonts w:ascii="Arial" w:hAnsi="Arial" w:cs="Arial"/>
          <w:sz w:val="24"/>
          <w:szCs w:val="24"/>
        </w:rPr>
        <w:t>obsolete renegotiation. Negotiating a future UK-EU relationship is fundamentally different from the bargaining over interests that characterized these previous spats. For in these earlier episodes, the British government voluntarily agreed to limit the scope of conflict, thereby avoiding questioning the whole institutional edifice and its legal foundations. Instead, the UK embarked on differentiation by presenting its preferences within the framework of the existing order that accepted</w:t>
      </w:r>
      <w:r w:rsidR="00985D2B">
        <w:rPr>
          <w:rFonts w:ascii="Arial" w:hAnsi="Arial" w:cs="Arial"/>
          <w:sz w:val="24"/>
          <w:szCs w:val="24"/>
        </w:rPr>
        <w:t xml:space="preserve"> both</w:t>
      </w:r>
      <w:r w:rsidR="00485521">
        <w:rPr>
          <w:rFonts w:ascii="Arial" w:hAnsi="Arial" w:cs="Arial"/>
          <w:sz w:val="24"/>
          <w:szCs w:val="24"/>
        </w:rPr>
        <w:t xml:space="preserve"> the legitimacy of </w:t>
      </w:r>
      <w:r w:rsidR="00985D2B">
        <w:rPr>
          <w:rFonts w:ascii="Arial" w:hAnsi="Arial" w:cs="Arial"/>
          <w:sz w:val="24"/>
          <w:szCs w:val="24"/>
        </w:rPr>
        <w:t xml:space="preserve">the institutional order and the need to </w:t>
      </w:r>
      <w:r w:rsidR="00485521">
        <w:rPr>
          <w:rFonts w:ascii="Arial" w:hAnsi="Arial" w:cs="Arial"/>
          <w:sz w:val="24"/>
          <w:szCs w:val="24"/>
        </w:rPr>
        <w:t>find</w:t>
      </w:r>
      <w:r w:rsidR="00985D2B">
        <w:rPr>
          <w:rFonts w:ascii="Arial" w:hAnsi="Arial" w:cs="Arial"/>
          <w:sz w:val="24"/>
          <w:szCs w:val="24"/>
        </w:rPr>
        <w:t xml:space="preserve"> an EU consensus to reform it.</w:t>
      </w:r>
    </w:p>
    <w:p w:rsidR="00804452" w:rsidRPr="00890569" w:rsidRDefault="00804452" w:rsidP="00804452">
      <w:pPr>
        <w:jc w:val="both"/>
        <w:rPr>
          <w:rFonts w:ascii="Arial" w:hAnsi="Arial" w:cs="Arial"/>
          <w:b/>
          <w:sz w:val="24"/>
          <w:szCs w:val="24"/>
        </w:rPr>
      </w:pPr>
      <w:r>
        <w:rPr>
          <w:rFonts w:ascii="Arial" w:hAnsi="Arial" w:cs="Arial"/>
          <w:b/>
          <w:sz w:val="24"/>
          <w:szCs w:val="24"/>
        </w:rPr>
        <w:t>Comparing Brexit to previous UK differentiation</w:t>
      </w:r>
    </w:p>
    <w:p w:rsidR="00485521" w:rsidRDefault="00A768F8" w:rsidP="00485521">
      <w:pPr>
        <w:jc w:val="both"/>
        <w:rPr>
          <w:rFonts w:ascii="Arial" w:hAnsi="Arial" w:cs="Arial"/>
          <w:sz w:val="24"/>
          <w:szCs w:val="24"/>
        </w:rPr>
      </w:pPr>
      <w:r w:rsidRPr="00103661">
        <w:rPr>
          <w:rFonts w:ascii="Arial" w:hAnsi="Arial" w:cs="Arial"/>
          <w:sz w:val="24"/>
          <w:szCs w:val="24"/>
        </w:rPr>
        <w:t>As an “awkward partner” in Europe, the UK was known for unilaterally challenging the European consensus on what was considered a just arrangement</w:t>
      </w:r>
      <w:r>
        <w:rPr>
          <w:rFonts w:ascii="Arial" w:hAnsi="Arial" w:cs="Arial"/>
          <w:sz w:val="24"/>
          <w:szCs w:val="24"/>
        </w:rPr>
        <w:t>. Successive British governments explicitly sought to recalibrate</w:t>
      </w:r>
      <w:r w:rsidRPr="00103661">
        <w:rPr>
          <w:rFonts w:ascii="Arial" w:hAnsi="Arial" w:cs="Arial"/>
          <w:sz w:val="24"/>
          <w:szCs w:val="24"/>
        </w:rPr>
        <w:t xml:space="preserve"> the advantages and disadvantages of European integration</w:t>
      </w:r>
      <w:r>
        <w:rPr>
          <w:rFonts w:ascii="Arial" w:hAnsi="Arial" w:cs="Arial"/>
          <w:sz w:val="24"/>
          <w:szCs w:val="24"/>
        </w:rPr>
        <w:t xml:space="preserve"> in the UK’s favour beginning with the Labour Party, which won the </w:t>
      </w:r>
      <w:r w:rsidR="00485521">
        <w:rPr>
          <w:rFonts w:ascii="Arial" w:hAnsi="Arial" w:cs="Arial"/>
          <w:sz w:val="24"/>
          <w:szCs w:val="24"/>
        </w:rPr>
        <w:t>General Election of February 1974 with a manifesto that included a pledge to renegotiate the terms of EEC membership. As was the case four decades later, this was a unilateral move that first rested on what the scale of the UK’s ambitions would be.</w:t>
      </w:r>
      <w:r w:rsidR="00804452">
        <w:rPr>
          <w:rStyle w:val="EndnoteReference"/>
          <w:rFonts w:ascii="Arial" w:hAnsi="Arial" w:cs="Arial"/>
          <w:sz w:val="24"/>
          <w:szCs w:val="24"/>
        </w:rPr>
        <w:endnoteReference w:id="8"/>
      </w:r>
      <w:r w:rsidR="00485521">
        <w:rPr>
          <w:rFonts w:ascii="Arial" w:hAnsi="Arial" w:cs="Arial"/>
          <w:sz w:val="24"/>
          <w:szCs w:val="24"/>
        </w:rPr>
        <w:t xml:space="preserve"> The internal dispute within the ruling Labour Party revolved around whether to insist on treaty change i.e. challenging the legitimacy of the existing order settled prior to the UK’s accession. The British cabinet was divided on this issue, in part because Prime Minister Harold Wilson was agnostic about the approach to take. The F</w:t>
      </w:r>
      <w:r w:rsidR="00485521" w:rsidRPr="00B61460">
        <w:rPr>
          <w:rFonts w:ascii="Arial" w:hAnsi="Arial" w:cs="Arial"/>
          <w:sz w:val="24"/>
          <w:szCs w:val="24"/>
        </w:rPr>
        <w:t>oreign Secretary</w:t>
      </w:r>
      <w:r w:rsidR="00440FEA">
        <w:rPr>
          <w:rFonts w:ascii="Arial" w:hAnsi="Arial" w:cs="Arial"/>
          <w:sz w:val="24"/>
          <w:szCs w:val="24"/>
        </w:rPr>
        <w:t>,</w:t>
      </w:r>
      <w:r w:rsidR="00485521" w:rsidRPr="00B61460">
        <w:rPr>
          <w:rFonts w:ascii="Arial" w:hAnsi="Arial" w:cs="Arial"/>
          <w:sz w:val="24"/>
          <w:szCs w:val="24"/>
        </w:rPr>
        <w:t xml:space="preserve"> James Callaghan</w:t>
      </w:r>
      <w:r w:rsidR="00485521">
        <w:rPr>
          <w:rFonts w:ascii="Arial" w:hAnsi="Arial" w:cs="Arial"/>
          <w:sz w:val="24"/>
          <w:szCs w:val="24"/>
        </w:rPr>
        <w:t>, whose department led the bilateral discussions sounding out other countries’ views, outmanoeuvred EEC-sceptics such as</w:t>
      </w:r>
      <w:r w:rsidR="00485521" w:rsidRPr="00B61460">
        <w:rPr>
          <w:rFonts w:ascii="Arial" w:hAnsi="Arial" w:cs="Arial"/>
          <w:sz w:val="24"/>
          <w:szCs w:val="24"/>
        </w:rPr>
        <w:t xml:space="preserve"> </w:t>
      </w:r>
      <w:r w:rsidR="00485521">
        <w:rPr>
          <w:rFonts w:ascii="Arial" w:hAnsi="Arial" w:cs="Arial"/>
          <w:sz w:val="24"/>
          <w:szCs w:val="24"/>
        </w:rPr>
        <w:t xml:space="preserve">Tony </w:t>
      </w:r>
      <w:r w:rsidR="00485521" w:rsidRPr="00B61460">
        <w:rPr>
          <w:rFonts w:ascii="Arial" w:hAnsi="Arial" w:cs="Arial"/>
          <w:sz w:val="24"/>
          <w:szCs w:val="24"/>
        </w:rPr>
        <w:t>Benn by settling for policy reform (notably regarding the budget and the Common Agricultural Policy) rather than treaty change.</w:t>
      </w:r>
      <w:r w:rsidR="00485521">
        <w:rPr>
          <w:rFonts w:ascii="Arial" w:hAnsi="Arial" w:cs="Arial"/>
          <w:sz w:val="24"/>
          <w:szCs w:val="24"/>
        </w:rPr>
        <w:t xml:space="preserve"> These attenuated renegotiation goals were shaped by the responses of the French and German governments which informed Callaghan of their unwillingness to see any backsliding that would undermine the existing institutional structure and the controversial “own resources” system of financing agreed prior to UK entry.</w:t>
      </w:r>
      <w:r w:rsidR="00485521" w:rsidRPr="00B61460">
        <w:rPr>
          <w:rFonts w:ascii="Arial" w:hAnsi="Arial" w:cs="Arial"/>
          <w:sz w:val="24"/>
          <w:szCs w:val="24"/>
        </w:rPr>
        <w:t xml:space="preserve"> </w:t>
      </w:r>
      <w:r w:rsidR="00485521">
        <w:rPr>
          <w:rFonts w:ascii="Arial" w:hAnsi="Arial" w:cs="Arial"/>
          <w:sz w:val="24"/>
          <w:szCs w:val="24"/>
        </w:rPr>
        <w:t>What the Labour government did, therefore, was advocate reforms beneficial to the UK that would in fact be</w:t>
      </w:r>
      <w:r w:rsidR="00440FEA">
        <w:rPr>
          <w:rFonts w:ascii="Arial" w:hAnsi="Arial" w:cs="Arial"/>
          <w:sz w:val="24"/>
          <w:szCs w:val="24"/>
        </w:rPr>
        <w:t>come</w:t>
      </w:r>
      <w:r w:rsidR="00485521">
        <w:rPr>
          <w:rFonts w:ascii="Arial" w:hAnsi="Arial" w:cs="Arial"/>
          <w:sz w:val="24"/>
          <w:szCs w:val="24"/>
        </w:rPr>
        <w:t xml:space="preserve"> part of </w:t>
      </w:r>
      <w:r w:rsidR="00485521">
        <w:rPr>
          <w:rFonts w:ascii="Arial" w:hAnsi="Arial" w:cs="Arial"/>
          <w:sz w:val="24"/>
          <w:szCs w:val="24"/>
        </w:rPr>
        <w:lastRenderedPageBreak/>
        <w:t>the common architecture of the EEC. Here the self-limiting narrative was that the UK never had a chance to put forward such concerns at the earlier stage when the CAP and the budget system were devised.</w:t>
      </w:r>
    </w:p>
    <w:p w:rsidR="00485521" w:rsidRDefault="00485521" w:rsidP="00485521">
      <w:pPr>
        <w:jc w:val="both"/>
        <w:rPr>
          <w:rFonts w:ascii="Arial" w:hAnsi="Arial" w:cs="Arial"/>
          <w:sz w:val="24"/>
          <w:szCs w:val="24"/>
        </w:rPr>
      </w:pPr>
      <w:r>
        <w:rPr>
          <w:rFonts w:ascii="Arial" w:hAnsi="Arial" w:cs="Arial"/>
          <w:sz w:val="24"/>
          <w:szCs w:val="24"/>
        </w:rPr>
        <w:t>Most toxic of all pre-Brexit disputes between London and Brussels was the return of the budget question less than five years after the EEC renegotiation once Margaret Thatcher came to power. The clash over reducing the UK’s contributions, which Wilson’s renegotiation fai</w:t>
      </w:r>
      <w:r w:rsidR="00672FD6">
        <w:rPr>
          <w:rFonts w:ascii="Arial" w:hAnsi="Arial" w:cs="Arial"/>
          <w:sz w:val="24"/>
          <w:szCs w:val="24"/>
        </w:rPr>
        <w:t xml:space="preserve">led to achieve, threatened to reach a level in which no move was off limits to achieve the desired outcome. There was a </w:t>
      </w:r>
      <w:r>
        <w:rPr>
          <w:rFonts w:ascii="Arial" w:hAnsi="Arial" w:cs="Arial"/>
          <w:sz w:val="24"/>
          <w:szCs w:val="24"/>
        </w:rPr>
        <w:t xml:space="preserve">national debate over whether the UK should withhold its </w:t>
      </w:r>
      <w:r w:rsidR="00672FD6">
        <w:rPr>
          <w:rFonts w:ascii="Arial" w:hAnsi="Arial" w:cs="Arial"/>
          <w:sz w:val="24"/>
          <w:szCs w:val="24"/>
        </w:rPr>
        <w:t xml:space="preserve">budget </w:t>
      </w:r>
      <w:r>
        <w:rPr>
          <w:rFonts w:ascii="Arial" w:hAnsi="Arial" w:cs="Arial"/>
          <w:sz w:val="24"/>
          <w:szCs w:val="24"/>
        </w:rPr>
        <w:t>contributions, a position supported by the anti-EEC Labour opposition</w:t>
      </w:r>
      <w:r w:rsidR="00795B45">
        <w:rPr>
          <w:rFonts w:ascii="Arial" w:hAnsi="Arial" w:cs="Arial"/>
          <w:sz w:val="24"/>
          <w:szCs w:val="24"/>
        </w:rPr>
        <w:t xml:space="preserve">. </w:t>
      </w:r>
      <w:r w:rsidR="00672FD6">
        <w:rPr>
          <w:rFonts w:ascii="Arial" w:hAnsi="Arial" w:cs="Arial"/>
          <w:sz w:val="24"/>
          <w:szCs w:val="24"/>
        </w:rPr>
        <w:t>However</w:t>
      </w:r>
      <w:r>
        <w:rPr>
          <w:rFonts w:ascii="Arial" w:hAnsi="Arial" w:cs="Arial"/>
          <w:sz w:val="24"/>
          <w:szCs w:val="24"/>
        </w:rPr>
        <w:t xml:space="preserve">, </w:t>
      </w:r>
      <w:r w:rsidR="00672FD6">
        <w:rPr>
          <w:rFonts w:ascii="Arial" w:hAnsi="Arial" w:cs="Arial"/>
          <w:sz w:val="24"/>
          <w:szCs w:val="24"/>
        </w:rPr>
        <w:t>it is a mistake to conflate the level of animosity with a willingness to reject the rules of the system</w:t>
      </w:r>
      <w:r w:rsidR="00795B45">
        <w:rPr>
          <w:rFonts w:ascii="Arial" w:hAnsi="Arial" w:cs="Arial"/>
          <w:sz w:val="24"/>
          <w:szCs w:val="24"/>
        </w:rPr>
        <w:t xml:space="preserve"> </w:t>
      </w:r>
      <w:r w:rsidR="00440FEA">
        <w:rPr>
          <w:rFonts w:ascii="Arial" w:hAnsi="Arial" w:cs="Arial"/>
          <w:sz w:val="24"/>
          <w:szCs w:val="24"/>
        </w:rPr>
        <w:t>out of hand</w:t>
      </w:r>
      <w:r w:rsidR="00672FD6">
        <w:rPr>
          <w:rFonts w:ascii="Arial" w:hAnsi="Arial" w:cs="Arial"/>
          <w:sz w:val="24"/>
          <w:szCs w:val="24"/>
        </w:rPr>
        <w:t xml:space="preserve">. Thatcher made a number of </w:t>
      </w:r>
      <w:r>
        <w:rPr>
          <w:rFonts w:ascii="Arial" w:hAnsi="Arial" w:cs="Arial"/>
          <w:sz w:val="24"/>
          <w:szCs w:val="24"/>
        </w:rPr>
        <w:t xml:space="preserve">compromises to persuade counterparts in the European Council that both her demands and methods were limited. As well as rejecting the suggestion of reneging on financial obligations, Thatcher’s government put forward proposals to relaunch the EEC by completing the single market and also found a diplomatic way to accept </w:t>
      </w:r>
      <w:r w:rsidR="00725E88">
        <w:rPr>
          <w:rFonts w:ascii="Arial" w:hAnsi="Arial" w:cs="Arial"/>
          <w:sz w:val="24"/>
          <w:szCs w:val="24"/>
        </w:rPr>
        <w:t xml:space="preserve">making progress on </w:t>
      </w:r>
      <w:r>
        <w:rPr>
          <w:rFonts w:ascii="Arial" w:hAnsi="Arial" w:cs="Arial"/>
          <w:sz w:val="24"/>
          <w:szCs w:val="24"/>
        </w:rPr>
        <w:t>the process o</w:t>
      </w:r>
      <w:r w:rsidR="00725E88">
        <w:rPr>
          <w:rFonts w:ascii="Arial" w:hAnsi="Arial" w:cs="Arial"/>
          <w:sz w:val="24"/>
          <w:szCs w:val="24"/>
        </w:rPr>
        <w:t>f establishing a European union</w:t>
      </w:r>
      <w:r>
        <w:rPr>
          <w:rFonts w:ascii="Arial" w:hAnsi="Arial" w:cs="Arial"/>
          <w:sz w:val="24"/>
          <w:szCs w:val="24"/>
        </w:rPr>
        <w:t>.</w:t>
      </w:r>
      <w:r w:rsidR="0028397E">
        <w:rPr>
          <w:rFonts w:ascii="Arial" w:hAnsi="Arial" w:cs="Arial"/>
          <w:sz w:val="24"/>
          <w:szCs w:val="24"/>
        </w:rPr>
        <w:t xml:space="preserve"> Other countries thus understood that British demands were limited and remained compatible with further integration</w:t>
      </w:r>
      <w:r w:rsidR="004A3EC3">
        <w:rPr>
          <w:rFonts w:ascii="Arial" w:hAnsi="Arial" w:cs="Arial"/>
          <w:sz w:val="24"/>
          <w:szCs w:val="24"/>
        </w:rPr>
        <w:t>,</w:t>
      </w:r>
      <w:r w:rsidR="0028397E">
        <w:rPr>
          <w:rFonts w:ascii="Arial" w:hAnsi="Arial" w:cs="Arial"/>
          <w:sz w:val="24"/>
          <w:szCs w:val="24"/>
        </w:rPr>
        <w:t xml:space="preserve"> economic and political.</w:t>
      </w:r>
    </w:p>
    <w:p w:rsidR="00E829BA" w:rsidRDefault="00E76E30" w:rsidP="002C5636">
      <w:pPr>
        <w:jc w:val="both"/>
        <w:rPr>
          <w:rFonts w:ascii="Arial" w:hAnsi="Arial" w:cs="Arial"/>
          <w:sz w:val="24"/>
          <w:szCs w:val="24"/>
        </w:rPr>
      </w:pPr>
      <w:r w:rsidRPr="00E829BA">
        <w:rPr>
          <w:rFonts w:ascii="Arial" w:hAnsi="Arial" w:cs="Arial"/>
          <w:sz w:val="24"/>
          <w:szCs w:val="24"/>
        </w:rPr>
        <w:t xml:space="preserve">David Cameron’s pre-referendum reset of EU-UK relations also conformed to the model of a self-limiting exercise in what to negotiate and what to avoid asking for. </w:t>
      </w:r>
      <w:r w:rsidR="00E829BA" w:rsidRPr="00E829BA">
        <w:rPr>
          <w:rFonts w:ascii="Arial" w:hAnsi="Arial" w:cs="Arial"/>
          <w:sz w:val="24"/>
          <w:szCs w:val="24"/>
        </w:rPr>
        <w:t xml:space="preserve">His plan was to achieve changes that would align with British preferences and so provide a springboard </w:t>
      </w:r>
      <w:r w:rsidR="00A81974" w:rsidRPr="00E829BA">
        <w:rPr>
          <w:rFonts w:ascii="Arial" w:hAnsi="Arial" w:cs="Arial"/>
          <w:sz w:val="24"/>
          <w:szCs w:val="24"/>
        </w:rPr>
        <w:t xml:space="preserve">for a smooth and successful referendum campaign. </w:t>
      </w:r>
      <w:r w:rsidR="00E829BA" w:rsidRPr="00E829BA">
        <w:rPr>
          <w:rFonts w:ascii="Arial" w:hAnsi="Arial" w:cs="Arial"/>
          <w:sz w:val="24"/>
          <w:szCs w:val="24"/>
        </w:rPr>
        <w:t>Opinion polls showed a clear preference among voters to stay in a reformed EU</w:t>
      </w:r>
      <w:r w:rsidR="00E829BA">
        <w:rPr>
          <w:rFonts w:ascii="Arial" w:hAnsi="Arial" w:cs="Arial"/>
          <w:sz w:val="24"/>
          <w:szCs w:val="24"/>
        </w:rPr>
        <w:t>, which was also the senti</w:t>
      </w:r>
      <w:r w:rsidR="00D42A6A">
        <w:rPr>
          <w:rFonts w:ascii="Arial" w:hAnsi="Arial" w:cs="Arial"/>
          <w:sz w:val="24"/>
          <w:szCs w:val="24"/>
        </w:rPr>
        <w:t xml:space="preserve">ment amongst his Cabinet. As in 1975, then, the dilemma for the UK government was how far to push for EU reform as opposed to </w:t>
      </w:r>
      <w:r w:rsidR="00440FEA">
        <w:rPr>
          <w:rFonts w:ascii="Arial" w:hAnsi="Arial" w:cs="Arial"/>
          <w:sz w:val="24"/>
          <w:szCs w:val="24"/>
        </w:rPr>
        <w:t xml:space="preserve">seeking </w:t>
      </w:r>
      <w:r w:rsidR="00D42A6A">
        <w:rPr>
          <w:rFonts w:ascii="Arial" w:hAnsi="Arial" w:cs="Arial"/>
          <w:sz w:val="24"/>
          <w:szCs w:val="24"/>
        </w:rPr>
        <w:t>unilateral guarantees for British interests.</w:t>
      </w:r>
    </w:p>
    <w:p w:rsidR="008D2FCB" w:rsidRPr="00C83F36" w:rsidRDefault="00D42A6A" w:rsidP="00C83F36">
      <w:pPr>
        <w:jc w:val="both"/>
        <w:rPr>
          <w:rFonts w:ascii="Arial" w:hAnsi="Arial" w:cs="Arial"/>
          <w:sz w:val="24"/>
          <w:szCs w:val="24"/>
        </w:rPr>
      </w:pPr>
      <w:r>
        <w:rPr>
          <w:rFonts w:ascii="Arial" w:hAnsi="Arial" w:cs="Arial"/>
          <w:sz w:val="24"/>
          <w:szCs w:val="24"/>
        </w:rPr>
        <w:t xml:space="preserve">Cameron sought to triangulate between a unilateral settlement favouring the UK and changes in how the EU system in general worked. </w:t>
      </w:r>
      <w:r w:rsidR="00B64DD6">
        <w:rPr>
          <w:rFonts w:ascii="Arial" w:hAnsi="Arial" w:cs="Arial"/>
          <w:sz w:val="24"/>
          <w:szCs w:val="24"/>
        </w:rPr>
        <w:t xml:space="preserve">Before </w:t>
      </w:r>
      <w:r w:rsidR="005116E0">
        <w:rPr>
          <w:rFonts w:ascii="Arial" w:hAnsi="Arial" w:cs="Arial"/>
          <w:sz w:val="24"/>
          <w:szCs w:val="24"/>
        </w:rPr>
        <w:t>making</w:t>
      </w:r>
      <w:r w:rsidR="00B64DD6">
        <w:rPr>
          <w:rFonts w:ascii="Arial" w:hAnsi="Arial" w:cs="Arial"/>
          <w:sz w:val="24"/>
          <w:szCs w:val="24"/>
        </w:rPr>
        <w:t xml:space="preserve"> his keynote speech announcing his plan to hold a referendum, he met with his key advisors to prepare what other EU leaders would understand as a “sincere and credible contribution to the European debate”</w:t>
      </w:r>
      <w:r w:rsidR="00D94B08">
        <w:rPr>
          <w:rStyle w:val="EndnoteReference"/>
          <w:rFonts w:ascii="Arial" w:hAnsi="Arial" w:cs="Arial"/>
          <w:sz w:val="24"/>
          <w:szCs w:val="24"/>
        </w:rPr>
        <w:endnoteReference w:id="9"/>
      </w:r>
      <w:r w:rsidR="00B64DD6">
        <w:rPr>
          <w:rFonts w:ascii="Arial" w:hAnsi="Arial" w:cs="Arial"/>
          <w:sz w:val="24"/>
          <w:szCs w:val="24"/>
        </w:rPr>
        <w:t xml:space="preserve"> </w:t>
      </w:r>
      <w:r>
        <w:rPr>
          <w:rFonts w:ascii="Arial" w:hAnsi="Arial" w:cs="Arial"/>
          <w:sz w:val="24"/>
          <w:szCs w:val="24"/>
        </w:rPr>
        <w:t xml:space="preserve">As </w:t>
      </w:r>
      <w:r w:rsidR="00B64DD6">
        <w:rPr>
          <w:rFonts w:ascii="Arial" w:hAnsi="Arial" w:cs="Arial"/>
          <w:sz w:val="24"/>
          <w:szCs w:val="24"/>
        </w:rPr>
        <w:t>Cameron</w:t>
      </w:r>
      <w:r>
        <w:rPr>
          <w:rFonts w:ascii="Arial" w:hAnsi="Arial" w:cs="Arial"/>
          <w:sz w:val="24"/>
          <w:szCs w:val="24"/>
        </w:rPr>
        <w:t xml:space="preserve"> himself </w:t>
      </w:r>
      <w:r w:rsidR="00B64DD6">
        <w:rPr>
          <w:rFonts w:ascii="Arial" w:hAnsi="Arial" w:cs="Arial"/>
          <w:sz w:val="24"/>
          <w:szCs w:val="24"/>
        </w:rPr>
        <w:t xml:space="preserve">later </w:t>
      </w:r>
      <w:r>
        <w:rPr>
          <w:rFonts w:ascii="Arial" w:hAnsi="Arial" w:cs="Arial"/>
          <w:sz w:val="24"/>
          <w:szCs w:val="24"/>
        </w:rPr>
        <w:t>put it in a newspaper article, ‘if there is no appetite for a new treaty for us all then of course Britain should be ready to address the changes we need in a negotiation with our European partners’, while noting that a successful renegotiation ‘will have transformed the European Union and Britain’s relationship with it’.</w:t>
      </w:r>
      <w:r w:rsidR="00D94B08">
        <w:rPr>
          <w:rStyle w:val="EndnoteReference"/>
          <w:rFonts w:ascii="Arial" w:hAnsi="Arial" w:cs="Arial"/>
          <w:sz w:val="24"/>
          <w:szCs w:val="24"/>
        </w:rPr>
        <w:endnoteReference w:id="10"/>
      </w:r>
      <w:r>
        <w:rPr>
          <w:rFonts w:ascii="Arial" w:hAnsi="Arial" w:cs="Arial"/>
          <w:sz w:val="24"/>
          <w:szCs w:val="24"/>
        </w:rPr>
        <w:t xml:space="preserve"> </w:t>
      </w:r>
      <w:r w:rsidR="00210711">
        <w:rPr>
          <w:rFonts w:ascii="Arial" w:hAnsi="Arial" w:cs="Arial"/>
          <w:sz w:val="24"/>
          <w:szCs w:val="24"/>
        </w:rPr>
        <w:t xml:space="preserve">From the outset, his proposals were more measured </w:t>
      </w:r>
      <w:r w:rsidR="00B64DD6">
        <w:rPr>
          <w:rFonts w:ascii="Arial" w:hAnsi="Arial" w:cs="Arial"/>
          <w:sz w:val="24"/>
          <w:szCs w:val="24"/>
        </w:rPr>
        <w:t xml:space="preserve">than </w:t>
      </w:r>
      <w:r w:rsidR="00210711">
        <w:rPr>
          <w:rFonts w:ascii="Arial" w:hAnsi="Arial" w:cs="Arial"/>
          <w:sz w:val="24"/>
          <w:szCs w:val="24"/>
        </w:rPr>
        <w:t>those stemming from his Eurosceptic backbenchers, 95 of whom wrote</w:t>
      </w:r>
      <w:r>
        <w:rPr>
          <w:rFonts w:ascii="Arial" w:hAnsi="Arial" w:cs="Arial"/>
          <w:sz w:val="24"/>
          <w:szCs w:val="24"/>
        </w:rPr>
        <w:t xml:space="preserve"> to the Prime Minister </w:t>
      </w:r>
      <w:r w:rsidR="00210711">
        <w:rPr>
          <w:rFonts w:ascii="Arial" w:hAnsi="Arial" w:cs="Arial"/>
          <w:sz w:val="24"/>
          <w:szCs w:val="24"/>
        </w:rPr>
        <w:t xml:space="preserve">in 2013 </w:t>
      </w:r>
      <w:r>
        <w:rPr>
          <w:rFonts w:ascii="Arial" w:hAnsi="Arial" w:cs="Arial"/>
          <w:sz w:val="24"/>
          <w:szCs w:val="24"/>
        </w:rPr>
        <w:t>asking for the introduction of a unilateral parliamentary veto (incompatible with European law) over EU legislation</w:t>
      </w:r>
      <w:r w:rsidR="00210711">
        <w:rPr>
          <w:rFonts w:ascii="Arial" w:hAnsi="Arial" w:cs="Arial"/>
          <w:sz w:val="24"/>
          <w:szCs w:val="24"/>
        </w:rPr>
        <w:t>. The other Eurosceptic demand</w:t>
      </w:r>
      <w:r w:rsidR="008D2FCB">
        <w:rPr>
          <w:rFonts w:ascii="Arial" w:hAnsi="Arial" w:cs="Arial"/>
          <w:sz w:val="24"/>
          <w:szCs w:val="24"/>
        </w:rPr>
        <w:t>s</w:t>
      </w:r>
      <w:r w:rsidR="00210711">
        <w:rPr>
          <w:rFonts w:ascii="Arial" w:hAnsi="Arial" w:cs="Arial"/>
          <w:sz w:val="24"/>
          <w:szCs w:val="24"/>
        </w:rPr>
        <w:t xml:space="preserve"> </w:t>
      </w:r>
      <w:r w:rsidR="00210711">
        <w:rPr>
          <w:rFonts w:ascii="Arial" w:hAnsi="Arial" w:cs="Arial"/>
          <w:sz w:val="24"/>
          <w:szCs w:val="24"/>
        </w:rPr>
        <w:lastRenderedPageBreak/>
        <w:t xml:space="preserve">incompatible with the existing legal framework </w:t>
      </w:r>
      <w:r w:rsidR="00440FEA">
        <w:rPr>
          <w:rFonts w:ascii="Arial" w:hAnsi="Arial" w:cs="Arial"/>
          <w:sz w:val="24"/>
          <w:szCs w:val="24"/>
        </w:rPr>
        <w:t xml:space="preserve">were </w:t>
      </w:r>
      <w:r w:rsidR="00210711">
        <w:rPr>
          <w:rFonts w:ascii="Arial" w:hAnsi="Arial" w:cs="Arial"/>
          <w:sz w:val="24"/>
          <w:szCs w:val="24"/>
        </w:rPr>
        <w:t>a quantitat</w:t>
      </w:r>
      <w:r w:rsidR="008D2FCB">
        <w:rPr>
          <w:rFonts w:ascii="Arial" w:hAnsi="Arial" w:cs="Arial"/>
          <w:sz w:val="24"/>
          <w:szCs w:val="24"/>
        </w:rPr>
        <w:t>ive restriction on EU migration alongside repatriation of certain policy competences.</w:t>
      </w:r>
      <w:r w:rsidR="00C83F36">
        <w:rPr>
          <w:rFonts w:ascii="Arial" w:hAnsi="Arial" w:cs="Arial"/>
          <w:sz w:val="24"/>
          <w:szCs w:val="24"/>
        </w:rPr>
        <w:t xml:space="preserve"> </w:t>
      </w:r>
      <w:r w:rsidR="00C83F36" w:rsidRPr="00C83F36">
        <w:rPr>
          <w:rFonts w:ascii="Arial" w:hAnsi="Arial" w:cs="Arial"/>
          <w:sz w:val="24"/>
          <w:szCs w:val="24"/>
        </w:rPr>
        <w:t xml:space="preserve">Cameron </w:t>
      </w:r>
      <w:r w:rsidR="00C83F36">
        <w:rPr>
          <w:rFonts w:ascii="Arial" w:hAnsi="Arial" w:cs="Arial"/>
          <w:sz w:val="24"/>
          <w:szCs w:val="24"/>
        </w:rPr>
        <w:t xml:space="preserve">nevertheless </w:t>
      </w:r>
      <w:r w:rsidR="00C83F36" w:rsidRPr="00C83F36">
        <w:rPr>
          <w:rFonts w:ascii="Arial" w:hAnsi="Arial" w:cs="Arial"/>
          <w:sz w:val="24"/>
          <w:szCs w:val="24"/>
        </w:rPr>
        <w:t xml:space="preserve">forbore from making unilateral demands of the type suggested by the hard Eurosceptics that were increasingly prevalent in his party. </w:t>
      </w:r>
    </w:p>
    <w:p w:rsidR="00D42A6A" w:rsidRPr="00D94B08" w:rsidRDefault="00701E5E" w:rsidP="00170578">
      <w:pPr>
        <w:jc w:val="both"/>
        <w:rPr>
          <w:rFonts w:ascii="Arial" w:hAnsi="Arial" w:cs="Arial"/>
          <w:color w:val="000000"/>
          <w:sz w:val="24"/>
          <w:szCs w:val="24"/>
        </w:rPr>
      </w:pPr>
      <w:r w:rsidRPr="0081128E">
        <w:rPr>
          <w:rFonts w:ascii="Arial" w:hAnsi="Arial" w:cs="Arial"/>
          <w:color w:val="000000"/>
          <w:sz w:val="24"/>
          <w:szCs w:val="24"/>
        </w:rPr>
        <w:t>Cameron’s renegotiation in reality did very little to extend</w:t>
      </w:r>
      <w:r w:rsidR="0081128E" w:rsidRPr="0081128E">
        <w:rPr>
          <w:rFonts w:ascii="Arial" w:hAnsi="Arial" w:cs="Arial"/>
          <w:color w:val="000000"/>
          <w:sz w:val="24"/>
          <w:szCs w:val="24"/>
        </w:rPr>
        <w:t xml:space="preserve"> </w:t>
      </w:r>
      <w:r w:rsidRPr="0081128E">
        <w:rPr>
          <w:rFonts w:ascii="Arial" w:hAnsi="Arial" w:cs="Arial"/>
          <w:color w:val="000000"/>
          <w:sz w:val="24"/>
          <w:szCs w:val="24"/>
        </w:rPr>
        <w:t xml:space="preserve">the </w:t>
      </w:r>
      <w:r w:rsidR="0081128E">
        <w:rPr>
          <w:rFonts w:ascii="Arial" w:hAnsi="Arial" w:cs="Arial"/>
          <w:color w:val="000000"/>
          <w:sz w:val="24"/>
          <w:szCs w:val="24"/>
        </w:rPr>
        <w:t>differentiation that already marked out the UK from its peers</w:t>
      </w:r>
      <w:r w:rsidR="00CD752D">
        <w:rPr>
          <w:rFonts w:ascii="Arial" w:hAnsi="Arial" w:cs="Arial"/>
          <w:color w:val="000000"/>
          <w:sz w:val="24"/>
          <w:szCs w:val="24"/>
        </w:rPr>
        <w:t>; there was no revolutionary intention</w:t>
      </w:r>
      <w:r w:rsidRPr="0081128E">
        <w:rPr>
          <w:rFonts w:ascii="Arial" w:hAnsi="Arial" w:cs="Arial"/>
          <w:color w:val="000000"/>
          <w:sz w:val="24"/>
          <w:szCs w:val="24"/>
        </w:rPr>
        <w:t xml:space="preserve">. </w:t>
      </w:r>
      <w:r w:rsidR="0081128E" w:rsidRPr="00C83F36">
        <w:rPr>
          <w:rFonts w:ascii="Arial" w:hAnsi="Arial" w:cs="Arial"/>
          <w:sz w:val="24"/>
          <w:szCs w:val="24"/>
        </w:rPr>
        <w:t>Instead of rolling back the principle of free movement of EU citizens or EU legal supremacy, the UK government had to be content with technical tweaks of welfare provisions for migrants and some emollient pledges for how the EU would be run in the future.</w:t>
      </w:r>
      <w:r w:rsidR="0081128E">
        <w:rPr>
          <w:rFonts w:ascii="Arial" w:hAnsi="Arial" w:cs="Arial"/>
          <w:sz w:val="24"/>
          <w:szCs w:val="24"/>
        </w:rPr>
        <w:t xml:space="preserve"> </w:t>
      </w:r>
      <w:r w:rsidRPr="0081128E">
        <w:rPr>
          <w:rFonts w:ascii="Arial" w:hAnsi="Arial" w:cs="Arial"/>
          <w:color w:val="000000"/>
          <w:sz w:val="24"/>
          <w:szCs w:val="24"/>
        </w:rPr>
        <w:t>The</w:t>
      </w:r>
      <w:r w:rsidR="0081128E" w:rsidRPr="0081128E">
        <w:rPr>
          <w:rFonts w:ascii="Arial" w:hAnsi="Arial" w:cs="Arial"/>
          <w:color w:val="000000"/>
          <w:sz w:val="24"/>
          <w:szCs w:val="24"/>
        </w:rPr>
        <w:t xml:space="preserve"> only UK-specific measure contained in the European Council’s February conclusions was a promise t</w:t>
      </w:r>
      <w:r w:rsidRPr="0081128E">
        <w:rPr>
          <w:rFonts w:ascii="Arial" w:hAnsi="Arial" w:cs="Arial"/>
          <w:color w:val="000000"/>
          <w:sz w:val="24"/>
          <w:szCs w:val="24"/>
        </w:rPr>
        <w:t>o change the wording of the EU treaties at</w:t>
      </w:r>
      <w:r w:rsidR="0081128E" w:rsidRPr="0081128E">
        <w:rPr>
          <w:rFonts w:ascii="Arial" w:hAnsi="Arial" w:cs="Arial"/>
          <w:color w:val="000000"/>
          <w:sz w:val="24"/>
          <w:szCs w:val="24"/>
        </w:rPr>
        <w:t xml:space="preserve"> </w:t>
      </w:r>
      <w:r w:rsidRPr="0081128E">
        <w:rPr>
          <w:rFonts w:ascii="Arial" w:hAnsi="Arial" w:cs="Arial"/>
          <w:color w:val="000000"/>
          <w:sz w:val="24"/>
          <w:szCs w:val="24"/>
        </w:rPr>
        <w:t xml:space="preserve">an unspecified point in the future to make it clear that </w:t>
      </w:r>
      <w:r w:rsidR="00D94B08">
        <w:rPr>
          <w:rFonts w:ascii="Arial" w:hAnsi="Arial" w:cs="Arial"/>
          <w:color w:val="000000"/>
          <w:sz w:val="24"/>
          <w:szCs w:val="24"/>
        </w:rPr>
        <w:t>r</w:t>
      </w:r>
      <w:r w:rsidRPr="0081128E">
        <w:rPr>
          <w:rFonts w:ascii="Arial" w:hAnsi="Arial" w:cs="Arial"/>
          <w:color w:val="000000"/>
          <w:sz w:val="24"/>
          <w:szCs w:val="24"/>
        </w:rPr>
        <w:t xml:space="preserve">eferences to ever closer union </w:t>
      </w:r>
      <w:r w:rsidR="00D94B08">
        <w:rPr>
          <w:rFonts w:ascii="Arial" w:hAnsi="Arial" w:cs="Arial"/>
          <w:color w:val="000000"/>
          <w:sz w:val="24"/>
          <w:szCs w:val="24"/>
        </w:rPr>
        <w:t xml:space="preserve">do not apply to the UK. </w:t>
      </w:r>
      <w:r w:rsidR="00170578">
        <w:rPr>
          <w:rFonts w:ascii="Arial" w:hAnsi="Arial" w:cs="Arial"/>
          <w:sz w:val="24"/>
          <w:szCs w:val="24"/>
        </w:rPr>
        <w:t>T</w:t>
      </w:r>
      <w:r w:rsidR="00170578" w:rsidRPr="0081128E">
        <w:rPr>
          <w:rFonts w:ascii="Arial" w:hAnsi="Arial" w:cs="Arial"/>
          <w:sz w:val="24"/>
          <w:szCs w:val="24"/>
        </w:rPr>
        <w:t xml:space="preserve">here were plans for a new EU law allowing states facing a surge in immigration to restrict access to welfare for recent EU migrants, and another curbing the right to claim child benefit for children living abroad. In addition, EU leaders accepted the principle that if a majority of national parliaments object to a proposed EU law, the Council </w:t>
      </w:r>
      <w:r w:rsidR="00BA6D2B">
        <w:rPr>
          <w:rFonts w:ascii="Arial" w:hAnsi="Arial" w:cs="Arial"/>
          <w:sz w:val="24"/>
          <w:szCs w:val="24"/>
        </w:rPr>
        <w:t>would</w:t>
      </w:r>
      <w:r w:rsidR="00170578" w:rsidRPr="0081128E">
        <w:rPr>
          <w:rFonts w:ascii="Arial" w:hAnsi="Arial" w:cs="Arial"/>
          <w:sz w:val="24"/>
          <w:szCs w:val="24"/>
        </w:rPr>
        <w:t xml:space="preserve"> refrain from passing it, the so-called “red card” idea. </w:t>
      </w:r>
      <w:r w:rsidR="00170578">
        <w:rPr>
          <w:rFonts w:ascii="Arial" w:hAnsi="Arial" w:cs="Arial"/>
          <w:sz w:val="24"/>
          <w:szCs w:val="24"/>
        </w:rPr>
        <w:t>Hence t</w:t>
      </w:r>
      <w:r w:rsidR="0081128E">
        <w:rPr>
          <w:rFonts w:ascii="Arial" w:hAnsi="Arial" w:cs="Arial"/>
          <w:color w:val="000000"/>
          <w:sz w:val="24"/>
          <w:szCs w:val="24"/>
        </w:rPr>
        <w:t>he more substantial</w:t>
      </w:r>
      <w:r w:rsidR="00170578">
        <w:rPr>
          <w:rFonts w:ascii="Arial" w:hAnsi="Arial" w:cs="Arial"/>
          <w:color w:val="000000"/>
          <w:sz w:val="24"/>
          <w:szCs w:val="24"/>
        </w:rPr>
        <w:t xml:space="preserve"> features of the agreement proved that the UK approached the renegotiation</w:t>
      </w:r>
      <w:r w:rsidR="00A768F8">
        <w:rPr>
          <w:rFonts w:ascii="Arial" w:hAnsi="Arial" w:cs="Arial"/>
          <w:color w:val="000000"/>
          <w:sz w:val="24"/>
          <w:szCs w:val="24"/>
        </w:rPr>
        <w:t xml:space="preserve"> – as it did with earlier instances of differentiation – </w:t>
      </w:r>
      <w:r w:rsidR="00170578">
        <w:rPr>
          <w:rFonts w:ascii="Arial" w:hAnsi="Arial" w:cs="Arial"/>
          <w:color w:val="000000"/>
          <w:sz w:val="24"/>
          <w:szCs w:val="24"/>
        </w:rPr>
        <w:t xml:space="preserve">with a view to generating consensus without calling into question the </w:t>
      </w:r>
      <w:r w:rsidR="00BA6D2B">
        <w:rPr>
          <w:rFonts w:ascii="Arial" w:hAnsi="Arial" w:cs="Arial"/>
          <w:color w:val="000000"/>
          <w:sz w:val="24"/>
          <w:szCs w:val="24"/>
        </w:rPr>
        <w:t>uniformity</w:t>
      </w:r>
      <w:r w:rsidR="00170578">
        <w:rPr>
          <w:rFonts w:ascii="Arial" w:hAnsi="Arial" w:cs="Arial"/>
          <w:color w:val="000000"/>
          <w:sz w:val="24"/>
          <w:szCs w:val="24"/>
        </w:rPr>
        <w:t xml:space="preserve"> of the single market or subsequent moves towards political union.</w:t>
      </w:r>
    </w:p>
    <w:p w:rsidR="00C7705A" w:rsidRPr="00BA6D2B" w:rsidRDefault="00BA6D2B" w:rsidP="002C5636">
      <w:pPr>
        <w:jc w:val="both"/>
        <w:rPr>
          <w:rFonts w:ascii="Arial" w:hAnsi="Arial" w:cs="Arial"/>
          <w:b/>
          <w:sz w:val="24"/>
          <w:szCs w:val="24"/>
        </w:rPr>
      </w:pPr>
      <w:r w:rsidRPr="00BA6D2B">
        <w:rPr>
          <w:rFonts w:ascii="Arial" w:hAnsi="Arial" w:cs="Arial"/>
          <w:b/>
          <w:sz w:val="24"/>
          <w:szCs w:val="24"/>
        </w:rPr>
        <w:t>Brexit</w:t>
      </w:r>
      <w:r w:rsidR="00AE4309">
        <w:rPr>
          <w:rFonts w:ascii="Arial" w:hAnsi="Arial" w:cs="Arial"/>
          <w:b/>
          <w:sz w:val="24"/>
          <w:szCs w:val="24"/>
        </w:rPr>
        <w:t xml:space="preserve">: Negotiating Disintegration rather than </w:t>
      </w:r>
      <w:r w:rsidRPr="00BA6D2B">
        <w:rPr>
          <w:rFonts w:ascii="Arial" w:hAnsi="Arial" w:cs="Arial"/>
          <w:b/>
          <w:sz w:val="24"/>
          <w:szCs w:val="24"/>
        </w:rPr>
        <w:t>Differentiation</w:t>
      </w:r>
    </w:p>
    <w:p w:rsidR="00792A0D" w:rsidRDefault="00786219" w:rsidP="002C5636">
      <w:pPr>
        <w:jc w:val="both"/>
        <w:rPr>
          <w:rFonts w:ascii="Arial" w:hAnsi="Arial" w:cs="Arial"/>
          <w:sz w:val="24"/>
          <w:szCs w:val="24"/>
        </w:rPr>
      </w:pPr>
      <w:r>
        <w:rPr>
          <w:rFonts w:ascii="Arial" w:hAnsi="Arial" w:cs="Arial"/>
          <w:sz w:val="24"/>
          <w:szCs w:val="24"/>
        </w:rPr>
        <w:t>A</w:t>
      </w:r>
      <w:r w:rsidR="00970DC8" w:rsidRPr="00103661">
        <w:rPr>
          <w:rFonts w:ascii="Arial" w:hAnsi="Arial" w:cs="Arial"/>
          <w:sz w:val="24"/>
          <w:szCs w:val="24"/>
        </w:rPr>
        <w:t>s shown above,</w:t>
      </w:r>
      <w:r w:rsidR="00985D2B" w:rsidRPr="00103661">
        <w:rPr>
          <w:rFonts w:ascii="Arial" w:hAnsi="Arial" w:cs="Arial"/>
          <w:sz w:val="24"/>
          <w:szCs w:val="24"/>
        </w:rPr>
        <w:t xml:space="preserve"> the previous episodes </w:t>
      </w:r>
      <w:r w:rsidR="00970DC8" w:rsidRPr="00103661">
        <w:rPr>
          <w:rFonts w:ascii="Arial" w:hAnsi="Arial" w:cs="Arial"/>
          <w:sz w:val="24"/>
          <w:szCs w:val="24"/>
        </w:rPr>
        <w:t>in which the UK</w:t>
      </w:r>
      <w:r w:rsidR="00985D2B" w:rsidRPr="00103661">
        <w:rPr>
          <w:rFonts w:ascii="Arial" w:hAnsi="Arial" w:cs="Arial"/>
          <w:sz w:val="24"/>
          <w:szCs w:val="24"/>
        </w:rPr>
        <w:t xml:space="preserve"> contest</w:t>
      </w:r>
      <w:r w:rsidR="00970DC8" w:rsidRPr="00103661">
        <w:rPr>
          <w:rFonts w:ascii="Arial" w:hAnsi="Arial" w:cs="Arial"/>
          <w:sz w:val="24"/>
          <w:szCs w:val="24"/>
        </w:rPr>
        <w:t>ed</w:t>
      </w:r>
      <w:r w:rsidR="00985D2B" w:rsidRPr="00103661">
        <w:rPr>
          <w:rFonts w:ascii="Arial" w:hAnsi="Arial" w:cs="Arial"/>
          <w:sz w:val="24"/>
          <w:szCs w:val="24"/>
        </w:rPr>
        <w:t xml:space="preserve"> integration for the purposes of differentiation did not </w:t>
      </w:r>
      <w:r w:rsidR="00962E56" w:rsidRPr="00103661">
        <w:rPr>
          <w:rFonts w:ascii="Arial" w:hAnsi="Arial" w:cs="Arial"/>
          <w:sz w:val="24"/>
          <w:szCs w:val="24"/>
        </w:rPr>
        <w:t xml:space="preserve">entail </w:t>
      </w:r>
      <w:r w:rsidR="00985D2B" w:rsidRPr="00103661">
        <w:rPr>
          <w:rFonts w:ascii="Arial" w:hAnsi="Arial" w:cs="Arial"/>
          <w:sz w:val="24"/>
          <w:szCs w:val="24"/>
        </w:rPr>
        <w:t>reject</w:t>
      </w:r>
      <w:r w:rsidR="00962E56" w:rsidRPr="00103661">
        <w:rPr>
          <w:rFonts w:ascii="Arial" w:hAnsi="Arial" w:cs="Arial"/>
          <w:sz w:val="24"/>
          <w:szCs w:val="24"/>
        </w:rPr>
        <w:t>ing</w:t>
      </w:r>
      <w:r w:rsidR="00985D2B" w:rsidRPr="00103661">
        <w:rPr>
          <w:rFonts w:ascii="Arial" w:hAnsi="Arial" w:cs="Arial"/>
          <w:sz w:val="24"/>
          <w:szCs w:val="24"/>
        </w:rPr>
        <w:t xml:space="preserve"> the legitimacy of participating in </w:t>
      </w:r>
      <w:r w:rsidR="00962E56" w:rsidRPr="00103661">
        <w:rPr>
          <w:rFonts w:ascii="Arial" w:hAnsi="Arial" w:cs="Arial"/>
          <w:sz w:val="24"/>
          <w:szCs w:val="24"/>
        </w:rPr>
        <w:t>European integration</w:t>
      </w:r>
      <w:r w:rsidR="00792A0D">
        <w:rPr>
          <w:rFonts w:ascii="Arial" w:hAnsi="Arial" w:cs="Arial"/>
          <w:sz w:val="24"/>
          <w:szCs w:val="24"/>
        </w:rPr>
        <w:t xml:space="preserve"> and its core principles</w:t>
      </w:r>
      <w:r w:rsidR="00985D2B" w:rsidRPr="00103661">
        <w:rPr>
          <w:rFonts w:ascii="Arial" w:hAnsi="Arial" w:cs="Arial"/>
          <w:sz w:val="24"/>
          <w:szCs w:val="24"/>
        </w:rPr>
        <w:t xml:space="preserve">. </w:t>
      </w:r>
      <w:r w:rsidR="004064A8">
        <w:rPr>
          <w:rFonts w:ascii="Arial" w:hAnsi="Arial" w:cs="Arial"/>
          <w:sz w:val="24"/>
          <w:szCs w:val="24"/>
        </w:rPr>
        <w:t xml:space="preserve">Equally, non-EU states that </w:t>
      </w:r>
      <w:r w:rsidR="004064A8" w:rsidRPr="00C954D7">
        <w:rPr>
          <w:rFonts w:ascii="Arial" w:hAnsi="Arial" w:cs="Arial"/>
          <w:sz w:val="24"/>
          <w:szCs w:val="24"/>
        </w:rPr>
        <w:t xml:space="preserve">participate </w:t>
      </w:r>
      <w:r w:rsidR="004064A8">
        <w:rPr>
          <w:rFonts w:ascii="Arial" w:hAnsi="Arial" w:cs="Arial"/>
          <w:sz w:val="24"/>
          <w:szCs w:val="24"/>
        </w:rPr>
        <w:t xml:space="preserve">formally </w:t>
      </w:r>
      <w:r w:rsidR="004064A8" w:rsidRPr="00C954D7">
        <w:rPr>
          <w:rFonts w:ascii="Arial" w:hAnsi="Arial" w:cs="Arial"/>
          <w:sz w:val="24"/>
          <w:szCs w:val="24"/>
        </w:rPr>
        <w:t>in selected tranches of integration (whether the E</w:t>
      </w:r>
      <w:r w:rsidR="004064A8">
        <w:rPr>
          <w:rFonts w:ascii="Arial" w:hAnsi="Arial" w:cs="Arial"/>
          <w:sz w:val="24"/>
          <w:szCs w:val="24"/>
        </w:rPr>
        <w:t xml:space="preserve">uropean </w:t>
      </w:r>
      <w:r w:rsidR="004064A8" w:rsidRPr="00C954D7">
        <w:rPr>
          <w:rFonts w:ascii="Arial" w:hAnsi="Arial" w:cs="Arial"/>
          <w:sz w:val="24"/>
          <w:szCs w:val="24"/>
        </w:rPr>
        <w:t>E</w:t>
      </w:r>
      <w:r w:rsidR="004064A8">
        <w:rPr>
          <w:rFonts w:ascii="Arial" w:hAnsi="Arial" w:cs="Arial"/>
          <w:sz w:val="24"/>
          <w:szCs w:val="24"/>
        </w:rPr>
        <w:t xml:space="preserve">conomic </w:t>
      </w:r>
      <w:r w:rsidR="004064A8" w:rsidRPr="00C954D7">
        <w:rPr>
          <w:rFonts w:ascii="Arial" w:hAnsi="Arial" w:cs="Arial"/>
          <w:sz w:val="24"/>
          <w:szCs w:val="24"/>
        </w:rPr>
        <w:t>A</w:t>
      </w:r>
      <w:r w:rsidR="004064A8">
        <w:rPr>
          <w:rFonts w:ascii="Arial" w:hAnsi="Arial" w:cs="Arial"/>
          <w:sz w:val="24"/>
          <w:szCs w:val="24"/>
        </w:rPr>
        <w:t>rea (EEA)</w:t>
      </w:r>
      <w:r w:rsidR="004064A8" w:rsidRPr="00C954D7">
        <w:rPr>
          <w:rFonts w:ascii="Arial" w:hAnsi="Arial" w:cs="Arial"/>
          <w:sz w:val="24"/>
          <w:szCs w:val="24"/>
        </w:rPr>
        <w:t xml:space="preserve"> for Iceland or Norway, or </w:t>
      </w:r>
      <w:r w:rsidR="004064A8">
        <w:rPr>
          <w:rFonts w:ascii="Arial" w:hAnsi="Arial" w:cs="Arial"/>
          <w:sz w:val="24"/>
          <w:szCs w:val="24"/>
        </w:rPr>
        <w:t>those with Association Agreements</w:t>
      </w:r>
      <w:r w:rsidR="004064A8" w:rsidRPr="00C954D7">
        <w:rPr>
          <w:rFonts w:ascii="Arial" w:hAnsi="Arial" w:cs="Arial"/>
          <w:sz w:val="24"/>
          <w:szCs w:val="24"/>
        </w:rPr>
        <w:t xml:space="preserve"> as a pathway to eventual membership itself)</w:t>
      </w:r>
      <w:r w:rsidR="004064A8">
        <w:rPr>
          <w:rFonts w:ascii="Arial" w:hAnsi="Arial" w:cs="Arial"/>
          <w:sz w:val="24"/>
          <w:szCs w:val="24"/>
        </w:rPr>
        <w:t xml:space="preserve"> do so on the basis that </w:t>
      </w:r>
      <w:r w:rsidR="004064A8" w:rsidRPr="00C954D7">
        <w:rPr>
          <w:rFonts w:ascii="Arial" w:hAnsi="Arial" w:cs="Arial"/>
          <w:sz w:val="24"/>
          <w:szCs w:val="24"/>
        </w:rPr>
        <w:t>pooling sovereignty is the best response to interdependence</w:t>
      </w:r>
      <w:r w:rsidR="004064A8">
        <w:rPr>
          <w:rFonts w:ascii="Arial" w:hAnsi="Arial" w:cs="Arial"/>
          <w:sz w:val="24"/>
          <w:szCs w:val="24"/>
        </w:rPr>
        <w:t xml:space="preserve">, which is the legitimizing principle of the EU itself. </w:t>
      </w:r>
      <w:r w:rsidR="00962E56" w:rsidRPr="00103661">
        <w:rPr>
          <w:rFonts w:ascii="Arial" w:hAnsi="Arial" w:cs="Arial"/>
          <w:sz w:val="24"/>
          <w:szCs w:val="24"/>
        </w:rPr>
        <w:t xml:space="preserve">Brexit, by contrast, is a negotiation over </w:t>
      </w:r>
      <w:r w:rsidR="00792A0D">
        <w:rPr>
          <w:rFonts w:ascii="Arial" w:hAnsi="Arial" w:cs="Arial"/>
          <w:sz w:val="24"/>
          <w:szCs w:val="24"/>
        </w:rPr>
        <w:t xml:space="preserve">changing the status quo that </w:t>
      </w:r>
      <w:r w:rsidR="00962E56" w:rsidRPr="00103661">
        <w:rPr>
          <w:rFonts w:ascii="Arial" w:hAnsi="Arial" w:cs="Arial"/>
          <w:sz w:val="24"/>
          <w:szCs w:val="24"/>
        </w:rPr>
        <w:t xml:space="preserve">is premised on the possibility of </w:t>
      </w:r>
      <w:r w:rsidR="00792A0D">
        <w:rPr>
          <w:rFonts w:ascii="Arial" w:hAnsi="Arial" w:cs="Arial"/>
          <w:sz w:val="24"/>
          <w:szCs w:val="24"/>
        </w:rPr>
        <w:t xml:space="preserve">the UK </w:t>
      </w:r>
      <w:r w:rsidR="00962E56" w:rsidRPr="00103661">
        <w:rPr>
          <w:rFonts w:ascii="Arial" w:hAnsi="Arial" w:cs="Arial"/>
          <w:sz w:val="24"/>
          <w:szCs w:val="24"/>
        </w:rPr>
        <w:t>having no formal, institutionalized relationship wit</w:t>
      </w:r>
      <w:r w:rsidR="00D6699C" w:rsidRPr="00103661">
        <w:rPr>
          <w:rFonts w:ascii="Arial" w:hAnsi="Arial" w:cs="Arial"/>
          <w:sz w:val="24"/>
          <w:szCs w:val="24"/>
        </w:rPr>
        <w:t xml:space="preserve">h the EU. </w:t>
      </w:r>
      <w:r w:rsidR="00792A0D">
        <w:rPr>
          <w:rFonts w:ascii="Arial" w:hAnsi="Arial" w:cs="Arial"/>
          <w:sz w:val="24"/>
          <w:szCs w:val="24"/>
        </w:rPr>
        <w:t xml:space="preserve">In a mark of how </w:t>
      </w:r>
      <w:r w:rsidR="00074C37">
        <w:rPr>
          <w:rFonts w:ascii="Arial" w:hAnsi="Arial" w:cs="Arial"/>
          <w:sz w:val="24"/>
          <w:szCs w:val="24"/>
        </w:rPr>
        <w:t xml:space="preserve">far </w:t>
      </w:r>
      <w:r w:rsidR="00792A0D">
        <w:rPr>
          <w:rFonts w:ascii="Arial" w:hAnsi="Arial" w:cs="Arial"/>
          <w:sz w:val="24"/>
          <w:szCs w:val="24"/>
        </w:rPr>
        <w:t xml:space="preserve">the UK rejected the legitimacy of the EU system, the British government </w:t>
      </w:r>
      <w:r w:rsidR="00D6699C" w:rsidRPr="00103661">
        <w:rPr>
          <w:rFonts w:ascii="Arial" w:hAnsi="Arial" w:cs="Arial"/>
          <w:sz w:val="24"/>
          <w:szCs w:val="24"/>
        </w:rPr>
        <w:t>approached</w:t>
      </w:r>
      <w:r w:rsidR="00962E56" w:rsidRPr="00103661">
        <w:rPr>
          <w:rFonts w:ascii="Arial" w:hAnsi="Arial" w:cs="Arial"/>
          <w:sz w:val="24"/>
          <w:szCs w:val="24"/>
        </w:rPr>
        <w:t xml:space="preserve"> the first phase of the talks over decoupling by questioning shared liabilities accrued over the</w:t>
      </w:r>
      <w:r w:rsidR="002B2065" w:rsidRPr="00103661">
        <w:rPr>
          <w:rFonts w:ascii="Arial" w:hAnsi="Arial" w:cs="Arial"/>
          <w:sz w:val="24"/>
          <w:szCs w:val="24"/>
        </w:rPr>
        <w:t xml:space="preserve"> years as well as the rights of EU nationals in the future. </w:t>
      </w:r>
    </w:p>
    <w:p w:rsidR="00792A0D" w:rsidRDefault="00E153CD" w:rsidP="002C5636">
      <w:pPr>
        <w:jc w:val="both"/>
        <w:rPr>
          <w:rFonts w:ascii="Arial" w:hAnsi="Arial" w:cs="Arial"/>
          <w:sz w:val="24"/>
          <w:szCs w:val="24"/>
        </w:rPr>
      </w:pPr>
      <w:r>
        <w:rPr>
          <w:rFonts w:ascii="Arial" w:hAnsi="Arial" w:cs="Arial"/>
          <w:sz w:val="24"/>
          <w:szCs w:val="24"/>
        </w:rPr>
        <w:lastRenderedPageBreak/>
        <w:t xml:space="preserve">The Brexit process, therefore, is not </w:t>
      </w:r>
      <w:r w:rsidR="00412F7C">
        <w:rPr>
          <w:rFonts w:ascii="Arial" w:hAnsi="Arial" w:cs="Arial"/>
          <w:sz w:val="24"/>
          <w:szCs w:val="24"/>
        </w:rPr>
        <w:t xml:space="preserve">an easy glidepath </w:t>
      </w:r>
      <w:r>
        <w:rPr>
          <w:rFonts w:ascii="Arial" w:hAnsi="Arial" w:cs="Arial"/>
          <w:sz w:val="24"/>
          <w:szCs w:val="24"/>
        </w:rPr>
        <w:t xml:space="preserve">from internal differentiation, as a member state, to </w:t>
      </w:r>
      <w:r w:rsidR="00066219">
        <w:rPr>
          <w:rFonts w:ascii="Arial" w:hAnsi="Arial" w:cs="Arial"/>
          <w:sz w:val="24"/>
          <w:szCs w:val="24"/>
        </w:rPr>
        <w:t>an outside</w:t>
      </w:r>
      <w:r w:rsidR="008E63F6">
        <w:rPr>
          <w:rFonts w:ascii="Arial" w:hAnsi="Arial" w:cs="Arial"/>
          <w:sz w:val="24"/>
          <w:szCs w:val="24"/>
        </w:rPr>
        <w:t>r</w:t>
      </w:r>
      <w:r w:rsidR="00066219">
        <w:rPr>
          <w:rFonts w:ascii="Arial" w:hAnsi="Arial" w:cs="Arial"/>
          <w:sz w:val="24"/>
          <w:szCs w:val="24"/>
        </w:rPr>
        <w:t xml:space="preserve"> form of </w:t>
      </w:r>
      <w:r>
        <w:rPr>
          <w:rFonts w:ascii="Arial" w:hAnsi="Arial" w:cs="Arial"/>
          <w:sz w:val="24"/>
          <w:szCs w:val="24"/>
        </w:rPr>
        <w:t xml:space="preserve">differentiation. </w:t>
      </w:r>
      <w:r w:rsidR="008E63F6">
        <w:rPr>
          <w:rFonts w:ascii="Arial" w:hAnsi="Arial" w:cs="Arial"/>
          <w:sz w:val="24"/>
          <w:szCs w:val="24"/>
        </w:rPr>
        <w:t>In</w:t>
      </w:r>
      <w:r w:rsidR="004C6C44">
        <w:rPr>
          <w:rFonts w:ascii="Arial" w:hAnsi="Arial" w:cs="Arial"/>
          <w:sz w:val="24"/>
          <w:szCs w:val="24"/>
        </w:rPr>
        <w:t>ternal differentiation is based on accepting the legitimacy of the core EU system by finding an accommodation over the horizontal reach of EU policies</w:t>
      </w:r>
      <w:r w:rsidR="008E63F6">
        <w:rPr>
          <w:rFonts w:ascii="Arial" w:hAnsi="Arial" w:cs="Arial"/>
          <w:sz w:val="24"/>
          <w:szCs w:val="24"/>
        </w:rPr>
        <w:t xml:space="preserve">. The </w:t>
      </w:r>
      <w:r w:rsidR="002852D0">
        <w:rPr>
          <w:rFonts w:ascii="Arial" w:hAnsi="Arial" w:cs="Arial"/>
          <w:sz w:val="24"/>
          <w:szCs w:val="24"/>
        </w:rPr>
        <w:t>British government</w:t>
      </w:r>
      <w:r w:rsidR="008E63F6">
        <w:rPr>
          <w:rFonts w:ascii="Arial" w:hAnsi="Arial" w:cs="Arial"/>
          <w:sz w:val="24"/>
          <w:szCs w:val="24"/>
        </w:rPr>
        <w:t xml:space="preserve"> argued throughout the first phase of Article 50 talks that it was not prepared to accept a standard model of outsider differentiation su</w:t>
      </w:r>
      <w:r w:rsidR="00246106">
        <w:rPr>
          <w:rFonts w:ascii="Arial" w:hAnsi="Arial" w:cs="Arial"/>
          <w:sz w:val="24"/>
          <w:szCs w:val="24"/>
        </w:rPr>
        <w:t>ch as the EEA</w:t>
      </w:r>
      <w:r w:rsidR="002852D0">
        <w:rPr>
          <w:rFonts w:ascii="Arial" w:hAnsi="Arial" w:cs="Arial"/>
          <w:sz w:val="24"/>
          <w:szCs w:val="24"/>
        </w:rPr>
        <w:t xml:space="preserve"> or customs union membership, which are tantamount to a “soft” Brexit. In return, by not seeking to oppose a hard Brexit, the EU shifted the burden of adjustment to the UK. D</w:t>
      </w:r>
      <w:r w:rsidR="00DE3F9D">
        <w:rPr>
          <w:rFonts w:ascii="Arial" w:hAnsi="Arial" w:cs="Arial"/>
          <w:sz w:val="24"/>
          <w:szCs w:val="24"/>
        </w:rPr>
        <w:t>isintegration</w:t>
      </w:r>
      <w:r w:rsidR="005C65B3">
        <w:rPr>
          <w:rFonts w:ascii="Arial" w:hAnsi="Arial" w:cs="Arial"/>
          <w:sz w:val="24"/>
          <w:szCs w:val="24"/>
        </w:rPr>
        <w:t xml:space="preserve"> </w:t>
      </w:r>
      <w:r w:rsidR="00DE3F9D">
        <w:rPr>
          <w:rFonts w:ascii="Arial" w:hAnsi="Arial" w:cs="Arial"/>
          <w:sz w:val="24"/>
          <w:szCs w:val="24"/>
        </w:rPr>
        <w:t>in the shape of British withdrawal can only be resolved by finding a new legitimizing principle to govern EU-UK relations</w:t>
      </w:r>
      <w:r w:rsidR="002852D0">
        <w:rPr>
          <w:rFonts w:ascii="Arial" w:hAnsi="Arial" w:cs="Arial"/>
          <w:sz w:val="24"/>
          <w:szCs w:val="24"/>
        </w:rPr>
        <w:t>, which is the unenviable task of the British government as it see</w:t>
      </w:r>
      <w:r w:rsidR="00074C37">
        <w:rPr>
          <w:rFonts w:ascii="Arial" w:hAnsi="Arial" w:cs="Arial"/>
          <w:sz w:val="24"/>
          <w:szCs w:val="24"/>
        </w:rPr>
        <w:t xml:space="preserve">ks to </w:t>
      </w:r>
      <w:r w:rsidR="00DE3F9D">
        <w:rPr>
          <w:rFonts w:ascii="Arial" w:hAnsi="Arial" w:cs="Arial"/>
          <w:sz w:val="24"/>
          <w:szCs w:val="24"/>
        </w:rPr>
        <w:t xml:space="preserve">act on a slim referendum majority that did not provide a solution as to the future relationship. </w:t>
      </w:r>
    </w:p>
    <w:p w:rsidR="00AD7CB8" w:rsidRPr="00F33B42" w:rsidRDefault="00AD7CB8" w:rsidP="002C5636">
      <w:pPr>
        <w:jc w:val="both"/>
        <w:rPr>
          <w:rFonts w:ascii="Arial" w:eastAsia="Times New Roman" w:hAnsi="Arial" w:cs="Arial"/>
          <w:sz w:val="24"/>
          <w:szCs w:val="24"/>
        </w:rPr>
      </w:pPr>
      <w:r w:rsidRPr="00AD7CB8">
        <w:rPr>
          <w:rFonts w:ascii="Arial" w:hAnsi="Arial" w:cs="Arial"/>
          <w:sz w:val="24"/>
          <w:szCs w:val="24"/>
        </w:rPr>
        <w:t xml:space="preserve">Negotiating disintegration is thus </w:t>
      </w:r>
      <w:r w:rsidR="00412F7C">
        <w:rPr>
          <w:rFonts w:ascii="Arial" w:hAnsi="Arial" w:cs="Arial"/>
          <w:sz w:val="24"/>
          <w:szCs w:val="24"/>
        </w:rPr>
        <w:t xml:space="preserve">very </w:t>
      </w:r>
      <w:r w:rsidRPr="00AD7CB8">
        <w:rPr>
          <w:rFonts w:ascii="Arial" w:hAnsi="Arial" w:cs="Arial"/>
          <w:sz w:val="24"/>
          <w:szCs w:val="24"/>
        </w:rPr>
        <w:t>different from negotiating differentiation, w</w:t>
      </w:r>
      <w:r w:rsidR="006E7626">
        <w:rPr>
          <w:rFonts w:ascii="Arial" w:hAnsi="Arial" w:cs="Arial"/>
          <w:sz w:val="24"/>
          <w:szCs w:val="24"/>
        </w:rPr>
        <w:t xml:space="preserve">hether </w:t>
      </w:r>
      <w:r w:rsidR="004064A8">
        <w:rPr>
          <w:rFonts w:ascii="Arial" w:hAnsi="Arial" w:cs="Arial"/>
          <w:sz w:val="24"/>
          <w:szCs w:val="24"/>
        </w:rPr>
        <w:t>as</w:t>
      </w:r>
      <w:r w:rsidR="00440FEA">
        <w:rPr>
          <w:rFonts w:ascii="Arial" w:hAnsi="Arial" w:cs="Arial"/>
          <w:sz w:val="24"/>
          <w:szCs w:val="24"/>
        </w:rPr>
        <w:t xml:space="preserve"> an</w:t>
      </w:r>
      <w:r w:rsidR="004064A8">
        <w:rPr>
          <w:rFonts w:ascii="Arial" w:hAnsi="Arial" w:cs="Arial"/>
          <w:sz w:val="24"/>
          <w:szCs w:val="24"/>
        </w:rPr>
        <w:t xml:space="preserve"> insider </w:t>
      </w:r>
      <w:r w:rsidR="006E7626">
        <w:rPr>
          <w:rFonts w:ascii="Arial" w:hAnsi="Arial" w:cs="Arial"/>
          <w:sz w:val="24"/>
          <w:szCs w:val="24"/>
        </w:rPr>
        <w:t xml:space="preserve"> or </w:t>
      </w:r>
      <w:r w:rsidR="004064A8">
        <w:rPr>
          <w:rFonts w:ascii="Arial" w:hAnsi="Arial" w:cs="Arial"/>
          <w:sz w:val="24"/>
          <w:szCs w:val="24"/>
        </w:rPr>
        <w:t>from the outside, as a non member state</w:t>
      </w:r>
      <w:r w:rsidR="006E7626">
        <w:rPr>
          <w:rFonts w:ascii="Arial" w:hAnsi="Arial" w:cs="Arial"/>
          <w:sz w:val="24"/>
          <w:szCs w:val="24"/>
        </w:rPr>
        <w:t>. That helps explain why</w:t>
      </w:r>
      <w:r w:rsidRPr="00AD7CB8">
        <w:rPr>
          <w:rFonts w:ascii="Arial" w:hAnsi="Arial" w:cs="Arial"/>
          <w:sz w:val="24"/>
          <w:szCs w:val="24"/>
        </w:rPr>
        <w:t xml:space="preserve"> </w:t>
      </w:r>
      <w:r w:rsidR="00440FEA">
        <w:rPr>
          <w:rFonts w:ascii="Arial" w:hAnsi="Arial" w:cs="Arial"/>
          <w:sz w:val="24"/>
          <w:szCs w:val="24"/>
        </w:rPr>
        <w:t xml:space="preserve">the </w:t>
      </w:r>
      <w:r w:rsidRPr="00AD7CB8">
        <w:rPr>
          <w:rFonts w:ascii="Arial" w:hAnsi="Arial" w:cs="Arial"/>
          <w:sz w:val="24"/>
          <w:szCs w:val="24"/>
        </w:rPr>
        <w:t xml:space="preserve">UK referendum did not </w:t>
      </w:r>
      <w:r w:rsidR="00C27EEB">
        <w:rPr>
          <w:rFonts w:ascii="Arial" w:hAnsi="Arial" w:cs="Arial"/>
          <w:sz w:val="24"/>
          <w:szCs w:val="24"/>
        </w:rPr>
        <w:t>create</w:t>
      </w:r>
      <w:r w:rsidR="00592B73">
        <w:rPr>
          <w:rFonts w:ascii="Arial" w:hAnsi="Arial" w:cs="Arial"/>
          <w:sz w:val="24"/>
          <w:szCs w:val="24"/>
        </w:rPr>
        <w:t xml:space="preserve"> a broader </w:t>
      </w:r>
      <w:r w:rsidR="00C27EEB">
        <w:rPr>
          <w:rFonts w:ascii="Arial" w:hAnsi="Arial" w:cs="Arial"/>
          <w:sz w:val="24"/>
          <w:szCs w:val="24"/>
        </w:rPr>
        <w:t>momentum</w:t>
      </w:r>
      <w:r w:rsidR="00592B73">
        <w:rPr>
          <w:rFonts w:ascii="Arial" w:hAnsi="Arial" w:cs="Arial"/>
          <w:sz w:val="24"/>
          <w:szCs w:val="24"/>
        </w:rPr>
        <w:t xml:space="preserve"> elsewhere in the EU </w:t>
      </w:r>
      <w:r w:rsidR="008664AF">
        <w:rPr>
          <w:rFonts w:ascii="Arial" w:hAnsi="Arial" w:cs="Arial"/>
          <w:sz w:val="24"/>
          <w:szCs w:val="24"/>
        </w:rPr>
        <w:t xml:space="preserve">for turning the clock back on </w:t>
      </w:r>
      <w:r w:rsidRPr="00AD7CB8">
        <w:rPr>
          <w:rFonts w:ascii="Arial" w:hAnsi="Arial" w:cs="Arial"/>
          <w:sz w:val="24"/>
          <w:szCs w:val="24"/>
        </w:rPr>
        <w:t xml:space="preserve"> integration. </w:t>
      </w:r>
      <w:r w:rsidRPr="00AD7CB8">
        <w:rPr>
          <w:rFonts w:ascii="Arial" w:eastAsia="Times New Roman" w:hAnsi="Arial" w:cs="Arial"/>
          <w:sz w:val="24"/>
          <w:szCs w:val="24"/>
        </w:rPr>
        <w:t>Despite certain predictions to the contrary, there was no immediate domino-effect of other governments pledging to hold referendums on leaving. T</w:t>
      </w:r>
      <w:r w:rsidR="00AE4309">
        <w:rPr>
          <w:rFonts w:ascii="Arial" w:eastAsia="Times New Roman" w:hAnsi="Arial" w:cs="Arial"/>
          <w:sz w:val="24"/>
          <w:szCs w:val="24"/>
        </w:rPr>
        <w:t xml:space="preserve">he subsequent process of disintegration </w:t>
      </w:r>
      <w:r w:rsidR="00F33B42">
        <w:rPr>
          <w:rFonts w:ascii="Arial" w:eastAsia="Times New Roman" w:hAnsi="Arial" w:cs="Arial"/>
          <w:sz w:val="24"/>
          <w:szCs w:val="24"/>
        </w:rPr>
        <w:t>nonetheless provides a lesson-learning example for countries inclined to differentiation. T</w:t>
      </w:r>
      <w:r>
        <w:rPr>
          <w:rFonts w:ascii="Arial" w:eastAsia="Times New Roman" w:hAnsi="Arial" w:cs="Arial"/>
          <w:sz w:val="24"/>
          <w:szCs w:val="24"/>
        </w:rPr>
        <w:t xml:space="preserve">he travails of the Brexit negotiations demonstrate </w:t>
      </w:r>
      <w:r w:rsidR="005E6170">
        <w:rPr>
          <w:rFonts w:ascii="Arial" w:eastAsia="Times New Roman" w:hAnsi="Arial" w:cs="Arial"/>
          <w:sz w:val="24"/>
          <w:szCs w:val="24"/>
        </w:rPr>
        <w:t xml:space="preserve">that it is perhaps easier to find a just arrangement – based on self-limited goals – from within the EU than it is to reconfigure relations entirely for some potential future gains. </w:t>
      </w:r>
      <w:r w:rsidR="006E7626">
        <w:rPr>
          <w:rFonts w:ascii="Arial" w:eastAsia="Times New Roman" w:hAnsi="Arial" w:cs="Arial"/>
          <w:sz w:val="24"/>
          <w:szCs w:val="24"/>
        </w:rPr>
        <w:t xml:space="preserve">Hence the </w:t>
      </w:r>
      <w:r w:rsidR="006A2FBD">
        <w:rPr>
          <w:rFonts w:ascii="Arial" w:eastAsia="Times New Roman" w:hAnsi="Arial" w:cs="Arial"/>
          <w:sz w:val="24"/>
          <w:szCs w:val="24"/>
        </w:rPr>
        <w:t xml:space="preserve">first and possibly only use of Article 50 could persuade Eurosceptic member states that they are better off seeking internal differentiation rather than pinning their hopes </w:t>
      </w:r>
      <w:r w:rsidR="00440FEA">
        <w:rPr>
          <w:rFonts w:ascii="Arial" w:eastAsia="Times New Roman" w:hAnsi="Arial" w:cs="Arial"/>
          <w:sz w:val="24"/>
          <w:szCs w:val="24"/>
        </w:rPr>
        <w:t>o</w:t>
      </w:r>
      <w:r w:rsidR="006A2FBD">
        <w:rPr>
          <w:rFonts w:ascii="Arial" w:eastAsia="Times New Roman" w:hAnsi="Arial" w:cs="Arial"/>
          <w:sz w:val="24"/>
          <w:szCs w:val="24"/>
        </w:rPr>
        <w:t xml:space="preserve">n successful disintegration. </w:t>
      </w:r>
    </w:p>
    <w:sectPr w:rsidR="00AD7CB8" w:rsidRPr="00F33B42">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2FD" w:rsidRDefault="00B702FD" w:rsidP="00AA2AD6">
      <w:pPr>
        <w:spacing w:after="0" w:line="240" w:lineRule="auto"/>
      </w:pPr>
      <w:r>
        <w:separator/>
      </w:r>
    </w:p>
  </w:endnote>
  <w:endnote w:type="continuationSeparator" w:id="0">
    <w:p w:rsidR="00B702FD" w:rsidRDefault="00B702FD" w:rsidP="00AA2AD6">
      <w:pPr>
        <w:spacing w:after="0" w:line="240" w:lineRule="auto"/>
      </w:pPr>
      <w:r>
        <w:continuationSeparator/>
      </w:r>
    </w:p>
  </w:endnote>
  <w:endnote w:id="1">
    <w:p w:rsidR="001A7F4B" w:rsidRPr="00F33B42" w:rsidRDefault="001A7F4B" w:rsidP="001A7F4B">
      <w:pPr>
        <w:spacing w:after="0" w:line="480" w:lineRule="auto"/>
        <w:jc w:val="both"/>
        <w:rPr>
          <w:rFonts w:ascii="Arial" w:hAnsi="Arial" w:cs="Arial"/>
          <w:sz w:val="20"/>
          <w:szCs w:val="20"/>
        </w:rPr>
      </w:pPr>
      <w:r w:rsidRPr="00F33B42">
        <w:rPr>
          <w:rStyle w:val="EndnoteReference"/>
          <w:rFonts w:ascii="Arial" w:hAnsi="Arial" w:cs="Arial"/>
          <w:sz w:val="20"/>
          <w:szCs w:val="20"/>
        </w:rPr>
        <w:endnoteRef/>
      </w:r>
      <w:r w:rsidRPr="00F33B42">
        <w:rPr>
          <w:rFonts w:ascii="Arial" w:hAnsi="Arial" w:cs="Arial"/>
          <w:sz w:val="20"/>
          <w:szCs w:val="20"/>
        </w:rPr>
        <w:t xml:space="preserve"> European Council (Art. 50) guidelines for Brexit negotiations, 29 April 2017. Available at </w:t>
      </w:r>
      <w:hyperlink r:id="rId1" w:history="1">
        <w:r w:rsidRPr="000F0B7A">
          <w:rPr>
            <w:rStyle w:val="Hyperlink"/>
            <w:rFonts w:ascii="Arial" w:hAnsi="Arial" w:cs="Arial"/>
          </w:rPr>
          <w:t>http://www.consilium.europa.eu/en/press/press-releases/2017/04/29/euco-brexit-guidelines/</w:t>
        </w:r>
      </w:hyperlink>
      <w:r>
        <w:rPr>
          <w:rFonts w:ascii="Arial" w:hAnsi="Arial" w:cs="Arial"/>
        </w:rPr>
        <w:t xml:space="preserve"> </w:t>
      </w:r>
      <w:r>
        <w:rPr>
          <w:rFonts w:ascii="Arial" w:hAnsi="Arial" w:cs="Arial"/>
          <w:sz w:val="20"/>
          <w:szCs w:val="20"/>
        </w:rPr>
        <w:t>Accessed 12 March 2018.</w:t>
      </w:r>
    </w:p>
  </w:endnote>
  <w:endnote w:id="2">
    <w:p w:rsidR="00F7412D" w:rsidRPr="00F33B42" w:rsidRDefault="00F7412D" w:rsidP="00F7412D">
      <w:pPr>
        <w:pStyle w:val="EndnoteText"/>
        <w:spacing w:line="480" w:lineRule="auto"/>
        <w:rPr>
          <w:rFonts w:ascii="Arial" w:hAnsi="Arial" w:cs="Arial"/>
          <w:lang w:val="en-GB"/>
        </w:rPr>
      </w:pPr>
      <w:r w:rsidRPr="00F33B42">
        <w:rPr>
          <w:rStyle w:val="EndnoteReference"/>
          <w:rFonts w:ascii="Arial" w:hAnsi="Arial" w:cs="Arial"/>
        </w:rPr>
        <w:endnoteRef/>
      </w:r>
      <w:r w:rsidRPr="00F33B42">
        <w:rPr>
          <w:rFonts w:ascii="Arial" w:hAnsi="Arial" w:cs="Arial"/>
        </w:rPr>
        <w:t xml:space="preserve"> H. </w:t>
      </w:r>
      <w:r w:rsidRPr="00F33B42">
        <w:rPr>
          <w:rFonts w:ascii="Arial" w:hAnsi="Arial" w:cs="Arial"/>
          <w:lang w:eastAsia="en-GB"/>
        </w:rPr>
        <w:t xml:space="preserve">Kissinger, </w:t>
      </w:r>
      <w:r w:rsidRPr="00F33B42">
        <w:rPr>
          <w:rFonts w:ascii="Arial" w:hAnsi="Arial" w:cs="Arial"/>
          <w:i/>
          <w:iCs/>
          <w:lang w:eastAsia="en-GB"/>
        </w:rPr>
        <w:t>A World Restored: Metternich, Castlereagh and the Problems of Peace, 1812-1822</w:t>
      </w:r>
      <w:r w:rsidRPr="00F33B42">
        <w:rPr>
          <w:rFonts w:ascii="Arial" w:hAnsi="Arial" w:cs="Arial"/>
          <w:lang w:eastAsia="en-GB"/>
        </w:rPr>
        <w:t>, New York: Houghton Mifflin</w:t>
      </w:r>
      <w:r w:rsidR="00BF3A96">
        <w:rPr>
          <w:rFonts w:ascii="Arial" w:hAnsi="Arial" w:cs="Arial"/>
          <w:lang w:eastAsia="en-GB"/>
        </w:rPr>
        <w:t>, 1957.</w:t>
      </w:r>
    </w:p>
  </w:endnote>
  <w:endnote w:id="3">
    <w:p w:rsidR="002F3D40" w:rsidRPr="00F33B42" w:rsidRDefault="002F3D40" w:rsidP="00056513">
      <w:pPr>
        <w:spacing w:after="0" w:line="480" w:lineRule="auto"/>
        <w:rPr>
          <w:rFonts w:ascii="Arial" w:hAnsi="Arial" w:cs="Arial"/>
          <w:sz w:val="20"/>
          <w:szCs w:val="20"/>
        </w:rPr>
      </w:pPr>
      <w:r w:rsidRPr="00F33B42">
        <w:rPr>
          <w:rStyle w:val="EndnoteReference"/>
          <w:rFonts w:ascii="Arial" w:hAnsi="Arial" w:cs="Arial"/>
          <w:sz w:val="20"/>
          <w:szCs w:val="20"/>
        </w:rPr>
        <w:endnoteRef/>
      </w:r>
      <w:r w:rsidRPr="00F33B42">
        <w:rPr>
          <w:rFonts w:ascii="Arial" w:hAnsi="Arial" w:cs="Arial"/>
          <w:sz w:val="20"/>
          <w:szCs w:val="20"/>
        </w:rPr>
        <w:t xml:space="preserve"> See H. </w:t>
      </w:r>
      <w:r w:rsidRPr="00F33B42">
        <w:rPr>
          <w:rFonts w:ascii="Arial" w:eastAsia="Times New Roman" w:hAnsi="Arial" w:cs="Arial"/>
          <w:sz w:val="20"/>
          <w:szCs w:val="20"/>
          <w:lang w:eastAsia="en-GB"/>
        </w:rPr>
        <w:t xml:space="preserve">Clarke, M. Goodwin, and P. Whiteley, </w:t>
      </w:r>
      <w:r w:rsidRPr="00F33B42">
        <w:rPr>
          <w:rFonts w:ascii="Arial" w:eastAsia="Times New Roman" w:hAnsi="Arial" w:cs="Arial"/>
          <w:i/>
          <w:sz w:val="20"/>
          <w:szCs w:val="20"/>
          <w:lang w:eastAsia="en-GB"/>
        </w:rPr>
        <w:t>Brexit! Why Britain Voted to Leave the European Union</w:t>
      </w:r>
      <w:r w:rsidRPr="00F33B42">
        <w:rPr>
          <w:rFonts w:ascii="Arial" w:eastAsia="Times New Roman" w:hAnsi="Arial" w:cs="Arial"/>
          <w:sz w:val="20"/>
          <w:szCs w:val="20"/>
          <w:lang w:eastAsia="en-GB"/>
        </w:rPr>
        <w:t>. Cambridge: Cambridge University Press</w:t>
      </w:r>
      <w:r w:rsidR="00804452" w:rsidRPr="00F33B42">
        <w:rPr>
          <w:rFonts w:ascii="Arial" w:eastAsia="Times New Roman" w:hAnsi="Arial" w:cs="Arial"/>
          <w:sz w:val="20"/>
          <w:szCs w:val="20"/>
          <w:lang w:eastAsia="en-GB"/>
        </w:rPr>
        <w:t>, 2017</w:t>
      </w:r>
      <w:r w:rsidRPr="00F33B42">
        <w:rPr>
          <w:rFonts w:ascii="Arial" w:eastAsia="Times New Roman" w:hAnsi="Arial" w:cs="Arial"/>
          <w:sz w:val="20"/>
          <w:szCs w:val="20"/>
          <w:lang w:eastAsia="en-GB"/>
        </w:rPr>
        <w:t>.</w:t>
      </w:r>
    </w:p>
  </w:endnote>
  <w:endnote w:id="4">
    <w:p w:rsidR="000F2583" w:rsidRPr="00F33B42" w:rsidRDefault="000F2583" w:rsidP="000F2583">
      <w:pPr>
        <w:spacing w:after="0" w:line="480" w:lineRule="auto"/>
        <w:jc w:val="both"/>
        <w:rPr>
          <w:rFonts w:ascii="Arial" w:hAnsi="Arial" w:cs="Arial"/>
          <w:sz w:val="20"/>
          <w:szCs w:val="20"/>
        </w:rPr>
      </w:pPr>
      <w:r w:rsidRPr="00F33B42">
        <w:rPr>
          <w:rStyle w:val="EndnoteReference"/>
          <w:rFonts w:ascii="Arial" w:hAnsi="Arial" w:cs="Arial"/>
          <w:sz w:val="20"/>
          <w:szCs w:val="20"/>
        </w:rPr>
        <w:endnoteRef/>
      </w:r>
      <w:r w:rsidRPr="00F33B42">
        <w:rPr>
          <w:rFonts w:ascii="Arial" w:hAnsi="Arial" w:cs="Arial"/>
          <w:sz w:val="20"/>
          <w:szCs w:val="20"/>
        </w:rPr>
        <w:t xml:space="preserve"> S. Walter, ‘Europeans Support the EU’s Hardline in Brexit Negotiations’, LSE Brexit Blog, 23 October 2017. Available at </w:t>
      </w:r>
      <w:hyperlink r:id="rId2" w:history="1">
        <w:r w:rsidRPr="000F0B7A">
          <w:rPr>
            <w:rStyle w:val="Hyperlink"/>
            <w:rFonts w:ascii="Arial" w:hAnsi="Arial" w:cs="Arial"/>
            <w:sz w:val="20"/>
            <w:szCs w:val="20"/>
          </w:rPr>
          <w:t>http://blogs.lse.ac.uk/brexit/2017/10/23/europeans-support-the-eus-hard-line-in-the-brexit-negotiations/</w:t>
        </w:r>
      </w:hyperlink>
      <w:r>
        <w:rPr>
          <w:rFonts w:ascii="Arial" w:hAnsi="Arial" w:cs="Arial"/>
          <w:sz w:val="20"/>
          <w:szCs w:val="20"/>
        </w:rPr>
        <w:t xml:space="preserve"> Accessed 12 March 2018.</w:t>
      </w:r>
    </w:p>
  </w:endnote>
  <w:endnote w:id="5">
    <w:p w:rsidR="00804452" w:rsidRPr="00F33B42" w:rsidRDefault="00804452" w:rsidP="00056513">
      <w:pPr>
        <w:spacing w:after="0" w:line="480" w:lineRule="auto"/>
        <w:rPr>
          <w:rFonts w:ascii="Arial" w:hAnsi="Arial" w:cs="Arial"/>
          <w:sz w:val="20"/>
          <w:szCs w:val="20"/>
        </w:rPr>
      </w:pPr>
      <w:r w:rsidRPr="00F33B42">
        <w:rPr>
          <w:rStyle w:val="EndnoteReference"/>
          <w:rFonts w:ascii="Arial" w:hAnsi="Arial" w:cs="Arial"/>
          <w:sz w:val="20"/>
          <w:szCs w:val="20"/>
        </w:rPr>
        <w:endnoteRef/>
      </w:r>
      <w:r w:rsidRPr="00F33B42">
        <w:rPr>
          <w:rFonts w:ascii="Arial" w:hAnsi="Arial" w:cs="Arial"/>
          <w:sz w:val="20"/>
          <w:szCs w:val="20"/>
        </w:rPr>
        <w:t xml:space="preserve"> H. Kissinger, ‘</w:t>
      </w:r>
      <w:r w:rsidRPr="00F33B42">
        <w:rPr>
          <w:rFonts w:ascii="Arial" w:eastAsia="Times New Roman" w:hAnsi="Arial" w:cs="Arial"/>
          <w:sz w:val="20"/>
          <w:szCs w:val="20"/>
          <w:lang w:eastAsia="en-GB"/>
        </w:rPr>
        <w:t xml:space="preserve">The Congress of Vienna: A Reappraisal’, </w:t>
      </w:r>
      <w:r w:rsidRPr="00F33B42">
        <w:rPr>
          <w:rFonts w:ascii="Arial" w:eastAsia="Times New Roman" w:hAnsi="Arial" w:cs="Arial"/>
          <w:i/>
          <w:iCs/>
          <w:sz w:val="20"/>
          <w:szCs w:val="20"/>
          <w:lang w:eastAsia="en-GB"/>
        </w:rPr>
        <w:t>World politics</w:t>
      </w:r>
      <w:r w:rsidRPr="00F33B42">
        <w:rPr>
          <w:rFonts w:ascii="Arial" w:eastAsia="Times New Roman" w:hAnsi="Arial" w:cs="Arial"/>
          <w:sz w:val="20"/>
          <w:szCs w:val="20"/>
          <w:lang w:eastAsia="en-GB"/>
        </w:rPr>
        <w:t xml:space="preserve">, vol. </w:t>
      </w:r>
      <w:r w:rsidRPr="00F33B42">
        <w:rPr>
          <w:rFonts w:ascii="Arial" w:eastAsia="Times New Roman" w:hAnsi="Arial" w:cs="Arial"/>
          <w:i/>
          <w:iCs/>
          <w:sz w:val="20"/>
          <w:szCs w:val="20"/>
          <w:lang w:eastAsia="en-GB"/>
        </w:rPr>
        <w:t xml:space="preserve">8, no. </w:t>
      </w:r>
      <w:r w:rsidRPr="00F33B42">
        <w:rPr>
          <w:rFonts w:ascii="Arial" w:eastAsia="Times New Roman" w:hAnsi="Arial" w:cs="Arial"/>
          <w:sz w:val="20"/>
          <w:szCs w:val="20"/>
          <w:lang w:eastAsia="en-GB"/>
        </w:rPr>
        <w:t>2 1956, pp.264-280, p. 264.</w:t>
      </w:r>
    </w:p>
  </w:endnote>
  <w:endnote w:id="6">
    <w:p w:rsidR="00804452" w:rsidRPr="00F33B42" w:rsidRDefault="00804452" w:rsidP="00056513">
      <w:pPr>
        <w:pStyle w:val="EndnoteText"/>
        <w:spacing w:line="480" w:lineRule="auto"/>
        <w:rPr>
          <w:rFonts w:ascii="Arial" w:hAnsi="Arial" w:cs="Arial"/>
          <w:lang w:val="en-GB"/>
        </w:rPr>
      </w:pPr>
      <w:r w:rsidRPr="00F33B42">
        <w:rPr>
          <w:rStyle w:val="EndnoteReference"/>
          <w:rFonts w:ascii="Arial" w:hAnsi="Arial" w:cs="Arial"/>
        </w:rPr>
        <w:endnoteRef/>
      </w:r>
      <w:r w:rsidRPr="00F33B42">
        <w:rPr>
          <w:rFonts w:ascii="Arial" w:hAnsi="Arial" w:cs="Arial"/>
        </w:rPr>
        <w:t xml:space="preserve"> H. Kissinger, </w:t>
      </w:r>
      <w:r w:rsidRPr="00F33B42">
        <w:rPr>
          <w:rFonts w:ascii="Arial" w:hAnsi="Arial" w:cs="Arial"/>
          <w:i/>
        </w:rPr>
        <w:t>A World Restored</w:t>
      </w:r>
      <w:r w:rsidRPr="00F33B42">
        <w:rPr>
          <w:rFonts w:ascii="Arial" w:hAnsi="Arial" w:cs="Arial"/>
        </w:rPr>
        <w:t>, p. 172</w:t>
      </w:r>
    </w:p>
  </w:endnote>
  <w:endnote w:id="7">
    <w:p w:rsidR="00804452" w:rsidRPr="00F33B42" w:rsidRDefault="00804452" w:rsidP="00056513">
      <w:pPr>
        <w:pStyle w:val="EndnoteText"/>
        <w:spacing w:line="480" w:lineRule="auto"/>
        <w:rPr>
          <w:rFonts w:ascii="Arial" w:hAnsi="Arial" w:cs="Arial"/>
          <w:lang w:val="en-GB"/>
        </w:rPr>
      </w:pPr>
      <w:r w:rsidRPr="00F33B42">
        <w:rPr>
          <w:rStyle w:val="EndnoteReference"/>
          <w:rFonts w:ascii="Arial" w:hAnsi="Arial" w:cs="Arial"/>
        </w:rPr>
        <w:endnoteRef/>
      </w:r>
      <w:r w:rsidRPr="00F33B42">
        <w:rPr>
          <w:rFonts w:ascii="Arial" w:hAnsi="Arial" w:cs="Arial"/>
        </w:rPr>
        <w:t xml:space="preserve"> </w:t>
      </w:r>
      <w:r w:rsidRPr="00F33B42">
        <w:rPr>
          <w:rFonts w:ascii="Arial" w:hAnsi="Arial" w:cs="Arial"/>
          <w:lang w:val="en-GB"/>
        </w:rPr>
        <w:t xml:space="preserve">See the account in T. Shipman, </w:t>
      </w:r>
      <w:r w:rsidRPr="006B3C64">
        <w:rPr>
          <w:rFonts w:ascii="Arial" w:hAnsi="Arial" w:cs="Arial"/>
          <w:i/>
          <w:lang w:val="en-GB"/>
        </w:rPr>
        <w:t>All Out War: The Full Story of How Brexit Sank Britain’s Political Class</w:t>
      </w:r>
      <w:r w:rsidRPr="00F33B42">
        <w:rPr>
          <w:rFonts w:ascii="Arial" w:hAnsi="Arial" w:cs="Arial"/>
          <w:lang w:val="en-GB"/>
        </w:rPr>
        <w:t>, London: William Collins, 2016.</w:t>
      </w:r>
    </w:p>
  </w:endnote>
  <w:endnote w:id="8">
    <w:p w:rsidR="00804452" w:rsidRPr="00F33B42" w:rsidRDefault="00804452" w:rsidP="00056513">
      <w:pPr>
        <w:pStyle w:val="EndnoteText"/>
        <w:spacing w:line="480" w:lineRule="auto"/>
        <w:rPr>
          <w:rFonts w:ascii="Arial" w:hAnsi="Arial" w:cs="Arial"/>
          <w:lang w:val="en-GB"/>
        </w:rPr>
      </w:pPr>
      <w:r w:rsidRPr="00F33B42">
        <w:rPr>
          <w:rStyle w:val="EndnoteReference"/>
          <w:rFonts w:ascii="Arial" w:hAnsi="Arial" w:cs="Arial"/>
        </w:rPr>
        <w:endnoteRef/>
      </w:r>
      <w:r w:rsidRPr="00F33B42">
        <w:rPr>
          <w:rFonts w:ascii="Arial" w:hAnsi="Arial" w:cs="Arial"/>
        </w:rPr>
        <w:t xml:space="preserve"> </w:t>
      </w:r>
      <w:r w:rsidRPr="00F33B42">
        <w:rPr>
          <w:rFonts w:ascii="Arial" w:hAnsi="Arial" w:cs="Arial"/>
          <w:lang w:val="en-GB"/>
        </w:rPr>
        <w:t>S. Wall</w:t>
      </w:r>
      <w:r w:rsidR="00D94B08" w:rsidRPr="00F33B42">
        <w:rPr>
          <w:rFonts w:ascii="Arial" w:hAnsi="Arial" w:cs="Arial"/>
          <w:lang w:val="en-GB"/>
        </w:rPr>
        <w:t xml:space="preserve">, </w:t>
      </w:r>
      <w:r w:rsidR="00D94B08" w:rsidRPr="00F33B42">
        <w:rPr>
          <w:rFonts w:ascii="Arial" w:hAnsi="Arial" w:cs="Arial"/>
          <w:i/>
        </w:rPr>
        <w:t>Stranger in Europe: Britain and the EU from Thatcher to Blair,</w:t>
      </w:r>
      <w:r w:rsidR="00D94B08" w:rsidRPr="00F33B42">
        <w:rPr>
          <w:rFonts w:ascii="Arial" w:hAnsi="Arial" w:cs="Arial"/>
        </w:rPr>
        <w:t xml:space="preserve"> Oxford: Oxford University Press, 2008.</w:t>
      </w:r>
    </w:p>
  </w:endnote>
  <w:endnote w:id="9">
    <w:p w:rsidR="00D94B08" w:rsidRPr="00F33B42" w:rsidRDefault="00D94B08" w:rsidP="00056513">
      <w:pPr>
        <w:spacing w:after="0" w:line="480" w:lineRule="auto"/>
        <w:jc w:val="both"/>
        <w:rPr>
          <w:rFonts w:ascii="Arial" w:hAnsi="Arial" w:cs="Arial"/>
          <w:sz w:val="20"/>
          <w:szCs w:val="20"/>
        </w:rPr>
      </w:pPr>
      <w:r w:rsidRPr="00F33B42">
        <w:rPr>
          <w:rStyle w:val="EndnoteReference"/>
          <w:rFonts w:ascii="Arial" w:hAnsi="Arial" w:cs="Arial"/>
          <w:sz w:val="20"/>
          <w:szCs w:val="20"/>
        </w:rPr>
        <w:endnoteRef/>
      </w:r>
      <w:r w:rsidRPr="00F33B42">
        <w:rPr>
          <w:rFonts w:ascii="Arial" w:hAnsi="Arial" w:cs="Arial"/>
          <w:sz w:val="20"/>
          <w:szCs w:val="20"/>
        </w:rPr>
        <w:t xml:space="preserve"> A, Seldon and P. Snowdon, </w:t>
      </w:r>
      <w:r w:rsidRPr="00F33B42">
        <w:rPr>
          <w:rFonts w:ascii="Arial" w:hAnsi="Arial" w:cs="Arial"/>
          <w:i/>
          <w:sz w:val="20"/>
          <w:szCs w:val="20"/>
        </w:rPr>
        <w:t>Cameron at 10: The Inside Story</w:t>
      </w:r>
      <w:r w:rsidRPr="00F33B42">
        <w:rPr>
          <w:rFonts w:ascii="Arial" w:hAnsi="Arial" w:cs="Arial"/>
          <w:sz w:val="20"/>
          <w:szCs w:val="20"/>
        </w:rPr>
        <w:t>, London: William Collins, 2015.</w:t>
      </w:r>
    </w:p>
  </w:endnote>
  <w:endnote w:id="10">
    <w:p w:rsidR="00D94B08" w:rsidRPr="00F33B42" w:rsidRDefault="00D94B08" w:rsidP="00056513">
      <w:pPr>
        <w:pStyle w:val="EndnoteText"/>
        <w:spacing w:line="480" w:lineRule="auto"/>
        <w:rPr>
          <w:rFonts w:ascii="Arial" w:hAnsi="Arial" w:cs="Arial"/>
        </w:rPr>
      </w:pPr>
      <w:r w:rsidRPr="00F33B42">
        <w:rPr>
          <w:rStyle w:val="EndnoteReference"/>
          <w:rFonts w:ascii="Arial" w:hAnsi="Arial" w:cs="Arial"/>
        </w:rPr>
        <w:endnoteRef/>
      </w:r>
      <w:r w:rsidRPr="00F33B42">
        <w:rPr>
          <w:rFonts w:ascii="Arial" w:hAnsi="Arial" w:cs="Arial"/>
        </w:rPr>
        <w:t xml:space="preserve"> </w:t>
      </w:r>
      <w:r w:rsidRPr="00F33B42">
        <w:rPr>
          <w:rFonts w:ascii="Arial" w:hAnsi="Arial" w:cs="Arial"/>
          <w:lang w:val="en-GB"/>
        </w:rPr>
        <w:t xml:space="preserve">D. Cameron, </w:t>
      </w:r>
      <w:r w:rsidRPr="00F33B42">
        <w:rPr>
          <w:rFonts w:ascii="Arial" w:hAnsi="Arial" w:cs="Arial"/>
        </w:rPr>
        <w:t>The EU is not working and we will change it’, The Daily Telegraph, 15 March, 2014.</w:t>
      </w:r>
    </w:p>
    <w:p w:rsidR="00D94B08" w:rsidRPr="00F33B42" w:rsidRDefault="00D94B08">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320292"/>
      <w:docPartObj>
        <w:docPartGallery w:val="Page Numbers (Bottom of Page)"/>
        <w:docPartUnique/>
      </w:docPartObj>
    </w:sdtPr>
    <w:sdtEndPr>
      <w:rPr>
        <w:noProof/>
      </w:rPr>
    </w:sdtEndPr>
    <w:sdtContent>
      <w:p w:rsidR="008C55B9" w:rsidRDefault="008C55B9">
        <w:pPr>
          <w:pStyle w:val="Footer"/>
          <w:jc w:val="right"/>
        </w:pPr>
        <w:r>
          <w:fldChar w:fldCharType="begin"/>
        </w:r>
        <w:r>
          <w:instrText xml:space="preserve"> PAGE   \* MERGEFORMAT </w:instrText>
        </w:r>
        <w:r>
          <w:fldChar w:fldCharType="separate"/>
        </w:r>
        <w:r w:rsidR="00E32192">
          <w:rPr>
            <w:noProof/>
          </w:rPr>
          <w:t>1</w:t>
        </w:r>
        <w:r>
          <w:rPr>
            <w:noProof/>
          </w:rPr>
          <w:fldChar w:fldCharType="end"/>
        </w:r>
      </w:p>
    </w:sdtContent>
  </w:sdt>
  <w:p w:rsidR="008C55B9" w:rsidRDefault="008C5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2FD" w:rsidRDefault="00B702FD" w:rsidP="00AA2AD6">
      <w:pPr>
        <w:spacing w:after="0" w:line="240" w:lineRule="auto"/>
      </w:pPr>
      <w:r>
        <w:separator/>
      </w:r>
    </w:p>
  </w:footnote>
  <w:footnote w:type="continuationSeparator" w:id="0">
    <w:p w:rsidR="00B702FD" w:rsidRDefault="00B702FD" w:rsidP="00AA2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51E4F"/>
    <w:multiLevelType w:val="multilevel"/>
    <w:tmpl w:val="FAF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DB6"/>
    <w:rsid w:val="00000B6D"/>
    <w:rsid w:val="000079FE"/>
    <w:rsid w:val="000113C6"/>
    <w:rsid w:val="00015BDF"/>
    <w:rsid w:val="0001797D"/>
    <w:rsid w:val="000208BC"/>
    <w:rsid w:val="00031D63"/>
    <w:rsid w:val="00034596"/>
    <w:rsid w:val="00042463"/>
    <w:rsid w:val="00043557"/>
    <w:rsid w:val="00043C0D"/>
    <w:rsid w:val="00052BE0"/>
    <w:rsid w:val="00056513"/>
    <w:rsid w:val="00057D2A"/>
    <w:rsid w:val="00064109"/>
    <w:rsid w:val="00066219"/>
    <w:rsid w:val="00074C37"/>
    <w:rsid w:val="00085C47"/>
    <w:rsid w:val="000A2339"/>
    <w:rsid w:val="000A6CFD"/>
    <w:rsid w:val="000A6FB0"/>
    <w:rsid w:val="000C286B"/>
    <w:rsid w:val="000D0384"/>
    <w:rsid w:val="000D3ADF"/>
    <w:rsid w:val="000D4ABF"/>
    <w:rsid w:val="000D7305"/>
    <w:rsid w:val="000E525C"/>
    <w:rsid w:val="000F2221"/>
    <w:rsid w:val="000F2583"/>
    <w:rsid w:val="000F7EDC"/>
    <w:rsid w:val="00102950"/>
    <w:rsid w:val="00103661"/>
    <w:rsid w:val="001037AA"/>
    <w:rsid w:val="00110C6B"/>
    <w:rsid w:val="00121E9E"/>
    <w:rsid w:val="00124244"/>
    <w:rsid w:val="001314C3"/>
    <w:rsid w:val="00133C3D"/>
    <w:rsid w:val="001375F6"/>
    <w:rsid w:val="0013791D"/>
    <w:rsid w:val="001441D7"/>
    <w:rsid w:val="001530FF"/>
    <w:rsid w:val="001543CB"/>
    <w:rsid w:val="00165623"/>
    <w:rsid w:val="0017007A"/>
    <w:rsid w:val="00170578"/>
    <w:rsid w:val="00172BA9"/>
    <w:rsid w:val="00172EC1"/>
    <w:rsid w:val="00173501"/>
    <w:rsid w:val="00175C25"/>
    <w:rsid w:val="00177C12"/>
    <w:rsid w:val="0018195D"/>
    <w:rsid w:val="00182852"/>
    <w:rsid w:val="001856A4"/>
    <w:rsid w:val="0018720C"/>
    <w:rsid w:val="001A7F4B"/>
    <w:rsid w:val="001B0973"/>
    <w:rsid w:val="001B19BE"/>
    <w:rsid w:val="001B282A"/>
    <w:rsid w:val="001B6CCA"/>
    <w:rsid w:val="001C54C7"/>
    <w:rsid w:val="001D30D2"/>
    <w:rsid w:val="001D7AF8"/>
    <w:rsid w:val="001E64AA"/>
    <w:rsid w:val="001E73DD"/>
    <w:rsid w:val="001F537E"/>
    <w:rsid w:val="00210711"/>
    <w:rsid w:val="00212857"/>
    <w:rsid w:val="00216F5C"/>
    <w:rsid w:val="00224EE7"/>
    <w:rsid w:val="002260FF"/>
    <w:rsid w:val="002314E7"/>
    <w:rsid w:val="002339C3"/>
    <w:rsid w:val="0023736E"/>
    <w:rsid w:val="002413E4"/>
    <w:rsid w:val="00243B63"/>
    <w:rsid w:val="00246106"/>
    <w:rsid w:val="00246C1B"/>
    <w:rsid w:val="0024790D"/>
    <w:rsid w:val="002500C0"/>
    <w:rsid w:val="00251473"/>
    <w:rsid w:val="00251E6C"/>
    <w:rsid w:val="00252839"/>
    <w:rsid w:val="00263239"/>
    <w:rsid w:val="002720EA"/>
    <w:rsid w:val="00273377"/>
    <w:rsid w:val="00277A84"/>
    <w:rsid w:val="0028375F"/>
    <w:rsid w:val="0028397E"/>
    <w:rsid w:val="002852D0"/>
    <w:rsid w:val="00290F0D"/>
    <w:rsid w:val="002937B1"/>
    <w:rsid w:val="002A3EDF"/>
    <w:rsid w:val="002B2065"/>
    <w:rsid w:val="002B4AB2"/>
    <w:rsid w:val="002B4D99"/>
    <w:rsid w:val="002C5636"/>
    <w:rsid w:val="002D211F"/>
    <w:rsid w:val="002E0972"/>
    <w:rsid w:val="002E11A8"/>
    <w:rsid w:val="002E4A26"/>
    <w:rsid w:val="002E4B4F"/>
    <w:rsid w:val="002E553A"/>
    <w:rsid w:val="002E5AD0"/>
    <w:rsid w:val="002F28D9"/>
    <w:rsid w:val="002F3D40"/>
    <w:rsid w:val="00300D17"/>
    <w:rsid w:val="00316453"/>
    <w:rsid w:val="00331847"/>
    <w:rsid w:val="0033774B"/>
    <w:rsid w:val="003413BC"/>
    <w:rsid w:val="00342A2E"/>
    <w:rsid w:val="00342EEF"/>
    <w:rsid w:val="00347F9F"/>
    <w:rsid w:val="003502CE"/>
    <w:rsid w:val="00352FB3"/>
    <w:rsid w:val="00355865"/>
    <w:rsid w:val="0036226B"/>
    <w:rsid w:val="00363CFD"/>
    <w:rsid w:val="00365E2F"/>
    <w:rsid w:val="00375C18"/>
    <w:rsid w:val="0038133B"/>
    <w:rsid w:val="003833BA"/>
    <w:rsid w:val="003870F0"/>
    <w:rsid w:val="00391DF5"/>
    <w:rsid w:val="003955C2"/>
    <w:rsid w:val="003A526B"/>
    <w:rsid w:val="003A571C"/>
    <w:rsid w:val="003A5A45"/>
    <w:rsid w:val="003A610F"/>
    <w:rsid w:val="003B7415"/>
    <w:rsid w:val="003C165D"/>
    <w:rsid w:val="003C2D8E"/>
    <w:rsid w:val="003C6948"/>
    <w:rsid w:val="003C703B"/>
    <w:rsid w:val="003D0339"/>
    <w:rsid w:val="003D1A62"/>
    <w:rsid w:val="003D6E08"/>
    <w:rsid w:val="003E25B1"/>
    <w:rsid w:val="003E316A"/>
    <w:rsid w:val="003F1B83"/>
    <w:rsid w:val="003F6225"/>
    <w:rsid w:val="00401471"/>
    <w:rsid w:val="004064A8"/>
    <w:rsid w:val="0040786B"/>
    <w:rsid w:val="00412065"/>
    <w:rsid w:val="00412F7C"/>
    <w:rsid w:val="004204FF"/>
    <w:rsid w:val="0042181B"/>
    <w:rsid w:val="0042318B"/>
    <w:rsid w:val="00423DAE"/>
    <w:rsid w:val="00436CDB"/>
    <w:rsid w:val="00440FEA"/>
    <w:rsid w:val="00442CCD"/>
    <w:rsid w:val="0044463E"/>
    <w:rsid w:val="00445FB4"/>
    <w:rsid w:val="00446BF7"/>
    <w:rsid w:val="00447A54"/>
    <w:rsid w:val="00451D1D"/>
    <w:rsid w:val="00456704"/>
    <w:rsid w:val="00460DDD"/>
    <w:rsid w:val="004743B5"/>
    <w:rsid w:val="00476D7B"/>
    <w:rsid w:val="00476E15"/>
    <w:rsid w:val="00485521"/>
    <w:rsid w:val="00486359"/>
    <w:rsid w:val="00497471"/>
    <w:rsid w:val="004A3EC3"/>
    <w:rsid w:val="004A5D31"/>
    <w:rsid w:val="004B3DB6"/>
    <w:rsid w:val="004C1E57"/>
    <w:rsid w:val="004C2534"/>
    <w:rsid w:val="004C69E5"/>
    <w:rsid w:val="004C6A68"/>
    <w:rsid w:val="004C6C44"/>
    <w:rsid w:val="004D0238"/>
    <w:rsid w:val="004D3F5F"/>
    <w:rsid w:val="004D792C"/>
    <w:rsid w:val="004E11D9"/>
    <w:rsid w:val="004E2C48"/>
    <w:rsid w:val="004E6FD9"/>
    <w:rsid w:val="004F1AF3"/>
    <w:rsid w:val="004F695F"/>
    <w:rsid w:val="00506092"/>
    <w:rsid w:val="005116E0"/>
    <w:rsid w:val="00511987"/>
    <w:rsid w:val="00526F97"/>
    <w:rsid w:val="005352D5"/>
    <w:rsid w:val="00540A49"/>
    <w:rsid w:val="00543CE1"/>
    <w:rsid w:val="005446C3"/>
    <w:rsid w:val="005474B1"/>
    <w:rsid w:val="00551CF2"/>
    <w:rsid w:val="00551F1E"/>
    <w:rsid w:val="0055472C"/>
    <w:rsid w:val="00556D9D"/>
    <w:rsid w:val="0056018E"/>
    <w:rsid w:val="005610D4"/>
    <w:rsid w:val="00565517"/>
    <w:rsid w:val="00570CE5"/>
    <w:rsid w:val="00574C2B"/>
    <w:rsid w:val="00583A64"/>
    <w:rsid w:val="005847D5"/>
    <w:rsid w:val="00586A70"/>
    <w:rsid w:val="00586FF8"/>
    <w:rsid w:val="00592B73"/>
    <w:rsid w:val="005A0478"/>
    <w:rsid w:val="005A4485"/>
    <w:rsid w:val="005B2F02"/>
    <w:rsid w:val="005B7115"/>
    <w:rsid w:val="005B7596"/>
    <w:rsid w:val="005C1771"/>
    <w:rsid w:val="005C1CEA"/>
    <w:rsid w:val="005C2140"/>
    <w:rsid w:val="005C410F"/>
    <w:rsid w:val="005C65B3"/>
    <w:rsid w:val="005E6170"/>
    <w:rsid w:val="005F3D02"/>
    <w:rsid w:val="00610C52"/>
    <w:rsid w:val="00611918"/>
    <w:rsid w:val="006167BD"/>
    <w:rsid w:val="00623F70"/>
    <w:rsid w:val="00633AB6"/>
    <w:rsid w:val="00637B9E"/>
    <w:rsid w:val="0064539B"/>
    <w:rsid w:val="00645BE8"/>
    <w:rsid w:val="00646A78"/>
    <w:rsid w:val="00661548"/>
    <w:rsid w:val="00672FD6"/>
    <w:rsid w:val="00674D75"/>
    <w:rsid w:val="006825DF"/>
    <w:rsid w:val="00685DA1"/>
    <w:rsid w:val="00690685"/>
    <w:rsid w:val="00694711"/>
    <w:rsid w:val="006A2FBD"/>
    <w:rsid w:val="006A3681"/>
    <w:rsid w:val="006B1822"/>
    <w:rsid w:val="006B3B6D"/>
    <w:rsid w:val="006B3C64"/>
    <w:rsid w:val="006B787D"/>
    <w:rsid w:val="006D151C"/>
    <w:rsid w:val="006D15DA"/>
    <w:rsid w:val="006D4E40"/>
    <w:rsid w:val="006D7372"/>
    <w:rsid w:val="006E6AAE"/>
    <w:rsid w:val="006E7626"/>
    <w:rsid w:val="006F4D6F"/>
    <w:rsid w:val="00701E5E"/>
    <w:rsid w:val="00704FE7"/>
    <w:rsid w:val="00707673"/>
    <w:rsid w:val="00725CEB"/>
    <w:rsid w:val="00725E88"/>
    <w:rsid w:val="007344EE"/>
    <w:rsid w:val="00736F32"/>
    <w:rsid w:val="00743EB5"/>
    <w:rsid w:val="00752546"/>
    <w:rsid w:val="00760615"/>
    <w:rsid w:val="007606D4"/>
    <w:rsid w:val="007652D8"/>
    <w:rsid w:val="0076724F"/>
    <w:rsid w:val="007718C4"/>
    <w:rsid w:val="00772727"/>
    <w:rsid w:val="0077512C"/>
    <w:rsid w:val="0077697E"/>
    <w:rsid w:val="00776CAE"/>
    <w:rsid w:val="00786219"/>
    <w:rsid w:val="00792A0D"/>
    <w:rsid w:val="0079400F"/>
    <w:rsid w:val="00795B45"/>
    <w:rsid w:val="007A2AA0"/>
    <w:rsid w:val="007A3118"/>
    <w:rsid w:val="007B2C3E"/>
    <w:rsid w:val="007D0B82"/>
    <w:rsid w:val="007D2D2F"/>
    <w:rsid w:val="007D40C8"/>
    <w:rsid w:val="007D4F0A"/>
    <w:rsid w:val="007E52ED"/>
    <w:rsid w:val="007E59F0"/>
    <w:rsid w:val="00802A7E"/>
    <w:rsid w:val="00804452"/>
    <w:rsid w:val="008104FB"/>
    <w:rsid w:val="0081128E"/>
    <w:rsid w:val="00822DC4"/>
    <w:rsid w:val="008362C7"/>
    <w:rsid w:val="00837226"/>
    <w:rsid w:val="00841003"/>
    <w:rsid w:val="00841B14"/>
    <w:rsid w:val="00851D57"/>
    <w:rsid w:val="00855070"/>
    <w:rsid w:val="0086366E"/>
    <w:rsid w:val="008664AF"/>
    <w:rsid w:val="008729A2"/>
    <w:rsid w:val="00873F6A"/>
    <w:rsid w:val="008762A6"/>
    <w:rsid w:val="00876695"/>
    <w:rsid w:val="008771E5"/>
    <w:rsid w:val="00882481"/>
    <w:rsid w:val="00890569"/>
    <w:rsid w:val="008A56C3"/>
    <w:rsid w:val="008A6176"/>
    <w:rsid w:val="008B204B"/>
    <w:rsid w:val="008B7CBE"/>
    <w:rsid w:val="008C2713"/>
    <w:rsid w:val="008C4BEF"/>
    <w:rsid w:val="008C55B9"/>
    <w:rsid w:val="008C7DAA"/>
    <w:rsid w:val="008D2E99"/>
    <w:rsid w:val="008D2FCB"/>
    <w:rsid w:val="008D6861"/>
    <w:rsid w:val="008E63F6"/>
    <w:rsid w:val="008F3B68"/>
    <w:rsid w:val="008F4A18"/>
    <w:rsid w:val="008F728D"/>
    <w:rsid w:val="0090340B"/>
    <w:rsid w:val="00924A1A"/>
    <w:rsid w:val="00925910"/>
    <w:rsid w:val="00927D6D"/>
    <w:rsid w:val="009320D0"/>
    <w:rsid w:val="00932682"/>
    <w:rsid w:val="009473A9"/>
    <w:rsid w:val="009538FB"/>
    <w:rsid w:val="0095560C"/>
    <w:rsid w:val="00962E56"/>
    <w:rsid w:val="00970DC8"/>
    <w:rsid w:val="00971C44"/>
    <w:rsid w:val="00977BA8"/>
    <w:rsid w:val="00985D2B"/>
    <w:rsid w:val="009A07F5"/>
    <w:rsid w:val="009A169E"/>
    <w:rsid w:val="009A6386"/>
    <w:rsid w:val="009B4F9A"/>
    <w:rsid w:val="009C5A1D"/>
    <w:rsid w:val="009C5D23"/>
    <w:rsid w:val="009C7211"/>
    <w:rsid w:val="009C78F4"/>
    <w:rsid w:val="009D1949"/>
    <w:rsid w:val="009D368A"/>
    <w:rsid w:val="009D481A"/>
    <w:rsid w:val="009D6885"/>
    <w:rsid w:val="009E4942"/>
    <w:rsid w:val="009E503E"/>
    <w:rsid w:val="009E5F53"/>
    <w:rsid w:val="009F4873"/>
    <w:rsid w:val="009F67A0"/>
    <w:rsid w:val="00A04ED7"/>
    <w:rsid w:val="00A06502"/>
    <w:rsid w:val="00A21A57"/>
    <w:rsid w:val="00A24C05"/>
    <w:rsid w:val="00A272AD"/>
    <w:rsid w:val="00A3237E"/>
    <w:rsid w:val="00A377D1"/>
    <w:rsid w:val="00A4685B"/>
    <w:rsid w:val="00A526AA"/>
    <w:rsid w:val="00A533BB"/>
    <w:rsid w:val="00A624D2"/>
    <w:rsid w:val="00A63E67"/>
    <w:rsid w:val="00A654C8"/>
    <w:rsid w:val="00A70332"/>
    <w:rsid w:val="00A7089E"/>
    <w:rsid w:val="00A70A28"/>
    <w:rsid w:val="00A74E14"/>
    <w:rsid w:val="00A768F8"/>
    <w:rsid w:val="00A8107E"/>
    <w:rsid w:val="00A81974"/>
    <w:rsid w:val="00A81A29"/>
    <w:rsid w:val="00A8249E"/>
    <w:rsid w:val="00A91606"/>
    <w:rsid w:val="00A9700E"/>
    <w:rsid w:val="00AA079C"/>
    <w:rsid w:val="00AA2AD6"/>
    <w:rsid w:val="00AA31AA"/>
    <w:rsid w:val="00AA691E"/>
    <w:rsid w:val="00AA6C5F"/>
    <w:rsid w:val="00AB12EB"/>
    <w:rsid w:val="00AB15D6"/>
    <w:rsid w:val="00AB21C2"/>
    <w:rsid w:val="00AB760C"/>
    <w:rsid w:val="00AB79CA"/>
    <w:rsid w:val="00AC48CD"/>
    <w:rsid w:val="00AD1CDF"/>
    <w:rsid w:val="00AD7CB8"/>
    <w:rsid w:val="00AE4309"/>
    <w:rsid w:val="00AE45BC"/>
    <w:rsid w:val="00AE4804"/>
    <w:rsid w:val="00AF6C07"/>
    <w:rsid w:val="00B01510"/>
    <w:rsid w:val="00B01ACA"/>
    <w:rsid w:val="00B119F9"/>
    <w:rsid w:val="00B11F1D"/>
    <w:rsid w:val="00B21BAF"/>
    <w:rsid w:val="00B22202"/>
    <w:rsid w:val="00B226AB"/>
    <w:rsid w:val="00B42824"/>
    <w:rsid w:val="00B464D0"/>
    <w:rsid w:val="00B46798"/>
    <w:rsid w:val="00B56A99"/>
    <w:rsid w:val="00B5735E"/>
    <w:rsid w:val="00B62924"/>
    <w:rsid w:val="00B641E8"/>
    <w:rsid w:val="00B647DB"/>
    <w:rsid w:val="00B64DD6"/>
    <w:rsid w:val="00B702FD"/>
    <w:rsid w:val="00B72809"/>
    <w:rsid w:val="00B7323A"/>
    <w:rsid w:val="00B74627"/>
    <w:rsid w:val="00B8396A"/>
    <w:rsid w:val="00B91ACD"/>
    <w:rsid w:val="00BA6D2B"/>
    <w:rsid w:val="00BB34B5"/>
    <w:rsid w:val="00BB4230"/>
    <w:rsid w:val="00BB5485"/>
    <w:rsid w:val="00BC4EC3"/>
    <w:rsid w:val="00BD5217"/>
    <w:rsid w:val="00BD79A6"/>
    <w:rsid w:val="00BE0BAA"/>
    <w:rsid w:val="00BF21E9"/>
    <w:rsid w:val="00BF3A96"/>
    <w:rsid w:val="00BF52A2"/>
    <w:rsid w:val="00BF7303"/>
    <w:rsid w:val="00C022A4"/>
    <w:rsid w:val="00C0710D"/>
    <w:rsid w:val="00C1409A"/>
    <w:rsid w:val="00C14976"/>
    <w:rsid w:val="00C22630"/>
    <w:rsid w:val="00C24BAB"/>
    <w:rsid w:val="00C271FE"/>
    <w:rsid w:val="00C27EEB"/>
    <w:rsid w:val="00C35D66"/>
    <w:rsid w:val="00C36709"/>
    <w:rsid w:val="00C41387"/>
    <w:rsid w:val="00C457A7"/>
    <w:rsid w:val="00C65235"/>
    <w:rsid w:val="00C71D14"/>
    <w:rsid w:val="00C7594F"/>
    <w:rsid w:val="00C7705A"/>
    <w:rsid w:val="00C83F36"/>
    <w:rsid w:val="00C900FE"/>
    <w:rsid w:val="00C935BE"/>
    <w:rsid w:val="00C954D7"/>
    <w:rsid w:val="00C96AAC"/>
    <w:rsid w:val="00CA0145"/>
    <w:rsid w:val="00CA1EB9"/>
    <w:rsid w:val="00CA2541"/>
    <w:rsid w:val="00CA3007"/>
    <w:rsid w:val="00CB6182"/>
    <w:rsid w:val="00CB763D"/>
    <w:rsid w:val="00CC146F"/>
    <w:rsid w:val="00CC673E"/>
    <w:rsid w:val="00CD752D"/>
    <w:rsid w:val="00CF2039"/>
    <w:rsid w:val="00CF2BAE"/>
    <w:rsid w:val="00CF3837"/>
    <w:rsid w:val="00D13AA8"/>
    <w:rsid w:val="00D15490"/>
    <w:rsid w:val="00D220D8"/>
    <w:rsid w:val="00D34607"/>
    <w:rsid w:val="00D409BA"/>
    <w:rsid w:val="00D42A6A"/>
    <w:rsid w:val="00D44C39"/>
    <w:rsid w:val="00D626EF"/>
    <w:rsid w:val="00D6699C"/>
    <w:rsid w:val="00D720D3"/>
    <w:rsid w:val="00D76D07"/>
    <w:rsid w:val="00D94B08"/>
    <w:rsid w:val="00D96971"/>
    <w:rsid w:val="00DA38B3"/>
    <w:rsid w:val="00DA521B"/>
    <w:rsid w:val="00DB2FBA"/>
    <w:rsid w:val="00DB603E"/>
    <w:rsid w:val="00DC3DE8"/>
    <w:rsid w:val="00DC51D1"/>
    <w:rsid w:val="00DD0165"/>
    <w:rsid w:val="00DD3085"/>
    <w:rsid w:val="00DE007D"/>
    <w:rsid w:val="00DE3F9D"/>
    <w:rsid w:val="00DE6199"/>
    <w:rsid w:val="00DF0038"/>
    <w:rsid w:val="00DF0C27"/>
    <w:rsid w:val="00DF2387"/>
    <w:rsid w:val="00E10E4F"/>
    <w:rsid w:val="00E153CD"/>
    <w:rsid w:val="00E2165F"/>
    <w:rsid w:val="00E25D11"/>
    <w:rsid w:val="00E32192"/>
    <w:rsid w:val="00E34CF0"/>
    <w:rsid w:val="00E451C1"/>
    <w:rsid w:val="00E506FE"/>
    <w:rsid w:val="00E50E29"/>
    <w:rsid w:val="00E5525B"/>
    <w:rsid w:val="00E55970"/>
    <w:rsid w:val="00E70D20"/>
    <w:rsid w:val="00E76E30"/>
    <w:rsid w:val="00E829BA"/>
    <w:rsid w:val="00E8381C"/>
    <w:rsid w:val="00E85A96"/>
    <w:rsid w:val="00E95D59"/>
    <w:rsid w:val="00EA168A"/>
    <w:rsid w:val="00EA3E33"/>
    <w:rsid w:val="00EA5A7B"/>
    <w:rsid w:val="00EB113A"/>
    <w:rsid w:val="00EB48E0"/>
    <w:rsid w:val="00EC0278"/>
    <w:rsid w:val="00EC6528"/>
    <w:rsid w:val="00ED0525"/>
    <w:rsid w:val="00ED0A36"/>
    <w:rsid w:val="00ED1D1F"/>
    <w:rsid w:val="00ED3158"/>
    <w:rsid w:val="00ED3AA2"/>
    <w:rsid w:val="00ED431B"/>
    <w:rsid w:val="00ED558A"/>
    <w:rsid w:val="00EE781E"/>
    <w:rsid w:val="00EF681C"/>
    <w:rsid w:val="00F025D8"/>
    <w:rsid w:val="00F05500"/>
    <w:rsid w:val="00F0698D"/>
    <w:rsid w:val="00F144D3"/>
    <w:rsid w:val="00F1699E"/>
    <w:rsid w:val="00F302C7"/>
    <w:rsid w:val="00F328CB"/>
    <w:rsid w:val="00F33B42"/>
    <w:rsid w:val="00F351FF"/>
    <w:rsid w:val="00F40154"/>
    <w:rsid w:val="00F456C1"/>
    <w:rsid w:val="00F514D4"/>
    <w:rsid w:val="00F5167E"/>
    <w:rsid w:val="00F54024"/>
    <w:rsid w:val="00F543DF"/>
    <w:rsid w:val="00F56D4E"/>
    <w:rsid w:val="00F66B0A"/>
    <w:rsid w:val="00F70122"/>
    <w:rsid w:val="00F7412D"/>
    <w:rsid w:val="00F77CF1"/>
    <w:rsid w:val="00F83D6A"/>
    <w:rsid w:val="00F95303"/>
    <w:rsid w:val="00F97BC6"/>
    <w:rsid w:val="00FB5BE6"/>
    <w:rsid w:val="00FB778B"/>
    <w:rsid w:val="00FC1977"/>
    <w:rsid w:val="00FC772C"/>
    <w:rsid w:val="00FD56E4"/>
    <w:rsid w:val="00FF13F4"/>
    <w:rsid w:val="00FF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7BFD0-EF7A-474A-A7A2-36D50AA8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45F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D0384"/>
    <w:pPr>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0D0384"/>
    <w:rPr>
      <w:rFonts w:eastAsiaTheme="minorEastAsia"/>
      <w:sz w:val="24"/>
      <w:szCs w:val="24"/>
      <w:lang w:val="en-US"/>
    </w:rPr>
  </w:style>
  <w:style w:type="character" w:styleId="FootnoteReference">
    <w:name w:val="footnote reference"/>
    <w:basedOn w:val="DefaultParagraphFont"/>
    <w:uiPriority w:val="99"/>
    <w:semiHidden/>
    <w:unhideWhenUsed/>
    <w:rsid w:val="00AA2AD6"/>
    <w:rPr>
      <w:vertAlign w:val="superscript"/>
    </w:rPr>
  </w:style>
  <w:style w:type="character" w:customStyle="1" w:styleId="Heading2Char">
    <w:name w:val="Heading 2 Char"/>
    <w:basedOn w:val="DefaultParagraphFont"/>
    <w:link w:val="Heading2"/>
    <w:uiPriority w:val="9"/>
    <w:rsid w:val="00445FB4"/>
    <w:rPr>
      <w:rFonts w:ascii="Times New Roman" w:eastAsia="Times New Roman" w:hAnsi="Times New Roman" w:cs="Times New Roman"/>
      <w:b/>
      <w:bCs/>
      <w:sz w:val="36"/>
      <w:szCs w:val="36"/>
      <w:lang w:eastAsia="en-GB"/>
    </w:rPr>
  </w:style>
  <w:style w:type="character" w:customStyle="1" w:styleId="source">
    <w:name w:val="source"/>
    <w:basedOn w:val="DefaultParagraphFont"/>
    <w:rsid w:val="00445FB4"/>
  </w:style>
  <w:style w:type="character" w:styleId="Hyperlink">
    <w:name w:val="Hyperlink"/>
    <w:basedOn w:val="DefaultParagraphFont"/>
    <w:uiPriority w:val="99"/>
    <w:unhideWhenUsed/>
    <w:rsid w:val="00445FB4"/>
    <w:rPr>
      <w:color w:val="0000FF"/>
      <w:u w:val="single"/>
    </w:rPr>
  </w:style>
  <w:style w:type="character" w:customStyle="1" w:styleId="data-count">
    <w:name w:val="data-count"/>
    <w:basedOn w:val="DefaultParagraphFont"/>
    <w:rsid w:val="00445FB4"/>
  </w:style>
  <w:style w:type="paragraph" w:styleId="NormalWeb">
    <w:name w:val="Normal (Web)"/>
    <w:basedOn w:val="Normal"/>
    <w:uiPriority w:val="99"/>
    <w:semiHidden/>
    <w:unhideWhenUsed/>
    <w:rsid w:val="00445F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1">
    <w:name w:val="Caption1"/>
    <w:basedOn w:val="DefaultParagraphFont"/>
    <w:rsid w:val="00445FB4"/>
  </w:style>
  <w:style w:type="paragraph" w:styleId="EndnoteText">
    <w:name w:val="endnote text"/>
    <w:basedOn w:val="Normal"/>
    <w:link w:val="EndnoteTextChar"/>
    <w:semiHidden/>
    <w:unhideWhenUsed/>
    <w:rsid w:val="00D42A6A"/>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D42A6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42A6A"/>
    <w:rPr>
      <w:vertAlign w:val="superscript"/>
    </w:rPr>
  </w:style>
  <w:style w:type="character" w:customStyle="1" w:styleId="nlmarticle-title">
    <w:name w:val="nlm_article-title"/>
    <w:basedOn w:val="DefaultParagraphFont"/>
    <w:rsid w:val="008F728D"/>
  </w:style>
  <w:style w:type="character" w:customStyle="1" w:styleId="nlmyear">
    <w:name w:val="nlm_year"/>
    <w:basedOn w:val="DefaultParagraphFont"/>
    <w:rsid w:val="008F728D"/>
  </w:style>
  <w:style w:type="paragraph" w:customStyle="1" w:styleId="Default">
    <w:name w:val="Default"/>
    <w:rsid w:val="0056018E"/>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UnresolvedMention">
    <w:name w:val="Unresolved Mention"/>
    <w:basedOn w:val="DefaultParagraphFont"/>
    <w:uiPriority w:val="99"/>
    <w:semiHidden/>
    <w:unhideWhenUsed/>
    <w:rsid w:val="00103661"/>
    <w:rPr>
      <w:color w:val="808080"/>
      <w:shd w:val="clear" w:color="auto" w:fill="E6E6E6"/>
    </w:rPr>
  </w:style>
  <w:style w:type="paragraph" w:styleId="Header">
    <w:name w:val="header"/>
    <w:basedOn w:val="Normal"/>
    <w:link w:val="HeaderChar"/>
    <w:uiPriority w:val="99"/>
    <w:unhideWhenUsed/>
    <w:rsid w:val="00401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471"/>
  </w:style>
  <w:style w:type="paragraph" w:styleId="Footer">
    <w:name w:val="footer"/>
    <w:basedOn w:val="Normal"/>
    <w:link w:val="FooterChar"/>
    <w:uiPriority w:val="99"/>
    <w:unhideWhenUsed/>
    <w:rsid w:val="00401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471"/>
  </w:style>
  <w:style w:type="paragraph" w:styleId="BalloonText">
    <w:name w:val="Balloon Text"/>
    <w:basedOn w:val="Normal"/>
    <w:link w:val="BalloonTextChar"/>
    <w:uiPriority w:val="99"/>
    <w:semiHidden/>
    <w:unhideWhenUsed/>
    <w:rsid w:val="006E6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3322">
      <w:bodyDiv w:val="1"/>
      <w:marLeft w:val="0"/>
      <w:marRight w:val="0"/>
      <w:marTop w:val="0"/>
      <w:marBottom w:val="0"/>
      <w:divBdr>
        <w:top w:val="none" w:sz="0" w:space="0" w:color="auto"/>
        <w:left w:val="none" w:sz="0" w:space="0" w:color="auto"/>
        <w:bottom w:val="none" w:sz="0" w:space="0" w:color="auto"/>
        <w:right w:val="none" w:sz="0" w:space="0" w:color="auto"/>
      </w:divBdr>
      <w:divsChild>
        <w:div w:id="96953218">
          <w:marLeft w:val="0"/>
          <w:marRight w:val="0"/>
          <w:marTop w:val="0"/>
          <w:marBottom w:val="0"/>
          <w:divBdr>
            <w:top w:val="none" w:sz="0" w:space="0" w:color="auto"/>
            <w:left w:val="none" w:sz="0" w:space="0" w:color="auto"/>
            <w:bottom w:val="none" w:sz="0" w:space="0" w:color="auto"/>
            <w:right w:val="none" w:sz="0" w:space="0" w:color="auto"/>
          </w:divBdr>
        </w:div>
      </w:divsChild>
    </w:div>
    <w:div w:id="259143797">
      <w:bodyDiv w:val="1"/>
      <w:marLeft w:val="0"/>
      <w:marRight w:val="0"/>
      <w:marTop w:val="0"/>
      <w:marBottom w:val="0"/>
      <w:divBdr>
        <w:top w:val="none" w:sz="0" w:space="0" w:color="auto"/>
        <w:left w:val="none" w:sz="0" w:space="0" w:color="auto"/>
        <w:bottom w:val="none" w:sz="0" w:space="0" w:color="auto"/>
        <w:right w:val="none" w:sz="0" w:space="0" w:color="auto"/>
      </w:divBdr>
      <w:divsChild>
        <w:div w:id="548541742">
          <w:marLeft w:val="0"/>
          <w:marRight w:val="0"/>
          <w:marTop w:val="280"/>
          <w:marBottom w:val="280"/>
          <w:divBdr>
            <w:top w:val="none" w:sz="0" w:space="0" w:color="auto"/>
            <w:left w:val="none" w:sz="0" w:space="0" w:color="auto"/>
            <w:bottom w:val="none" w:sz="0" w:space="0" w:color="auto"/>
            <w:right w:val="none" w:sz="0" w:space="0" w:color="auto"/>
          </w:divBdr>
        </w:div>
      </w:divsChild>
    </w:div>
    <w:div w:id="343870840">
      <w:bodyDiv w:val="1"/>
      <w:marLeft w:val="0"/>
      <w:marRight w:val="0"/>
      <w:marTop w:val="0"/>
      <w:marBottom w:val="0"/>
      <w:divBdr>
        <w:top w:val="none" w:sz="0" w:space="0" w:color="auto"/>
        <w:left w:val="none" w:sz="0" w:space="0" w:color="auto"/>
        <w:bottom w:val="none" w:sz="0" w:space="0" w:color="auto"/>
        <w:right w:val="none" w:sz="0" w:space="0" w:color="auto"/>
      </w:divBdr>
      <w:divsChild>
        <w:div w:id="1763867393">
          <w:marLeft w:val="0"/>
          <w:marRight w:val="0"/>
          <w:marTop w:val="0"/>
          <w:marBottom w:val="0"/>
          <w:divBdr>
            <w:top w:val="none" w:sz="0" w:space="0" w:color="auto"/>
            <w:left w:val="none" w:sz="0" w:space="0" w:color="auto"/>
            <w:bottom w:val="none" w:sz="0" w:space="0" w:color="auto"/>
            <w:right w:val="none" w:sz="0" w:space="0" w:color="auto"/>
          </w:divBdr>
        </w:div>
      </w:divsChild>
    </w:div>
    <w:div w:id="458383503">
      <w:bodyDiv w:val="1"/>
      <w:marLeft w:val="0"/>
      <w:marRight w:val="0"/>
      <w:marTop w:val="0"/>
      <w:marBottom w:val="0"/>
      <w:divBdr>
        <w:top w:val="none" w:sz="0" w:space="0" w:color="auto"/>
        <w:left w:val="none" w:sz="0" w:space="0" w:color="auto"/>
        <w:bottom w:val="none" w:sz="0" w:space="0" w:color="auto"/>
        <w:right w:val="none" w:sz="0" w:space="0" w:color="auto"/>
      </w:divBdr>
      <w:divsChild>
        <w:div w:id="591011779">
          <w:marLeft w:val="0"/>
          <w:marRight w:val="0"/>
          <w:marTop w:val="0"/>
          <w:marBottom w:val="0"/>
          <w:divBdr>
            <w:top w:val="none" w:sz="0" w:space="0" w:color="auto"/>
            <w:left w:val="none" w:sz="0" w:space="0" w:color="auto"/>
            <w:bottom w:val="none" w:sz="0" w:space="0" w:color="auto"/>
            <w:right w:val="none" w:sz="0" w:space="0" w:color="auto"/>
          </w:divBdr>
        </w:div>
      </w:divsChild>
    </w:div>
    <w:div w:id="569266861">
      <w:bodyDiv w:val="1"/>
      <w:marLeft w:val="0"/>
      <w:marRight w:val="0"/>
      <w:marTop w:val="0"/>
      <w:marBottom w:val="0"/>
      <w:divBdr>
        <w:top w:val="none" w:sz="0" w:space="0" w:color="auto"/>
        <w:left w:val="none" w:sz="0" w:space="0" w:color="auto"/>
        <w:bottom w:val="none" w:sz="0" w:space="0" w:color="auto"/>
        <w:right w:val="none" w:sz="0" w:space="0" w:color="auto"/>
      </w:divBdr>
      <w:divsChild>
        <w:div w:id="289484404">
          <w:marLeft w:val="0"/>
          <w:marRight w:val="0"/>
          <w:marTop w:val="0"/>
          <w:marBottom w:val="0"/>
          <w:divBdr>
            <w:top w:val="none" w:sz="0" w:space="0" w:color="auto"/>
            <w:left w:val="none" w:sz="0" w:space="0" w:color="auto"/>
            <w:bottom w:val="none" w:sz="0" w:space="0" w:color="auto"/>
            <w:right w:val="none" w:sz="0" w:space="0" w:color="auto"/>
          </w:divBdr>
        </w:div>
      </w:divsChild>
    </w:div>
    <w:div w:id="598610611">
      <w:bodyDiv w:val="1"/>
      <w:marLeft w:val="0"/>
      <w:marRight w:val="0"/>
      <w:marTop w:val="0"/>
      <w:marBottom w:val="0"/>
      <w:divBdr>
        <w:top w:val="none" w:sz="0" w:space="0" w:color="auto"/>
        <w:left w:val="none" w:sz="0" w:space="0" w:color="auto"/>
        <w:bottom w:val="none" w:sz="0" w:space="0" w:color="auto"/>
        <w:right w:val="none" w:sz="0" w:space="0" w:color="auto"/>
      </w:divBdr>
      <w:divsChild>
        <w:div w:id="552231724">
          <w:marLeft w:val="0"/>
          <w:marRight w:val="0"/>
          <w:marTop w:val="0"/>
          <w:marBottom w:val="0"/>
          <w:divBdr>
            <w:top w:val="none" w:sz="0" w:space="0" w:color="auto"/>
            <w:left w:val="none" w:sz="0" w:space="0" w:color="auto"/>
            <w:bottom w:val="none" w:sz="0" w:space="0" w:color="auto"/>
            <w:right w:val="none" w:sz="0" w:space="0" w:color="auto"/>
          </w:divBdr>
        </w:div>
      </w:divsChild>
    </w:div>
    <w:div w:id="663433948">
      <w:bodyDiv w:val="1"/>
      <w:marLeft w:val="0"/>
      <w:marRight w:val="0"/>
      <w:marTop w:val="0"/>
      <w:marBottom w:val="0"/>
      <w:divBdr>
        <w:top w:val="none" w:sz="0" w:space="0" w:color="auto"/>
        <w:left w:val="none" w:sz="0" w:space="0" w:color="auto"/>
        <w:bottom w:val="none" w:sz="0" w:space="0" w:color="auto"/>
        <w:right w:val="none" w:sz="0" w:space="0" w:color="auto"/>
      </w:divBdr>
      <w:divsChild>
        <w:div w:id="191766097">
          <w:marLeft w:val="0"/>
          <w:marRight w:val="0"/>
          <w:marTop w:val="0"/>
          <w:marBottom w:val="0"/>
          <w:divBdr>
            <w:top w:val="none" w:sz="0" w:space="0" w:color="auto"/>
            <w:left w:val="none" w:sz="0" w:space="0" w:color="auto"/>
            <w:bottom w:val="none" w:sz="0" w:space="0" w:color="auto"/>
            <w:right w:val="none" w:sz="0" w:space="0" w:color="auto"/>
          </w:divBdr>
        </w:div>
      </w:divsChild>
    </w:div>
    <w:div w:id="711806804">
      <w:bodyDiv w:val="1"/>
      <w:marLeft w:val="0"/>
      <w:marRight w:val="0"/>
      <w:marTop w:val="0"/>
      <w:marBottom w:val="0"/>
      <w:divBdr>
        <w:top w:val="none" w:sz="0" w:space="0" w:color="auto"/>
        <w:left w:val="none" w:sz="0" w:space="0" w:color="auto"/>
        <w:bottom w:val="none" w:sz="0" w:space="0" w:color="auto"/>
        <w:right w:val="none" w:sz="0" w:space="0" w:color="auto"/>
      </w:divBdr>
      <w:divsChild>
        <w:div w:id="1498105929">
          <w:marLeft w:val="0"/>
          <w:marRight w:val="0"/>
          <w:marTop w:val="0"/>
          <w:marBottom w:val="0"/>
          <w:divBdr>
            <w:top w:val="none" w:sz="0" w:space="0" w:color="auto"/>
            <w:left w:val="none" w:sz="0" w:space="0" w:color="auto"/>
            <w:bottom w:val="none" w:sz="0" w:space="0" w:color="auto"/>
            <w:right w:val="none" w:sz="0" w:space="0" w:color="auto"/>
          </w:divBdr>
        </w:div>
      </w:divsChild>
    </w:div>
    <w:div w:id="792752573">
      <w:bodyDiv w:val="1"/>
      <w:marLeft w:val="0"/>
      <w:marRight w:val="0"/>
      <w:marTop w:val="0"/>
      <w:marBottom w:val="0"/>
      <w:divBdr>
        <w:top w:val="none" w:sz="0" w:space="0" w:color="auto"/>
        <w:left w:val="none" w:sz="0" w:space="0" w:color="auto"/>
        <w:bottom w:val="none" w:sz="0" w:space="0" w:color="auto"/>
        <w:right w:val="none" w:sz="0" w:space="0" w:color="auto"/>
      </w:divBdr>
      <w:divsChild>
        <w:div w:id="1870534315">
          <w:marLeft w:val="0"/>
          <w:marRight w:val="0"/>
          <w:marTop w:val="0"/>
          <w:marBottom w:val="0"/>
          <w:divBdr>
            <w:top w:val="none" w:sz="0" w:space="0" w:color="auto"/>
            <w:left w:val="none" w:sz="0" w:space="0" w:color="auto"/>
            <w:bottom w:val="none" w:sz="0" w:space="0" w:color="auto"/>
            <w:right w:val="none" w:sz="0" w:space="0" w:color="auto"/>
          </w:divBdr>
        </w:div>
      </w:divsChild>
    </w:div>
    <w:div w:id="866287468">
      <w:bodyDiv w:val="1"/>
      <w:marLeft w:val="0"/>
      <w:marRight w:val="0"/>
      <w:marTop w:val="0"/>
      <w:marBottom w:val="0"/>
      <w:divBdr>
        <w:top w:val="none" w:sz="0" w:space="0" w:color="auto"/>
        <w:left w:val="none" w:sz="0" w:space="0" w:color="auto"/>
        <w:bottom w:val="none" w:sz="0" w:space="0" w:color="auto"/>
        <w:right w:val="none" w:sz="0" w:space="0" w:color="auto"/>
      </w:divBdr>
      <w:divsChild>
        <w:div w:id="475411197">
          <w:marLeft w:val="0"/>
          <w:marRight w:val="0"/>
          <w:marTop w:val="0"/>
          <w:marBottom w:val="0"/>
          <w:divBdr>
            <w:top w:val="none" w:sz="0" w:space="0" w:color="auto"/>
            <w:left w:val="none" w:sz="0" w:space="0" w:color="auto"/>
            <w:bottom w:val="none" w:sz="0" w:space="0" w:color="auto"/>
            <w:right w:val="none" w:sz="0" w:space="0" w:color="auto"/>
          </w:divBdr>
        </w:div>
      </w:divsChild>
    </w:div>
    <w:div w:id="935671275">
      <w:bodyDiv w:val="1"/>
      <w:marLeft w:val="0"/>
      <w:marRight w:val="0"/>
      <w:marTop w:val="0"/>
      <w:marBottom w:val="0"/>
      <w:divBdr>
        <w:top w:val="none" w:sz="0" w:space="0" w:color="auto"/>
        <w:left w:val="none" w:sz="0" w:space="0" w:color="auto"/>
        <w:bottom w:val="none" w:sz="0" w:space="0" w:color="auto"/>
        <w:right w:val="none" w:sz="0" w:space="0" w:color="auto"/>
      </w:divBdr>
      <w:divsChild>
        <w:div w:id="821236141">
          <w:marLeft w:val="0"/>
          <w:marRight w:val="0"/>
          <w:marTop w:val="0"/>
          <w:marBottom w:val="0"/>
          <w:divBdr>
            <w:top w:val="none" w:sz="0" w:space="0" w:color="auto"/>
            <w:left w:val="none" w:sz="0" w:space="0" w:color="auto"/>
            <w:bottom w:val="none" w:sz="0" w:space="0" w:color="auto"/>
            <w:right w:val="none" w:sz="0" w:space="0" w:color="auto"/>
          </w:divBdr>
        </w:div>
      </w:divsChild>
    </w:div>
    <w:div w:id="1255744424">
      <w:bodyDiv w:val="1"/>
      <w:marLeft w:val="0"/>
      <w:marRight w:val="0"/>
      <w:marTop w:val="0"/>
      <w:marBottom w:val="0"/>
      <w:divBdr>
        <w:top w:val="none" w:sz="0" w:space="0" w:color="auto"/>
        <w:left w:val="none" w:sz="0" w:space="0" w:color="auto"/>
        <w:bottom w:val="none" w:sz="0" w:space="0" w:color="auto"/>
        <w:right w:val="none" w:sz="0" w:space="0" w:color="auto"/>
      </w:divBdr>
      <w:divsChild>
        <w:div w:id="58477462">
          <w:marLeft w:val="0"/>
          <w:marRight w:val="0"/>
          <w:marTop w:val="0"/>
          <w:marBottom w:val="0"/>
          <w:divBdr>
            <w:top w:val="none" w:sz="0" w:space="0" w:color="auto"/>
            <w:left w:val="none" w:sz="0" w:space="0" w:color="auto"/>
            <w:bottom w:val="none" w:sz="0" w:space="0" w:color="auto"/>
            <w:right w:val="none" w:sz="0" w:space="0" w:color="auto"/>
          </w:divBdr>
        </w:div>
      </w:divsChild>
    </w:div>
    <w:div w:id="1313217917">
      <w:bodyDiv w:val="1"/>
      <w:marLeft w:val="0"/>
      <w:marRight w:val="0"/>
      <w:marTop w:val="0"/>
      <w:marBottom w:val="0"/>
      <w:divBdr>
        <w:top w:val="none" w:sz="0" w:space="0" w:color="auto"/>
        <w:left w:val="none" w:sz="0" w:space="0" w:color="auto"/>
        <w:bottom w:val="none" w:sz="0" w:space="0" w:color="auto"/>
        <w:right w:val="none" w:sz="0" w:space="0" w:color="auto"/>
      </w:divBdr>
      <w:divsChild>
        <w:div w:id="1170874249">
          <w:marLeft w:val="0"/>
          <w:marRight w:val="0"/>
          <w:marTop w:val="0"/>
          <w:marBottom w:val="0"/>
          <w:divBdr>
            <w:top w:val="none" w:sz="0" w:space="0" w:color="auto"/>
            <w:left w:val="none" w:sz="0" w:space="0" w:color="auto"/>
            <w:bottom w:val="none" w:sz="0" w:space="0" w:color="auto"/>
            <w:right w:val="none" w:sz="0" w:space="0" w:color="auto"/>
          </w:divBdr>
        </w:div>
      </w:divsChild>
    </w:div>
    <w:div w:id="1567883352">
      <w:bodyDiv w:val="1"/>
      <w:marLeft w:val="0"/>
      <w:marRight w:val="0"/>
      <w:marTop w:val="0"/>
      <w:marBottom w:val="0"/>
      <w:divBdr>
        <w:top w:val="none" w:sz="0" w:space="0" w:color="auto"/>
        <w:left w:val="none" w:sz="0" w:space="0" w:color="auto"/>
        <w:bottom w:val="none" w:sz="0" w:space="0" w:color="auto"/>
        <w:right w:val="none" w:sz="0" w:space="0" w:color="auto"/>
      </w:divBdr>
      <w:divsChild>
        <w:div w:id="1229994614">
          <w:marLeft w:val="0"/>
          <w:marRight w:val="0"/>
          <w:marTop w:val="0"/>
          <w:marBottom w:val="0"/>
          <w:divBdr>
            <w:top w:val="none" w:sz="0" w:space="0" w:color="auto"/>
            <w:left w:val="none" w:sz="0" w:space="0" w:color="auto"/>
            <w:bottom w:val="none" w:sz="0" w:space="0" w:color="auto"/>
            <w:right w:val="none" w:sz="0" w:space="0" w:color="auto"/>
          </w:divBdr>
        </w:div>
      </w:divsChild>
    </w:div>
    <w:div w:id="1793205346">
      <w:bodyDiv w:val="1"/>
      <w:marLeft w:val="0"/>
      <w:marRight w:val="0"/>
      <w:marTop w:val="0"/>
      <w:marBottom w:val="0"/>
      <w:divBdr>
        <w:top w:val="none" w:sz="0" w:space="0" w:color="auto"/>
        <w:left w:val="none" w:sz="0" w:space="0" w:color="auto"/>
        <w:bottom w:val="none" w:sz="0" w:space="0" w:color="auto"/>
        <w:right w:val="none" w:sz="0" w:space="0" w:color="auto"/>
      </w:divBdr>
      <w:divsChild>
        <w:div w:id="1499883940">
          <w:marLeft w:val="0"/>
          <w:marRight w:val="0"/>
          <w:marTop w:val="0"/>
          <w:marBottom w:val="0"/>
          <w:divBdr>
            <w:top w:val="none" w:sz="0" w:space="0" w:color="auto"/>
            <w:left w:val="none" w:sz="0" w:space="0" w:color="auto"/>
            <w:bottom w:val="none" w:sz="0" w:space="0" w:color="auto"/>
            <w:right w:val="none" w:sz="0" w:space="0" w:color="auto"/>
          </w:divBdr>
        </w:div>
      </w:divsChild>
    </w:div>
    <w:div w:id="1872259784">
      <w:bodyDiv w:val="1"/>
      <w:marLeft w:val="0"/>
      <w:marRight w:val="0"/>
      <w:marTop w:val="0"/>
      <w:marBottom w:val="0"/>
      <w:divBdr>
        <w:top w:val="none" w:sz="0" w:space="0" w:color="auto"/>
        <w:left w:val="none" w:sz="0" w:space="0" w:color="auto"/>
        <w:bottom w:val="none" w:sz="0" w:space="0" w:color="auto"/>
        <w:right w:val="none" w:sz="0" w:space="0" w:color="auto"/>
      </w:divBdr>
      <w:divsChild>
        <w:div w:id="1635793226">
          <w:marLeft w:val="0"/>
          <w:marRight w:val="0"/>
          <w:marTop w:val="0"/>
          <w:marBottom w:val="0"/>
          <w:divBdr>
            <w:top w:val="none" w:sz="0" w:space="0" w:color="auto"/>
            <w:left w:val="none" w:sz="0" w:space="0" w:color="auto"/>
            <w:bottom w:val="none" w:sz="0" w:space="0" w:color="auto"/>
            <w:right w:val="none" w:sz="0" w:space="0" w:color="auto"/>
          </w:divBdr>
        </w:div>
      </w:divsChild>
    </w:div>
    <w:div w:id="1901594459">
      <w:bodyDiv w:val="1"/>
      <w:marLeft w:val="0"/>
      <w:marRight w:val="0"/>
      <w:marTop w:val="0"/>
      <w:marBottom w:val="0"/>
      <w:divBdr>
        <w:top w:val="none" w:sz="0" w:space="0" w:color="auto"/>
        <w:left w:val="none" w:sz="0" w:space="0" w:color="auto"/>
        <w:bottom w:val="none" w:sz="0" w:space="0" w:color="auto"/>
        <w:right w:val="none" w:sz="0" w:space="0" w:color="auto"/>
      </w:divBdr>
      <w:divsChild>
        <w:div w:id="1109356384">
          <w:marLeft w:val="0"/>
          <w:marRight w:val="0"/>
          <w:marTop w:val="0"/>
          <w:marBottom w:val="0"/>
          <w:divBdr>
            <w:top w:val="none" w:sz="0" w:space="0" w:color="auto"/>
            <w:left w:val="none" w:sz="0" w:space="0" w:color="auto"/>
            <w:bottom w:val="none" w:sz="0" w:space="0" w:color="auto"/>
            <w:right w:val="none" w:sz="0" w:space="0" w:color="auto"/>
          </w:divBdr>
        </w:div>
      </w:divsChild>
    </w:div>
    <w:div w:id="1924875338">
      <w:bodyDiv w:val="1"/>
      <w:marLeft w:val="0"/>
      <w:marRight w:val="0"/>
      <w:marTop w:val="0"/>
      <w:marBottom w:val="0"/>
      <w:divBdr>
        <w:top w:val="none" w:sz="0" w:space="0" w:color="auto"/>
        <w:left w:val="none" w:sz="0" w:space="0" w:color="auto"/>
        <w:bottom w:val="none" w:sz="0" w:space="0" w:color="auto"/>
        <w:right w:val="none" w:sz="0" w:space="0" w:color="auto"/>
      </w:divBdr>
    </w:div>
    <w:div w:id="2014604816">
      <w:bodyDiv w:val="1"/>
      <w:marLeft w:val="0"/>
      <w:marRight w:val="0"/>
      <w:marTop w:val="0"/>
      <w:marBottom w:val="0"/>
      <w:divBdr>
        <w:top w:val="none" w:sz="0" w:space="0" w:color="auto"/>
        <w:left w:val="none" w:sz="0" w:space="0" w:color="auto"/>
        <w:bottom w:val="none" w:sz="0" w:space="0" w:color="auto"/>
        <w:right w:val="none" w:sz="0" w:space="0" w:color="auto"/>
      </w:divBdr>
      <w:divsChild>
        <w:div w:id="1876458237">
          <w:marLeft w:val="0"/>
          <w:marRight w:val="0"/>
          <w:marTop w:val="0"/>
          <w:marBottom w:val="0"/>
          <w:divBdr>
            <w:top w:val="none" w:sz="0" w:space="0" w:color="auto"/>
            <w:left w:val="none" w:sz="0" w:space="0" w:color="auto"/>
            <w:bottom w:val="none" w:sz="0" w:space="0" w:color="auto"/>
            <w:right w:val="none" w:sz="0" w:space="0" w:color="auto"/>
          </w:divBdr>
        </w:div>
      </w:divsChild>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sChild>
        <w:div w:id="1708799200">
          <w:marLeft w:val="0"/>
          <w:marRight w:val="0"/>
          <w:marTop w:val="0"/>
          <w:marBottom w:val="0"/>
          <w:divBdr>
            <w:top w:val="none" w:sz="0" w:space="0" w:color="auto"/>
            <w:left w:val="none" w:sz="0" w:space="0" w:color="auto"/>
            <w:bottom w:val="none" w:sz="0" w:space="0" w:color="auto"/>
            <w:right w:val="none" w:sz="0" w:space="0" w:color="auto"/>
          </w:divBdr>
          <w:divsChild>
            <w:div w:id="189034121">
              <w:marLeft w:val="0"/>
              <w:marRight w:val="0"/>
              <w:marTop w:val="0"/>
              <w:marBottom w:val="0"/>
              <w:divBdr>
                <w:top w:val="none" w:sz="0" w:space="0" w:color="auto"/>
                <w:left w:val="none" w:sz="0" w:space="0" w:color="auto"/>
                <w:bottom w:val="none" w:sz="0" w:space="0" w:color="auto"/>
                <w:right w:val="none" w:sz="0" w:space="0" w:color="auto"/>
              </w:divBdr>
            </w:div>
            <w:div w:id="7002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497">
      <w:bodyDiv w:val="1"/>
      <w:marLeft w:val="0"/>
      <w:marRight w:val="0"/>
      <w:marTop w:val="0"/>
      <w:marBottom w:val="0"/>
      <w:divBdr>
        <w:top w:val="none" w:sz="0" w:space="0" w:color="auto"/>
        <w:left w:val="none" w:sz="0" w:space="0" w:color="auto"/>
        <w:bottom w:val="none" w:sz="0" w:space="0" w:color="auto"/>
        <w:right w:val="none" w:sz="0" w:space="0" w:color="auto"/>
      </w:divBdr>
      <w:divsChild>
        <w:div w:id="1502965778">
          <w:marLeft w:val="0"/>
          <w:marRight w:val="0"/>
          <w:marTop w:val="0"/>
          <w:marBottom w:val="0"/>
          <w:divBdr>
            <w:top w:val="none" w:sz="0" w:space="0" w:color="auto"/>
            <w:left w:val="none" w:sz="0" w:space="0" w:color="auto"/>
            <w:bottom w:val="none" w:sz="0" w:space="0" w:color="auto"/>
            <w:right w:val="none" w:sz="0" w:space="0" w:color="auto"/>
          </w:divBdr>
        </w:div>
      </w:divsChild>
    </w:div>
    <w:div w:id="2137554811">
      <w:bodyDiv w:val="1"/>
      <w:marLeft w:val="0"/>
      <w:marRight w:val="0"/>
      <w:marTop w:val="0"/>
      <w:marBottom w:val="0"/>
      <w:divBdr>
        <w:top w:val="none" w:sz="0" w:space="0" w:color="auto"/>
        <w:left w:val="none" w:sz="0" w:space="0" w:color="auto"/>
        <w:bottom w:val="none" w:sz="0" w:space="0" w:color="auto"/>
        <w:right w:val="none" w:sz="0" w:space="0" w:color="auto"/>
      </w:divBdr>
      <w:divsChild>
        <w:div w:id="115318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lencross@as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blogs.lse.ac.uk/brexit/2017/10/23/europeans-support-the-eus-hard-line-in-the-brexit-negotiations/" TargetMode="External"/><Relationship Id="rId1" Type="http://schemas.openxmlformats.org/officeDocument/2006/relationships/hyperlink" Target="http://www.consilium.europa.eu/en/press/press-releases/2017/04/29/euco-brexi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8E99E-4070-4186-94CA-6145493B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dc:creator>
  <cp:keywords/>
  <dc:description/>
  <cp:lastModifiedBy>Stork, Leigh</cp:lastModifiedBy>
  <cp:revision>2</cp:revision>
  <dcterms:created xsi:type="dcterms:W3CDTF">2018-05-17T09:01:00Z</dcterms:created>
  <dcterms:modified xsi:type="dcterms:W3CDTF">2018-05-17T09:01:00Z</dcterms:modified>
</cp:coreProperties>
</file>