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AF" w:rsidRDefault="00ED73A4">
      <w:pPr>
        <w:spacing w:line="276" w:lineRule="auto"/>
        <w:jc w:val="both"/>
        <w:rPr>
          <w:b/>
          <w:lang w:val="en-GB"/>
        </w:rPr>
      </w:pPr>
      <w:r>
        <w:rPr>
          <w:b/>
          <w:lang w:val="en-GB"/>
        </w:rPr>
        <w:t>Cover sheet</w:t>
      </w:r>
    </w:p>
    <w:p w:rsidR="00A87EAF" w:rsidRDefault="00A87EAF">
      <w:pPr>
        <w:spacing w:line="276" w:lineRule="auto"/>
        <w:jc w:val="both"/>
        <w:rPr>
          <w:b/>
          <w:lang w:val="en-GB"/>
        </w:rPr>
      </w:pPr>
    </w:p>
    <w:p w:rsidR="00A87EAF" w:rsidRDefault="00ED73A4">
      <w:pPr>
        <w:spacing w:line="276" w:lineRule="auto"/>
        <w:jc w:val="both"/>
        <w:rPr>
          <w:b/>
          <w:i/>
          <w:lang w:val="en-GB"/>
        </w:rPr>
      </w:pPr>
      <w:r>
        <w:rPr>
          <w:b/>
          <w:lang w:val="en-GB"/>
        </w:rPr>
        <w:t xml:space="preserve">For </w:t>
      </w:r>
      <w:r w:rsidRPr="0026438F">
        <w:rPr>
          <w:b/>
          <w:i/>
          <w:lang w:val="en-GB"/>
        </w:rPr>
        <w:t>JCMS Annual Review</w:t>
      </w:r>
      <w:r>
        <w:rPr>
          <w:b/>
          <w:i/>
          <w:lang w:val="en-GB"/>
        </w:rPr>
        <w:t xml:space="preserve"> of the European Union</w:t>
      </w:r>
    </w:p>
    <w:p w:rsidR="00A87EAF" w:rsidRDefault="00A87EAF">
      <w:pPr>
        <w:spacing w:line="276" w:lineRule="auto"/>
        <w:jc w:val="both"/>
        <w:rPr>
          <w:b/>
          <w:lang w:val="en-GB"/>
        </w:rPr>
      </w:pPr>
    </w:p>
    <w:p w:rsidR="00A87EAF" w:rsidRDefault="00A87EAF">
      <w:pPr>
        <w:spacing w:line="276" w:lineRule="auto"/>
        <w:jc w:val="both"/>
        <w:rPr>
          <w:b/>
          <w:lang w:val="en-GB"/>
        </w:rPr>
      </w:pPr>
    </w:p>
    <w:p w:rsidR="00A87EAF" w:rsidRDefault="00A87EAF">
      <w:pPr>
        <w:spacing w:line="276" w:lineRule="auto"/>
        <w:jc w:val="both"/>
        <w:rPr>
          <w:b/>
          <w:lang w:val="en-GB"/>
        </w:rPr>
      </w:pPr>
    </w:p>
    <w:p w:rsidR="00A87EAF" w:rsidRDefault="00B028F6">
      <w:pPr>
        <w:spacing w:line="276" w:lineRule="auto"/>
        <w:jc w:val="both"/>
        <w:rPr>
          <w:b/>
          <w:lang w:val="en-GB"/>
        </w:rPr>
      </w:pPr>
      <w:r w:rsidRPr="00184430">
        <w:rPr>
          <w:b/>
          <w:lang w:val="en-GB"/>
        </w:rPr>
        <w:t>The European Economy in 2014: Fragile Recovery</w:t>
      </w:r>
      <w:r>
        <w:rPr>
          <w:b/>
          <w:lang w:val="en-GB"/>
        </w:rPr>
        <w:t xml:space="preserve"> and Convergence</w:t>
      </w:r>
    </w:p>
    <w:p w:rsidR="00A87EAF" w:rsidRDefault="00A87EAF">
      <w:pPr>
        <w:spacing w:line="276" w:lineRule="auto"/>
        <w:jc w:val="both"/>
        <w:rPr>
          <w:b/>
          <w:lang w:val="en-GB"/>
        </w:rPr>
      </w:pPr>
    </w:p>
    <w:p w:rsidR="00A87EAF" w:rsidRDefault="00B028F6">
      <w:pPr>
        <w:spacing w:line="276" w:lineRule="auto"/>
        <w:jc w:val="both"/>
        <w:rPr>
          <w:lang w:val="en-GB"/>
        </w:rPr>
      </w:pPr>
      <w:r w:rsidRPr="00184430">
        <w:rPr>
          <w:lang w:val="en-GB"/>
        </w:rPr>
        <w:t>ISTVAN BENCZES</w:t>
      </w:r>
      <w:r>
        <w:rPr>
          <w:lang w:val="en-GB"/>
        </w:rPr>
        <w:t xml:space="preserve"> </w:t>
      </w:r>
      <w:r>
        <w:rPr>
          <w:vertAlign w:val="superscript"/>
          <w:lang w:val="en-GB"/>
        </w:rPr>
        <w:t>a</w:t>
      </w:r>
      <w:r w:rsidRPr="00184430">
        <w:rPr>
          <w:lang w:val="en-GB"/>
        </w:rPr>
        <w:t xml:space="preserve"> and BALAZS SZENT-IVANYI</w:t>
      </w:r>
      <w:r>
        <w:rPr>
          <w:lang w:val="en-GB"/>
        </w:rPr>
        <w:t xml:space="preserve"> </w:t>
      </w:r>
      <w:r>
        <w:rPr>
          <w:vertAlign w:val="superscript"/>
          <w:lang w:val="en-GB"/>
        </w:rPr>
        <w:t>b</w:t>
      </w:r>
    </w:p>
    <w:p w:rsidR="00A87EAF" w:rsidRDefault="00A87EAF">
      <w:pPr>
        <w:spacing w:line="276" w:lineRule="auto"/>
        <w:jc w:val="both"/>
        <w:rPr>
          <w:b/>
          <w:lang w:val="fr-BE"/>
        </w:rPr>
      </w:pPr>
    </w:p>
    <w:p w:rsidR="00A87EAF" w:rsidRDefault="00B028F6">
      <w:pPr>
        <w:spacing w:line="276" w:lineRule="auto"/>
        <w:jc w:val="both"/>
        <w:rPr>
          <w:lang w:val="en-GB"/>
        </w:rPr>
      </w:pPr>
      <w:proofErr w:type="gramStart"/>
      <w:r>
        <w:rPr>
          <w:vertAlign w:val="superscript"/>
          <w:lang w:val="en-GB"/>
        </w:rPr>
        <w:t>a</w:t>
      </w:r>
      <w:proofErr w:type="gramEnd"/>
      <w:r w:rsidRPr="00184430">
        <w:rPr>
          <w:lang w:val="en-GB"/>
        </w:rPr>
        <w:t xml:space="preserve"> Corvinus University of Budapest</w:t>
      </w:r>
      <w:r w:rsidR="00842F84">
        <w:rPr>
          <w:lang w:val="en-GB"/>
        </w:rPr>
        <w:t xml:space="preserve">, </w:t>
      </w:r>
      <w:r w:rsidRPr="00184430">
        <w:rPr>
          <w:lang w:val="en-GB"/>
        </w:rPr>
        <w:t xml:space="preserve">. </w:t>
      </w:r>
      <w:proofErr w:type="gramStart"/>
      <w:r w:rsidRPr="00BB344E">
        <w:rPr>
          <w:vertAlign w:val="superscript"/>
          <w:lang w:val="en-GB"/>
        </w:rPr>
        <w:t>b</w:t>
      </w:r>
      <w:proofErr w:type="gramEnd"/>
      <w:r w:rsidRPr="00184430">
        <w:rPr>
          <w:lang w:val="en-GB"/>
        </w:rPr>
        <w:t xml:space="preserve"> Aston University</w:t>
      </w:r>
    </w:p>
    <w:p w:rsidR="00A87EAF" w:rsidRDefault="00A87EAF">
      <w:pPr>
        <w:spacing w:line="276" w:lineRule="auto"/>
        <w:jc w:val="both"/>
        <w:rPr>
          <w:rFonts w:eastAsiaTheme="minorEastAsia"/>
          <w:noProof/>
          <w:lang w:val="fr-BE"/>
        </w:rPr>
      </w:pPr>
    </w:p>
    <w:p w:rsidR="00A87EAF" w:rsidRDefault="00A87EAF">
      <w:pPr>
        <w:spacing w:line="276" w:lineRule="auto"/>
        <w:jc w:val="both"/>
        <w:rPr>
          <w:rFonts w:eastAsiaTheme="minorEastAsia"/>
          <w:noProof/>
          <w:lang w:val="fr-BE"/>
        </w:rPr>
      </w:pPr>
    </w:p>
    <w:p w:rsidR="00A87EAF" w:rsidRDefault="00B028F6">
      <w:pPr>
        <w:spacing w:line="276" w:lineRule="auto"/>
        <w:jc w:val="both"/>
        <w:rPr>
          <w:rFonts w:eastAsiaTheme="minorEastAsia"/>
          <w:noProof/>
          <w:lang w:val="fr-BE"/>
        </w:rPr>
      </w:pPr>
      <w:r w:rsidRPr="00B028F6">
        <w:rPr>
          <w:rFonts w:eastAsiaTheme="minorEastAsia"/>
          <w:noProof/>
          <w:lang w:val="fr-BE"/>
        </w:rPr>
        <w:t>Corresponding author: Balazs Szent-Ivanyi</w:t>
      </w:r>
    </w:p>
    <w:p w:rsidR="00A87EAF" w:rsidRDefault="00ED73A4">
      <w:pPr>
        <w:spacing w:line="276" w:lineRule="auto"/>
        <w:jc w:val="both"/>
        <w:rPr>
          <w:rFonts w:eastAsiaTheme="minorEastAsia"/>
          <w:noProof/>
          <w:lang w:val="fr-BE"/>
        </w:rPr>
      </w:pPr>
      <w:r w:rsidRPr="00B028F6">
        <w:rPr>
          <w:rFonts w:eastAsiaTheme="minorEastAsia"/>
          <w:noProof/>
          <w:lang w:val="fr-BE"/>
        </w:rPr>
        <w:t xml:space="preserve">Mailing address: </w:t>
      </w:r>
      <w:r w:rsidR="00B028F6" w:rsidRPr="00B028F6">
        <w:rPr>
          <w:rFonts w:eastAsiaTheme="minorEastAsia"/>
          <w:noProof/>
          <w:lang w:val="fr-BE"/>
        </w:rPr>
        <w:t>Aston University, Aston Triangle B4 7ET, Birmingham, UK</w:t>
      </w:r>
    </w:p>
    <w:p w:rsidR="00A87EAF" w:rsidRDefault="00B028F6">
      <w:pPr>
        <w:spacing w:line="276" w:lineRule="auto"/>
        <w:jc w:val="both"/>
        <w:rPr>
          <w:rFonts w:eastAsiaTheme="minorEastAsia"/>
          <w:noProof/>
          <w:lang w:val="fr-BE"/>
        </w:rPr>
      </w:pPr>
      <w:r w:rsidRPr="00B028F6">
        <w:rPr>
          <w:rFonts w:eastAsiaTheme="minorEastAsia"/>
          <w:noProof/>
          <w:lang w:val="fr-BE"/>
        </w:rPr>
        <w:t>Phone n</w:t>
      </w:r>
      <w:r w:rsidR="00ED73A4" w:rsidRPr="00B028F6">
        <w:rPr>
          <w:rFonts w:eastAsiaTheme="minorEastAsia"/>
          <w:noProof/>
          <w:lang w:val="fr-BE"/>
        </w:rPr>
        <w:t>umbers:</w:t>
      </w:r>
      <w:r w:rsidRPr="00B028F6">
        <w:rPr>
          <w:rFonts w:eastAsiaTheme="minorEastAsia"/>
          <w:noProof/>
          <w:lang w:val="fr-BE"/>
        </w:rPr>
        <w:t>+44 121 204 3299</w:t>
      </w:r>
    </w:p>
    <w:p w:rsidR="00A87EAF" w:rsidRDefault="00ED73A4">
      <w:pPr>
        <w:spacing w:line="276" w:lineRule="auto"/>
        <w:jc w:val="both"/>
        <w:rPr>
          <w:rFonts w:eastAsiaTheme="minorEastAsia"/>
          <w:noProof/>
          <w:lang w:val="fr-BE"/>
        </w:rPr>
      </w:pPr>
      <w:r w:rsidRPr="00B028F6">
        <w:rPr>
          <w:rFonts w:eastAsiaTheme="minorEastAsia"/>
          <w:noProof/>
          <w:lang w:val="fr-BE"/>
        </w:rPr>
        <w:t xml:space="preserve">Email address: </w:t>
      </w:r>
      <w:hyperlink r:id="rId8" w:history="1">
        <w:r w:rsidR="00B028F6" w:rsidRPr="000F4D36">
          <w:rPr>
            <w:rStyle w:val="Hiperhivatkozs"/>
            <w:rFonts w:eastAsiaTheme="minorEastAsia"/>
            <w:noProof/>
            <w:lang w:val="fr-BE"/>
          </w:rPr>
          <w:t>b.szent-ivanyi@aston.ac.uk</w:t>
        </w:r>
      </w:hyperlink>
    </w:p>
    <w:p w:rsidR="00A87EAF" w:rsidRDefault="00A87EAF">
      <w:pPr>
        <w:spacing w:line="276" w:lineRule="auto"/>
        <w:jc w:val="both"/>
        <w:rPr>
          <w:lang w:val="en-GB"/>
        </w:rPr>
      </w:pPr>
    </w:p>
    <w:p w:rsidR="00A87EAF" w:rsidRDefault="00A87EAF">
      <w:pPr>
        <w:spacing w:line="276" w:lineRule="auto"/>
        <w:jc w:val="both"/>
        <w:rPr>
          <w:lang w:val="en-GB"/>
        </w:rPr>
      </w:pPr>
      <w:r>
        <w:rPr>
          <w:rStyle w:val="current-selection"/>
        </w:rPr>
        <w:t xml:space="preserve">Acknowledgement: </w:t>
      </w:r>
      <w:r w:rsidR="002713AE">
        <w:rPr>
          <w:rStyle w:val="current-selection"/>
        </w:rPr>
        <w:t>We are</w:t>
      </w:r>
      <w:r w:rsidR="002713AE">
        <w:rPr>
          <w:rStyle w:val="a"/>
        </w:rPr>
        <w:t xml:space="preserve"> </w:t>
      </w:r>
      <w:r w:rsidR="002713AE">
        <w:rPr>
          <w:rStyle w:val="current-selection"/>
        </w:rPr>
        <w:t>grateful</w:t>
      </w:r>
      <w:r w:rsidR="002713AE">
        <w:rPr>
          <w:rStyle w:val="a"/>
        </w:rPr>
        <w:t xml:space="preserve"> </w:t>
      </w:r>
      <w:r w:rsidR="002713AE">
        <w:rPr>
          <w:rStyle w:val="current-selection"/>
        </w:rPr>
        <w:t>to</w:t>
      </w:r>
      <w:r w:rsidR="002713AE">
        <w:rPr>
          <w:rStyle w:val="a"/>
        </w:rPr>
        <w:t xml:space="preserve"> </w:t>
      </w:r>
      <w:r w:rsidR="002713AE">
        <w:rPr>
          <w:rStyle w:val="current-selection"/>
        </w:rPr>
        <w:t>the</w:t>
      </w:r>
      <w:r w:rsidR="002713AE">
        <w:rPr>
          <w:rStyle w:val="a"/>
        </w:rPr>
        <w:t xml:space="preserve"> </w:t>
      </w:r>
      <w:r w:rsidR="002713AE">
        <w:rPr>
          <w:rStyle w:val="current-selection"/>
        </w:rPr>
        <w:t>editors,</w:t>
      </w:r>
      <w:r w:rsidR="002713AE">
        <w:rPr>
          <w:rStyle w:val="a"/>
        </w:rPr>
        <w:t xml:space="preserve"> </w:t>
      </w:r>
      <w:r w:rsidR="002713AE">
        <w:rPr>
          <w:rStyle w:val="current-selection"/>
        </w:rPr>
        <w:t>Nathaniel</w:t>
      </w:r>
      <w:r w:rsidR="002713AE">
        <w:rPr>
          <w:rStyle w:val="a"/>
        </w:rPr>
        <w:t xml:space="preserve"> </w:t>
      </w:r>
      <w:r w:rsidR="002713AE">
        <w:rPr>
          <w:rStyle w:val="current-selection"/>
        </w:rPr>
        <w:t>Copsey</w:t>
      </w:r>
      <w:r w:rsidR="002713AE">
        <w:rPr>
          <w:rStyle w:val="a"/>
        </w:rPr>
        <w:t xml:space="preserve"> </w:t>
      </w:r>
      <w:r w:rsidR="002713AE">
        <w:rPr>
          <w:rStyle w:val="current-selection"/>
        </w:rPr>
        <w:t>and</w:t>
      </w:r>
      <w:r w:rsidR="002713AE">
        <w:rPr>
          <w:rStyle w:val="a"/>
        </w:rPr>
        <w:t xml:space="preserve"> </w:t>
      </w:r>
      <w:r w:rsidR="002713AE">
        <w:rPr>
          <w:rStyle w:val="current-selection"/>
        </w:rPr>
        <w:t>Tim</w:t>
      </w:r>
      <w:r w:rsidR="002713AE">
        <w:rPr>
          <w:rStyle w:val="a"/>
        </w:rPr>
        <w:t xml:space="preserve"> </w:t>
      </w:r>
      <w:r w:rsidR="002713AE">
        <w:rPr>
          <w:rStyle w:val="current-selection"/>
        </w:rPr>
        <w:t>Haughton,</w:t>
      </w:r>
      <w:r w:rsidR="002713AE">
        <w:rPr>
          <w:rStyle w:val="a"/>
        </w:rPr>
        <w:t xml:space="preserve"> </w:t>
      </w:r>
      <w:r w:rsidR="002713AE">
        <w:rPr>
          <w:rStyle w:val="current-selection"/>
        </w:rPr>
        <w:t>for</w:t>
      </w:r>
      <w:r w:rsidR="002713AE">
        <w:rPr>
          <w:rStyle w:val="a"/>
        </w:rPr>
        <w:t xml:space="preserve"> </w:t>
      </w:r>
      <w:r>
        <w:rPr>
          <w:rStyle w:val="a"/>
        </w:rPr>
        <w:t xml:space="preserve">insightful and </w:t>
      </w:r>
      <w:r w:rsidR="002713AE">
        <w:rPr>
          <w:rStyle w:val="current-selection"/>
        </w:rPr>
        <w:t>constructive</w:t>
      </w:r>
      <w:r w:rsidR="002713AE">
        <w:rPr>
          <w:rStyle w:val="a"/>
        </w:rPr>
        <w:t xml:space="preserve"> </w:t>
      </w:r>
      <w:r w:rsidR="002713AE">
        <w:rPr>
          <w:rStyle w:val="current-selection"/>
        </w:rPr>
        <w:t>comments.</w:t>
      </w:r>
    </w:p>
    <w:p w:rsidR="00A87EAF" w:rsidRDefault="00A87EAF">
      <w:pPr>
        <w:spacing w:line="276" w:lineRule="auto"/>
        <w:jc w:val="both"/>
        <w:rPr>
          <w:lang w:val="en-GB"/>
        </w:rPr>
      </w:pPr>
    </w:p>
    <w:p w:rsidR="00A87EAF" w:rsidRDefault="00A87EAF">
      <w:pPr>
        <w:spacing w:line="276" w:lineRule="auto"/>
        <w:jc w:val="both"/>
        <w:rPr>
          <w:lang w:val="en-GB"/>
        </w:rPr>
      </w:pPr>
    </w:p>
    <w:p w:rsidR="00BE5064" w:rsidRDefault="00BE5064">
      <w:pPr>
        <w:rPr>
          <w:b/>
          <w:lang w:val="en-GB"/>
        </w:rPr>
      </w:pPr>
      <w:r>
        <w:rPr>
          <w:b/>
          <w:lang w:val="en-GB"/>
        </w:rPr>
        <w:br w:type="page"/>
      </w:r>
    </w:p>
    <w:p w:rsidR="00A87EAF" w:rsidRDefault="004C15DE">
      <w:pPr>
        <w:spacing w:line="276" w:lineRule="auto"/>
        <w:jc w:val="both"/>
        <w:rPr>
          <w:b/>
          <w:lang w:val="en-GB"/>
        </w:rPr>
      </w:pPr>
      <w:r w:rsidRPr="00184430">
        <w:rPr>
          <w:b/>
          <w:lang w:val="en-GB"/>
        </w:rPr>
        <w:lastRenderedPageBreak/>
        <w:t>Introduction</w:t>
      </w:r>
    </w:p>
    <w:p w:rsidR="00A87EAF" w:rsidRDefault="00A87EAF">
      <w:pPr>
        <w:spacing w:line="276" w:lineRule="auto"/>
        <w:jc w:val="both"/>
        <w:rPr>
          <w:lang w:val="en-GB"/>
        </w:rPr>
      </w:pPr>
    </w:p>
    <w:p w:rsidR="00A06EF9" w:rsidRDefault="005C3A8D" w:rsidP="00FD1D46">
      <w:pPr>
        <w:spacing w:line="276" w:lineRule="auto"/>
        <w:jc w:val="both"/>
        <w:rPr>
          <w:lang w:val="en-GB"/>
        </w:rPr>
      </w:pPr>
      <w:r w:rsidRPr="00184430">
        <w:rPr>
          <w:lang w:val="en-GB"/>
        </w:rPr>
        <w:t xml:space="preserve">In early 2014, </w:t>
      </w:r>
      <w:r w:rsidR="000E2916" w:rsidRPr="00184430">
        <w:rPr>
          <w:lang w:val="en-GB"/>
        </w:rPr>
        <w:t>six years after the outburst of the global financial-cum-economic crisis</w:t>
      </w:r>
      <w:r w:rsidR="000E2916">
        <w:rPr>
          <w:lang w:val="en-GB"/>
        </w:rPr>
        <w:t>,</w:t>
      </w:r>
      <w:r w:rsidR="000E2916" w:rsidRPr="00184430">
        <w:rPr>
          <w:lang w:val="en-GB"/>
        </w:rPr>
        <w:t xml:space="preserve"> </w:t>
      </w:r>
      <w:r w:rsidRPr="00184430">
        <w:rPr>
          <w:lang w:val="en-GB"/>
        </w:rPr>
        <w:t xml:space="preserve">most commentators on the European economy expected the year to bring a much-awaited breakthrough </w:t>
      </w:r>
      <w:r w:rsidR="00951D89">
        <w:rPr>
          <w:lang w:val="en-GB"/>
        </w:rPr>
        <w:t xml:space="preserve">of </w:t>
      </w:r>
      <w:r w:rsidRPr="00184430">
        <w:rPr>
          <w:lang w:val="en-GB"/>
        </w:rPr>
        <w:t xml:space="preserve">slow but steady </w:t>
      </w:r>
      <w:r w:rsidR="000E2916">
        <w:rPr>
          <w:lang w:val="en-GB"/>
        </w:rPr>
        <w:t xml:space="preserve">economic </w:t>
      </w:r>
      <w:r w:rsidRPr="00184430">
        <w:rPr>
          <w:lang w:val="en-GB"/>
        </w:rPr>
        <w:t>growth (E</w:t>
      </w:r>
      <w:r w:rsidR="00725882">
        <w:rPr>
          <w:lang w:val="en-GB"/>
        </w:rPr>
        <w:t>uropean Commission 2014c</w:t>
      </w:r>
      <w:r w:rsidRPr="00184430">
        <w:rPr>
          <w:lang w:val="en-GB"/>
        </w:rPr>
        <w:t xml:space="preserve">). Unfortunately, the numbers </w:t>
      </w:r>
      <w:r w:rsidR="00ED73A4">
        <w:rPr>
          <w:lang w:val="en-GB"/>
        </w:rPr>
        <w:t>did</w:t>
      </w:r>
      <w:r w:rsidR="00ED73A4" w:rsidRPr="00184430">
        <w:rPr>
          <w:lang w:val="en-GB"/>
        </w:rPr>
        <w:t xml:space="preserve"> </w:t>
      </w:r>
      <w:r w:rsidRPr="00184430">
        <w:rPr>
          <w:lang w:val="en-GB"/>
        </w:rPr>
        <w:t>not support these optimistic scenarios; economic recovery in the EU, while picking up to some extent after recession in 2012 and stagnation in 2013, remained fragile. As a result, by the second half of 2014, international institutions such as the European Commission (2014</w:t>
      </w:r>
      <w:r w:rsidR="00A06EF9">
        <w:rPr>
          <w:lang w:val="en-GB"/>
        </w:rPr>
        <w:t>a</w:t>
      </w:r>
      <w:r w:rsidRPr="00184430">
        <w:rPr>
          <w:lang w:val="en-GB"/>
        </w:rPr>
        <w:t>), the IMF (2014</w:t>
      </w:r>
      <w:r w:rsidR="00FF70D5" w:rsidRPr="00184430">
        <w:rPr>
          <w:lang w:val="en-GB"/>
        </w:rPr>
        <w:t>a</w:t>
      </w:r>
      <w:r w:rsidRPr="00184430">
        <w:rPr>
          <w:lang w:val="en-GB"/>
        </w:rPr>
        <w:t xml:space="preserve">) or the OECD (2014) substantially </w:t>
      </w:r>
      <w:r w:rsidR="000E2916">
        <w:rPr>
          <w:lang w:val="en-GB"/>
        </w:rPr>
        <w:t>downgraded</w:t>
      </w:r>
      <w:r w:rsidRPr="00184430">
        <w:rPr>
          <w:lang w:val="en-GB"/>
        </w:rPr>
        <w:t xml:space="preserve"> their GDP growth forecasts for</w:t>
      </w:r>
      <w:r w:rsidR="005832C7">
        <w:rPr>
          <w:lang w:val="en-GB"/>
        </w:rPr>
        <w:t xml:space="preserve"> the EU and the </w:t>
      </w:r>
      <w:proofErr w:type="spellStart"/>
      <w:r w:rsidR="005832C7">
        <w:rPr>
          <w:lang w:val="en-GB"/>
        </w:rPr>
        <w:t>euro</w:t>
      </w:r>
      <w:r w:rsidRPr="00184430">
        <w:rPr>
          <w:lang w:val="en-GB"/>
        </w:rPr>
        <w:t>zone</w:t>
      </w:r>
      <w:proofErr w:type="spellEnd"/>
      <w:r w:rsidRPr="00184430">
        <w:rPr>
          <w:lang w:val="en-GB"/>
        </w:rPr>
        <w:t xml:space="preserve"> in particular, </w:t>
      </w:r>
      <w:r w:rsidR="00951D89">
        <w:rPr>
          <w:lang w:val="en-GB"/>
        </w:rPr>
        <w:t xml:space="preserve">and </w:t>
      </w:r>
      <w:r w:rsidRPr="00184430">
        <w:rPr>
          <w:lang w:val="en-GB"/>
        </w:rPr>
        <w:t xml:space="preserve">neither of them </w:t>
      </w:r>
      <w:r w:rsidR="00A06EF9" w:rsidRPr="00184430">
        <w:rPr>
          <w:lang w:val="en-GB"/>
        </w:rPr>
        <w:t>expect</w:t>
      </w:r>
      <w:r w:rsidR="00951D89">
        <w:rPr>
          <w:lang w:val="en-GB"/>
        </w:rPr>
        <w:t>ed</w:t>
      </w:r>
      <w:r w:rsidR="00A06EF9" w:rsidRPr="00184430">
        <w:rPr>
          <w:lang w:val="en-GB"/>
        </w:rPr>
        <w:t xml:space="preserve"> </w:t>
      </w:r>
      <w:r w:rsidRPr="00184430">
        <w:rPr>
          <w:lang w:val="en-GB"/>
        </w:rPr>
        <w:t>European real GDP growth to exceed 1.3</w:t>
      </w:r>
      <w:r w:rsidR="00C50611">
        <w:rPr>
          <w:lang w:val="en-GB"/>
        </w:rPr>
        <w:t xml:space="preserve"> per cent</w:t>
      </w:r>
      <w:r w:rsidRPr="00184430">
        <w:rPr>
          <w:lang w:val="en-GB"/>
        </w:rPr>
        <w:t xml:space="preserve"> in 2014. </w:t>
      </w:r>
    </w:p>
    <w:p w:rsidR="00A06EF9" w:rsidRDefault="00A06EF9" w:rsidP="00FD1D46">
      <w:pPr>
        <w:spacing w:line="276" w:lineRule="auto"/>
        <w:jc w:val="both"/>
        <w:rPr>
          <w:lang w:val="en-GB"/>
        </w:rPr>
      </w:pPr>
    </w:p>
    <w:p w:rsidR="00C47EBB" w:rsidRPr="00184430" w:rsidRDefault="00A06EF9">
      <w:pPr>
        <w:spacing w:line="276" w:lineRule="auto"/>
        <w:jc w:val="both"/>
        <w:rPr>
          <w:lang w:val="en-GB"/>
        </w:rPr>
      </w:pPr>
      <w:r>
        <w:rPr>
          <w:lang w:val="en-GB"/>
        </w:rPr>
        <w:t xml:space="preserve">Yet, as </w:t>
      </w:r>
      <w:r w:rsidR="00DF37D3">
        <w:rPr>
          <w:lang w:val="en-GB"/>
        </w:rPr>
        <w:t>this</w:t>
      </w:r>
      <w:r>
        <w:rPr>
          <w:lang w:val="en-GB"/>
        </w:rPr>
        <w:t xml:space="preserve"> </w:t>
      </w:r>
      <w:r w:rsidR="00951D89">
        <w:rPr>
          <w:lang w:val="en-GB"/>
        </w:rPr>
        <w:t xml:space="preserve">contribution </w:t>
      </w:r>
      <w:r>
        <w:rPr>
          <w:lang w:val="en-GB"/>
        </w:rPr>
        <w:t xml:space="preserve">intends to demonstrate, having an eye only on EU averages can be rather </w:t>
      </w:r>
      <w:r w:rsidR="00A375B9">
        <w:rPr>
          <w:lang w:val="en-GB"/>
        </w:rPr>
        <w:t>counterproductive</w:t>
      </w:r>
      <w:r>
        <w:rPr>
          <w:lang w:val="en-GB"/>
        </w:rPr>
        <w:t>. A more detailed analysis reveal</w:t>
      </w:r>
      <w:r w:rsidR="00DF37D3">
        <w:rPr>
          <w:lang w:val="en-GB"/>
        </w:rPr>
        <w:t>s</w:t>
      </w:r>
      <w:r>
        <w:rPr>
          <w:lang w:val="en-GB"/>
        </w:rPr>
        <w:t xml:space="preserve"> that the </w:t>
      </w:r>
      <w:r w:rsidR="00DF37D3">
        <w:rPr>
          <w:lang w:val="en-GB"/>
        </w:rPr>
        <w:t xml:space="preserve">economic performance of the </w:t>
      </w:r>
      <w:r>
        <w:rPr>
          <w:lang w:val="en-GB"/>
        </w:rPr>
        <w:t xml:space="preserve">28 </w:t>
      </w:r>
      <w:r w:rsidR="00B72E3F">
        <w:rPr>
          <w:lang w:val="en-GB"/>
        </w:rPr>
        <w:t>Member State</w:t>
      </w:r>
      <w:r>
        <w:rPr>
          <w:lang w:val="en-GB"/>
        </w:rPr>
        <w:t>s</w:t>
      </w:r>
      <w:r w:rsidR="00DF37D3">
        <w:rPr>
          <w:lang w:val="en-GB"/>
        </w:rPr>
        <w:t xml:space="preserve"> was</w:t>
      </w:r>
      <w:r>
        <w:rPr>
          <w:lang w:val="en-GB"/>
        </w:rPr>
        <w:t xml:space="preserve"> dramatically </w:t>
      </w:r>
      <w:r w:rsidR="00725882">
        <w:rPr>
          <w:lang w:val="en-GB"/>
        </w:rPr>
        <w:t>different</w:t>
      </w:r>
      <w:r>
        <w:rPr>
          <w:lang w:val="en-GB"/>
        </w:rPr>
        <w:t xml:space="preserve"> in 2014</w:t>
      </w:r>
      <w:r w:rsidR="00E46F6B">
        <w:rPr>
          <w:lang w:val="en-GB"/>
        </w:rPr>
        <w:t>.</w:t>
      </w:r>
      <w:r w:rsidR="00A375B9">
        <w:rPr>
          <w:lang w:val="en-GB"/>
        </w:rPr>
        <w:t xml:space="preserve"> The </w:t>
      </w:r>
      <w:r w:rsidR="005C3A8D" w:rsidRPr="00184430">
        <w:rPr>
          <w:lang w:val="en-GB"/>
        </w:rPr>
        <w:t xml:space="preserve">principal aim of this </w:t>
      </w:r>
      <w:r w:rsidR="00951D89">
        <w:rPr>
          <w:lang w:val="en-GB"/>
        </w:rPr>
        <w:t>contribution</w:t>
      </w:r>
      <w:r w:rsidR="00951D89" w:rsidRPr="00184430">
        <w:rPr>
          <w:lang w:val="en-GB"/>
        </w:rPr>
        <w:t xml:space="preserve"> </w:t>
      </w:r>
      <w:r w:rsidR="005C3A8D" w:rsidRPr="00184430">
        <w:rPr>
          <w:lang w:val="en-GB"/>
        </w:rPr>
        <w:t>is</w:t>
      </w:r>
      <w:r w:rsidR="00A375B9">
        <w:rPr>
          <w:lang w:val="en-GB"/>
        </w:rPr>
        <w:t>, therefore,</w:t>
      </w:r>
      <w:r w:rsidR="005C3A8D" w:rsidRPr="00184430">
        <w:rPr>
          <w:lang w:val="en-GB"/>
        </w:rPr>
        <w:t xml:space="preserve"> to decompose and explain Europe’s economic performance </w:t>
      </w:r>
      <w:r w:rsidR="00DF37D3">
        <w:rPr>
          <w:lang w:val="en-GB"/>
        </w:rPr>
        <w:t>in</w:t>
      </w:r>
      <w:r w:rsidR="00A375B9">
        <w:rPr>
          <w:lang w:val="en-GB"/>
        </w:rPr>
        <w:t xml:space="preserve"> the past year. </w:t>
      </w:r>
      <w:r w:rsidR="00DF37D3">
        <w:rPr>
          <w:lang w:val="en-GB"/>
        </w:rPr>
        <w:t>In doing so, it</w:t>
      </w:r>
      <w:r w:rsidR="00E46F6B" w:rsidRPr="00184430">
        <w:rPr>
          <w:lang w:val="en-GB"/>
        </w:rPr>
        <w:t xml:space="preserve"> </w:t>
      </w:r>
      <w:r w:rsidR="00C47EBB" w:rsidRPr="00184430">
        <w:rPr>
          <w:lang w:val="en-GB"/>
        </w:rPr>
        <w:t xml:space="preserve">assesses Europe’s performance in several key </w:t>
      </w:r>
      <w:r w:rsidR="00960DDD">
        <w:rPr>
          <w:lang w:val="en-GB"/>
        </w:rPr>
        <w:t>areas</w:t>
      </w:r>
      <w:r w:rsidR="00A375B9">
        <w:rPr>
          <w:lang w:val="en-GB"/>
        </w:rPr>
        <w:t xml:space="preserve"> such as </w:t>
      </w:r>
      <w:r w:rsidR="00960DDD">
        <w:rPr>
          <w:lang w:val="en-GB"/>
        </w:rPr>
        <w:t xml:space="preserve">economic </w:t>
      </w:r>
      <w:r w:rsidR="00C47EBB" w:rsidRPr="00184430">
        <w:rPr>
          <w:lang w:val="en-GB"/>
        </w:rPr>
        <w:t>growth, employment,</w:t>
      </w:r>
      <w:r w:rsidR="00A375B9">
        <w:rPr>
          <w:lang w:val="en-GB"/>
        </w:rPr>
        <w:t xml:space="preserve"> inflation,</w:t>
      </w:r>
      <w:r w:rsidR="00C47EBB" w:rsidRPr="00184430">
        <w:rPr>
          <w:lang w:val="en-GB"/>
        </w:rPr>
        <w:t xml:space="preserve"> </w:t>
      </w:r>
      <w:r w:rsidR="00960DDD">
        <w:rPr>
          <w:lang w:val="en-GB"/>
        </w:rPr>
        <w:t xml:space="preserve">public </w:t>
      </w:r>
      <w:r w:rsidR="00C47EBB" w:rsidRPr="00184430">
        <w:rPr>
          <w:lang w:val="en-GB"/>
        </w:rPr>
        <w:t>finances and competitiveness</w:t>
      </w:r>
      <w:r w:rsidR="00DF37D3">
        <w:rPr>
          <w:lang w:val="en-GB"/>
        </w:rPr>
        <w:t xml:space="preserve">, and </w:t>
      </w:r>
      <w:r w:rsidR="00DF6D70">
        <w:rPr>
          <w:lang w:val="en-GB"/>
        </w:rPr>
        <w:t xml:space="preserve">systematically identifies countries </w:t>
      </w:r>
      <w:r w:rsidR="0026104A">
        <w:rPr>
          <w:lang w:val="en-GB"/>
        </w:rPr>
        <w:t>that performed</w:t>
      </w:r>
      <w:r w:rsidR="00DF6D70">
        <w:rPr>
          <w:lang w:val="en-GB"/>
        </w:rPr>
        <w:t xml:space="preserve"> well above or well below the EU </w:t>
      </w:r>
      <w:r w:rsidR="0026104A">
        <w:rPr>
          <w:lang w:val="en-GB"/>
        </w:rPr>
        <w:t>average</w:t>
      </w:r>
      <w:r w:rsidR="00A64B86">
        <w:rPr>
          <w:lang w:val="en-GB"/>
        </w:rPr>
        <w:t>s</w:t>
      </w:r>
      <w:r w:rsidR="00DF6D70">
        <w:rPr>
          <w:lang w:val="en-GB"/>
        </w:rPr>
        <w:t>.</w:t>
      </w:r>
      <w:r w:rsidR="0026104A">
        <w:rPr>
          <w:lang w:val="en-GB"/>
        </w:rPr>
        <w:t xml:space="preserve"> B</w:t>
      </w:r>
      <w:r w:rsidR="00C47EBB" w:rsidRPr="00184430">
        <w:rPr>
          <w:lang w:val="en-GB"/>
        </w:rPr>
        <w:t xml:space="preserve">road generalizations on the European level are often </w:t>
      </w:r>
      <w:r w:rsidR="00960DDD">
        <w:rPr>
          <w:lang w:val="en-GB"/>
        </w:rPr>
        <w:t>misleading</w:t>
      </w:r>
      <w:r w:rsidR="00960DDD" w:rsidRPr="00184430">
        <w:rPr>
          <w:lang w:val="en-GB"/>
        </w:rPr>
        <w:t xml:space="preserve"> </w:t>
      </w:r>
      <w:r w:rsidR="00C47EBB" w:rsidRPr="00184430">
        <w:rPr>
          <w:lang w:val="en-GB"/>
        </w:rPr>
        <w:t xml:space="preserve">due to the heterogeneity of </w:t>
      </w:r>
      <w:r w:rsidR="00B72E3F">
        <w:rPr>
          <w:lang w:val="en-GB"/>
        </w:rPr>
        <w:t>Member State</w:t>
      </w:r>
      <w:r w:rsidR="00C47EBB" w:rsidRPr="00184430">
        <w:rPr>
          <w:lang w:val="en-GB"/>
        </w:rPr>
        <w:t>s</w:t>
      </w:r>
      <w:r w:rsidR="004F6876">
        <w:rPr>
          <w:lang w:val="en-GB"/>
        </w:rPr>
        <w:t>’</w:t>
      </w:r>
      <w:r w:rsidR="00960DDD">
        <w:rPr>
          <w:lang w:val="en-GB"/>
        </w:rPr>
        <w:t xml:space="preserve"> economies</w:t>
      </w:r>
      <w:r w:rsidR="00C50611">
        <w:rPr>
          <w:lang w:val="en-GB"/>
        </w:rPr>
        <w:t>. Moreover,</w:t>
      </w:r>
      <w:r w:rsidR="0026104A">
        <w:rPr>
          <w:lang w:val="en-GB"/>
        </w:rPr>
        <w:t xml:space="preserve"> </w:t>
      </w:r>
      <w:r w:rsidR="00A64B86">
        <w:rPr>
          <w:lang w:val="en-GB"/>
        </w:rPr>
        <w:t xml:space="preserve">the </w:t>
      </w:r>
      <w:r w:rsidR="001D3B9C">
        <w:rPr>
          <w:lang w:val="en-GB"/>
        </w:rPr>
        <w:t xml:space="preserve">frequently used </w:t>
      </w:r>
      <w:r w:rsidR="00C47EBB" w:rsidRPr="00184430">
        <w:rPr>
          <w:lang w:val="en-GB"/>
        </w:rPr>
        <w:t>dichotomies, such as ‘</w:t>
      </w:r>
      <w:proofErr w:type="spellStart"/>
      <w:r w:rsidR="00C47EBB" w:rsidRPr="00184430">
        <w:rPr>
          <w:lang w:val="en-GB"/>
        </w:rPr>
        <w:t>eurozone</w:t>
      </w:r>
      <w:proofErr w:type="spellEnd"/>
      <w:r w:rsidR="00C47EBB" w:rsidRPr="00184430">
        <w:rPr>
          <w:lang w:val="en-GB"/>
        </w:rPr>
        <w:t xml:space="preserve"> vs. non-</w:t>
      </w:r>
      <w:proofErr w:type="spellStart"/>
      <w:r w:rsidR="00C47EBB" w:rsidRPr="00184430">
        <w:rPr>
          <w:lang w:val="en-GB"/>
        </w:rPr>
        <w:t>eurozone</w:t>
      </w:r>
      <w:proofErr w:type="spellEnd"/>
      <w:r w:rsidR="00C47EBB" w:rsidRPr="00184430">
        <w:rPr>
          <w:lang w:val="en-GB"/>
        </w:rPr>
        <w:t>’ countries, or ‘old vs. new’ member</w:t>
      </w:r>
      <w:r w:rsidR="00A7679B">
        <w:rPr>
          <w:lang w:val="en-GB"/>
        </w:rPr>
        <w:t>s</w:t>
      </w:r>
      <w:r w:rsidR="00C47EBB" w:rsidRPr="00184430">
        <w:rPr>
          <w:lang w:val="en-GB"/>
        </w:rPr>
        <w:t xml:space="preserve"> </w:t>
      </w:r>
      <w:r w:rsidR="00DF6D70">
        <w:rPr>
          <w:lang w:val="en-GB"/>
        </w:rPr>
        <w:t>are</w:t>
      </w:r>
      <w:r w:rsidR="00960DDD">
        <w:rPr>
          <w:lang w:val="en-GB"/>
        </w:rPr>
        <w:t xml:space="preserve"> </w:t>
      </w:r>
      <w:r w:rsidR="000E2916">
        <w:rPr>
          <w:lang w:val="en-GB"/>
        </w:rPr>
        <w:t xml:space="preserve">too often </w:t>
      </w:r>
      <w:r w:rsidR="00960DDD">
        <w:rPr>
          <w:lang w:val="en-GB"/>
        </w:rPr>
        <w:t xml:space="preserve">at odds with reality. </w:t>
      </w:r>
    </w:p>
    <w:p w:rsidR="00A87EAF" w:rsidRDefault="00A87EAF">
      <w:pPr>
        <w:spacing w:line="276" w:lineRule="auto"/>
        <w:jc w:val="both"/>
        <w:rPr>
          <w:lang w:val="en-GB"/>
        </w:rPr>
      </w:pPr>
    </w:p>
    <w:p w:rsidR="005C3A8D" w:rsidRPr="00184430" w:rsidRDefault="0055548F" w:rsidP="00FD1D46">
      <w:pPr>
        <w:spacing w:line="276" w:lineRule="auto"/>
        <w:jc w:val="both"/>
        <w:rPr>
          <w:lang w:val="en-GB"/>
        </w:rPr>
      </w:pPr>
      <w:r w:rsidRPr="0055548F">
        <w:rPr>
          <w:lang w:val="en-GB"/>
        </w:rPr>
        <w:t>T</w:t>
      </w:r>
      <w:r w:rsidR="000E2916" w:rsidRPr="0055548F">
        <w:rPr>
          <w:lang w:val="en-GB"/>
        </w:rPr>
        <w:t xml:space="preserve">he second half of the </w:t>
      </w:r>
      <w:r w:rsidR="001D3B9C" w:rsidRPr="0055548F">
        <w:rPr>
          <w:lang w:val="en-GB"/>
        </w:rPr>
        <w:t>contribution seeks to explore questions related to Europe’s longer</w:t>
      </w:r>
      <w:r w:rsidR="004F6876">
        <w:rPr>
          <w:lang w:val="en-GB"/>
        </w:rPr>
        <w:t>-</w:t>
      </w:r>
      <w:r w:rsidR="001D3B9C" w:rsidRPr="0055548F">
        <w:rPr>
          <w:lang w:val="en-GB"/>
        </w:rPr>
        <w:t xml:space="preserve">term economic performance by investigating </w:t>
      </w:r>
      <w:r w:rsidR="004F6876">
        <w:rPr>
          <w:lang w:val="en-GB"/>
        </w:rPr>
        <w:t xml:space="preserve">the </w:t>
      </w:r>
      <w:r w:rsidR="00B671F4" w:rsidRPr="0055548F">
        <w:rPr>
          <w:lang w:val="en-GB"/>
        </w:rPr>
        <w:t xml:space="preserve">convergence and divergence </w:t>
      </w:r>
      <w:r w:rsidR="000E2916" w:rsidRPr="0055548F">
        <w:rPr>
          <w:lang w:val="en-GB"/>
        </w:rPr>
        <w:t>of</w:t>
      </w:r>
      <w:r w:rsidR="00B671F4" w:rsidRPr="0055548F">
        <w:rPr>
          <w:lang w:val="en-GB"/>
        </w:rPr>
        <w:t xml:space="preserve"> income levels of </w:t>
      </w:r>
      <w:r w:rsidR="00B72E3F" w:rsidRPr="0055548F">
        <w:rPr>
          <w:lang w:val="en-GB"/>
        </w:rPr>
        <w:t>Member State</w:t>
      </w:r>
      <w:r w:rsidR="001D3B9C" w:rsidRPr="0055548F">
        <w:rPr>
          <w:lang w:val="en-GB"/>
        </w:rPr>
        <w:t xml:space="preserve">s </w:t>
      </w:r>
      <w:r w:rsidR="004F6876">
        <w:rPr>
          <w:lang w:val="en-GB"/>
        </w:rPr>
        <w:t>on the tenth anniversary of the</w:t>
      </w:r>
      <w:r w:rsidR="001D3B9C" w:rsidRPr="0055548F">
        <w:rPr>
          <w:lang w:val="en-GB"/>
        </w:rPr>
        <w:t xml:space="preserve"> 2004 </w:t>
      </w:r>
      <w:r w:rsidR="004F6876">
        <w:rPr>
          <w:lang w:val="en-GB"/>
        </w:rPr>
        <w:t xml:space="preserve">enlargement. </w:t>
      </w:r>
      <w:r w:rsidR="003116B7" w:rsidRPr="0055548F">
        <w:rPr>
          <w:lang w:val="en-GB"/>
        </w:rPr>
        <w:t>T</w:t>
      </w:r>
      <w:r w:rsidR="00B671F4" w:rsidRPr="0055548F">
        <w:rPr>
          <w:lang w:val="en-GB"/>
        </w:rPr>
        <w:t>here are good reasons for expecting</w:t>
      </w:r>
      <w:r w:rsidR="003116B7" w:rsidRPr="0055548F">
        <w:rPr>
          <w:lang w:val="en-GB"/>
        </w:rPr>
        <w:t xml:space="preserve"> solid</w:t>
      </w:r>
      <w:r w:rsidR="00B671F4" w:rsidRPr="0055548F">
        <w:rPr>
          <w:lang w:val="en-GB"/>
        </w:rPr>
        <w:t xml:space="preserve"> convergence</w:t>
      </w:r>
      <w:r w:rsidR="007F0781" w:rsidRPr="0055548F">
        <w:rPr>
          <w:lang w:val="en-GB"/>
        </w:rPr>
        <w:t xml:space="preserve"> </w:t>
      </w:r>
      <w:r w:rsidR="003116B7" w:rsidRPr="0055548F">
        <w:rPr>
          <w:lang w:val="en-GB"/>
        </w:rPr>
        <w:t>in the period under investigation</w:t>
      </w:r>
      <w:r>
        <w:rPr>
          <w:lang w:val="en-GB"/>
        </w:rPr>
        <w:t>. B</w:t>
      </w:r>
      <w:r w:rsidR="007F0781" w:rsidRPr="0055548F">
        <w:rPr>
          <w:lang w:val="en-GB"/>
        </w:rPr>
        <w:t>eyond standard economic theory</w:t>
      </w:r>
      <w:r w:rsidR="00B671F4" w:rsidRPr="0055548F">
        <w:rPr>
          <w:lang w:val="en-GB"/>
        </w:rPr>
        <w:t xml:space="preserve">, </w:t>
      </w:r>
      <w:r w:rsidRPr="0055548F">
        <w:rPr>
          <w:lang w:val="en-GB"/>
        </w:rPr>
        <w:t>t</w:t>
      </w:r>
      <w:r w:rsidR="00B671F4" w:rsidRPr="0055548F">
        <w:rPr>
          <w:lang w:val="en-GB"/>
        </w:rPr>
        <w:t xml:space="preserve">he </w:t>
      </w:r>
      <w:r w:rsidR="003116B7" w:rsidRPr="0055548F">
        <w:rPr>
          <w:lang w:val="en-GB"/>
        </w:rPr>
        <w:t xml:space="preserve">facilitating </w:t>
      </w:r>
      <w:r w:rsidR="00B671F4" w:rsidRPr="0055548F">
        <w:rPr>
          <w:lang w:val="en-GB"/>
        </w:rPr>
        <w:t xml:space="preserve">forces of the single market (and, for some members, the single currency), </w:t>
      </w:r>
      <w:r w:rsidR="007F0781" w:rsidRPr="0055548F">
        <w:rPr>
          <w:lang w:val="en-GB"/>
        </w:rPr>
        <w:t>a</w:t>
      </w:r>
      <w:r w:rsidR="003116B7" w:rsidRPr="0055548F">
        <w:rPr>
          <w:lang w:val="en-GB"/>
        </w:rPr>
        <w:t xml:space="preserve">long with </w:t>
      </w:r>
      <w:r w:rsidR="00B671F4" w:rsidRPr="0055548F">
        <w:rPr>
          <w:lang w:val="en-GB"/>
        </w:rPr>
        <w:t xml:space="preserve">the </w:t>
      </w:r>
      <w:r w:rsidR="003116B7" w:rsidRPr="0055548F">
        <w:rPr>
          <w:lang w:val="en-GB"/>
        </w:rPr>
        <w:t xml:space="preserve">pro-growth policies of </w:t>
      </w:r>
      <w:r w:rsidR="007F0781" w:rsidRPr="0055548F">
        <w:rPr>
          <w:lang w:val="en-GB"/>
        </w:rPr>
        <w:t xml:space="preserve">the EU’s </w:t>
      </w:r>
      <w:r w:rsidR="003116B7" w:rsidRPr="0055548F">
        <w:rPr>
          <w:lang w:val="en-GB"/>
        </w:rPr>
        <w:t xml:space="preserve">Structural and Cohesion Funds make it </w:t>
      </w:r>
      <w:r w:rsidR="00725882">
        <w:rPr>
          <w:lang w:val="en-GB"/>
        </w:rPr>
        <w:t>reasonable</w:t>
      </w:r>
      <w:r w:rsidR="003116B7" w:rsidRPr="0055548F">
        <w:rPr>
          <w:lang w:val="en-GB"/>
        </w:rPr>
        <w:t xml:space="preserve"> to assume </w:t>
      </w:r>
      <w:r w:rsidR="004F6876" w:rsidRPr="0055548F">
        <w:rPr>
          <w:lang w:val="en-GB"/>
        </w:rPr>
        <w:t>the growth</w:t>
      </w:r>
      <w:r w:rsidR="004F6876">
        <w:rPr>
          <w:lang w:val="en-GB"/>
        </w:rPr>
        <w:t xml:space="preserve"> experiences of the new Member S</w:t>
      </w:r>
      <w:r w:rsidR="004F6876" w:rsidRPr="0055548F">
        <w:rPr>
          <w:lang w:val="en-GB"/>
        </w:rPr>
        <w:t>tates</w:t>
      </w:r>
      <w:r w:rsidR="004F6876">
        <w:rPr>
          <w:lang w:val="en-GB"/>
        </w:rPr>
        <w:t xml:space="preserve"> would support the</w:t>
      </w:r>
      <w:r w:rsidR="003116B7" w:rsidRPr="0055548F">
        <w:rPr>
          <w:lang w:val="en-GB"/>
        </w:rPr>
        <w:t xml:space="preserve"> convergence hypothesis</w:t>
      </w:r>
      <w:r w:rsidR="004F6876">
        <w:rPr>
          <w:lang w:val="en-GB"/>
        </w:rPr>
        <w:t xml:space="preserve">. </w:t>
      </w:r>
      <w:r w:rsidR="00C47EBB" w:rsidRPr="0055548F">
        <w:rPr>
          <w:lang w:val="en-GB"/>
        </w:rPr>
        <w:t xml:space="preserve">The brief analysis </w:t>
      </w:r>
      <w:r w:rsidR="00B671F4" w:rsidRPr="0055548F">
        <w:rPr>
          <w:lang w:val="en-GB"/>
        </w:rPr>
        <w:t xml:space="preserve">of the data </w:t>
      </w:r>
      <w:r w:rsidR="00C47EBB" w:rsidRPr="0055548F">
        <w:rPr>
          <w:lang w:val="en-GB"/>
        </w:rPr>
        <w:t>reveals</w:t>
      </w:r>
      <w:r w:rsidR="00446B17" w:rsidRPr="0055548F">
        <w:rPr>
          <w:lang w:val="en-GB"/>
        </w:rPr>
        <w:t>, generally speaking,</w:t>
      </w:r>
      <w:r w:rsidR="00C47EBB" w:rsidRPr="0055548F">
        <w:rPr>
          <w:lang w:val="en-GB"/>
        </w:rPr>
        <w:t xml:space="preserve"> that </w:t>
      </w:r>
      <w:r w:rsidR="00C47CB4" w:rsidRPr="0055548F">
        <w:rPr>
          <w:lang w:val="en-GB"/>
        </w:rPr>
        <w:t xml:space="preserve">the past ten years </w:t>
      </w:r>
      <w:r w:rsidR="0026104A" w:rsidRPr="0055548F">
        <w:rPr>
          <w:lang w:val="en-GB"/>
        </w:rPr>
        <w:t xml:space="preserve">have </w:t>
      </w:r>
      <w:r w:rsidR="00446B17" w:rsidRPr="0055548F">
        <w:rPr>
          <w:lang w:val="en-GB"/>
        </w:rPr>
        <w:t xml:space="preserve">substantially strengthened </w:t>
      </w:r>
      <w:r w:rsidR="00C47CB4" w:rsidRPr="0055548F">
        <w:rPr>
          <w:lang w:val="en-GB"/>
        </w:rPr>
        <w:t xml:space="preserve">convergence, as many </w:t>
      </w:r>
      <w:r w:rsidR="003116B7" w:rsidRPr="0055548F">
        <w:rPr>
          <w:lang w:val="en-GB"/>
        </w:rPr>
        <w:t xml:space="preserve">less developed </w:t>
      </w:r>
      <w:r w:rsidR="00B72E3F" w:rsidRPr="0055548F">
        <w:rPr>
          <w:lang w:val="en-GB"/>
        </w:rPr>
        <w:t>Member State</w:t>
      </w:r>
      <w:r w:rsidR="00374EE8" w:rsidRPr="0055548F">
        <w:rPr>
          <w:lang w:val="en-GB"/>
        </w:rPr>
        <w:t>s</w:t>
      </w:r>
      <w:r w:rsidR="00B671F4" w:rsidRPr="0055548F">
        <w:rPr>
          <w:lang w:val="en-GB"/>
        </w:rPr>
        <w:t xml:space="preserve">, especially </w:t>
      </w:r>
      <w:r w:rsidR="003116B7" w:rsidRPr="0055548F">
        <w:rPr>
          <w:lang w:val="en-GB"/>
        </w:rPr>
        <w:t xml:space="preserve">the ones in </w:t>
      </w:r>
      <w:r w:rsidR="00B671F4" w:rsidRPr="0055548F">
        <w:rPr>
          <w:lang w:val="en-GB"/>
        </w:rPr>
        <w:t>Central and Eastern Europe,</w:t>
      </w:r>
      <w:r w:rsidR="00C47CB4" w:rsidRPr="0055548F">
        <w:rPr>
          <w:lang w:val="en-GB"/>
        </w:rPr>
        <w:t xml:space="preserve"> </w:t>
      </w:r>
      <w:r w:rsidR="00446B17" w:rsidRPr="0055548F">
        <w:rPr>
          <w:lang w:val="en-GB"/>
        </w:rPr>
        <w:t xml:space="preserve">grew </w:t>
      </w:r>
      <w:r w:rsidR="00C47CB4" w:rsidRPr="0055548F">
        <w:rPr>
          <w:lang w:val="en-GB"/>
        </w:rPr>
        <w:t xml:space="preserve">faster than </w:t>
      </w:r>
      <w:r w:rsidR="00446B17" w:rsidRPr="0055548F">
        <w:rPr>
          <w:lang w:val="en-GB"/>
        </w:rPr>
        <w:t xml:space="preserve">the </w:t>
      </w:r>
      <w:r w:rsidR="003116B7" w:rsidRPr="0055548F">
        <w:rPr>
          <w:lang w:val="en-GB"/>
        </w:rPr>
        <w:t>more advanced EU economies</w:t>
      </w:r>
      <w:r w:rsidR="00C47CB4" w:rsidRPr="0055548F">
        <w:rPr>
          <w:lang w:val="en-GB"/>
        </w:rPr>
        <w:t xml:space="preserve">, thus making progress in closing income gaps. </w:t>
      </w:r>
      <w:r w:rsidR="003116B7" w:rsidRPr="0055548F">
        <w:rPr>
          <w:lang w:val="en-GB"/>
        </w:rPr>
        <w:t>Unfortunately</w:t>
      </w:r>
      <w:r w:rsidR="00C47CB4" w:rsidRPr="0055548F">
        <w:rPr>
          <w:lang w:val="en-GB"/>
        </w:rPr>
        <w:t xml:space="preserve">, </w:t>
      </w:r>
      <w:r w:rsidR="003116B7" w:rsidRPr="0055548F">
        <w:rPr>
          <w:lang w:val="en-GB"/>
        </w:rPr>
        <w:t xml:space="preserve">there </w:t>
      </w:r>
      <w:r w:rsidR="00725882">
        <w:rPr>
          <w:lang w:val="en-GB"/>
        </w:rPr>
        <w:t xml:space="preserve">are also a number of countries </w:t>
      </w:r>
      <w:r w:rsidR="003116B7" w:rsidRPr="0055548F">
        <w:rPr>
          <w:lang w:val="en-GB"/>
        </w:rPr>
        <w:t>w</w:t>
      </w:r>
      <w:r w:rsidR="00725882">
        <w:rPr>
          <w:lang w:val="en-GB"/>
        </w:rPr>
        <w:t xml:space="preserve">hich seem to have </w:t>
      </w:r>
      <w:r w:rsidR="00725882" w:rsidRPr="0055548F">
        <w:rPr>
          <w:lang w:val="en-GB"/>
        </w:rPr>
        <w:t>lost momentum in catching up with the core</w:t>
      </w:r>
      <w:r w:rsidR="00725882">
        <w:rPr>
          <w:lang w:val="en-GB"/>
        </w:rPr>
        <w:t xml:space="preserve">, especially </w:t>
      </w:r>
      <w:r w:rsidR="00C47CB4" w:rsidRPr="0055548F">
        <w:rPr>
          <w:lang w:val="en-GB"/>
        </w:rPr>
        <w:t>Greece, and to a lesser extent Italy</w:t>
      </w:r>
      <w:r w:rsidR="003116B7" w:rsidRPr="0055548F">
        <w:rPr>
          <w:lang w:val="en-GB"/>
        </w:rPr>
        <w:t xml:space="preserve">, </w:t>
      </w:r>
      <w:r w:rsidR="00C47CB4" w:rsidRPr="0055548F">
        <w:rPr>
          <w:lang w:val="en-GB"/>
        </w:rPr>
        <w:t>Portugal</w:t>
      </w:r>
      <w:r w:rsidR="003116B7" w:rsidRPr="0055548F">
        <w:rPr>
          <w:lang w:val="en-GB"/>
        </w:rPr>
        <w:t xml:space="preserve"> </w:t>
      </w:r>
      <w:r w:rsidR="00725882">
        <w:rPr>
          <w:lang w:val="en-GB"/>
        </w:rPr>
        <w:t>and</w:t>
      </w:r>
      <w:r w:rsidR="003116B7" w:rsidRPr="0055548F">
        <w:rPr>
          <w:lang w:val="en-GB"/>
        </w:rPr>
        <w:t xml:space="preserve"> Hungary</w:t>
      </w:r>
      <w:r w:rsidR="00C47CB4" w:rsidRPr="0055548F">
        <w:rPr>
          <w:lang w:val="en-GB"/>
        </w:rPr>
        <w:t>.</w:t>
      </w:r>
    </w:p>
    <w:p w:rsidR="005C3A8D" w:rsidRDefault="005C3A8D" w:rsidP="00542059">
      <w:pPr>
        <w:spacing w:line="276" w:lineRule="auto"/>
        <w:jc w:val="both"/>
        <w:rPr>
          <w:lang w:val="en-GB"/>
        </w:rPr>
      </w:pPr>
    </w:p>
    <w:p w:rsidR="003F376F" w:rsidRPr="00184430" w:rsidRDefault="003F376F" w:rsidP="00FD1D46">
      <w:pPr>
        <w:spacing w:line="276" w:lineRule="auto"/>
        <w:jc w:val="both"/>
        <w:rPr>
          <w:lang w:val="en-GB"/>
        </w:rPr>
      </w:pPr>
      <w:r w:rsidRPr="00184430">
        <w:rPr>
          <w:lang w:val="en-GB"/>
        </w:rPr>
        <w:t xml:space="preserve">The </w:t>
      </w:r>
      <w:r w:rsidR="00951D89">
        <w:rPr>
          <w:lang w:val="en-GB"/>
        </w:rPr>
        <w:t>contribution</w:t>
      </w:r>
      <w:r w:rsidR="00951D89" w:rsidRPr="00184430">
        <w:rPr>
          <w:lang w:val="en-GB"/>
        </w:rPr>
        <w:t xml:space="preserve"> </w:t>
      </w:r>
      <w:r w:rsidRPr="00184430">
        <w:rPr>
          <w:lang w:val="en-GB"/>
        </w:rPr>
        <w:t>is structured as follows: Section I discusse</w:t>
      </w:r>
      <w:r w:rsidR="00C47CB4" w:rsidRPr="00184430">
        <w:rPr>
          <w:lang w:val="en-GB"/>
        </w:rPr>
        <w:t xml:space="preserve">s </w:t>
      </w:r>
      <w:r w:rsidR="00FF70D5" w:rsidRPr="00184430">
        <w:rPr>
          <w:lang w:val="en-GB"/>
        </w:rPr>
        <w:t>Europe’s performance in 2014 within the</w:t>
      </w:r>
      <w:r w:rsidR="00C47CB4" w:rsidRPr="00184430">
        <w:rPr>
          <w:lang w:val="en-GB"/>
        </w:rPr>
        <w:t xml:space="preserve"> global </w:t>
      </w:r>
      <w:r w:rsidR="00A7679B">
        <w:rPr>
          <w:lang w:val="en-GB"/>
        </w:rPr>
        <w:t xml:space="preserve">economic </w:t>
      </w:r>
      <w:r w:rsidR="00C47CB4" w:rsidRPr="00184430">
        <w:rPr>
          <w:lang w:val="en-GB"/>
        </w:rPr>
        <w:t>context</w:t>
      </w:r>
      <w:r w:rsidRPr="00184430">
        <w:rPr>
          <w:lang w:val="en-GB"/>
        </w:rPr>
        <w:t>.</w:t>
      </w:r>
      <w:r w:rsidR="00C47CB4" w:rsidRPr="00184430">
        <w:rPr>
          <w:lang w:val="en-GB"/>
        </w:rPr>
        <w:t xml:space="preserve"> This is followed by a presentation and discussion of the main economic indicators and individual </w:t>
      </w:r>
      <w:r w:rsidR="00B72E3F">
        <w:rPr>
          <w:lang w:val="en-GB"/>
        </w:rPr>
        <w:t>Member State</w:t>
      </w:r>
      <w:r w:rsidR="00C47CB4" w:rsidRPr="00184430">
        <w:rPr>
          <w:lang w:val="en-GB"/>
        </w:rPr>
        <w:t xml:space="preserve"> performance</w:t>
      </w:r>
      <w:r w:rsidR="00A64B86">
        <w:rPr>
          <w:lang w:val="en-GB"/>
        </w:rPr>
        <w:t xml:space="preserve"> in </w:t>
      </w:r>
      <w:r w:rsidR="00A60E9B">
        <w:rPr>
          <w:lang w:val="en-GB"/>
        </w:rPr>
        <w:t>S</w:t>
      </w:r>
      <w:r w:rsidR="00A64B86">
        <w:rPr>
          <w:lang w:val="en-GB"/>
        </w:rPr>
        <w:t>ection II</w:t>
      </w:r>
      <w:r w:rsidR="00C47CB4" w:rsidRPr="00184430">
        <w:rPr>
          <w:lang w:val="en-GB"/>
        </w:rPr>
        <w:t xml:space="preserve">. Section </w:t>
      </w:r>
      <w:r w:rsidR="00FF70D5" w:rsidRPr="00184430">
        <w:rPr>
          <w:lang w:val="en-GB"/>
        </w:rPr>
        <w:t>III</w:t>
      </w:r>
      <w:r w:rsidR="00C47CB4" w:rsidRPr="00184430">
        <w:rPr>
          <w:lang w:val="en-GB"/>
        </w:rPr>
        <w:t xml:space="preserve"> presents </w:t>
      </w:r>
      <w:r w:rsidR="00261515" w:rsidRPr="00184430">
        <w:rPr>
          <w:lang w:val="en-GB"/>
        </w:rPr>
        <w:t xml:space="preserve">a brief analysis of </w:t>
      </w:r>
      <w:r w:rsidR="00A7679B">
        <w:rPr>
          <w:lang w:val="en-GB"/>
        </w:rPr>
        <w:t xml:space="preserve">income </w:t>
      </w:r>
      <w:r w:rsidR="00261515" w:rsidRPr="00184430">
        <w:rPr>
          <w:lang w:val="en-GB"/>
        </w:rPr>
        <w:t xml:space="preserve">convergence </w:t>
      </w:r>
      <w:r w:rsidR="00A7679B">
        <w:rPr>
          <w:lang w:val="en-GB"/>
        </w:rPr>
        <w:t>within the EU</w:t>
      </w:r>
      <w:r w:rsidR="00261515" w:rsidRPr="00184430">
        <w:rPr>
          <w:lang w:val="en-GB"/>
        </w:rPr>
        <w:t xml:space="preserve">. The final section concludes </w:t>
      </w:r>
      <w:r w:rsidR="00D3787B">
        <w:rPr>
          <w:lang w:val="en-GB"/>
        </w:rPr>
        <w:t>the paper</w:t>
      </w:r>
      <w:r w:rsidR="00261515" w:rsidRPr="00184430">
        <w:rPr>
          <w:lang w:val="en-GB"/>
        </w:rPr>
        <w:t>.</w:t>
      </w:r>
    </w:p>
    <w:p w:rsidR="004C15DE" w:rsidRPr="00184430" w:rsidRDefault="004C15DE" w:rsidP="00542059">
      <w:pPr>
        <w:spacing w:line="276" w:lineRule="auto"/>
        <w:jc w:val="both"/>
        <w:rPr>
          <w:lang w:val="en-GB"/>
        </w:rPr>
      </w:pPr>
    </w:p>
    <w:p w:rsidR="00FF70D5" w:rsidRPr="00184430" w:rsidRDefault="00FF70D5" w:rsidP="00542059">
      <w:pPr>
        <w:spacing w:line="276" w:lineRule="auto"/>
        <w:jc w:val="both"/>
        <w:rPr>
          <w:lang w:val="en-GB"/>
        </w:rPr>
      </w:pPr>
    </w:p>
    <w:p w:rsidR="004C15DE" w:rsidRPr="00184430" w:rsidRDefault="004C15DE" w:rsidP="00542059">
      <w:pPr>
        <w:spacing w:line="276" w:lineRule="auto"/>
        <w:jc w:val="both"/>
        <w:rPr>
          <w:b/>
          <w:lang w:val="en-GB"/>
        </w:rPr>
      </w:pPr>
      <w:r w:rsidRPr="00184430">
        <w:rPr>
          <w:b/>
          <w:lang w:val="en-GB"/>
        </w:rPr>
        <w:lastRenderedPageBreak/>
        <w:t xml:space="preserve">I. </w:t>
      </w:r>
      <w:r w:rsidR="00FF70D5" w:rsidRPr="00184430">
        <w:rPr>
          <w:b/>
          <w:lang w:val="en-GB"/>
        </w:rPr>
        <w:t>European Performance and t</w:t>
      </w:r>
      <w:r w:rsidR="005C3A8D" w:rsidRPr="00184430">
        <w:rPr>
          <w:b/>
          <w:lang w:val="en-GB"/>
        </w:rPr>
        <w:t>he Global</w:t>
      </w:r>
      <w:r w:rsidRPr="00184430">
        <w:rPr>
          <w:b/>
          <w:lang w:val="en-GB"/>
        </w:rPr>
        <w:t xml:space="preserve"> </w:t>
      </w:r>
      <w:r w:rsidR="00FF70D5" w:rsidRPr="00184430">
        <w:rPr>
          <w:b/>
          <w:lang w:val="en-GB"/>
        </w:rPr>
        <w:t xml:space="preserve">Economic </w:t>
      </w:r>
      <w:r w:rsidRPr="00184430">
        <w:rPr>
          <w:b/>
          <w:lang w:val="en-GB"/>
        </w:rPr>
        <w:t>Context</w:t>
      </w:r>
    </w:p>
    <w:p w:rsidR="00773615" w:rsidRPr="00184430" w:rsidRDefault="00773615" w:rsidP="00FD1D46">
      <w:pPr>
        <w:spacing w:line="276" w:lineRule="auto"/>
        <w:jc w:val="both"/>
        <w:rPr>
          <w:lang w:val="en-GB"/>
        </w:rPr>
      </w:pPr>
    </w:p>
    <w:p w:rsidR="00C14526" w:rsidRPr="00184430" w:rsidRDefault="00FF70D5">
      <w:pPr>
        <w:spacing w:line="276" w:lineRule="auto"/>
        <w:jc w:val="both"/>
        <w:rPr>
          <w:lang w:val="en-GB"/>
        </w:rPr>
      </w:pPr>
      <w:r w:rsidRPr="00184430">
        <w:rPr>
          <w:lang w:val="en-GB"/>
        </w:rPr>
        <w:t xml:space="preserve">Europe’s growth performance </w:t>
      </w:r>
      <w:r w:rsidR="00492DE2">
        <w:rPr>
          <w:lang w:val="en-GB"/>
        </w:rPr>
        <w:t>was</w:t>
      </w:r>
      <w:r w:rsidRPr="00184430">
        <w:rPr>
          <w:lang w:val="en-GB"/>
        </w:rPr>
        <w:t xml:space="preserve"> much weaker than expected in 2014, with real GDP growth being around 1.3</w:t>
      </w:r>
      <w:r w:rsidR="007F0781">
        <w:rPr>
          <w:lang w:val="en-GB"/>
        </w:rPr>
        <w:t xml:space="preserve"> </w:t>
      </w:r>
      <w:r w:rsidR="001D3B9C">
        <w:rPr>
          <w:lang w:val="en-GB"/>
        </w:rPr>
        <w:t>per cent</w:t>
      </w:r>
      <w:r w:rsidRPr="00184430">
        <w:rPr>
          <w:lang w:val="en-GB"/>
        </w:rPr>
        <w:t xml:space="preserve">. This </w:t>
      </w:r>
      <w:r w:rsidR="00C66EB9" w:rsidRPr="00184430">
        <w:rPr>
          <w:lang w:val="en-GB"/>
        </w:rPr>
        <w:t xml:space="preserve">weak performance is especially striking when seen in the light of the sustained robust </w:t>
      </w:r>
      <w:r w:rsidR="00C14526" w:rsidRPr="00184430">
        <w:rPr>
          <w:lang w:val="en-GB"/>
        </w:rPr>
        <w:t>growth</w:t>
      </w:r>
      <w:r w:rsidR="00C66EB9" w:rsidRPr="00184430">
        <w:rPr>
          <w:lang w:val="en-GB"/>
        </w:rPr>
        <w:t xml:space="preserve"> in other parts of the world. </w:t>
      </w:r>
      <w:r w:rsidR="008D5C10">
        <w:rPr>
          <w:lang w:val="en-GB"/>
        </w:rPr>
        <w:t>T</w:t>
      </w:r>
      <w:r w:rsidR="00C14526" w:rsidRPr="00184430">
        <w:rPr>
          <w:lang w:val="en-GB"/>
        </w:rPr>
        <w:t>he global economy</w:t>
      </w:r>
      <w:r w:rsidR="008D5C10">
        <w:rPr>
          <w:lang w:val="en-GB"/>
        </w:rPr>
        <w:t xml:space="preserve"> grew by 3.3 percent</w:t>
      </w:r>
      <w:r w:rsidR="00C14526" w:rsidRPr="00184430">
        <w:rPr>
          <w:lang w:val="en-GB"/>
        </w:rPr>
        <w:t xml:space="preserve"> in 2014</w:t>
      </w:r>
      <w:r w:rsidR="008D5C10">
        <w:rPr>
          <w:lang w:val="en-GB"/>
        </w:rPr>
        <w:t>, which</w:t>
      </w:r>
      <w:r w:rsidR="00C14526" w:rsidRPr="00184430">
        <w:rPr>
          <w:lang w:val="en-GB"/>
        </w:rPr>
        <w:t xml:space="preserve"> </w:t>
      </w:r>
      <w:r w:rsidR="008D5C10">
        <w:rPr>
          <w:lang w:val="en-GB"/>
        </w:rPr>
        <w:t>although</w:t>
      </w:r>
      <w:r w:rsidR="00C14526" w:rsidRPr="00184430">
        <w:rPr>
          <w:lang w:val="en-GB"/>
        </w:rPr>
        <w:t xml:space="preserve"> far from spectacular</w:t>
      </w:r>
      <w:r w:rsidR="008D5C10">
        <w:rPr>
          <w:lang w:val="en-GB"/>
        </w:rPr>
        <w:t xml:space="preserve">, none the less provided opportunities that Europe failed to make use of </w:t>
      </w:r>
      <w:r w:rsidR="004F6876">
        <w:rPr>
          <w:lang w:val="en-GB"/>
        </w:rPr>
        <w:t>(</w:t>
      </w:r>
      <w:r w:rsidR="004F6876" w:rsidRPr="00184430">
        <w:rPr>
          <w:lang w:val="en-GB"/>
        </w:rPr>
        <w:t>IMF</w:t>
      </w:r>
      <w:r w:rsidR="004F6876">
        <w:rPr>
          <w:lang w:val="en-GB"/>
        </w:rPr>
        <w:t>, 2014a, p.</w:t>
      </w:r>
      <w:r w:rsidR="004F6876" w:rsidRPr="00184430">
        <w:rPr>
          <w:lang w:val="en-GB"/>
        </w:rPr>
        <w:t xml:space="preserve"> xiii)</w:t>
      </w:r>
      <w:r w:rsidR="008D5C10">
        <w:rPr>
          <w:lang w:val="en-GB"/>
        </w:rPr>
        <w:t xml:space="preserve">. </w:t>
      </w:r>
      <w:r w:rsidR="00C66EB9" w:rsidRPr="00184430">
        <w:rPr>
          <w:lang w:val="en-GB"/>
        </w:rPr>
        <w:t xml:space="preserve">Economic activity </w:t>
      </w:r>
      <w:r w:rsidR="00A64B86">
        <w:rPr>
          <w:lang w:val="en-GB"/>
        </w:rPr>
        <w:t>grew</w:t>
      </w:r>
      <w:r w:rsidR="00C66EB9" w:rsidRPr="00184430">
        <w:rPr>
          <w:lang w:val="en-GB"/>
        </w:rPr>
        <w:t xml:space="preserve"> by more than 2</w:t>
      </w:r>
      <w:r w:rsidR="007F0781">
        <w:rPr>
          <w:lang w:val="en-GB"/>
        </w:rPr>
        <w:t xml:space="preserve"> </w:t>
      </w:r>
      <w:r w:rsidR="001D3B9C">
        <w:rPr>
          <w:lang w:val="en-GB"/>
        </w:rPr>
        <w:t>per cent</w:t>
      </w:r>
      <w:r w:rsidR="00C66EB9" w:rsidRPr="00184430">
        <w:rPr>
          <w:lang w:val="en-GB"/>
        </w:rPr>
        <w:t xml:space="preserve"> in the US, whereas China achieved 7.</w:t>
      </w:r>
      <w:r w:rsidR="00C14526" w:rsidRPr="00184430">
        <w:rPr>
          <w:lang w:val="en-GB"/>
        </w:rPr>
        <w:t>4</w:t>
      </w:r>
      <w:r w:rsidR="001D3B9C">
        <w:rPr>
          <w:lang w:val="en-GB"/>
        </w:rPr>
        <w:t xml:space="preserve"> per cent</w:t>
      </w:r>
      <w:r w:rsidR="00C23364" w:rsidRPr="00184430">
        <w:rPr>
          <w:lang w:val="en-GB"/>
        </w:rPr>
        <w:t>.</w:t>
      </w:r>
      <w:r w:rsidR="00C66EB9" w:rsidRPr="00184430">
        <w:rPr>
          <w:lang w:val="en-GB"/>
        </w:rPr>
        <w:t xml:space="preserve"> World trade </w:t>
      </w:r>
      <w:r w:rsidR="00A64B86">
        <w:rPr>
          <w:lang w:val="en-GB"/>
        </w:rPr>
        <w:t>saw</w:t>
      </w:r>
      <w:r w:rsidR="00C66EB9" w:rsidRPr="00184430">
        <w:rPr>
          <w:lang w:val="en-GB"/>
        </w:rPr>
        <w:t xml:space="preserve"> an even larger expansion, and financial market</w:t>
      </w:r>
      <w:r w:rsidR="007F0781">
        <w:rPr>
          <w:lang w:val="en-GB"/>
        </w:rPr>
        <w:t xml:space="preserve"> actor</w:t>
      </w:r>
      <w:r w:rsidR="00C66EB9" w:rsidRPr="00184430">
        <w:rPr>
          <w:lang w:val="en-GB"/>
        </w:rPr>
        <w:t>s bec</w:t>
      </w:r>
      <w:r w:rsidR="00A64B86">
        <w:rPr>
          <w:lang w:val="en-GB"/>
        </w:rPr>
        <w:t>a</w:t>
      </w:r>
      <w:r w:rsidR="00C66EB9" w:rsidRPr="00184430">
        <w:rPr>
          <w:lang w:val="en-GB"/>
        </w:rPr>
        <w:t>me exceedingly optimistic as well. Stock markets and long-term yields continued to rise and investors bec</w:t>
      </w:r>
      <w:r w:rsidR="00A64B86">
        <w:rPr>
          <w:lang w:val="en-GB"/>
        </w:rPr>
        <w:t>a</w:t>
      </w:r>
      <w:r w:rsidR="00C66EB9" w:rsidRPr="00184430">
        <w:rPr>
          <w:lang w:val="en-GB"/>
        </w:rPr>
        <w:t>me less risk averse. The spread and volatility of major assets declined to the low levels that were typical before 2007.</w:t>
      </w:r>
      <w:r w:rsidR="00C14526" w:rsidRPr="00184430">
        <w:rPr>
          <w:lang w:val="en-GB"/>
        </w:rPr>
        <w:t xml:space="preserve"> </w:t>
      </w:r>
      <w:r w:rsidR="00C14526" w:rsidRPr="0055548F">
        <w:rPr>
          <w:lang w:val="en-GB"/>
        </w:rPr>
        <w:t xml:space="preserve">These can be seen as highly encouraging developments, despite the fact that China’s growth continued to decelerate, Japan performed below expectations, Brazil’s economy </w:t>
      </w:r>
      <w:r w:rsidR="00B72E3F" w:rsidRPr="0055548F">
        <w:rPr>
          <w:lang w:val="en-GB"/>
        </w:rPr>
        <w:t>stagnated</w:t>
      </w:r>
      <w:r w:rsidR="00C14526" w:rsidRPr="0055548F">
        <w:rPr>
          <w:lang w:val="en-GB"/>
        </w:rPr>
        <w:t xml:space="preserve">, </w:t>
      </w:r>
      <w:r w:rsidR="00B72E3F" w:rsidRPr="0055548F">
        <w:rPr>
          <w:lang w:val="en-GB"/>
        </w:rPr>
        <w:t xml:space="preserve">as did </w:t>
      </w:r>
      <w:r w:rsidR="00C14526" w:rsidRPr="0055548F">
        <w:rPr>
          <w:lang w:val="en-GB"/>
        </w:rPr>
        <w:t>Russia</w:t>
      </w:r>
      <w:r w:rsidR="00B72E3F" w:rsidRPr="0055548F">
        <w:rPr>
          <w:lang w:val="en-GB"/>
        </w:rPr>
        <w:t>’s</w:t>
      </w:r>
      <w:r w:rsidR="00C14526" w:rsidRPr="0055548F">
        <w:rPr>
          <w:lang w:val="en-GB"/>
        </w:rPr>
        <w:t xml:space="preserve">, </w:t>
      </w:r>
      <w:r w:rsidR="00B72E3F" w:rsidRPr="0055548F">
        <w:rPr>
          <w:lang w:val="en-GB"/>
        </w:rPr>
        <w:t>which was hit heavily by</w:t>
      </w:r>
      <w:r w:rsidR="00C14526" w:rsidRPr="0055548F">
        <w:rPr>
          <w:lang w:val="en-GB"/>
        </w:rPr>
        <w:t xml:space="preserve"> Western sanctions due to its war with Ukraine and falling oil prices (see Table 1).</w:t>
      </w:r>
    </w:p>
    <w:p w:rsidR="00C14526" w:rsidRPr="00184430" w:rsidRDefault="00C14526">
      <w:pPr>
        <w:spacing w:line="276" w:lineRule="auto"/>
        <w:jc w:val="both"/>
        <w:rPr>
          <w:lang w:val="en-GB"/>
        </w:rPr>
      </w:pPr>
    </w:p>
    <w:p w:rsidR="00A87EAF" w:rsidRDefault="00C66EB9" w:rsidP="0055548F">
      <w:pPr>
        <w:spacing w:line="276" w:lineRule="auto"/>
        <w:jc w:val="center"/>
        <w:rPr>
          <w:lang w:val="en-GB"/>
        </w:rPr>
      </w:pPr>
      <w:r w:rsidRPr="00184430">
        <w:rPr>
          <w:lang w:val="en-GB"/>
        </w:rPr>
        <w:t>Table 1. The global economic context – GDP growth rates</w:t>
      </w:r>
    </w:p>
    <w:p w:rsidR="00A87EAF" w:rsidRDefault="00A87EAF" w:rsidP="0055548F">
      <w:pPr>
        <w:spacing w:line="276" w:lineRule="auto"/>
        <w:rPr>
          <w:lang w:val="en-GB"/>
        </w:rPr>
      </w:pPr>
    </w:p>
    <w:tbl>
      <w:tblPr>
        <w:tblStyle w:val="Rcsostblzat"/>
        <w:tblW w:w="0" w:type="auto"/>
        <w:jc w:val="center"/>
        <w:tblLayout w:type="fixed"/>
        <w:tblLook w:val="04A0"/>
      </w:tblPr>
      <w:tblGrid>
        <w:gridCol w:w="3782"/>
        <w:gridCol w:w="1077"/>
        <w:gridCol w:w="1077"/>
        <w:gridCol w:w="1077"/>
        <w:gridCol w:w="1077"/>
        <w:gridCol w:w="1077"/>
      </w:tblGrid>
      <w:tr w:rsidR="00C66EB9" w:rsidRPr="00184430" w:rsidTr="00C14526">
        <w:trPr>
          <w:jc w:val="center"/>
        </w:trPr>
        <w:tc>
          <w:tcPr>
            <w:tcW w:w="3782" w:type="dxa"/>
          </w:tcPr>
          <w:p w:rsidR="00A87EAF" w:rsidRDefault="00A87EAF" w:rsidP="0055548F">
            <w:pPr>
              <w:spacing w:line="276" w:lineRule="auto"/>
              <w:rPr>
                <w:sz w:val="22"/>
                <w:szCs w:val="22"/>
                <w:lang w:val="en-GB"/>
              </w:rPr>
            </w:pPr>
          </w:p>
        </w:tc>
        <w:tc>
          <w:tcPr>
            <w:tcW w:w="1077" w:type="dxa"/>
          </w:tcPr>
          <w:p w:rsidR="00A87EAF" w:rsidRDefault="00C66EB9" w:rsidP="0055548F">
            <w:pPr>
              <w:spacing w:line="276" w:lineRule="auto"/>
              <w:jc w:val="center"/>
              <w:rPr>
                <w:b/>
                <w:sz w:val="22"/>
                <w:szCs w:val="22"/>
                <w:lang w:val="en-GB"/>
              </w:rPr>
            </w:pPr>
            <w:r w:rsidRPr="00184430">
              <w:rPr>
                <w:b/>
                <w:sz w:val="22"/>
                <w:szCs w:val="22"/>
                <w:lang w:val="en-GB"/>
              </w:rPr>
              <w:t>2010</w:t>
            </w:r>
          </w:p>
        </w:tc>
        <w:tc>
          <w:tcPr>
            <w:tcW w:w="1077" w:type="dxa"/>
          </w:tcPr>
          <w:p w:rsidR="00A87EAF" w:rsidRDefault="00C66EB9" w:rsidP="0055548F">
            <w:pPr>
              <w:spacing w:line="276" w:lineRule="auto"/>
              <w:jc w:val="center"/>
              <w:rPr>
                <w:b/>
                <w:sz w:val="22"/>
                <w:szCs w:val="22"/>
                <w:lang w:val="en-GB"/>
              </w:rPr>
            </w:pPr>
            <w:r w:rsidRPr="00184430">
              <w:rPr>
                <w:b/>
                <w:sz w:val="22"/>
                <w:szCs w:val="22"/>
                <w:lang w:val="en-GB"/>
              </w:rPr>
              <w:t>2011</w:t>
            </w:r>
          </w:p>
        </w:tc>
        <w:tc>
          <w:tcPr>
            <w:tcW w:w="1077" w:type="dxa"/>
          </w:tcPr>
          <w:p w:rsidR="00A87EAF" w:rsidRDefault="00C66EB9" w:rsidP="0055548F">
            <w:pPr>
              <w:spacing w:line="276" w:lineRule="auto"/>
              <w:jc w:val="center"/>
              <w:rPr>
                <w:b/>
                <w:sz w:val="22"/>
                <w:szCs w:val="22"/>
                <w:lang w:val="en-GB"/>
              </w:rPr>
            </w:pPr>
            <w:r w:rsidRPr="00184430">
              <w:rPr>
                <w:b/>
                <w:sz w:val="22"/>
                <w:szCs w:val="22"/>
                <w:lang w:val="en-GB"/>
              </w:rPr>
              <w:t>2012</w:t>
            </w:r>
          </w:p>
        </w:tc>
        <w:tc>
          <w:tcPr>
            <w:tcW w:w="1077" w:type="dxa"/>
          </w:tcPr>
          <w:p w:rsidR="00A87EAF" w:rsidRDefault="00C66EB9" w:rsidP="0055548F">
            <w:pPr>
              <w:spacing w:line="276" w:lineRule="auto"/>
              <w:jc w:val="center"/>
              <w:rPr>
                <w:b/>
                <w:sz w:val="22"/>
                <w:szCs w:val="22"/>
                <w:lang w:val="en-GB"/>
              </w:rPr>
            </w:pPr>
            <w:r w:rsidRPr="00184430">
              <w:rPr>
                <w:b/>
                <w:sz w:val="22"/>
                <w:szCs w:val="22"/>
                <w:lang w:val="en-GB"/>
              </w:rPr>
              <w:t>2013</w:t>
            </w:r>
          </w:p>
        </w:tc>
        <w:tc>
          <w:tcPr>
            <w:tcW w:w="1077" w:type="dxa"/>
          </w:tcPr>
          <w:p w:rsidR="00A87EAF" w:rsidRDefault="00C66EB9" w:rsidP="0055548F">
            <w:pPr>
              <w:spacing w:line="276" w:lineRule="auto"/>
              <w:jc w:val="center"/>
              <w:rPr>
                <w:b/>
                <w:sz w:val="22"/>
                <w:szCs w:val="22"/>
                <w:lang w:val="en-GB"/>
              </w:rPr>
            </w:pPr>
            <w:r w:rsidRPr="00184430">
              <w:rPr>
                <w:b/>
                <w:sz w:val="22"/>
                <w:szCs w:val="22"/>
                <w:lang w:val="en-GB"/>
              </w:rPr>
              <w:t>2014*</w:t>
            </w:r>
          </w:p>
        </w:tc>
      </w:tr>
      <w:tr w:rsidR="00C66EB9" w:rsidRPr="00184430" w:rsidTr="00C14526">
        <w:trPr>
          <w:jc w:val="center"/>
        </w:trPr>
        <w:tc>
          <w:tcPr>
            <w:tcW w:w="3782" w:type="dxa"/>
          </w:tcPr>
          <w:p w:rsidR="00A87EAF" w:rsidRDefault="00C66EB9" w:rsidP="0055548F">
            <w:pPr>
              <w:spacing w:line="276" w:lineRule="auto"/>
              <w:rPr>
                <w:sz w:val="22"/>
                <w:szCs w:val="22"/>
                <w:lang w:val="en-GB"/>
              </w:rPr>
            </w:pPr>
            <w:r w:rsidRPr="00184430">
              <w:rPr>
                <w:sz w:val="22"/>
                <w:szCs w:val="22"/>
                <w:lang w:val="en-GB"/>
              </w:rPr>
              <w:t>World</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5.4</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4.1</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3.4</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3.3</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3.3</w:t>
            </w:r>
          </w:p>
        </w:tc>
      </w:tr>
      <w:tr w:rsidR="00C66EB9" w:rsidRPr="00184430" w:rsidTr="00C14526">
        <w:trPr>
          <w:jc w:val="center"/>
        </w:trPr>
        <w:tc>
          <w:tcPr>
            <w:tcW w:w="3782" w:type="dxa"/>
          </w:tcPr>
          <w:p w:rsidR="00A87EAF" w:rsidRDefault="00C66EB9" w:rsidP="0055548F">
            <w:pPr>
              <w:spacing w:line="276" w:lineRule="auto"/>
              <w:rPr>
                <w:sz w:val="22"/>
                <w:szCs w:val="22"/>
                <w:lang w:val="en-GB"/>
              </w:rPr>
            </w:pPr>
            <w:r w:rsidRPr="00184430">
              <w:rPr>
                <w:sz w:val="22"/>
                <w:szCs w:val="22"/>
                <w:lang w:val="en-GB"/>
              </w:rPr>
              <w:t>Advanced economies</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3.1</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1.7</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1.2</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1.4</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1.8</w:t>
            </w:r>
          </w:p>
        </w:tc>
      </w:tr>
      <w:tr w:rsidR="00C66EB9" w:rsidRPr="00184430" w:rsidTr="00C14526">
        <w:trPr>
          <w:jc w:val="center"/>
        </w:trPr>
        <w:tc>
          <w:tcPr>
            <w:tcW w:w="3782" w:type="dxa"/>
          </w:tcPr>
          <w:p w:rsidR="00A87EAF" w:rsidRDefault="00C66EB9" w:rsidP="0055548F">
            <w:pPr>
              <w:spacing w:line="276" w:lineRule="auto"/>
              <w:ind w:left="366"/>
              <w:rPr>
                <w:sz w:val="22"/>
                <w:szCs w:val="22"/>
                <w:lang w:val="en-GB"/>
              </w:rPr>
            </w:pPr>
            <w:r w:rsidRPr="00184430">
              <w:rPr>
                <w:sz w:val="22"/>
                <w:szCs w:val="22"/>
                <w:lang w:val="en-GB"/>
              </w:rPr>
              <w:t>EU</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2.1</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1.7</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-0.4</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0.0</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1.3</w:t>
            </w:r>
          </w:p>
        </w:tc>
      </w:tr>
      <w:tr w:rsidR="00C66EB9" w:rsidRPr="00184430" w:rsidTr="00C14526">
        <w:trPr>
          <w:jc w:val="center"/>
        </w:trPr>
        <w:tc>
          <w:tcPr>
            <w:tcW w:w="3782" w:type="dxa"/>
          </w:tcPr>
          <w:p w:rsidR="00A87EAF" w:rsidRDefault="00C66EB9" w:rsidP="0055548F">
            <w:pPr>
              <w:spacing w:line="276" w:lineRule="auto"/>
              <w:ind w:left="366"/>
              <w:rPr>
                <w:sz w:val="22"/>
                <w:szCs w:val="22"/>
                <w:lang w:val="en-GB"/>
              </w:rPr>
            </w:pPr>
            <w:r w:rsidRPr="00184430">
              <w:rPr>
                <w:sz w:val="22"/>
                <w:szCs w:val="22"/>
                <w:lang w:val="en-GB"/>
              </w:rPr>
              <w:t>USA</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2.5</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1.6</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2.3</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2.2</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2.2</w:t>
            </w:r>
          </w:p>
        </w:tc>
      </w:tr>
      <w:tr w:rsidR="00C66EB9" w:rsidRPr="00184430" w:rsidTr="00C14526">
        <w:trPr>
          <w:jc w:val="center"/>
        </w:trPr>
        <w:tc>
          <w:tcPr>
            <w:tcW w:w="3782" w:type="dxa"/>
          </w:tcPr>
          <w:p w:rsidR="00A87EAF" w:rsidRDefault="00C66EB9" w:rsidP="0055548F">
            <w:pPr>
              <w:spacing w:line="276" w:lineRule="auto"/>
              <w:ind w:left="366"/>
              <w:rPr>
                <w:sz w:val="22"/>
                <w:szCs w:val="22"/>
                <w:lang w:val="en-GB"/>
              </w:rPr>
            </w:pPr>
            <w:r w:rsidRPr="00184430">
              <w:rPr>
                <w:sz w:val="22"/>
                <w:szCs w:val="22"/>
                <w:lang w:val="en-GB"/>
              </w:rPr>
              <w:t>Japan</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4.7</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-0.5</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1.5</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1.5</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0.9</w:t>
            </w:r>
          </w:p>
        </w:tc>
      </w:tr>
      <w:tr w:rsidR="00C66EB9" w:rsidRPr="00184430" w:rsidTr="00C14526">
        <w:trPr>
          <w:jc w:val="center"/>
        </w:trPr>
        <w:tc>
          <w:tcPr>
            <w:tcW w:w="3782" w:type="dxa"/>
          </w:tcPr>
          <w:p w:rsidR="00A87EAF" w:rsidRDefault="00C66EB9" w:rsidP="0055548F">
            <w:pPr>
              <w:spacing w:line="276" w:lineRule="auto"/>
              <w:rPr>
                <w:sz w:val="22"/>
                <w:szCs w:val="22"/>
                <w:lang w:val="en-GB"/>
              </w:rPr>
            </w:pPr>
            <w:r w:rsidRPr="00184430">
              <w:rPr>
                <w:sz w:val="22"/>
                <w:szCs w:val="22"/>
                <w:lang w:val="en-GB"/>
              </w:rPr>
              <w:t>Emerging and developing economies</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7.5</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6.2</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5.1</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4.7</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4.4</w:t>
            </w:r>
          </w:p>
        </w:tc>
      </w:tr>
      <w:tr w:rsidR="007F0781" w:rsidRPr="00184430" w:rsidTr="00C14526">
        <w:trPr>
          <w:jc w:val="center"/>
        </w:trPr>
        <w:tc>
          <w:tcPr>
            <w:tcW w:w="3782" w:type="dxa"/>
          </w:tcPr>
          <w:p w:rsidR="00A87EAF" w:rsidRPr="0055548F" w:rsidRDefault="007F0781" w:rsidP="0055548F">
            <w:pPr>
              <w:spacing w:line="276" w:lineRule="auto"/>
              <w:ind w:left="366"/>
              <w:rPr>
                <w:sz w:val="22"/>
                <w:szCs w:val="22"/>
                <w:lang w:val="en-GB"/>
              </w:rPr>
            </w:pPr>
            <w:r w:rsidRPr="0055548F">
              <w:rPr>
                <w:sz w:val="22"/>
                <w:szCs w:val="22"/>
                <w:lang w:val="en-GB"/>
              </w:rPr>
              <w:t>Brazil</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7.5</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2.7</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1.0</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2.5</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0.3</w:t>
            </w:r>
          </w:p>
        </w:tc>
      </w:tr>
      <w:tr w:rsidR="00C66EB9" w:rsidRPr="00184430" w:rsidTr="00C14526">
        <w:trPr>
          <w:jc w:val="center"/>
        </w:trPr>
        <w:tc>
          <w:tcPr>
            <w:tcW w:w="3782" w:type="dxa"/>
          </w:tcPr>
          <w:p w:rsidR="00A87EAF" w:rsidRPr="0055548F" w:rsidRDefault="00C66EB9" w:rsidP="0055548F">
            <w:pPr>
              <w:spacing w:line="276" w:lineRule="auto"/>
              <w:ind w:left="366"/>
              <w:rPr>
                <w:sz w:val="22"/>
                <w:szCs w:val="22"/>
                <w:lang w:val="en-GB"/>
              </w:rPr>
            </w:pPr>
            <w:r w:rsidRPr="0055548F">
              <w:rPr>
                <w:sz w:val="22"/>
                <w:szCs w:val="22"/>
                <w:lang w:val="en-GB"/>
              </w:rPr>
              <w:t>China</w:t>
            </w:r>
          </w:p>
        </w:tc>
        <w:tc>
          <w:tcPr>
            <w:tcW w:w="1077" w:type="dxa"/>
            <w:vAlign w:val="bottom"/>
          </w:tcPr>
          <w:p w:rsidR="00A87EAF" w:rsidRPr="0055548F" w:rsidRDefault="00C66EB9" w:rsidP="0055548F">
            <w:pPr>
              <w:spacing w:line="276" w:lineRule="auto"/>
              <w:jc w:val="right"/>
              <w:rPr>
                <w:color w:val="000000"/>
                <w:sz w:val="22"/>
                <w:szCs w:val="22"/>
                <w:lang w:val="en-GB"/>
              </w:rPr>
            </w:pPr>
            <w:r w:rsidRPr="0055548F">
              <w:rPr>
                <w:color w:val="000000"/>
                <w:sz w:val="22"/>
                <w:szCs w:val="22"/>
                <w:lang w:val="en-GB"/>
              </w:rPr>
              <w:t>10.4</w:t>
            </w:r>
          </w:p>
        </w:tc>
        <w:tc>
          <w:tcPr>
            <w:tcW w:w="1077" w:type="dxa"/>
            <w:vAlign w:val="bottom"/>
          </w:tcPr>
          <w:p w:rsidR="00A87EAF" w:rsidRPr="0055548F" w:rsidRDefault="00C66EB9" w:rsidP="0055548F">
            <w:pPr>
              <w:spacing w:line="276" w:lineRule="auto"/>
              <w:jc w:val="right"/>
              <w:rPr>
                <w:color w:val="000000"/>
                <w:sz w:val="22"/>
                <w:szCs w:val="22"/>
                <w:lang w:val="en-GB"/>
              </w:rPr>
            </w:pPr>
            <w:r w:rsidRPr="0055548F">
              <w:rPr>
                <w:color w:val="000000"/>
                <w:sz w:val="22"/>
                <w:szCs w:val="22"/>
                <w:lang w:val="en-GB"/>
              </w:rPr>
              <w:t>9.3</w:t>
            </w:r>
          </w:p>
        </w:tc>
        <w:tc>
          <w:tcPr>
            <w:tcW w:w="1077" w:type="dxa"/>
            <w:vAlign w:val="bottom"/>
          </w:tcPr>
          <w:p w:rsidR="00A87EAF" w:rsidRPr="0055548F" w:rsidRDefault="00C66EB9" w:rsidP="0055548F">
            <w:pPr>
              <w:spacing w:line="276" w:lineRule="auto"/>
              <w:jc w:val="right"/>
              <w:rPr>
                <w:color w:val="000000"/>
                <w:sz w:val="22"/>
                <w:szCs w:val="22"/>
                <w:lang w:val="en-GB"/>
              </w:rPr>
            </w:pPr>
            <w:r w:rsidRPr="0055548F">
              <w:rPr>
                <w:color w:val="000000"/>
                <w:sz w:val="22"/>
                <w:szCs w:val="22"/>
                <w:lang w:val="en-GB"/>
              </w:rPr>
              <w:t>7.7</w:t>
            </w:r>
          </w:p>
        </w:tc>
        <w:tc>
          <w:tcPr>
            <w:tcW w:w="1077" w:type="dxa"/>
            <w:vAlign w:val="bottom"/>
          </w:tcPr>
          <w:p w:rsidR="00A87EAF" w:rsidRPr="0055548F" w:rsidRDefault="00C66EB9" w:rsidP="0055548F">
            <w:pPr>
              <w:spacing w:line="276" w:lineRule="auto"/>
              <w:jc w:val="right"/>
              <w:rPr>
                <w:color w:val="000000"/>
                <w:sz w:val="22"/>
                <w:szCs w:val="22"/>
                <w:lang w:val="en-GB"/>
              </w:rPr>
            </w:pPr>
            <w:r w:rsidRPr="0055548F">
              <w:rPr>
                <w:color w:val="000000"/>
                <w:sz w:val="22"/>
                <w:szCs w:val="22"/>
                <w:lang w:val="en-GB"/>
              </w:rPr>
              <w:t>7.7</w:t>
            </w:r>
          </w:p>
        </w:tc>
        <w:tc>
          <w:tcPr>
            <w:tcW w:w="1077" w:type="dxa"/>
            <w:vAlign w:val="bottom"/>
          </w:tcPr>
          <w:p w:rsidR="00A87EAF" w:rsidRPr="0055548F" w:rsidRDefault="00C66EB9" w:rsidP="0055548F">
            <w:pPr>
              <w:spacing w:line="276" w:lineRule="auto"/>
              <w:jc w:val="right"/>
              <w:rPr>
                <w:color w:val="000000"/>
                <w:sz w:val="22"/>
                <w:szCs w:val="22"/>
                <w:lang w:val="en-GB"/>
              </w:rPr>
            </w:pPr>
            <w:r w:rsidRPr="0055548F">
              <w:rPr>
                <w:color w:val="000000"/>
                <w:sz w:val="22"/>
                <w:szCs w:val="22"/>
                <w:lang w:val="en-GB"/>
              </w:rPr>
              <w:t>7.4</w:t>
            </w:r>
          </w:p>
        </w:tc>
      </w:tr>
      <w:tr w:rsidR="007F0781" w:rsidRPr="00184430" w:rsidTr="00C14526">
        <w:trPr>
          <w:jc w:val="center"/>
        </w:trPr>
        <w:tc>
          <w:tcPr>
            <w:tcW w:w="3782" w:type="dxa"/>
          </w:tcPr>
          <w:p w:rsidR="00A87EAF" w:rsidRPr="0055548F" w:rsidRDefault="007F0781" w:rsidP="0055548F">
            <w:pPr>
              <w:spacing w:line="276" w:lineRule="auto"/>
              <w:ind w:left="366"/>
              <w:rPr>
                <w:sz w:val="22"/>
                <w:szCs w:val="22"/>
                <w:lang w:val="en-GB"/>
              </w:rPr>
            </w:pPr>
            <w:r w:rsidRPr="0055548F">
              <w:rPr>
                <w:sz w:val="22"/>
                <w:szCs w:val="22"/>
                <w:lang w:val="en-GB"/>
              </w:rPr>
              <w:t>India</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10.3</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6.6</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4.7</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5.0</w:t>
            </w:r>
          </w:p>
        </w:tc>
        <w:tc>
          <w:tcPr>
            <w:tcW w:w="1077" w:type="dxa"/>
            <w:vAlign w:val="bottom"/>
          </w:tcPr>
          <w:p w:rsidR="00A87EAF" w:rsidRPr="0055548F" w:rsidRDefault="00B72E3F" w:rsidP="0055548F">
            <w:pPr>
              <w:spacing w:line="276" w:lineRule="auto"/>
              <w:jc w:val="right"/>
              <w:rPr>
                <w:color w:val="000000"/>
                <w:sz w:val="22"/>
                <w:szCs w:val="22"/>
                <w:lang w:val="en-GB"/>
              </w:rPr>
            </w:pPr>
            <w:r w:rsidRPr="0055548F">
              <w:rPr>
                <w:color w:val="000000"/>
                <w:sz w:val="22"/>
                <w:szCs w:val="22"/>
                <w:lang w:val="en-GB"/>
              </w:rPr>
              <w:t>5.6</w:t>
            </w:r>
          </w:p>
        </w:tc>
      </w:tr>
      <w:tr w:rsidR="00C66EB9" w:rsidRPr="00184430" w:rsidTr="00C14526">
        <w:trPr>
          <w:jc w:val="center"/>
        </w:trPr>
        <w:tc>
          <w:tcPr>
            <w:tcW w:w="3782" w:type="dxa"/>
          </w:tcPr>
          <w:p w:rsidR="00A87EAF" w:rsidRDefault="00C66EB9" w:rsidP="0055548F">
            <w:pPr>
              <w:spacing w:line="276" w:lineRule="auto"/>
              <w:ind w:left="366"/>
              <w:rPr>
                <w:sz w:val="22"/>
                <w:szCs w:val="22"/>
                <w:lang w:val="en-GB"/>
              </w:rPr>
            </w:pPr>
            <w:r w:rsidRPr="00184430">
              <w:rPr>
                <w:sz w:val="22"/>
                <w:szCs w:val="22"/>
                <w:lang w:val="en-GB"/>
              </w:rPr>
              <w:t>Russia</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4.5</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4.3</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3.4</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1.3</w:t>
            </w:r>
          </w:p>
        </w:tc>
        <w:tc>
          <w:tcPr>
            <w:tcW w:w="1077" w:type="dxa"/>
            <w:vAlign w:val="bottom"/>
          </w:tcPr>
          <w:p w:rsidR="00A87EAF" w:rsidRDefault="00C66EB9" w:rsidP="0055548F">
            <w:pPr>
              <w:spacing w:line="276" w:lineRule="auto"/>
              <w:jc w:val="right"/>
              <w:rPr>
                <w:color w:val="000000"/>
                <w:sz w:val="22"/>
                <w:szCs w:val="22"/>
                <w:lang w:val="en-GB"/>
              </w:rPr>
            </w:pPr>
            <w:r w:rsidRPr="00184430">
              <w:rPr>
                <w:color w:val="000000"/>
                <w:sz w:val="22"/>
                <w:szCs w:val="22"/>
                <w:lang w:val="en-GB"/>
              </w:rPr>
              <w:t>0.2</w:t>
            </w:r>
          </w:p>
        </w:tc>
      </w:tr>
    </w:tbl>
    <w:p w:rsidR="00A87EAF" w:rsidRDefault="00A87EAF" w:rsidP="0055548F">
      <w:pPr>
        <w:spacing w:line="276" w:lineRule="auto"/>
        <w:rPr>
          <w:lang w:val="en-GB"/>
        </w:rPr>
      </w:pPr>
    </w:p>
    <w:p w:rsidR="00A87EAF" w:rsidRDefault="00C66EB9" w:rsidP="0055548F">
      <w:pPr>
        <w:spacing w:line="276" w:lineRule="auto"/>
        <w:rPr>
          <w:sz w:val="20"/>
          <w:szCs w:val="20"/>
          <w:lang w:val="en-GB"/>
        </w:rPr>
      </w:pPr>
      <w:r w:rsidRPr="00184430">
        <w:rPr>
          <w:sz w:val="20"/>
          <w:szCs w:val="20"/>
          <w:lang w:val="en-GB"/>
        </w:rPr>
        <w:t xml:space="preserve">Source: IMF </w:t>
      </w:r>
      <w:r w:rsidR="002909D2" w:rsidRPr="00184430">
        <w:rPr>
          <w:sz w:val="20"/>
          <w:szCs w:val="20"/>
          <w:lang w:val="en-GB"/>
        </w:rPr>
        <w:t>(2014b)</w:t>
      </w:r>
      <w:r w:rsidRPr="00184430">
        <w:rPr>
          <w:sz w:val="20"/>
          <w:szCs w:val="20"/>
          <w:lang w:val="en-GB"/>
        </w:rPr>
        <w:t xml:space="preserve">, </w:t>
      </w:r>
      <w:r w:rsidR="00C14526" w:rsidRPr="00184430">
        <w:rPr>
          <w:sz w:val="20"/>
          <w:szCs w:val="20"/>
          <w:lang w:val="en-GB"/>
        </w:rPr>
        <w:t>European Commission (2014</w:t>
      </w:r>
      <w:r w:rsidR="00492DE2">
        <w:rPr>
          <w:sz w:val="20"/>
          <w:szCs w:val="20"/>
          <w:lang w:val="en-GB"/>
        </w:rPr>
        <w:t>a</w:t>
      </w:r>
      <w:r w:rsidR="00C14526" w:rsidRPr="00184430">
        <w:rPr>
          <w:sz w:val="20"/>
          <w:szCs w:val="20"/>
          <w:lang w:val="en-GB"/>
        </w:rPr>
        <w:t>)</w:t>
      </w:r>
      <w:r w:rsidR="002909D2" w:rsidRPr="00184430">
        <w:rPr>
          <w:sz w:val="20"/>
          <w:szCs w:val="20"/>
          <w:lang w:val="en-GB"/>
        </w:rPr>
        <w:t>.</w:t>
      </w:r>
    </w:p>
    <w:p w:rsidR="00A87EAF" w:rsidRDefault="002909D2" w:rsidP="0055548F">
      <w:pPr>
        <w:spacing w:line="276" w:lineRule="auto"/>
        <w:rPr>
          <w:sz w:val="20"/>
          <w:szCs w:val="20"/>
          <w:lang w:val="en-GB"/>
        </w:rPr>
      </w:pPr>
      <w:r w:rsidRPr="00184430">
        <w:rPr>
          <w:sz w:val="20"/>
          <w:szCs w:val="20"/>
          <w:lang w:val="en-GB"/>
        </w:rPr>
        <w:t xml:space="preserve">Note: </w:t>
      </w:r>
      <w:r w:rsidR="00C66EB9" w:rsidRPr="00184430">
        <w:rPr>
          <w:sz w:val="20"/>
          <w:szCs w:val="20"/>
          <w:lang w:val="en-GB"/>
        </w:rPr>
        <w:t>*</w:t>
      </w:r>
      <w:r w:rsidRPr="00184430">
        <w:rPr>
          <w:sz w:val="20"/>
          <w:szCs w:val="20"/>
          <w:lang w:val="en-GB"/>
        </w:rPr>
        <w:t xml:space="preserve"> indicates</w:t>
      </w:r>
      <w:r w:rsidR="00C66EB9" w:rsidRPr="00184430">
        <w:rPr>
          <w:sz w:val="20"/>
          <w:szCs w:val="20"/>
          <w:lang w:val="en-GB"/>
        </w:rPr>
        <w:t xml:space="preserve"> forecast</w:t>
      </w:r>
      <w:r w:rsidRPr="00184430">
        <w:rPr>
          <w:sz w:val="20"/>
          <w:szCs w:val="20"/>
          <w:lang w:val="en-GB"/>
        </w:rPr>
        <w:t xml:space="preserve"> data.</w:t>
      </w:r>
    </w:p>
    <w:p w:rsidR="00773615" w:rsidRPr="00184430" w:rsidRDefault="00773615" w:rsidP="00FD1D46">
      <w:pPr>
        <w:spacing w:line="276" w:lineRule="auto"/>
        <w:jc w:val="both"/>
        <w:rPr>
          <w:lang w:val="en-GB"/>
        </w:rPr>
      </w:pPr>
    </w:p>
    <w:p w:rsidR="00A81FC3" w:rsidRPr="00184430" w:rsidRDefault="00C23364">
      <w:pPr>
        <w:spacing w:line="276" w:lineRule="auto"/>
        <w:jc w:val="both"/>
        <w:rPr>
          <w:lang w:val="en-GB"/>
        </w:rPr>
      </w:pPr>
      <w:r w:rsidRPr="00184430">
        <w:rPr>
          <w:lang w:val="en-GB"/>
        </w:rPr>
        <w:t xml:space="preserve">These overwhelmingly positive </w:t>
      </w:r>
      <w:r w:rsidR="00492DE2">
        <w:rPr>
          <w:lang w:val="en-GB"/>
        </w:rPr>
        <w:t>developments</w:t>
      </w:r>
      <w:r w:rsidR="00492DE2" w:rsidRPr="00184430">
        <w:rPr>
          <w:lang w:val="en-GB"/>
        </w:rPr>
        <w:t xml:space="preserve"> </w:t>
      </w:r>
      <w:r w:rsidRPr="00184430">
        <w:rPr>
          <w:lang w:val="en-GB"/>
        </w:rPr>
        <w:t>in the global economy, however, did not manage to push the European locomotive back to a solid and sustained growth path.</w:t>
      </w:r>
      <w:r w:rsidR="00A81FC3" w:rsidRPr="00184430">
        <w:rPr>
          <w:lang w:val="en-GB"/>
        </w:rPr>
        <w:t xml:space="preserve"> Domestic demand did not increase and investment activity remained repressed. </w:t>
      </w:r>
      <w:r w:rsidR="001C3CA4" w:rsidRPr="00184430">
        <w:rPr>
          <w:lang w:val="en-GB"/>
        </w:rPr>
        <w:t xml:space="preserve">Weak domestic demand, coupled with decreasing global energy and commodity prices </w:t>
      </w:r>
      <w:r w:rsidR="001C3CA4" w:rsidRPr="0026104A">
        <w:rPr>
          <w:lang w:val="en-GB"/>
        </w:rPr>
        <w:t xml:space="preserve">significantly lowered inflation across the continent, and even led to deflation in </w:t>
      </w:r>
      <w:r w:rsidR="00492DE2" w:rsidRPr="0026104A">
        <w:rPr>
          <w:lang w:val="en-GB"/>
        </w:rPr>
        <w:t xml:space="preserve">the </w:t>
      </w:r>
      <w:proofErr w:type="spellStart"/>
      <w:r w:rsidR="00492DE2" w:rsidRPr="0026104A">
        <w:rPr>
          <w:lang w:val="en-GB"/>
        </w:rPr>
        <w:t>eurozone</w:t>
      </w:r>
      <w:proofErr w:type="spellEnd"/>
      <w:r w:rsidR="001C3CA4" w:rsidRPr="0026104A">
        <w:rPr>
          <w:lang w:val="en-GB"/>
        </w:rPr>
        <w:t>.</w:t>
      </w:r>
      <w:r w:rsidR="001C3CA4" w:rsidRPr="00184430">
        <w:rPr>
          <w:lang w:val="en-GB"/>
        </w:rPr>
        <w:t xml:space="preserve"> </w:t>
      </w:r>
      <w:r w:rsidR="00A81FC3" w:rsidRPr="00184430">
        <w:rPr>
          <w:lang w:val="en-GB"/>
        </w:rPr>
        <w:t xml:space="preserve">Exports, which have traditionally been the </w:t>
      </w:r>
      <w:r w:rsidR="007353DD" w:rsidRPr="00184430">
        <w:rPr>
          <w:lang w:val="en-GB"/>
        </w:rPr>
        <w:t xml:space="preserve">main </w:t>
      </w:r>
      <w:r w:rsidR="00A81FC3" w:rsidRPr="00184430">
        <w:rPr>
          <w:lang w:val="en-GB"/>
        </w:rPr>
        <w:t xml:space="preserve">driving force of economies like Germany or many smaller open </w:t>
      </w:r>
      <w:r w:rsidR="00B72E3F">
        <w:rPr>
          <w:lang w:val="en-GB"/>
        </w:rPr>
        <w:t>Member State</w:t>
      </w:r>
      <w:r w:rsidR="00374EE8">
        <w:rPr>
          <w:lang w:val="en-GB"/>
        </w:rPr>
        <w:t>s</w:t>
      </w:r>
      <w:r w:rsidR="00A81FC3" w:rsidRPr="00184430">
        <w:rPr>
          <w:lang w:val="en-GB"/>
        </w:rPr>
        <w:t xml:space="preserve">, </w:t>
      </w:r>
      <w:r w:rsidR="00492DE2" w:rsidRPr="00184430">
        <w:rPr>
          <w:lang w:val="en-GB"/>
        </w:rPr>
        <w:t>perform</w:t>
      </w:r>
      <w:r w:rsidR="00492DE2">
        <w:rPr>
          <w:lang w:val="en-GB"/>
        </w:rPr>
        <w:t>ed</w:t>
      </w:r>
      <w:r w:rsidR="00492DE2" w:rsidRPr="00184430">
        <w:rPr>
          <w:lang w:val="en-GB"/>
        </w:rPr>
        <w:t xml:space="preserve"> </w:t>
      </w:r>
      <w:r w:rsidR="00A81FC3" w:rsidRPr="00184430">
        <w:rPr>
          <w:lang w:val="en-GB"/>
        </w:rPr>
        <w:t xml:space="preserve">especially weakly. </w:t>
      </w:r>
      <w:r w:rsidR="007353DD" w:rsidRPr="00184430">
        <w:rPr>
          <w:lang w:val="en-GB"/>
        </w:rPr>
        <w:t xml:space="preserve">Additionally, although monetary policy </w:t>
      </w:r>
      <w:r w:rsidR="00A64B86">
        <w:rPr>
          <w:lang w:val="en-GB"/>
        </w:rPr>
        <w:t xml:space="preserve">was </w:t>
      </w:r>
      <w:r w:rsidR="007353DD" w:rsidRPr="00184430">
        <w:rPr>
          <w:lang w:val="en-GB"/>
        </w:rPr>
        <w:t xml:space="preserve">highly accommodating throughout the European Union, fiscal policies remained mostly neutral due to fears of increasing public debts, a legacy of the crisis and its resolution. </w:t>
      </w:r>
      <w:r w:rsidR="00A81FC3" w:rsidRPr="00184430">
        <w:rPr>
          <w:lang w:val="en-GB"/>
        </w:rPr>
        <w:t xml:space="preserve">Geopolitics did not help the EU recover either. The turmoil in the Middle East and especially the sanctions against Russia, as well as Russia’s retaliatory sanctions have also caused serious concerns for many of the </w:t>
      </w:r>
      <w:r w:rsidR="00B72E3F">
        <w:rPr>
          <w:lang w:val="en-GB"/>
        </w:rPr>
        <w:t>Member State</w:t>
      </w:r>
      <w:r w:rsidR="00374EE8">
        <w:rPr>
          <w:lang w:val="en-GB"/>
        </w:rPr>
        <w:t>s</w:t>
      </w:r>
      <w:r w:rsidR="00A81FC3" w:rsidRPr="00184430">
        <w:rPr>
          <w:lang w:val="en-GB"/>
        </w:rPr>
        <w:t xml:space="preserve"> (</w:t>
      </w:r>
      <w:r w:rsidR="00A81FC3" w:rsidRPr="006B7CC3">
        <w:rPr>
          <w:i/>
          <w:lang w:val="en-GB"/>
        </w:rPr>
        <w:t>Reuters</w:t>
      </w:r>
      <w:r w:rsidR="006B7CC3">
        <w:rPr>
          <w:lang w:val="en-GB"/>
        </w:rPr>
        <w:t>,</w:t>
      </w:r>
      <w:r w:rsidR="00A81FC3" w:rsidRPr="00184430">
        <w:rPr>
          <w:lang w:val="en-GB"/>
        </w:rPr>
        <w:t xml:space="preserve"> </w:t>
      </w:r>
      <w:r w:rsidR="006B7CC3">
        <w:rPr>
          <w:lang w:val="en-GB"/>
        </w:rPr>
        <w:t xml:space="preserve">7 August </w:t>
      </w:r>
      <w:r w:rsidR="00A81FC3" w:rsidRPr="00184430">
        <w:rPr>
          <w:lang w:val="en-GB"/>
        </w:rPr>
        <w:t>2014).</w:t>
      </w:r>
    </w:p>
    <w:p w:rsidR="005F5B7C" w:rsidRPr="00184430" w:rsidRDefault="005F5B7C">
      <w:pPr>
        <w:spacing w:line="276" w:lineRule="auto"/>
        <w:jc w:val="both"/>
        <w:rPr>
          <w:lang w:val="en-GB"/>
        </w:rPr>
      </w:pPr>
    </w:p>
    <w:p w:rsidR="00A87EAF" w:rsidRDefault="00586EFC" w:rsidP="00D256A5">
      <w:pPr>
        <w:spacing w:line="276" w:lineRule="auto"/>
        <w:jc w:val="both"/>
        <w:rPr>
          <w:lang w:val="en-GB"/>
        </w:rPr>
      </w:pPr>
      <w:r w:rsidRPr="00184430">
        <w:rPr>
          <w:lang w:val="en-GB"/>
        </w:rPr>
        <w:t xml:space="preserve">While the EU is still struggling to find the proper remedy for leaving behind the crisis, it also needs to face the medium- and long-term challenges of structural problems, such as the relatively weak growth in total factor productivity, the slow pace of </w:t>
      </w:r>
      <w:proofErr w:type="spellStart"/>
      <w:r w:rsidRPr="00184430">
        <w:rPr>
          <w:lang w:val="en-GB"/>
        </w:rPr>
        <w:t>sectoral</w:t>
      </w:r>
      <w:proofErr w:type="spellEnd"/>
      <w:r w:rsidRPr="00184430">
        <w:rPr>
          <w:lang w:val="en-GB"/>
        </w:rPr>
        <w:t xml:space="preserve"> and labour market reforms, an ag</w:t>
      </w:r>
      <w:r w:rsidR="004C77A2">
        <w:rPr>
          <w:lang w:val="en-GB"/>
        </w:rPr>
        <w:t>e</w:t>
      </w:r>
      <w:r w:rsidRPr="00184430">
        <w:rPr>
          <w:lang w:val="en-GB"/>
        </w:rPr>
        <w:t xml:space="preserve">ing population, and structural unemployment, especially youth unemployment. These factors keep potential growth rates low, which in turn make investors reluctant to embark on large-scale investments. </w:t>
      </w:r>
      <w:r w:rsidR="00B91419">
        <w:rPr>
          <w:lang w:val="en-GB"/>
        </w:rPr>
        <w:t xml:space="preserve">Sadly enough, none of these weaknesses has been really new </w:t>
      </w:r>
      <w:r w:rsidR="00F4785E">
        <w:rPr>
          <w:lang w:val="en-GB"/>
        </w:rPr>
        <w:t xml:space="preserve">for </w:t>
      </w:r>
      <w:r w:rsidR="00B91419">
        <w:rPr>
          <w:lang w:val="en-GB"/>
        </w:rPr>
        <w:t>European</w:t>
      </w:r>
      <w:r w:rsidR="00F4785E">
        <w:rPr>
          <w:lang w:val="en-GB"/>
        </w:rPr>
        <w:t>s</w:t>
      </w:r>
      <w:r w:rsidR="00B91419">
        <w:rPr>
          <w:lang w:val="en-GB"/>
        </w:rPr>
        <w:t xml:space="preserve">. </w:t>
      </w:r>
      <w:r w:rsidR="00B91419" w:rsidRPr="00047DE9">
        <w:rPr>
          <w:lang w:val="en-GB"/>
        </w:rPr>
        <w:t>By</w:t>
      </w:r>
      <w:r w:rsidR="009D22D7">
        <w:rPr>
          <w:lang w:val="en-GB"/>
        </w:rPr>
        <w:t xml:space="preserve"> critically</w:t>
      </w:r>
      <w:r w:rsidR="00B91419" w:rsidRPr="00047DE9">
        <w:rPr>
          <w:lang w:val="en-GB"/>
        </w:rPr>
        <w:t xml:space="preserve"> reflecting upon the so-called Sapir Report of 2003, </w:t>
      </w:r>
      <w:r w:rsidR="00B91419">
        <w:rPr>
          <w:lang w:val="en-GB"/>
        </w:rPr>
        <w:t xml:space="preserve">put together by highly acclaimed experts on European economic integration just before the big bang enlargement of the EU, </w:t>
      </w:r>
      <w:r w:rsidR="00D256A5">
        <w:rPr>
          <w:lang w:val="en-GB"/>
        </w:rPr>
        <w:t>André</w:t>
      </w:r>
      <w:r w:rsidR="00B91419" w:rsidRPr="00047DE9">
        <w:rPr>
          <w:lang w:val="en-GB"/>
        </w:rPr>
        <w:t xml:space="preserve"> Sapir </w:t>
      </w:r>
      <w:r w:rsidR="00EE545C">
        <w:rPr>
          <w:lang w:val="en-GB"/>
        </w:rPr>
        <w:t>(</w:t>
      </w:r>
      <w:r w:rsidR="00EE545C" w:rsidRPr="00047DE9">
        <w:rPr>
          <w:lang w:val="en-GB"/>
        </w:rPr>
        <w:t xml:space="preserve">2014) </w:t>
      </w:r>
      <w:r w:rsidR="00B91419" w:rsidRPr="00047DE9">
        <w:rPr>
          <w:lang w:val="en-GB"/>
        </w:rPr>
        <w:t>acknowledge</w:t>
      </w:r>
      <w:r w:rsidR="00D256A5">
        <w:rPr>
          <w:lang w:val="en-GB"/>
        </w:rPr>
        <w:t>d</w:t>
      </w:r>
      <w:r w:rsidR="00B91419" w:rsidRPr="00047DE9">
        <w:rPr>
          <w:lang w:val="en-GB"/>
        </w:rPr>
        <w:t xml:space="preserve"> in </w:t>
      </w:r>
      <w:r w:rsidR="00EE545C">
        <w:rPr>
          <w:lang w:val="en-GB"/>
        </w:rPr>
        <w:t xml:space="preserve">last year’s </w:t>
      </w:r>
      <w:r w:rsidR="00EE545C" w:rsidRPr="00BC7993">
        <w:rPr>
          <w:i/>
          <w:lang w:val="en-GB"/>
        </w:rPr>
        <w:t>Annual Review</w:t>
      </w:r>
      <w:r w:rsidR="00B91419" w:rsidRPr="00047DE9">
        <w:rPr>
          <w:lang w:val="en-GB"/>
        </w:rPr>
        <w:t xml:space="preserve"> that </w:t>
      </w:r>
      <w:r w:rsidR="00B91419">
        <w:rPr>
          <w:lang w:val="en-GB"/>
        </w:rPr>
        <w:t xml:space="preserve">the </w:t>
      </w:r>
      <w:r w:rsidR="00B91419" w:rsidRPr="00047DE9">
        <w:rPr>
          <w:lang w:val="en-GB"/>
        </w:rPr>
        <w:t xml:space="preserve">EU </w:t>
      </w:r>
      <w:r w:rsidR="00B91419">
        <w:rPr>
          <w:lang w:val="en-GB"/>
        </w:rPr>
        <w:t xml:space="preserve">needs a </w:t>
      </w:r>
      <w:r w:rsidR="009D22D7">
        <w:rPr>
          <w:lang w:val="en-GB"/>
        </w:rPr>
        <w:t xml:space="preserve">new and </w:t>
      </w:r>
      <w:r w:rsidR="00B91419">
        <w:rPr>
          <w:lang w:val="en-GB"/>
        </w:rPr>
        <w:t xml:space="preserve">well-elaborated </w:t>
      </w:r>
      <w:r w:rsidR="00B91419" w:rsidRPr="00047DE9">
        <w:rPr>
          <w:lang w:val="en-GB"/>
        </w:rPr>
        <w:t xml:space="preserve">growth strategy </w:t>
      </w:r>
      <w:r w:rsidR="00B91419">
        <w:rPr>
          <w:lang w:val="en-GB"/>
        </w:rPr>
        <w:t>much more than ever before. He call</w:t>
      </w:r>
      <w:r w:rsidR="00D256A5">
        <w:rPr>
          <w:lang w:val="en-GB"/>
        </w:rPr>
        <w:t>ed</w:t>
      </w:r>
      <w:r w:rsidR="00B91419">
        <w:rPr>
          <w:lang w:val="en-GB"/>
        </w:rPr>
        <w:t xml:space="preserve"> for the adoption of bold measures on </w:t>
      </w:r>
      <w:r w:rsidR="00B91419" w:rsidRPr="00047DE9">
        <w:rPr>
          <w:lang w:val="en-GB"/>
        </w:rPr>
        <w:t xml:space="preserve">both </w:t>
      </w:r>
      <w:r w:rsidR="00B91419">
        <w:rPr>
          <w:lang w:val="en-GB"/>
        </w:rPr>
        <w:t xml:space="preserve">the </w:t>
      </w:r>
      <w:r w:rsidR="00B91419" w:rsidRPr="00047DE9">
        <w:rPr>
          <w:lang w:val="en-GB"/>
        </w:rPr>
        <w:t xml:space="preserve">demand and </w:t>
      </w:r>
      <w:r w:rsidR="00B91419">
        <w:rPr>
          <w:lang w:val="en-GB"/>
        </w:rPr>
        <w:t xml:space="preserve">the </w:t>
      </w:r>
      <w:r w:rsidR="00B91419" w:rsidRPr="00047DE9">
        <w:rPr>
          <w:lang w:val="en-GB"/>
        </w:rPr>
        <w:t xml:space="preserve">supply </w:t>
      </w:r>
      <w:r w:rsidR="00B91419">
        <w:rPr>
          <w:lang w:val="en-GB"/>
        </w:rPr>
        <w:t xml:space="preserve">side. While the single market along with the single currency </w:t>
      </w:r>
      <w:r w:rsidR="009D22D7">
        <w:rPr>
          <w:lang w:val="en-GB"/>
        </w:rPr>
        <w:t xml:space="preserve">have </w:t>
      </w:r>
      <w:r w:rsidR="00B91419">
        <w:rPr>
          <w:lang w:val="en-GB"/>
        </w:rPr>
        <w:t xml:space="preserve">laid down the foundations of a pro-growth economic environment, the EU should target its policies and financial resources much better in order to foster economic growth and development. </w:t>
      </w:r>
      <w:r w:rsidR="009D22D7">
        <w:rPr>
          <w:lang w:val="en-GB"/>
        </w:rPr>
        <w:t>T</w:t>
      </w:r>
      <w:r w:rsidRPr="00184430" w:rsidDel="00251D42">
        <w:rPr>
          <w:lang w:val="en-GB"/>
        </w:rPr>
        <w:t xml:space="preserve">he European Commission </w:t>
      </w:r>
      <w:r w:rsidR="00D256A5">
        <w:rPr>
          <w:lang w:val="en-GB"/>
        </w:rPr>
        <w:t>(</w:t>
      </w:r>
      <w:r w:rsidR="00D256A5" w:rsidRPr="00184430" w:rsidDel="00251D42">
        <w:rPr>
          <w:lang w:val="en-GB"/>
        </w:rPr>
        <w:t>2014</w:t>
      </w:r>
      <w:r w:rsidR="00D256A5" w:rsidDel="00251D42">
        <w:rPr>
          <w:lang w:val="en-GB"/>
        </w:rPr>
        <w:t>a</w:t>
      </w:r>
      <w:r w:rsidR="00EE545C">
        <w:rPr>
          <w:lang w:val="en-GB"/>
        </w:rPr>
        <w:t>, p.</w:t>
      </w:r>
      <w:r w:rsidR="00D256A5" w:rsidDel="00251D42">
        <w:rPr>
          <w:lang w:val="en-GB"/>
        </w:rPr>
        <w:t xml:space="preserve"> ix</w:t>
      </w:r>
      <w:r w:rsidR="00D256A5" w:rsidRPr="00184430" w:rsidDel="00251D42">
        <w:rPr>
          <w:lang w:val="en-GB"/>
        </w:rPr>
        <w:t>)</w:t>
      </w:r>
      <w:r w:rsidR="00D256A5">
        <w:rPr>
          <w:lang w:val="en-GB"/>
        </w:rPr>
        <w:t xml:space="preserve"> </w:t>
      </w:r>
      <w:r w:rsidR="009D22D7">
        <w:rPr>
          <w:lang w:val="en-GB"/>
        </w:rPr>
        <w:t>seems to share the</w:t>
      </w:r>
      <w:r w:rsidR="00D256A5">
        <w:rPr>
          <w:lang w:val="en-GB"/>
        </w:rPr>
        <w:t>se</w:t>
      </w:r>
      <w:r w:rsidR="009D22D7">
        <w:rPr>
          <w:lang w:val="en-GB"/>
        </w:rPr>
        <w:t xml:space="preserve"> ideas</w:t>
      </w:r>
      <w:r w:rsidR="00D256A5">
        <w:rPr>
          <w:lang w:val="en-GB"/>
        </w:rPr>
        <w:t>:</w:t>
      </w:r>
      <w:r w:rsidR="00770B62">
        <w:rPr>
          <w:lang w:val="en-GB"/>
        </w:rPr>
        <w:t xml:space="preserve"> </w:t>
      </w:r>
      <w:r w:rsidR="00D256A5">
        <w:rPr>
          <w:lang w:val="en-GB"/>
        </w:rPr>
        <w:t>i</w:t>
      </w:r>
      <w:r w:rsidR="00770B62">
        <w:rPr>
          <w:lang w:val="en-GB"/>
        </w:rPr>
        <w:t xml:space="preserve">n its economic forecast report, </w:t>
      </w:r>
      <w:r w:rsidR="00D256A5">
        <w:rPr>
          <w:lang w:val="en-GB"/>
        </w:rPr>
        <w:t>it</w:t>
      </w:r>
      <w:r w:rsidR="00770B62">
        <w:rPr>
          <w:lang w:val="en-GB"/>
        </w:rPr>
        <w:t xml:space="preserve"> claims that</w:t>
      </w:r>
      <w:r w:rsidRPr="00184430" w:rsidDel="00251D42">
        <w:rPr>
          <w:lang w:val="en-GB"/>
        </w:rPr>
        <w:t xml:space="preserve"> ‘[t]</w:t>
      </w:r>
      <w:proofErr w:type="gramStart"/>
      <w:r w:rsidRPr="00184430" w:rsidDel="00251D42">
        <w:rPr>
          <w:lang w:val="en-GB"/>
        </w:rPr>
        <w:t>he</w:t>
      </w:r>
      <w:proofErr w:type="gramEnd"/>
      <w:r w:rsidRPr="00184430" w:rsidDel="00251D42">
        <w:rPr>
          <w:lang w:val="en-GB"/>
        </w:rPr>
        <w:t xml:space="preserve"> dual challenge for economic policy consists in strengthening short-term economic dynamics and raising the economy’s growth potential for the medium term</w:t>
      </w:r>
      <w:r w:rsidR="00D256A5">
        <w:rPr>
          <w:lang w:val="en-GB"/>
        </w:rPr>
        <w:t>.</w:t>
      </w:r>
      <w:r w:rsidRPr="00184430" w:rsidDel="00251D42">
        <w:rPr>
          <w:lang w:val="en-GB"/>
        </w:rPr>
        <w:t>’</w:t>
      </w:r>
      <w:r w:rsidR="00D256A5">
        <w:rPr>
          <w:lang w:val="en-GB"/>
        </w:rPr>
        <w:t xml:space="preserve"> </w:t>
      </w:r>
      <w:r w:rsidRPr="00184430" w:rsidDel="00251D42">
        <w:rPr>
          <w:lang w:val="en-GB"/>
        </w:rPr>
        <w:t xml:space="preserve">Addressing such a multifaceted challenge requires concerted efforts from </w:t>
      </w:r>
      <w:r w:rsidR="00B72E3F" w:rsidDel="00251D42">
        <w:rPr>
          <w:lang w:val="en-GB"/>
        </w:rPr>
        <w:t>Member State</w:t>
      </w:r>
      <w:r w:rsidR="00374EE8" w:rsidDel="00251D42">
        <w:rPr>
          <w:lang w:val="en-GB"/>
        </w:rPr>
        <w:t>s</w:t>
      </w:r>
      <w:r w:rsidRPr="00184430" w:rsidDel="00251D42">
        <w:rPr>
          <w:lang w:val="en-GB"/>
        </w:rPr>
        <w:t>, inviting both monetary authorities and governments</w:t>
      </w:r>
      <w:r w:rsidR="00A64B86" w:rsidDel="00251D42">
        <w:rPr>
          <w:lang w:val="en-GB"/>
        </w:rPr>
        <w:t xml:space="preserve"> to act</w:t>
      </w:r>
      <w:r w:rsidRPr="00184430" w:rsidDel="00251D42">
        <w:rPr>
          <w:lang w:val="en-GB"/>
        </w:rPr>
        <w:t xml:space="preserve">. </w:t>
      </w:r>
    </w:p>
    <w:p w:rsidR="00586EFC" w:rsidRPr="00184430" w:rsidDel="00251D42" w:rsidRDefault="00586EFC">
      <w:pPr>
        <w:spacing w:line="276" w:lineRule="auto"/>
        <w:jc w:val="both"/>
        <w:rPr>
          <w:lang w:val="en-GB"/>
        </w:rPr>
      </w:pPr>
    </w:p>
    <w:p w:rsidR="00586EFC" w:rsidRPr="00184430" w:rsidRDefault="00586EFC">
      <w:pPr>
        <w:spacing w:line="276" w:lineRule="auto"/>
        <w:jc w:val="both"/>
        <w:rPr>
          <w:lang w:val="en-GB"/>
        </w:rPr>
      </w:pPr>
      <w:r w:rsidRPr="00184430">
        <w:rPr>
          <w:lang w:val="en-GB"/>
        </w:rPr>
        <w:t>Despite this generally gloomy picture, 2014 also showed some positive developments. The European Central Bank</w:t>
      </w:r>
      <w:r w:rsidR="00184430">
        <w:rPr>
          <w:lang w:val="en-GB"/>
        </w:rPr>
        <w:t xml:space="preserve"> (ECB)</w:t>
      </w:r>
      <w:r w:rsidRPr="00184430">
        <w:rPr>
          <w:lang w:val="en-GB"/>
        </w:rPr>
        <w:t xml:space="preserve">, as well as most non-Euro area central banks, followed highly accommodating monetary policies with historically low interest rates and other liquidity boosting measures to </w:t>
      </w:r>
      <w:r w:rsidR="00EA33DE">
        <w:rPr>
          <w:lang w:val="en-GB"/>
        </w:rPr>
        <w:t>increase aggregate demand</w:t>
      </w:r>
      <w:r w:rsidRPr="00184430">
        <w:rPr>
          <w:lang w:val="en-GB"/>
        </w:rPr>
        <w:t>.</w:t>
      </w:r>
      <w:r w:rsidR="00C6274B">
        <w:rPr>
          <w:rStyle w:val="Lbjegyzet-hivatkozs"/>
          <w:lang w:val="en-GB"/>
        </w:rPr>
        <w:footnoteReference w:id="1"/>
      </w:r>
      <w:r w:rsidRPr="00184430">
        <w:rPr>
          <w:lang w:val="en-GB"/>
        </w:rPr>
        <w:t xml:space="preserve"> Room for further manoeuvring</w:t>
      </w:r>
      <w:r w:rsidR="00A64B86">
        <w:rPr>
          <w:lang w:val="en-GB"/>
        </w:rPr>
        <w:t>, however,</w:t>
      </w:r>
      <w:r w:rsidRPr="00184430">
        <w:rPr>
          <w:lang w:val="en-GB"/>
        </w:rPr>
        <w:t xml:space="preserve"> </w:t>
      </w:r>
      <w:r w:rsidR="00A64B86">
        <w:rPr>
          <w:lang w:val="en-GB"/>
        </w:rPr>
        <w:t>ha</w:t>
      </w:r>
      <w:r w:rsidRPr="00184430">
        <w:rPr>
          <w:lang w:val="en-GB"/>
        </w:rPr>
        <w:t>s</w:t>
      </w:r>
      <w:r w:rsidR="00A64B86">
        <w:rPr>
          <w:lang w:val="en-GB"/>
        </w:rPr>
        <w:t xml:space="preserve"> been</w:t>
      </w:r>
      <w:r w:rsidRPr="00184430">
        <w:rPr>
          <w:lang w:val="en-GB"/>
        </w:rPr>
        <w:t xml:space="preserve"> rather constrained in terms of lowering interest rates. Yet, central banks can do a lot by reducing financial fragmentation, strengthening banks’ balance sheets and easing liquidity constraints in the private sector. Budget deficits have also generally decreased, which may indicate that there is space for fiscal policy to support growth-friendly restructuring, although </w:t>
      </w:r>
      <w:r w:rsidR="005F5B7C">
        <w:rPr>
          <w:lang w:val="en-GB"/>
        </w:rPr>
        <w:t xml:space="preserve">throughout 2014 </w:t>
      </w:r>
      <w:r w:rsidRPr="00184430">
        <w:rPr>
          <w:lang w:val="en-GB"/>
        </w:rPr>
        <w:t>th</w:t>
      </w:r>
      <w:r w:rsidR="005F5B7C">
        <w:rPr>
          <w:lang w:val="en-GB"/>
        </w:rPr>
        <w:t>ere wa</w:t>
      </w:r>
      <w:r w:rsidRPr="00184430">
        <w:rPr>
          <w:lang w:val="en-GB"/>
        </w:rPr>
        <w:t>s much political opposition to fiscal laxity</w:t>
      </w:r>
      <w:r w:rsidR="004C77A2">
        <w:rPr>
          <w:lang w:val="en-GB"/>
        </w:rPr>
        <w:t>,</w:t>
      </w:r>
      <w:r w:rsidRPr="00184430">
        <w:rPr>
          <w:lang w:val="en-GB"/>
        </w:rPr>
        <w:t xml:space="preserve"> especially from Germany. </w:t>
      </w:r>
    </w:p>
    <w:p w:rsidR="00586EFC" w:rsidRPr="00184430" w:rsidRDefault="00586EFC">
      <w:pPr>
        <w:spacing w:line="276" w:lineRule="auto"/>
        <w:jc w:val="both"/>
        <w:rPr>
          <w:lang w:val="en-GB"/>
        </w:rPr>
      </w:pPr>
    </w:p>
    <w:p w:rsidR="00586EFC" w:rsidRPr="00184430" w:rsidRDefault="00586EFC">
      <w:pPr>
        <w:spacing w:line="276" w:lineRule="auto"/>
        <w:jc w:val="both"/>
        <w:rPr>
          <w:lang w:val="en-GB"/>
        </w:rPr>
      </w:pPr>
    </w:p>
    <w:p w:rsidR="00A87EAF" w:rsidRDefault="00586EFC">
      <w:pPr>
        <w:spacing w:line="276" w:lineRule="auto"/>
        <w:jc w:val="both"/>
        <w:rPr>
          <w:b/>
          <w:lang w:val="en-GB"/>
        </w:rPr>
      </w:pPr>
      <w:r w:rsidRPr="00184430">
        <w:rPr>
          <w:b/>
          <w:lang w:val="en-GB"/>
        </w:rPr>
        <w:t xml:space="preserve">II. Main Economic Indicators and </w:t>
      </w:r>
      <w:r w:rsidR="00B72E3F">
        <w:rPr>
          <w:b/>
          <w:lang w:val="en-GB"/>
        </w:rPr>
        <w:t>Member State</w:t>
      </w:r>
      <w:r w:rsidRPr="00184430">
        <w:rPr>
          <w:b/>
          <w:lang w:val="en-GB"/>
        </w:rPr>
        <w:t xml:space="preserve"> Performance</w:t>
      </w:r>
    </w:p>
    <w:p w:rsidR="00A87EAF" w:rsidRDefault="00A87EAF">
      <w:pPr>
        <w:spacing w:line="276" w:lineRule="auto"/>
        <w:jc w:val="both"/>
        <w:rPr>
          <w:u w:val="single"/>
          <w:lang w:val="en-GB" w:eastAsia="hu-HU"/>
        </w:rPr>
      </w:pPr>
    </w:p>
    <w:p w:rsidR="00586EFC" w:rsidRPr="00184430" w:rsidRDefault="00586EFC" w:rsidP="00FD1D46">
      <w:pPr>
        <w:spacing w:line="276" w:lineRule="auto"/>
        <w:jc w:val="both"/>
        <w:rPr>
          <w:lang w:val="en-GB"/>
        </w:rPr>
      </w:pPr>
      <w:r w:rsidRPr="00184430">
        <w:rPr>
          <w:i/>
          <w:lang w:val="en-GB"/>
        </w:rPr>
        <w:t>Economic Growth</w:t>
      </w:r>
    </w:p>
    <w:p w:rsidR="00586EFC" w:rsidRPr="00184430" w:rsidRDefault="00586EFC">
      <w:pPr>
        <w:spacing w:line="276" w:lineRule="auto"/>
        <w:jc w:val="both"/>
        <w:rPr>
          <w:lang w:val="en-GB"/>
        </w:rPr>
      </w:pPr>
    </w:p>
    <w:p w:rsidR="00BA170B" w:rsidRDefault="00586EFC">
      <w:pPr>
        <w:spacing w:line="276" w:lineRule="auto"/>
        <w:jc w:val="both"/>
        <w:rPr>
          <w:lang w:val="en-GB"/>
        </w:rPr>
      </w:pPr>
      <w:r w:rsidRPr="00184430">
        <w:rPr>
          <w:lang w:val="en-GB"/>
        </w:rPr>
        <w:t>The lack of growth dynamics in general suggest</w:t>
      </w:r>
      <w:r w:rsidR="00A25732">
        <w:rPr>
          <w:lang w:val="en-GB"/>
        </w:rPr>
        <w:t>s</w:t>
      </w:r>
      <w:r w:rsidRPr="00184430">
        <w:rPr>
          <w:lang w:val="en-GB"/>
        </w:rPr>
        <w:t xml:space="preserve"> that the EU </w:t>
      </w:r>
      <w:r w:rsidR="00EA33DE">
        <w:rPr>
          <w:lang w:val="en-GB"/>
        </w:rPr>
        <w:t>has not been able to</w:t>
      </w:r>
      <w:r w:rsidR="00EA33DE" w:rsidRPr="00184430">
        <w:rPr>
          <w:lang w:val="en-GB"/>
        </w:rPr>
        <w:t xml:space="preserve"> </w:t>
      </w:r>
      <w:r w:rsidRPr="00184430">
        <w:rPr>
          <w:lang w:val="en-GB"/>
        </w:rPr>
        <w:t xml:space="preserve">benefit from the most recent revival of the global economy. </w:t>
      </w:r>
      <w:r w:rsidR="00BA170B">
        <w:rPr>
          <w:lang w:val="en-GB"/>
        </w:rPr>
        <w:t>Nevertheless, the disappointing growth performance was no</w:t>
      </w:r>
      <w:r w:rsidR="00AE78B9">
        <w:rPr>
          <w:lang w:val="en-GB"/>
        </w:rPr>
        <w:t xml:space="preserve"> longer</w:t>
      </w:r>
      <w:r w:rsidR="00BA170B">
        <w:rPr>
          <w:lang w:val="en-GB"/>
        </w:rPr>
        <w:t xml:space="preserve"> due to low level</w:t>
      </w:r>
      <w:r w:rsidR="00AE78B9">
        <w:rPr>
          <w:lang w:val="en-GB"/>
        </w:rPr>
        <w:t>s</w:t>
      </w:r>
      <w:r w:rsidR="00BA170B">
        <w:rPr>
          <w:lang w:val="en-GB"/>
        </w:rPr>
        <w:t xml:space="preserve"> of private consumption – as it was </w:t>
      </w:r>
      <w:r w:rsidR="00BC7993">
        <w:rPr>
          <w:lang w:val="en-GB"/>
        </w:rPr>
        <w:t>clearly</w:t>
      </w:r>
      <w:r w:rsidR="00BA170B">
        <w:rPr>
          <w:lang w:val="en-GB"/>
        </w:rPr>
        <w:t xml:space="preserve"> the case </w:t>
      </w:r>
      <w:r w:rsidR="00AE78B9">
        <w:rPr>
          <w:lang w:val="en-GB"/>
        </w:rPr>
        <w:t>immediately</w:t>
      </w:r>
      <w:r w:rsidR="00BA170B">
        <w:rPr>
          <w:lang w:val="en-GB"/>
        </w:rPr>
        <w:t xml:space="preserve"> after the crisis – but mostly resulted from record low investment ratios</w:t>
      </w:r>
      <w:r w:rsidR="00AE78B9">
        <w:rPr>
          <w:lang w:val="en-GB"/>
        </w:rPr>
        <w:t xml:space="preserve">, both </w:t>
      </w:r>
      <w:r w:rsidR="00BA170B">
        <w:rPr>
          <w:lang w:val="en-GB"/>
        </w:rPr>
        <w:t xml:space="preserve">in the public and the private sectors. </w:t>
      </w:r>
      <w:r w:rsidR="00AE78B9">
        <w:rPr>
          <w:lang w:val="en-GB"/>
        </w:rPr>
        <w:t>The level of i</w:t>
      </w:r>
      <w:r w:rsidR="00BA170B">
        <w:rPr>
          <w:lang w:val="en-GB"/>
        </w:rPr>
        <w:t xml:space="preserve">nvestment </w:t>
      </w:r>
      <w:r w:rsidR="00AE78B9">
        <w:rPr>
          <w:lang w:val="en-GB"/>
        </w:rPr>
        <w:t>dropped</w:t>
      </w:r>
      <w:r w:rsidR="00BA170B">
        <w:rPr>
          <w:lang w:val="en-GB"/>
        </w:rPr>
        <w:t xml:space="preserve"> by 15</w:t>
      </w:r>
      <w:r w:rsidR="001D3B9C">
        <w:rPr>
          <w:lang w:val="en-GB"/>
        </w:rPr>
        <w:t xml:space="preserve"> per cent</w:t>
      </w:r>
      <w:r w:rsidR="00BA170B">
        <w:rPr>
          <w:lang w:val="en-GB"/>
        </w:rPr>
        <w:t xml:space="preserve"> (</w:t>
      </w:r>
      <w:r w:rsidR="00AE78B9">
        <w:rPr>
          <w:lang w:val="en-GB"/>
        </w:rPr>
        <w:t>around</w:t>
      </w:r>
      <w:r w:rsidR="00BA170B">
        <w:rPr>
          <w:lang w:val="en-GB"/>
        </w:rPr>
        <w:t xml:space="preserve"> </w:t>
      </w:r>
      <w:r w:rsidR="004C77A2">
        <w:rPr>
          <w:lang w:val="en-GB"/>
        </w:rPr>
        <w:lastRenderedPageBreak/>
        <w:t>€</w:t>
      </w:r>
      <w:r w:rsidR="00BA170B">
        <w:rPr>
          <w:lang w:val="en-GB"/>
        </w:rPr>
        <w:t>430 b</w:t>
      </w:r>
      <w:r w:rsidR="00AE78B9">
        <w:rPr>
          <w:lang w:val="en-GB"/>
        </w:rPr>
        <w:t>illio</w:t>
      </w:r>
      <w:r w:rsidR="00BA170B">
        <w:rPr>
          <w:lang w:val="en-GB"/>
        </w:rPr>
        <w:t xml:space="preserve">n) from </w:t>
      </w:r>
      <w:r w:rsidR="00AE78B9">
        <w:rPr>
          <w:lang w:val="en-GB"/>
        </w:rPr>
        <w:t>its</w:t>
      </w:r>
      <w:r w:rsidR="00BA170B">
        <w:rPr>
          <w:lang w:val="en-GB"/>
        </w:rPr>
        <w:t xml:space="preserve"> peak in 2007. As investment is the main driver </w:t>
      </w:r>
      <w:r w:rsidR="00AE78B9">
        <w:rPr>
          <w:lang w:val="en-GB"/>
        </w:rPr>
        <w:t>of</w:t>
      </w:r>
      <w:r w:rsidR="00A94198">
        <w:rPr>
          <w:lang w:val="en-GB"/>
        </w:rPr>
        <w:t xml:space="preserve"> long-term growth, the</w:t>
      </w:r>
      <w:r w:rsidR="00BA170B">
        <w:rPr>
          <w:lang w:val="en-GB"/>
        </w:rPr>
        <w:t xml:space="preserve"> tendencies </w:t>
      </w:r>
      <w:r w:rsidR="00A94198">
        <w:rPr>
          <w:lang w:val="en-GB"/>
        </w:rPr>
        <w:t xml:space="preserve">in 2014 </w:t>
      </w:r>
      <w:r w:rsidR="00BA170B">
        <w:rPr>
          <w:lang w:val="en-GB"/>
        </w:rPr>
        <w:t>endanger</w:t>
      </w:r>
      <w:r w:rsidR="00A94198">
        <w:rPr>
          <w:lang w:val="en-GB"/>
        </w:rPr>
        <w:t>ed</w:t>
      </w:r>
      <w:r w:rsidR="00BA170B">
        <w:rPr>
          <w:lang w:val="en-GB"/>
        </w:rPr>
        <w:t xml:space="preserve"> </w:t>
      </w:r>
      <w:r w:rsidR="00AE78B9">
        <w:rPr>
          <w:lang w:val="en-GB"/>
        </w:rPr>
        <w:t xml:space="preserve">the </w:t>
      </w:r>
      <w:r w:rsidR="00BA170B">
        <w:rPr>
          <w:lang w:val="en-GB"/>
        </w:rPr>
        <w:t xml:space="preserve">economic potential and well-being </w:t>
      </w:r>
      <w:r w:rsidR="00AE78B9">
        <w:rPr>
          <w:lang w:val="en-GB"/>
        </w:rPr>
        <w:t xml:space="preserve">of the entire </w:t>
      </w:r>
      <w:r w:rsidR="00BA170B">
        <w:rPr>
          <w:lang w:val="en-GB"/>
        </w:rPr>
        <w:t>EU.</w:t>
      </w:r>
      <w:r w:rsidR="00BA170B">
        <w:rPr>
          <w:rStyle w:val="Lbjegyzet-hivatkozs"/>
          <w:lang w:val="en-GB"/>
        </w:rPr>
        <w:footnoteReference w:id="2"/>
      </w:r>
    </w:p>
    <w:p w:rsidR="00BA170B" w:rsidRDefault="00BA170B">
      <w:pPr>
        <w:spacing w:line="276" w:lineRule="auto"/>
        <w:jc w:val="both"/>
        <w:rPr>
          <w:lang w:val="en-GB"/>
        </w:rPr>
      </w:pPr>
    </w:p>
    <w:p w:rsidR="00D256A5" w:rsidRDefault="00A94198">
      <w:pPr>
        <w:spacing w:line="276" w:lineRule="auto"/>
        <w:jc w:val="both"/>
        <w:rPr>
          <w:lang w:val="en-GB"/>
        </w:rPr>
      </w:pPr>
      <w:r>
        <w:rPr>
          <w:lang w:val="en-GB"/>
        </w:rPr>
        <w:t>However, the fact that the EU wa</w:t>
      </w:r>
      <w:r w:rsidR="00586EFC" w:rsidRPr="00184430">
        <w:rPr>
          <w:lang w:val="en-GB"/>
        </w:rPr>
        <w:t xml:space="preserve">s unable to grow </w:t>
      </w:r>
      <w:r w:rsidR="00EE545C">
        <w:rPr>
          <w:lang w:val="en-GB"/>
        </w:rPr>
        <w:t xml:space="preserve">along </w:t>
      </w:r>
      <w:r w:rsidR="00586EFC" w:rsidRPr="00184430">
        <w:rPr>
          <w:lang w:val="en-GB"/>
        </w:rPr>
        <w:t>with the major</w:t>
      </w:r>
      <w:r>
        <w:rPr>
          <w:lang w:val="en-GB"/>
        </w:rPr>
        <w:t xml:space="preserve"> economic centres of the world wa</w:t>
      </w:r>
      <w:r w:rsidR="00586EFC" w:rsidRPr="00184430">
        <w:rPr>
          <w:lang w:val="en-GB"/>
        </w:rPr>
        <w:t xml:space="preserve">s only one part of the problem; the EU </w:t>
      </w:r>
      <w:r>
        <w:rPr>
          <w:lang w:val="en-GB"/>
        </w:rPr>
        <w:t xml:space="preserve">was </w:t>
      </w:r>
      <w:r w:rsidR="00586EFC" w:rsidRPr="00184430">
        <w:rPr>
          <w:lang w:val="en-GB"/>
        </w:rPr>
        <w:t>experiencing a multispeed recovery (see Table 2</w:t>
      </w:r>
      <w:r w:rsidR="002909D2" w:rsidRPr="00184430">
        <w:rPr>
          <w:lang w:val="en-GB"/>
        </w:rPr>
        <w:t>, which shows average EU growth rates between 2010 and 2014, and the major outliers on both ends</w:t>
      </w:r>
      <w:r w:rsidR="00586EFC" w:rsidRPr="00184430">
        <w:rPr>
          <w:lang w:val="en-GB"/>
        </w:rPr>
        <w:t xml:space="preserve">). Convergence in terms of economic development was a strong indicator of success in the EU before the crisis. The steady convergence process was, however, </w:t>
      </w:r>
      <w:r w:rsidR="00EA33DE">
        <w:rPr>
          <w:lang w:val="en-GB"/>
        </w:rPr>
        <w:t xml:space="preserve">severely </w:t>
      </w:r>
      <w:r w:rsidR="00586EFC" w:rsidRPr="00184430">
        <w:rPr>
          <w:lang w:val="en-GB"/>
        </w:rPr>
        <w:t xml:space="preserve">halted by the crisis, and </w:t>
      </w:r>
      <w:r w:rsidR="00B72E3F">
        <w:rPr>
          <w:lang w:val="en-GB"/>
        </w:rPr>
        <w:t>Member State</w:t>
      </w:r>
      <w:r w:rsidR="00374EE8">
        <w:rPr>
          <w:lang w:val="en-GB"/>
        </w:rPr>
        <w:t>s</w:t>
      </w:r>
      <w:r w:rsidR="00586EFC" w:rsidRPr="00184430">
        <w:rPr>
          <w:lang w:val="en-GB"/>
        </w:rPr>
        <w:t xml:space="preserve"> exhibit</w:t>
      </w:r>
      <w:r w:rsidR="00EA33DE">
        <w:rPr>
          <w:lang w:val="en-GB"/>
        </w:rPr>
        <w:t>ed</w:t>
      </w:r>
      <w:r w:rsidR="00586EFC" w:rsidRPr="00184430">
        <w:rPr>
          <w:lang w:val="en-GB"/>
        </w:rPr>
        <w:t xml:space="preserve"> rather diverging growth patterns</w:t>
      </w:r>
      <w:r w:rsidR="005A2A41">
        <w:rPr>
          <w:lang w:val="en-GB"/>
        </w:rPr>
        <w:t xml:space="preserve"> (see more on economic convergence </w:t>
      </w:r>
      <w:r w:rsidR="00D256A5">
        <w:rPr>
          <w:lang w:val="en-GB"/>
        </w:rPr>
        <w:t>in Section III</w:t>
      </w:r>
      <w:r w:rsidR="005A2A41">
        <w:rPr>
          <w:lang w:val="en-GB"/>
        </w:rPr>
        <w:t>)</w:t>
      </w:r>
      <w:r w:rsidR="00586EFC" w:rsidRPr="00184430">
        <w:rPr>
          <w:lang w:val="en-GB"/>
        </w:rPr>
        <w:t xml:space="preserve">. In </w:t>
      </w:r>
      <w:r w:rsidR="00EA33DE">
        <w:rPr>
          <w:lang w:val="en-GB"/>
        </w:rPr>
        <w:t>2014</w:t>
      </w:r>
      <w:r w:rsidR="00586EFC" w:rsidRPr="00184430">
        <w:rPr>
          <w:lang w:val="en-GB"/>
        </w:rPr>
        <w:t xml:space="preserve">, </w:t>
      </w:r>
      <w:r w:rsidR="00770B62">
        <w:rPr>
          <w:lang w:val="en-GB"/>
        </w:rPr>
        <w:t>a handful of countries managed to reach at least 3 per cent growth rates</w:t>
      </w:r>
      <w:r w:rsidR="00D256A5">
        <w:rPr>
          <w:lang w:val="en-GB"/>
        </w:rPr>
        <w:t>:</w:t>
      </w:r>
      <w:r w:rsidR="00770B62">
        <w:rPr>
          <w:lang w:val="en-GB"/>
        </w:rPr>
        <w:t xml:space="preserve"> </w:t>
      </w:r>
      <w:r w:rsidR="00770B62" w:rsidRPr="00184430">
        <w:rPr>
          <w:lang w:val="en-GB"/>
        </w:rPr>
        <w:t>Ireland (4.6</w:t>
      </w:r>
      <w:r w:rsidR="00770B62">
        <w:rPr>
          <w:lang w:val="en-GB"/>
        </w:rPr>
        <w:t xml:space="preserve"> per cent</w:t>
      </w:r>
      <w:r w:rsidR="00770B62" w:rsidRPr="00184430">
        <w:rPr>
          <w:lang w:val="en-GB"/>
        </w:rPr>
        <w:t>)</w:t>
      </w:r>
      <w:r w:rsidR="00770B62">
        <w:rPr>
          <w:lang w:val="en-GB"/>
        </w:rPr>
        <w:t>,</w:t>
      </w:r>
      <w:r w:rsidR="00770B62" w:rsidRPr="00184430">
        <w:rPr>
          <w:lang w:val="en-GB"/>
        </w:rPr>
        <w:t xml:space="preserve"> </w:t>
      </w:r>
      <w:r w:rsidR="00586EFC" w:rsidRPr="00184430">
        <w:rPr>
          <w:lang w:val="en-GB"/>
        </w:rPr>
        <w:t>the UK (3.1</w:t>
      </w:r>
      <w:r w:rsidR="001D3B9C">
        <w:rPr>
          <w:lang w:val="en-GB"/>
        </w:rPr>
        <w:t xml:space="preserve"> per cent</w:t>
      </w:r>
      <w:r w:rsidR="00586EFC" w:rsidRPr="00184430">
        <w:rPr>
          <w:lang w:val="en-GB"/>
        </w:rPr>
        <w:t>), Hungary (3.2</w:t>
      </w:r>
      <w:r w:rsidR="001D3B9C">
        <w:rPr>
          <w:lang w:val="en-GB"/>
        </w:rPr>
        <w:t xml:space="preserve"> per cent</w:t>
      </w:r>
      <w:r w:rsidR="00586EFC" w:rsidRPr="00184430">
        <w:rPr>
          <w:lang w:val="en-GB"/>
        </w:rPr>
        <w:t>)</w:t>
      </w:r>
      <w:r w:rsidR="00770B62">
        <w:rPr>
          <w:lang w:val="en-GB"/>
        </w:rPr>
        <w:t xml:space="preserve">, Luxembourg (3.0 per cent) </w:t>
      </w:r>
      <w:r w:rsidR="00586EFC" w:rsidRPr="00184430">
        <w:rPr>
          <w:lang w:val="en-GB"/>
        </w:rPr>
        <w:t>Malta</w:t>
      </w:r>
      <w:r w:rsidR="00770B62">
        <w:rPr>
          <w:lang w:val="en-GB"/>
        </w:rPr>
        <w:t xml:space="preserve"> (3.0 per cent) </w:t>
      </w:r>
      <w:r w:rsidR="00586EFC" w:rsidRPr="00184430">
        <w:rPr>
          <w:lang w:val="en-GB"/>
        </w:rPr>
        <w:t xml:space="preserve">and Poland </w:t>
      </w:r>
      <w:r w:rsidR="00770B62">
        <w:rPr>
          <w:lang w:val="en-GB"/>
        </w:rPr>
        <w:t>(3.0 per cent)</w:t>
      </w:r>
      <w:r w:rsidR="00586EFC" w:rsidRPr="00184430">
        <w:rPr>
          <w:lang w:val="en-GB"/>
        </w:rPr>
        <w:t xml:space="preserve">. </w:t>
      </w:r>
      <w:r w:rsidR="004C77A2">
        <w:rPr>
          <w:lang w:val="en-GB"/>
        </w:rPr>
        <w:t>T</w:t>
      </w:r>
      <w:r w:rsidR="00EA33DE">
        <w:rPr>
          <w:lang w:val="en-GB"/>
        </w:rPr>
        <w:t xml:space="preserve">he </w:t>
      </w:r>
      <w:r w:rsidR="00D9129A">
        <w:rPr>
          <w:lang w:val="en-GB"/>
        </w:rPr>
        <w:t xml:space="preserve">three </w:t>
      </w:r>
      <w:r w:rsidR="00EA33DE">
        <w:rPr>
          <w:lang w:val="en-GB"/>
        </w:rPr>
        <w:t xml:space="preserve">Baltic </w:t>
      </w:r>
      <w:r w:rsidR="00D9129A">
        <w:rPr>
          <w:lang w:val="en-GB"/>
        </w:rPr>
        <w:t>States</w:t>
      </w:r>
      <w:r w:rsidR="00EA33DE">
        <w:rPr>
          <w:lang w:val="en-GB"/>
        </w:rPr>
        <w:t xml:space="preserve"> were not in the group of best performers last year</w:t>
      </w:r>
      <w:r w:rsidR="00D9129A">
        <w:rPr>
          <w:lang w:val="en-GB"/>
        </w:rPr>
        <w:t>,</w:t>
      </w:r>
      <w:r w:rsidR="00EA33DE">
        <w:rPr>
          <w:lang w:val="en-GB"/>
        </w:rPr>
        <w:t xml:space="preserve"> but the</w:t>
      </w:r>
      <w:r w:rsidR="00D9129A">
        <w:rPr>
          <w:lang w:val="en-GB"/>
        </w:rPr>
        <w:t>y</w:t>
      </w:r>
      <w:r w:rsidR="00EA33DE">
        <w:rPr>
          <w:lang w:val="en-GB"/>
        </w:rPr>
        <w:t xml:space="preserve"> did maintain above </w:t>
      </w:r>
      <w:r w:rsidR="00770B62">
        <w:rPr>
          <w:lang w:val="en-GB"/>
        </w:rPr>
        <w:t>EU-</w:t>
      </w:r>
      <w:r w:rsidR="00EA33DE">
        <w:rPr>
          <w:lang w:val="en-GB"/>
        </w:rPr>
        <w:t>average economic growth rates</w:t>
      </w:r>
      <w:r w:rsidR="00A25732">
        <w:rPr>
          <w:lang w:val="en-GB"/>
        </w:rPr>
        <w:t>, thereby</w:t>
      </w:r>
      <w:r w:rsidR="00EA33DE">
        <w:rPr>
          <w:lang w:val="en-GB"/>
        </w:rPr>
        <w:t xml:space="preserve"> prolonging their </w:t>
      </w:r>
      <w:r w:rsidR="00BA170B">
        <w:rPr>
          <w:lang w:val="en-GB"/>
        </w:rPr>
        <w:t xml:space="preserve">spectacular </w:t>
      </w:r>
      <w:r w:rsidR="00AE78B9">
        <w:rPr>
          <w:lang w:val="en-GB"/>
        </w:rPr>
        <w:t xml:space="preserve">post-2011 </w:t>
      </w:r>
      <w:r w:rsidR="00BA170B">
        <w:rPr>
          <w:lang w:val="en-GB"/>
        </w:rPr>
        <w:t>performance</w:t>
      </w:r>
      <w:r w:rsidR="00BC7993">
        <w:rPr>
          <w:lang w:val="en-GB"/>
        </w:rPr>
        <w:t xml:space="preserve"> (following of course their similarly spectacular drop between 2007 and 2009)</w:t>
      </w:r>
      <w:r w:rsidR="00BA170B">
        <w:rPr>
          <w:lang w:val="en-GB"/>
        </w:rPr>
        <w:t xml:space="preserve">. </w:t>
      </w:r>
      <w:r w:rsidR="00586EFC" w:rsidRPr="00184430">
        <w:rPr>
          <w:lang w:val="en-GB"/>
        </w:rPr>
        <w:t>At the other end of the spectrum, Finland (-0.4</w:t>
      </w:r>
      <w:r w:rsidR="001D3B9C">
        <w:rPr>
          <w:lang w:val="en-GB"/>
        </w:rPr>
        <w:t xml:space="preserve"> per cent</w:t>
      </w:r>
      <w:r w:rsidR="00586EFC" w:rsidRPr="00184430">
        <w:rPr>
          <w:lang w:val="en-GB"/>
        </w:rPr>
        <w:t>), Italy (-0.4</w:t>
      </w:r>
      <w:r w:rsidR="001D3B9C">
        <w:rPr>
          <w:lang w:val="en-GB"/>
        </w:rPr>
        <w:t xml:space="preserve"> per cent</w:t>
      </w:r>
      <w:r w:rsidR="00586EFC" w:rsidRPr="00184430">
        <w:rPr>
          <w:lang w:val="en-GB"/>
        </w:rPr>
        <w:t>), Cyprus (</w:t>
      </w:r>
      <w:r w:rsidR="00F91F9C" w:rsidRPr="00184430">
        <w:rPr>
          <w:lang w:val="en-GB"/>
        </w:rPr>
        <w:t>-</w:t>
      </w:r>
      <w:r w:rsidR="00586EFC" w:rsidRPr="00184430">
        <w:rPr>
          <w:lang w:val="en-GB"/>
        </w:rPr>
        <w:t>2.8</w:t>
      </w:r>
      <w:r w:rsidR="001D3B9C">
        <w:rPr>
          <w:lang w:val="en-GB"/>
        </w:rPr>
        <w:t xml:space="preserve"> per cent</w:t>
      </w:r>
      <w:r w:rsidR="00586EFC" w:rsidRPr="00184430">
        <w:rPr>
          <w:lang w:val="en-GB"/>
        </w:rPr>
        <w:t xml:space="preserve">) and the newest </w:t>
      </w:r>
      <w:r w:rsidR="00B72E3F">
        <w:rPr>
          <w:lang w:val="en-GB"/>
        </w:rPr>
        <w:t>Member State</w:t>
      </w:r>
      <w:r w:rsidR="00586EFC" w:rsidRPr="00184430">
        <w:rPr>
          <w:lang w:val="en-GB"/>
        </w:rPr>
        <w:t xml:space="preserve"> Croatia (-0.7</w:t>
      </w:r>
      <w:r w:rsidR="001D3B9C">
        <w:rPr>
          <w:lang w:val="en-GB"/>
        </w:rPr>
        <w:t xml:space="preserve"> per cent</w:t>
      </w:r>
      <w:r w:rsidR="00586EFC" w:rsidRPr="00184430">
        <w:rPr>
          <w:lang w:val="en-GB"/>
        </w:rPr>
        <w:t xml:space="preserve">) </w:t>
      </w:r>
      <w:r w:rsidR="00EA33DE">
        <w:rPr>
          <w:lang w:val="en-GB"/>
        </w:rPr>
        <w:t>we</w:t>
      </w:r>
      <w:r w:rsidR="00EA33DE" w:rsidRPr="00184430">
        <w:rPr>
          <w:lang w:val="en-GB"/>
        </w:rPr>
        <w:t xml:space="preserve">re </w:t>
      </w:r>
      <w:r w:rsidR="00586EFC" w:rsidRPr="00184430">
        <w:rPr>
          <w:lang w:val="en-GB"/>
        </w:rPr>
        <w:t xml:space="preserve">struggling </w:t>
      </w:r>
      <w:r w:rsidR="004C77A2">
        <w:rPr>
          <w:lang w:val="en-GB"/>
        </w:rPr>
        <w:t>to</w:t>
      </w:r>
      <w:r w:rsidR="004C77A2" w:rsidRPr="00184430">
        <w:rPr>
          <w:lang w:val="en-GB"/>
        </w:rPr>
        <w:t xml:space="preserve"> </w:t>
      </w:r>
      <w:r w:rsidR="00586EFC" w:rsidRPr="00184430">
        <w:rPr>
          <w:lang w:val="en-GB"/>
        </w:rPr>
        <w:t xml:space="preserve">find their way back to positive growth. The good news is that following a </w:t>
      </w:r>
      <w:r w:rsidR="004C77A2">
        <w:rPr>
          <w:lang w:val="en-GB"/>
        </w:rPr>
        <w:t>five</w:t>
      </w:r>
      <w:r w:rsidR="00586EFC" w:rsidRPr="00184430">
        <w:rPr>
          <w:lang w:val="en-GB"/>
        </w:rPr>
        <w:t>-year contraction, Greece experienced a slight increase</w:t>
      </w:r>
      <w:r w:rsidR="00A25732">
        <w:rPr>
          <w:lang w:val="en-GB"/>
        </w:rPr>
        <w:t xml:space="preserve"> </w:t>
      </w:r>
      <w:r w:rsidR="00586EFC" w:rsidRPr="00184430">
        <w:rPr>
          <w:lang w:val="en-GB"/>
        </w:rPr>
        <w:t>(0.6</w:t>
      </w:r>
      <w:r w:rsidR="001D3B9C">
        <w:rPr>
          <w:lang w:val="en-GB"/>
        </w:rPr>
        <w:t xml:space="preserve"> per cent</w:t>
      </w:r>
      <w:r w:rsidR="00586EFC" w:rsidRPr="00184430">
        <w:rPr>
          <w:lang w:val="en-GB"/>
        </w:rPr>
        <w:t>)</w:t>
      </w:r>
      <w:r w:rsidR="00BA170B">
        <w:rPr>
          <w:lang w:val="en-GB"/>
        </w:rPr>
        <w:t xml:space="preserve">; so after several years, the country was able to </w:t>
      </w:r>
      <w:r w:rsidR="00A25732">
        <w:rPr>
          <w:lang w:val="en-GB"/>
        </w:rPr>
        <w:t xml:space="preserve">escape from </w:t>
      </w:r>
      <w:r w:rsidR="00BA170B">
        <w:rPr>
          <w:lang w:val="en-GB"/>
        </w:rPr>
        <w:t>the group of worst performers</w:t>
      </w:r>
      <w:r w:rsidR="00586EFC" w:rsidRPr="00184430">
        <w:rPr>
          <w:lang w:val="en-GB"/>
        </w:rPr>
        <w:t>. The major economies also show</w:t>
      </w:r>
      <w:r w:rsidR="00EE545C">
        <w:rPr>
          <w:lang w:val="en-GB"/>
        </w:rPr>
        <w:t>ed</w:t>
      </w:r>
      <w:r w:rsidR="00586EFC" w:rsidRPr="00184430">
        <w:rPr>
          <w:lang w:val="en-GB"/>
        </w:rPr>
        <w:t xml:space="preserve"> an uneven performance. While Germany had a bad year in 2013 (0.1</w:t>
      </w:r>
      <w:r w:rsidR="001D3B9C">
        <w:rPr>
          <w:lang w:val="en-GB"/>
        </w:rPr>
        <w:t xml:space="preserve"> per cent</w:t>
      </w:r>
      <w:r w:rsidR="00586EFC" w:rsidRPr="00184430">
        <w:rPr>
          <w:lang w:val="en-GB"/>
        </w:rPr>
        <w:t>), it managed to bounce back to 1.3</w:t>
      </w:r>
      <w:r w:rsidR="001D3B9C">
        <w:rPr>
          <w:lang w:val="en-GB"/>
        </w:rPr>
        <w:t xml:space="preserve"> per cent</w:t>
      </w:r>
      <w:r w:rsidR="00586EFC" w:rsidRPr="00184430">
        <w:rPr>
          <w:lang w:val="en-GB"/>
        </w:rPr>
        <w:t xml:space="preserve"> in 2014. Nevertheless, its turn was mainly due to its spectacular first quarter performance, after which its economy started to slow down</w:t>
      </w:r>
      <w:r w:rsidR="00A25732">
        <w:rPr>
          <w:lang w:val="en-GB"/>
        </w:rPr>
        <w:t xml:space="preserve"> again</w:t>
      </w:r>
      <w:r>
        <w:rPr>
          <w:lang w:val="en-GB"/>
        </w:rPr>
        <w:t>. France wa</w:t>
      </w:r>
      <w:r w:rsidR="00586EFC" w:rsidRPr="00184430">
        <w:rPr>
          <w:lang w:val="en-GB"/>
        </w:rPr>
        <w:t>s still stagnating and d</w:t>
      </w:r>
      <w:r>
        <w:rPr>
          <w:lang w:val="en-GB"/>
        </w:rPr>
        <w:t>id</w:t>
      </w:r>
      <w:r w:rsidR="00586EFC" w:rsidRPr="00184430">
        <w:rPr>
          <w:lang w:val="en-GB"/>
        </w:rPr>
        <w:t xml:space="preserve"> not seem to</w:t>
      </w:r>
      <w:r w:rsidR="004C77A2">
        <w:rPr>
          <w:lang w:val="en-GB"/>
        </w:rPr>
        <w:t xml:space="preserve"> have</w:t>
      </w:r>
      <w:r w:rsidR="00586EFC" w:rsidRPr="00184430">
        <w:rPr>
          <w:lang w:val="en-GB"/>
        </w:rPr>
        <w:t xml:space="preserve"> </w:t>
      </w:r>
      <w:r w:rsidR="004C77A2">
        <w:rPr>
          <w:lang w:val="en-GB"/>
        </w:rPr>
        <w:t>found a way to end</w:t>
      </w:r>
      <w:r w:rsidR="00586EFC" w:rsidRPr="00184430">
        <w:rPr>
          <w:lang w:val="en-GB"/>
        </w:rPr>
        <w:t xml:space="preserve"> its growth paralysis. The success story in the group of large economies</w:t>
      </w:r>
      <w:r w:rsidR="00AE78B9">
        <w:rPr>
          <w:lang w:val="en-GB"/>
        </w:rPr>
        <w:t>, beyond the UK</w:t>
      </w:r>
      <w:r w:rsidR="00A25732">
        <w:rPr>
          <w:lang w:val="en-GB"/>
        </w:rPr>
        <w:t>,</w:t>
      </w:r>
      <w:r w:rsidR="00586EFC" w:rsidRPr="00184430">
        <w:rPr>
          <w:lang w:val="en-GB"/>
        </w:rPr>
        <w:t xml:space="preserve"> has been Spain</w:t>
      </w:r>
      <w:r w:rsidR="00876A82" w:rsidRPr="00184430">
        <w:rPr>
          <w:lang w:val="en-GB"/>
        </w:rPr>
        <w:t xml:space="preserve">, which </w:t>
      </w:r>
      <w:r w:rsidR="004C77A2">
        <w:rPr>
          <w:lang w:val="en-GB"/>
        </w:rPr>
        <w:t>achieved</w:t>
      </w:r>
      <w:r w:rsidR="004C77A2" w:rsidRPr="00184430">
        <w:rPr>
          <w:lang w:val="en-GB"/>
        </w:rPr>
        <w:t xml:space="preserve"> </w:t>
      </w:r>
      <w:r w:rsidR="00876A82" w:rsidRPr="00184430">
        <w:rPr>
          <w:lang w:val="en-GB"/>
        </w:rPr>
        <w:t>a 1.2</w:t>
      </w:r>
      <w:r w:rsidR="001D3B9C">
        <w:rPr>
          <w:lang w:val="en-GB"/>
        </w:rPr>
        <w:t xml:space="preserve"> per cent</w:t>
      </w:r>
      <w:r w:rsidR="00876A82" w:rsidRPr="00184430">
        <w:rPr>
          <w:lang w:val="en-GB"/>
        </w:rPr>
        <w:t xml:space="preserve"> increase</w:t>
      </w:r>
      <w:r w:rsidR="00BA170B">
        <w:rPr>
          <w:lang w:val="en-GB"/>
        </w:rPr>
        <w:t xml:space="preserve"> last year</w:t>
      </w:r>
      <w:r w:rsidR="00D256A5">
        <w:rPr>
          <w:lang w:val="en-GB"/>
        </w:rPr>
        <w:t>.</w:t>
      </w:r>
    </w:p>
    <w:p w:rsidR="00876A82" w:rsidRPr="00184430" w:rsidRDefault="00876A82">
      <w:pPr>
        <w:spacing w:line="276" w:lineRule="auto"/>
        <w:jc w:val="both"/>
        <w:rPr>
          <w:lang w:val="en-GB"/>
        </w:rPr>
      </w:pPr>
    </w:p>
    <w:p w:rsidR="00A87EAF" w:rsidRDefault="002909D2">
      <w:pPr>
        <w:spacing w:line="276" w:lineRule="auto"/>
        <w:jc w:val="both"/>
        <w:rPr>
          <w:lang w:val="en-GB"/>
        </w:rPr>
      </w:pPr>
      <w:r w:rsidRPr="00184430">
        <w:rPr>
          <w:lang w:val="en-GB"/>
        </w:rPr>
        <w:t xml:space="preserve">Table 2. Average EU growth rates </w:t>
      </w:r>
      <w:r w:rsidR="00876A82" w:rsidRPr="00184430">
        <w:rPr>
          <w:lang w:val="en-GB"/>
        </w:rPr>
        <w:t xml:space="preserve">(in </w:t>
      </w:r>
      <w:r w:rsidR="001D3B9C">
        <w:rPr>
          <w:lang w:val="en-GB"/>
        </w:rPr>
        <w:t>percent</w:t>
      </w:r>
      <w:r w:rsidR="0034774B">
        <w:rPr>
          <w:lang w:val="en-GB"/>
        </w:rPr>
        <w:t>ages</w:t>
      </w:r>
      <w:r w:rsidR="00876A82" w:rsidRPr="00184430">
        <w:rPr>
          <w:lang w:val="en-GB"/>
        </w:rPr>
        <w:t xml:space="preserve">) </w:t>
      </w:r>
      <w:r w:rsidRPr="00184430">
        <w:rPr>
          <w:lang w:val="en-GB"/>
        </w:rPr>
        <w:t xml:space="preserve">and the best and worst performing </w:t>
      </w:r>
      <w:r w:rsidR="00B72E3F">
        <w:rPr>
          <w:lang w:val="en-GB"/>
        </w:rPr>
        <w:t>Member State</w:t>
      </w:r>
      <w:r w:rsidRPr="00184430">
        <w:rPr>
          <w:lang w:val="en-GB"/>
        </w:rPr>
        <w:t>s</w:t>
      </w:r>
    </w:p>
    <w:p w:rsidR="002909D2" w:rsidRPr="00184430" w:rsidRDefault="002909D2" w:rsidP="00FD1D46">
      <w:pPr>
        <w:spacing w:line="276" w:lineRule="auto"/>
        <w:jc w:val="both"/>
        <w:rPr>
          <w:lang w:val="en-GB"/>
        </w:rPr>
      </w:pPr>
    </w:p>
    <w:tbl>
      <w:tblPr>
        <w:tblStyle w:val="Rcsostblzat"/>
        <w:tblW w:w="0" w:type="auto"/>
        <w:tblLook w:val="04A0"/>
      </w:tblPr>
      <w:tblGrid>
        <w:gridCol w:w="1384"/>
        <w:gridCol w:w="1701"/>
        <w:gridCol w:w="1418"/>
        <w:gridCol w:w="1637"/>
        <w:gridCol w:w="1536"/>
        <w:gridCol w:w="1536"/>
      </w:tblGrid>
      <w:tr w:rsidR="002909D2" w:rsidRPr="00184430" w:rsidTr="00F91F9C">
        <w:tc>
          <w:tcPr>
            <w:tcW w:w="1384" w:type="dxa"/>
          </w:tcPr>
          <w:p w:rsidR="002909D2" w:rsidRPr="00184430" w:rsidRDefault="002909D2">
            <w:pPr>
              <w:spacing w:line="276" w:lineRule="auto"/>
              <w:jc w:val="both"/>
              <w:rPr>
                <w:sz w:val="20"/>
                <w:szCs w:val="20"/>
                <w:lang w:val="en-GB"/>
              </w:rPr>
            </w:pPr>
          </w:p>
        </w:tc>
        <w:tc>
          <w:tcPr>
            <w:tcW w:w="1701" w:type="dxa"/>
          </w:tcPr>
          <w:p w:rsidR="00A87EAF" w:rsidRDefault="002909D2" w:rsidP="00D256A5">
            <w:pPr>
              <w:spacing w:line="276" w:lineRule="auto"/>
              <w:jc w:val="center"/>
              <w:rPr>
                <w:b/>
                <w:sz w:val="20"/>
                <w:szCs w:val="20"/>
                <w:lang w:val="en-GB"/>
              </w:rPr>
            </w:pPr>
            <w:r w:rsidRPr="00184430">
              <w:rPr>
                <w:b/>
                <w:sz w:val="20"/>
                <w:szCs w:val="20"/>
                <w:lang w:val="en-GB"/>
              </w:rPr>
              <w:t>2010</w:t>
            </w:r>
          </w:p>
        </w:tc>
        <w:tc>
          <w:tcPr>
            <w:tcW w:w="1418" w:type="dxa"/>
          </w:tcPr>
          <w:p w:rsidR="00A87EAF" w:rsidRDefault="002909D2" w:rsidP="00D256A5">
            <w:pPr>
              <w:spacing w:line="276" w:lineRule="auto"/>
              <w:jc w:val="center"/>
              <w:rPr>
                <w:b/>
                <w:sz w:val="20"/>
                <w:szCs w:val="20"/>
                <w:lang w:val="en-GB"/>
              </w:rPr>
            </w:pPr>
            <w:r w:rsidRPr="00184430">
              <w:rPr>
                <w:b/>
                <w:sz w:val="20"/>
                <w:szCs w:val="20"/>
                <w:lang w:val="en-GB"/>
              </w:rPr>
              <w:t>2011</w:t>
            </w:r>
          </w:p>
        </w:tc>
        <w:tc>
          <w:tcPr>
            <w:tcW w:w="1637" w:type="dxa"/>
          </w:tcPr>
          <w:p w:rsidR="00A87EAF" w:rsidRDefault="002909D2" w:rsidP="00D256A5">
            <w:pPr>
              <w:spacing w:line="276" w:lineRule="auto"/>
              <w:jc w:val="center"/>
              <w:rPr>
                <w:b/>
                <w:sz w:val="20"/>
                <w:szCs w:val="20"/>
                <w:lang w:val="en-GB"/>
              </w:rPr>
            </w:pPr>
            <w:r w:rsidRPr="00184430">
              <w:rPr>
                <w:b/>
                <w:sz w:val="20"/>
                <w:szCs w:val="20"/>
                <w:lang w:val="en-GB"/>
              </w:rPr>
              <w:t>2012</w:t>
            </w:r>
          </w:p>
        </w:tc>
        <w:tc>
          <w:tcPr>
            <w:tcW w:w="1536" w:type="dxa"/>
          </w:tcPr>
          <w:p w:rsidR="00A87EAF" w:rsidRDefault="002909D2" w:rsidP="00D256A5">
            <w:pPr>
              <w:spacing w:line="276" w:lineRule="auto"/>
              <w:jc w:val="center"/>
              <w:rPr>
                <w:b/>
                <w:sz w:val="20"/>
                <w:szCs w:val="20"/>
                <w:lang w:val="en-GB"/>
              </w:rPr>
            </w:pPr>
            <w:r w:rsidRPr="00184430">
              <w:rPr>
                <w:b/>
                <w:sz w:val="20"/>
                <w:szCs w:val="20"/>
                <w:lang w:val="en-GB"/>
              </w:rPr>
              <w:t>2013</w:t>
            </w:r>
          </w:p>
        </w:tc>
        <w:tc>
          <w:tcPr>
            <w:tcW w:w="1536" w:type="dxa"/>
          </w:tcPr>
          <w:p w:rsidR="00A87EAF" w:rsidRDefault="002909D2" w:rsidP="00D256A5">
            <w:pPr>
              <w:spacing w:line="276" w:lineRule="auto"/>
              <w:jc w:val="center"/>
              <w:rPr>
                <w:b/>
                <w:sz w:val="20"/>
                <w:szCs w:val="20"/>
                <w:lang w:val="en-GB"/>
              </w:rPr>
            </w:pPr>
            <w:r w:rsidRPr="00184430">
              <w:rPr>
                <w:b/>
                <w:sz w:val="20"/>
                <w:szCs w:val="20"/>
                <w:lang w:val="en-GB"/>
              </w:rPr>
              <w:t>2014*</w:t>
            </w:r>
          </w:p>
        </w:tc>
      </w:tr>
      <w:tr w:rsidR="002909D2" w:rsidRPr="00184430" w:rsidTr="00F91F9C">
        <w:tc>
          <w:tcPr>
            <w:tcW w:w="1384" w:type="dxa"/>
            <w:vAlign w:val="center"/>
          </w:tcPr>
          <w:p w:rsidR="00A87EAF" w:rsidRDefault="002909D2">
            <w:pPr>
              <w:spacing w:line="276" w:lineRule="auto"/>
              <w:jc w:val="both"/>
              <w:rPr>
                <w:b/>
                <w:sz w:val="20"/>
                <w:szCs w:val="20"/>
                <w:lang w:val="en-GB"/>
              </w:rPr>
            </w:pPr>
            <w:r w:rsidRPr="00184430">
              <w:rPr>
                <w:b/>
                <w:sz w:val="20"/>
                <w:szCs w:val="20"/>
                <w:lang w:val="en-GB"/>
              </w:rPr>
              <w:t>EU average</w:t>
            </w:r>
          </w:p>
        </w:tc>
        <w:tc>
          <w:tcPr>
            <w:tcW w:w="1701" w:type="dxa"/>
            <w:vAlign w:val="bottom"/>
          </w:tcPr>
          <w:p w:rsidR="00A87EAF" w:rsidRDefault="002909D2" w:rsidP="00D256A5">
            <w:pPr>
              <w:spacing w:line="276" w:lineRule="auto"/>
              <w:jc w:val="right"/>
              <w:rPr>
                <w:color w:val="000000"/>
                <w:sz w:val="20"/>
                <w:szCs w:val="20"/>
                <w:lang w:val="en-GB"/>
              </w:rPr>
            </w:pPr>
            <w:r w:rsidRPr="00184430">
              <w:rPr>
                <w:color w:val="000000"/>
                <w:sz w:val="20"/>
                <w:szCs w:val="20"/>
                <w:lang w:val="en-GB"/>
              </w:rPr>
              <w:t>2.1</w:t>
            </w:r>
          </w:p>
        </w:tc>
        <w:tc>
          <w:tcPr>
            <w:tcW w:w="1418" w:type="dxa"/>
            <w:vAlign w:val="bottom"/>
          </w:tcPr>
          <w:p w:rsidR="00A87EAF" w:rsidRDefault="002909D2" w:rsidP="00D256A5">
            <w:pPr>
              <w:spacing w:line="276" w:lineRule="auto"/>
              <w:jc w:val="right"/>
              <w:rPr>
                <w:color w:val="000000"/>
                <w:sz w:val="20"/>
                <w:szCs w:val="20"/>
                <w:lang w:val="en-GB"/>
              </w:rPr>
            </w:pPr>
            <w:r w:rsidRPr="00184430">
              <w:rPr>
                <w:color w:val="000000"/>
                <w:sz w:val="20"/>
                <w:szCs w:val="20"/>
                <w:lang w:val="en-GB"/>
              </w:rPr>
              <w:t>1.7</w:t>
            </w:r>
          </w:p>
        </w:tc>
        <w:tc>
          <w:tcPr>
            <w:tcW w:w="1637" w:type="dxa"/>
            <w:vAlign w:val="bottom"/>
          </w:tcPr>
          <w:p w:rsidR="00A87EAF" w:rsidRDefault="002909D2" w:rsidP="00D256A5">
            <w:pPr>
              <w:spacing w:line="276" w:lineRule="auto"/>
              <w:jc w:val="right"/>
              <w:rPr>
                <w:color w:val="000000"/>
                <w:sz w:val="20"/>
                <w:szCs w:val="20"/>
                <w:lang w:val="en-GB"/>
              </w:rPr>
            </w:pPr>
            <w:r w:rsidRPr="00184430">
              <w:rPr>
                <w:color w:val="000000"/>
                <w:sz w:val="20"/>
                <w:szCs w:val="20"/>
                <w:lang w:val="en-GB"/>
              </w:rPr>
              <w:t>-0.4</w:t>
            </w:r>
          </w:p>
        </w:tc>
        <w:tc>
          <w:tcPr>
            <w:tcW w:w="1536" w:type="dxa"/>
            <w:vAlign w:val="bottom"/>
          </w:tcPr>
          <w:p w:rsidR="00A87EAF" w:rsidRDefault="002909D2" w:rsidP="00D256A5">
            <w:pPr>
              <w:spacing w:line="276" w:lineRule="auto"/>
              <w:jc w:val="right"/>
              <w:rPr>
                <w:color w:val="000000"/>
                <w:sz w:val="20"/>
                <w:szCs w:val="20"/>
                <w:lang w:val="en-GB"/>
              </w:rPr>
            </w:pPr>
            <w:r w:rsidRPr="00184430">
              <w:rPr>
                <w:color w:val="000000"/>
                <w:sz w:val="20"/>
                <w:szCs w:val="20"/>
                <w:lang w:val="en-GB"/>
              </w:rPr>
              <w:t>0.0</w:t>
            </w:r>
          </w:p>
        </w:tc>
        <w:tc>
          <w:tcPr>
            <w:tcW w:w="1536" w:type="dxa"/>
            <w:vAlign w:val="bottom"/>
          </w:tcPr>
          <w:p w:rsidR="00A87EAF" w:rsidRDefault="002909D2" w:rsidP="00D256A5">
            <w:pPr>
              <w:spacing w:line="276" w:lineRule="auto"/>
              <w:jc w:val="right"/>
              <w:rPr>
                <w:color w:val="000000"/>
                <w:sz w:val="20"/>
                <w:szCs w:val="20"/>
                <w:lang w:val="en-GB"/>
              </w:rPr>
            </w:pPr>
            <w:r w:rsidRPr="00184430">
              <w:rPr>
                <w:color w:val="000000"/>
                <w:sz w:val="20"/>
                <w:szCs w:val="20"/>
                <w:lang w:val="en-GB"/>
              </w:rPr>
              <w:t>1.3</w:t>
            </w:r>
          </w:p>
        </w:tc>
      </w:tr>
      <w:tr w:rsidR="002909D2" w:rsidRPr="00184430" w:rsidTr="001929C6">
        <w:tc>
          <w:tcPr>
            <w:tcW w:w="1384" w:type="dxa"/>
            <w:vAlign w:val="center"/>
          </w:tcPr>
          <w:p w:rsidR="00A87EAF" w:rsidRDefault="002909D2">
            <w:pPr>
              <w:spacing w:line="276" w:lineRule="auto"/>
              <w:jc w:val="both"/>
              <w:rPr>
                <w:b/>
                <w:sz w:val="20"/>
                <w:szCs w:val="20"/>
                <w:lang w:val="en-GB"/>
              </w:rPr>
            </w:pPr>
            <w:r w:rsidRPr="00184430">
              <w:rPr>
                <w:b/>
                <w:sz w:val="20"/>
                <w:szCs w:val="20"/>
                <w:lang w:val="en-GB"/>
              </w:rPr>
              <w:t>Standard deviation</w:t>
            </w:r>
          </w:p>
        </w:tc>
        <w:tc>
          <w:tcPr>
            <w:tcW w:w="1701" w:type="dxa"/>
            <w:vAlign w:val="center"/>
          </w:tcPr>
          <w:p w:rsidR="00A87EAF" w:rsidRDefault="002909D2" w:rsidP="00D256A5">
            <w:pPr>
              <w:spacing w:line="276" w:lineRule="auto"/>
              <w:jc w:val="right"/>
              <w:rPr>
                <w:color w:val="000000"/>
                <w:sz w:val="20"/>
                <w:szCs w:val="20"/>
                <w:lang w:val="en-GB"/>
              </w:rPr>
            </w:pPr>
            <w:r w:rsidRPr="00184430">
              <w:rPr>
                <w:color w:val="000000"/>
                <w:sz w:val="20"/>
                <w:szCs w:val="20"/>
                <w:lang w:val="en-GB"/>
              </w:rPr>
              <w:t>2</w:t>
            </w:r>
            <w:r w:rsidR="00FA1850" w:rsidRPr="00184430">
              <w:rPr>
                <w:color w:val="000000"/>
                <w:sz w:val="20"/>
                <w:szCs w:val="20"/>
                <w:lang w:val="en-GB"/>
              </w:rPr>
              <w:t>.</w:t>
            </w:r>
            <w:r w:rsidRPr="00184430">
              <w:rPr>
                <w:color w:val="000000"/>
                <w:sz w:val="20"/>
                <w:szCs w:val="20"/>
                <w:lang w:val="en-GB"/>
              </w:rPr>
              <w:t>4</w:t>
            </w:r>
          </w:p>
        </w:tc>
        <w:tc>
          <w:tcPr>
            <w:tcW w:w="1418" w:type="dxa"/>
            <w:vAlign w:val="center"/>
          </w:tcPr>
          <w:p w:rsidR="00A87EAF" w:rsidRDefault="002909D2" w:rsidP="00D256A5">
            <w:pPr>
              <w:spacing w:line="276" w:lineRule="auto"/>
              <w:jc w:val="right"/>
              <w:rPr>
                <w:color w:val="000000"/>
                <w:sz w:val="20"/>
                <w:szCs w:val="20"/>
                <w:lang w:val="en-GB"/>
              </w:rPr>
            </w:pPr>
            <w:r w:rsidRPr="00184430">
              <w:rPr>
                <w:color w:val="000000"/>
                <w:sz w:val="20"/>
                <w:szCs w:val="20"/>
                <w:lang w:val="en-GB"/>
              </w:rPr>
              <w:t>2</w:t>
            </w:r>
            <w:r w:rsidR="00FA1850" w:rsidRPr="00184430">
              <w:rPr>
                <w:color w:val="000000"/>
                <w:sz w:val="20"/>
                <w:szCs w:val="20"/>
                <w:lang w:val="en-GB"/>
              </w:rPr>
              <w:t>.</w:t>
            </w:r>
            <w:r w:rsidRPr="00184430">
              <w:rPr>
                <w:color w:val="000000"/>
                <w:sz w:val="20"/>
                <w:szCs w:val="20"/>
                <w:lang w:val="en-GB"/>
              </w:rPr>
              <w:t>9</w:t>
            </w:r>
          </w:p>
        </w:tc>
        <w:tc>
          <w:tcPr>
            <w:tcW w:w="1637" w:type="dxa"/>
            <w:vAlign w:val="center"/>
          </w:tcPr>
          <w:p w:rsidR="00A87EAF" w:rsidRDefault="002909D2" w:rsidP="00D256A5">
            <w:pPr>
              <w:spacing w:line="276" w:lineRule="auto"/>
              <w:jc w:val="right"/>
              <w:rPr>
                <w:color w:val="000000"/>
                <w:sz w:val="20"/>
                <w:szCs w:val="20"/>
                <w:lang w:val="en-GB"/>
              </w:rPr>
            </w:pPr>
            <w:r w:rsidRPr="00184430">
              <w:rPr>
                <w:color w:val="000000"/>
                <w:sz w:val="20"/>
                <w:szCs w:val="20"/>
                <w:lang w:val="en-GB"/>
              </w:rPr>
              <w:t>2</w:t>
            </w:r>
            <w:r w:rsidR="00FA1850" w:rsidRPr="00184430">
              <w:rPr>
                <w:color w:val="000000"/>
                <w:sz w:val="20"/>
                <w:szCs w:val="20"/>
                <w:lang w:val="en-GB"/>
              </w:rPr>
              <w:t>.</w:t>
            </w:r>
            <w:r w:rsidRPr="00184430">
              <w:rPr>
                <w:color w:val="000000"/>
                <w:sz w:val="20"/>
                <w:szCs w:val="20"/>
                <w:lang w:val="en-GB"/>
              </w:rPr>
              <w:t>4</w:t>
            </w:r>
          </w:p>
        </w:tc>
        <w:tc>
          <w:tcPr>
            <w:tcW w:w="1536" w:type="dxa"/>
            <w:vAlign w:val="center"/>
          </w:tcPr>
          <w:p w:rsidR="00A87EAF" w:rsidRDefault="002909D2" w:rsidP="00D256A5">
            <w:pPr>
              <w:spacing w:line="276" w:lineRule="auto"/>
              <w:jc w:val="right"/>
              <w:rPr>
                <w:color w:val="000000"/>
                <w:sz w:val="20"/>
                <w:szCs w:val="20"/>
                <w:lang w:val="en-GB"/>
              </w:rPr>
            </w:pPr>
            <w:r w:rsidRPr="00184430">
              <w:rPr>
                <w:color w:val="000000"/>
                <w:sz w:val="20"/>
                <w:szCs w:val="20"/>
                <w:lang w:val="en-GB"/>
              </w:rPr>
              <w:t>2</w:t>
            </w:r>
            <w:r w:rsidR="00FA1850" w:rsidRPr="00184430">
              <w:rPr>
                <w:color w:val="000000"/>
                <w:sz w:val="20"/>
                <w:szCs w:val="20"/>
                <w:lang w:val="en-GB"/>
              </w:rPr>
              <w:t>.1</w:t>
            </w:r>
          </w:p>
        </w:tc>
        <w:tc>
          <w:tcPr>
            <w:tcW w:w="1536" w:type="dxa"/>
            <w:vAlign w:val="center"/>
          </w:tcPr>
          <w:p w:rsidR="00A87EAF" w:rsidRDefault="002909D2" w:rsidP="00D256A5">
            <w:pPr>
              <w:spacing w:line="276" w:lineRule="auto"/>
              <w:jc w:val="right"/>
              <w:rPr>
                <w:color w:val="000000"/>
                <w:sz w:val="20"/>
                <w:szCs w:val="20"/>
                <w:lang w:val="en-GB"/>
              </w:rPr>
            </w:pPr>
            <w:r w:rsidRPr="00184430">
              <w:rPr>
                <w:color w:val="000000"/>
                <w:sz w:val="20"/>
                <w:szCs w:val="20"/>
                <w:lang w:val="en-GB"/>
              </w:rPr>
              <w:t>1</w:t>
            </w:r>
            <w:r w:rsidR="00FA1850" w:rsidRPr="00184430">
              <w:rPr>
                <w:color w:val="000000"/>
                <w:sz w:val="20"/>
                <w:szCs w:val="20"/>
                <w:lang w:val="en-GB"/>
              </w:rPr>
              <w:t>.</w:t>
            </w:r>
            <w:r w:rsidRPr="00184430">
              <w:rPr>
                <w:color w:val="000000"/>
                <w:sz w:val="20"/>
                <w:szCs w:val="20"/>
                <w:lang w:val="en-GB"/>
              </w:rPr>
              <w:t>5</w:t>
            </w:r>
          </w:p>
        </w:tc>
      </w:tr>
      <w:tr w:rsidR="002909D2" w:rsidRPr="00184430" w:rsidTr="00F91F9C">
        <w:tc>
          <w:tcPr>
            <w:tcW w:w="1384" w:type="dxa"/>
            <w:vAlign w:val="center"/>
          </w:tcPr>
          <w:p w:rsidR="00A87EAF" w:rsidRDefault="002909D2">
            <w:pPr>
              <w:spacing w:line="276" w:lineRule="auto"/>
              <w:jc w:val="both"/>
              <w:rPr>
                <w:b/>
                <w:sz w:val="20"/>
                <w:szCs w:val="20"/>
                <w:lang w:val="en-GB"/>
              </w:rPr>
            </w:pPr>
            <w:r w:rsidRPr="00184430">
              <w:rPr>
                <w:b/>
                <w:sz w:val="20"/>
                <w:szCs w:val="20"/>
                <w:lang w:val="en-GB"/>
              </w:rPr>
              <w:t>Best performers</w:t>
            </w:r>
          </w:p>
        </w:tc>
        <w:tc>
          <w:tcPr>
            <w:tcW w:w="1701" w:type="dxa"/>
          </w:tcPr>
          <w:p w:rsidR="00A87EAF" w:rsidRDefault="00FA1850">
            <w:pPr>
              <w:spacing w:line="276" w:lineRule="auto"/>
              <w:jc w:val="both"/>
              <w:rPr>
                <w:sz w:val="20"/>
                <w:szCs w:val="20"/>
                <w:lang w:val="en-GB"/>
              </w:rPr>
            </w:pPr>
            <w:r w:rsidRPr="00184430">
              <w:rPr>
                <w:sz w:val="20"/>
                <w:szCs w:val="20"/>
                <w:lang w:val="en-GB"/>
              </w:rPr>
              <w:t>Sweden (6.0)</w:t>
            </w:r>
          </w:p>
          <w:p w:rsidR="00A87EAF" w:rsidRDefault="0034774B">
            <w:pPr>
              <w:spacing w:line="276" w:lineRule="auto"/>
              <w:jc w:val="both"/>
              <w:rPr>
                <w:sz w:val="20"/>
                <w:szCs w:val="20"/>
                <w:lang w:val="en-GB"/>
              </w:rPr>
            </w:pPr>
            <w:r w:rsidRPr="00184430">
              <w:rPr>
                <w:sz w:val="20"/>
                <w:szCs w:val="20"/>
                <w:lang w:val="en-GB"/>
              </w:rPr>
              <w:t>Luxemb</w:t>
            </w:r>
            <w:r>
              <w:rPr>
                <w:sz w:val="20"/>
                <w:szCs w:val="20"/>
                <w:lang w:val="en-GB"/>
              </w:rPr>
              <w:t>o</w:t>
            </w:r>
            <w:r w:rsidRPr="00184430">
              <w:rPr>
                <w:sz w:val="20"/>
                <w:szCs w:val="20"/>
                <w:lang w:val="en-GB"/>
              </w:rPr>
              <w:t>urg (5.1)</w:t>
            </w:r>
          </w:p>
          <w:p w:rsidR="00A87EAF" w:rsidRDefault="0034774B">
            <w:pPr>
              <w:spacing w:line="276" w:lineRule="auto"/>
              <w:jc w:val="both"/>
              <w:rPr>
                <w:sz w:val="20"/>
                <w:szCs w:val="20"/>
                <w:lang w:val="en-GB"/>
              </w:rPr>
            </w:pPr>
            <w:r w:rsidRPr="00184430">
              <w:rPr>
                <w:sz w:val="20"/>
                <w:szCs w:val="20"/>
                <w:lang w:val="en-GB"/>
              </w:rPr>
              <w:t>Slovakia (4.8)</w:t>
            </w:r>
          </w:p>
        </w:tc>
        <w:tc>
          <w:tcPr>
            <w:tcW w:w="1418" w:type="dxa"/>
          </w:tcPr>
          <w:p w:rsidR="00A87EAF" w:rsidRDefault="0034774B">
            <w:pPr>
              <w:spacing w:line="276" w:lineRule="auto"/>
              <w:jc w:val="both"/>
              <w:rPr>
                <w:sz w:val="20"/>
                <w:szCs w:val="20"/>
                <w:lang w:val="en-GB"/>
              </w:rPr>
            </w:pPr>
            <w:r w:rsidRPr="00184430">
              <w:rPr>
                <w:sz w:val="20"/>
                <w:szCs w:val="20"/>
                <w:lang w:val="en-GB"/>
              </w:rPr>
              <w:t>Estonia (8.3)</w:t>
            </w:r>
          </w:p>
          <w:p w:rsidR="00A87EAF" w:rsidRDefault="0034774B">
            <w:pPr>
              <w:spacing w:line="276" w:lineRule="auto"/>
              <w:jc w:val="both"/>
              <w:rPr>
                <w:sz w:val="20"/>
                <w:szCs w:val="20"/>
                <w:lang w:val="en-GB"/>
              </w:rPr>
            </w:pPr>
            <w:r w:rsidRPr="00184430">
              <w:rPr>
                <w:sz w:val="20"/>
                <w:szCs w:val="20"/>
                <w:lang w:val="en-GB"/>
              </w:rPr>
              <w:t>Lithuania (6.1)</w:t>
            </w:r>
          </w:p>
          <w:p w:rsidR="00A87EAF" w:rsidRDefault="0034774B">
            <w:pPr>
              <w:spacing w:line="276" w:lineRule="auto"/>
              <w:jc w:val="both"/>
              <w:rPr>
                <w:sz w:val="20"/>
                <w:szCs w:val="20"/>
                <w:lang w:val="en-GB"/>
              </w:rPr>
            </w:pPr>
            <w:r w:rsidRPr="00184430">
              <w:rPr>
                <w:sz w:val="20"/>
                <w:szCs w:val="20"/>
                <w:lang w:val="en-GB"/>
              </w:rPr>
              <w:t>Latvia (5)</w:t>
            </w:r>
          </w:p>
          <w:p w:rsidR="00A87EAF" w:rsidRDefault="00F91F9C">
            <w:pPr>
              <w:spacing w:line="276" w:lineRule="auto"/>
              <w:jc w:val="both"/>
              <w:rPr>
                <w:sz w:val="20"/>
                <w:szCs w:val="20"/>
                <w:lang w:val="en-GB"/>
              </w:rPr>
            </w:pPr>
            <w:r w:rsidRPr="00184430">
              <w:rPr>
                <w:sz w:val="20"/>
                <w:szCs w:val="20"/>
                <w:lang w:val="en-GB"/>
              </w:rPr>
              <w:t>Poland (4.8)</w:t>
            </w:r>
          </w:p>
        </w:tc>
        <w:tc>
          <w:tcPr>
            <w:tcW w:w="1637" w:type="dxa"/>
          </w:tcPr>
          <w:p w:rsidR="00A87EAF" w:rsidRDefault="0034774B">
            <w:pPr>
              <w:spacing w:line="276" w:lineRule="auto"/>
              <w:jc w:val="both"/>
              <w:rPr>
                <w:sz w:val="20"/>
                <w:szCs w:val="20"/>
                <w:lang w:val="en-GB"/>
              </w:rPr>
            </w:pPr>
            <w:r w:rsidRPr="00184430">
              <w:rPr>
                <w:sz w:val="20"/>
                <w:szCs w:val="20"/>
                <w:lang w:val="en-GB"/>
              </w:rPr>
              <w:t>Latvia (4.8)</w:t>
            </w:r>
          </w:p>
          <w:p w:rsidR="00A87EAF" w:rsidRDefault="00F91F9C">
            <w:pPr>
              <w:spacing w:line="276" w:lineRule="auto"/>
              <w:jc w:val="both"/>
              <w:rPr>
                <w:sz w:val="20"/>
                <w:szCs w:val="20"/>
                <w:lang w:val="en-GB"/>
              </w:rPr>
            </w:pPr>
            <w:r w:rsidRPr="00184430">
              <w:rPr>
                <w:sz w:val="20"/>
                <w:szCs w:val="20"/>
                <w:lang w:val="en-GB"/>
              </w:rPr>
              <w:t>Estonia (4.7)</w:t>
            </w:r>
          </w:p>
          <w:p w:rsidR="00A87EAF" w:rsidRDefault="0034774B">
            <w:pPr>
              <w:spacing w:line="276" w:lineRule="auto"/>
              <w:jc w:val="both"/>
              <w:rPr>
                <w:sz w:val="20"/>
                <w:szCs w:val="20"/>
                <w:lang w:val="en-GB"/>
              </w:rPr>
            </w:pPr>
            <w:r w:rsidRPr="00184430">
              <w:rPr>
                <w:sz w:val="20"/>
                <w:szCs w:val="20"/>
                <w:lang w:val="en-GB"/>
              </w:rPr>
              <w:t>Lithuania (3.8)</w:t>
            </w:r>
          </w:p>
        </w:tc>
        <w:tc>
          <w:tcPr>
            <w:tcW w:w="1536" w:type="dxa"/>
          </w:tcPr>
          <w:p w:rsidR="00A87EAF" w:rsidRDefault="0034774B">
            <w:pPr>
              <w:spacing w:line="276" w:lineRule="auto"/>
              <w:jc w:val="both"/>
              <w:rPr>
                <w:sz w:val="20"/>
                <w:szCs w:val="20"/>
                <w:lang w:val="en-GB"/>
              </w:rPr>
            </w:pPr>
            <w:r w:rsidRPr="00184430">
              <w:rPr>
                <w:sz w:val="20"/>
                <w:szCs w:val="20"/>
                <w:lang w:val="en-GB"/>
              </w:rPr>
              <w:t>Latvia (4.2)</w:t>
            </w:r>
          </w:p>
          <w:p w:rsidR="00A87EAF" w:rsidRDefault="0034774B">
            <w:pPr>
              <w:spacing w:line="276" w:lineRule="auto"/>
              <w:jc w:val="both"/>
              <w:rPr>
                <w:sz w:val="20"/>
                <w:szCs w:val="20"/>
                <w:lang w:val="en-GB"/>
              </w:rPr>
            </w:pPr>
            <w:r w:rsidRPr="00184430">
              <w:rPr>
                <w:sz w:val="20"/>
                <w:szCs w:val="20"/>
                <w:lang w:val="en-GB"/>
              </w:rPr>
              <w:t>Romania (3.5)</w:t>
            </w:r>
          </w:p>
          <w:p w:rsidR="00A87EAF" w:rsidRDefault="0034774B">
            <w:pPr>
              <w:spacing w:line="276" w:lineRule="auto"/>
              <w:jc w:val="both"/>
              <w:rPr>
                <w:sz w:val="20"/>
                <w:szCs w:val="20"/>
                <w:lang w:val="en-GB"/>
              </w:rPr>
            </w:pPr>
            <w:r w:rsidRPr="00184430">
              <w:rPr>
                <w:sz w:val="20"/>
                <w:szCs w:val="20"/>
                <w:lang w:val="en-GB"/>
              </w:rPr>
              <w:t>Lithuania (3.3)</w:t>
            </w:r>
          </w:p>
          <w:p w:rsidR="00A87EAF" w:rsidRDefault="00F91F9C">
            <w:pPr>
              <w:spacing w:line="276" w:lineRule="auto"/>
              <w:jc w:val="both"/>
              <w:rPr>
                <w:sz w:val="20"/>
                <w:szCs w:val="20"/>
                <w:lang w:val="en-GB"/>
              </w:rPr>
            </w:pPr>
            <w:r w:rsidRPr="00184430">
              <w:rPr>
                <w:sz w:val="20"/>
                <w:szCs w:val="20"/>
                <w:lang w:val="en-GB"/>
              </w:rPr>
              <w:t>Malta (2.5)</w:t>
            </w:r>
          </w:p>
        </w:tc>
        <w:tc>
          <w:tcPr>
            <w:tcW w:w="1536" w:type="dxa"/>
          </w:tcPr>
          <w:p w:rsidR="00A87EAF" w:rsidRDefault="0034774B">
            <w:pPr>
              <w:spacing w:line="276" w:lineRule="auto"/>
              <w:jc w:val="both"/>
              <w:rPr>
                <w:sz w:val="20"/>
                <w:szCs w:val="20"/>
                <w:lang w:val="en-GB"/>
              </w:rPr>
            </w:pPr>
            <w:r w:rsidRPr="00184430">
              <w:rPr>
                <w:sz w:val="20"/>
                <w:szCs w:val="20"/>
                <w:lang w:val="en-GB"/>
              </w:rPr>
              <w:t>Ireland (4.6)</w:t>
            </w:r>
          </w:p>
          <w:p w:rsidR="00A87EAF" w:rsidRDefault="0034774B">
            <w:pPr>
              <w:spacing w:line="276" w:lineRule="auto"/>
              <w:jc w:val="both"/>
              <w:rPr>
                <w:sz w:val="20"/>
                <w:szCs w:val="20"/>
                <w:lang w:val="en-GB"/>
              </w:rPr>
            </w:pPr>
            <w:r w:rsidRPr="00184430">
              <w:rPr>
                <w:sz w:val="20"/>
                <w:szCs w:val="20"/>
                <w:lang w:val="en-GB"/>
              </w:rPr>
              <w:t>Hungary (3.2)</w:t>
            </w:r>
          </w:p>
          <w:p w:rsidR="00A87EAF" w:rsidRDefault="0034774B">
            <w:pPr>
              <w:spacing w:line="276" w:lineRule="auto"/>
              <w:jc w:val="both"/>
              <w:rPr>
                <w:sz w:val="20"/>
                <w:szCs w:val="20"/>
                <w:lang w:val="en-GB"/>
              </w:rPr>
            </w:pPr>
            <w:r w:rsidRPr="00184430">
              <w:rPr>
                <w:sz w:val="20"/>
                <w:szCs w:val="20"/>
                <w:lang w:val="en-GB"/>
              </w:rPr>
              <w:t>UK (3.1)</w:t>
            </w:r>
          </w:p>
          <w:p w:rsidR="00A87EAF" w:rsidRDefault="00876A82">
            <w:pPr>
              <w:spacing w:line="276" w:lineRule="auto"/>
              <w:jc w:val="both"/>
              <w:rPr>
                <w:sz w:val="20"/>
                <w:szCs w:val="20"/>
                <w:lang w:val="en-GB"/>
              </w:rPr>
            </w:pPr>
            <w:r w:rsidRPr="00184430">
              <w:rPr>
                <w:sz w:val="20"/>
                <w:szCs w:val="20"/>
                <w:lang w:val="en-GB"/>
              </w:rPr>
              <w:t>Luxemb</w:t>
            </w:r>
            <w:r w:rsidR="00C630CD">
              <w:rPr>
                <w:sz w:val="20"/>
                <w:szCs w:val="20"/>
                <w:lang w:val="en-GB"/>
              </w:rPr>
              <w:t>o</w:t>
            </w:r>
            <w:r w:rsidRPr="00184430">
              <w:rPr>
                <w:sz w:val="20"/>
                <w:szCs w:val="20"/>
                <w:lang w:val="en-GB"/>
              </w:rPr>
              <w:t>urg (3)</w:t>
            </w:r>
          </w:p>
          <w:p w:rsidR="00A87EAF" w:rsidRDefault="00876A82">
            <w:pPr>
              <w:spacing w:line="276" w:lineRule="auto"/>
              <w:jc w:val="both"/>
              <w:rPr>
                <w:sz w:val="20"/>
                <w:szCs w:val="20"/>
                <w:lang w:val="en-GB"/>
              </w:rPr>
            </w:pPr>
            <w:r w:rsidRPr="00184430">
              <w:rPr>
                <w:sz w:val="20"/>
                <w:szCs w:val="20"/>
                <w:lang w:val="en-GB"/>
              </w:rPr>
              <w:t>Malta (3)</w:t>
            </w:r>
          </w:p>
          <w:p w:rsidR="00A87EAF" w:rsidRDefault="0034774B">
            <w:pPr>
              <w:spacing w:line="276" w:lineRule="auto"/>
              <w:jc w:val="both"/>
              <w:rPr>
                <w:sz w:val="20"/>
                <w:szCs w:val="20"/>
                <w:lang w:val="en-GB"/>
              </w:rPr>
            </w:pPr>
            <w:r w:rsidRPr="00184430">
              <w:rPr>
                <w:sz w:val="20"/>
                <w:szCs w:val="20"/>
                <w:lang w:val="en-GB"/>
              </w:rPr>
              <w:t>Poland (3)</w:t>
            </w:r>
          </w:p>
        </w:tc>
      </w:tr>
      <w:tr w:rsidR="002909D2" w:rsidRPr="00184430" w:rsidTr="00F91F9C">
        <w:tc>
          <w:tcPr>
            <w:tcW w:w="1384" w:type="dxa"/>
            <w:vAlign w:val="center"/>
          </w:tcPr>
          <w:p w:rsidR="00A87EAF" w:rsidRDefault="002909D2">
            <w:pPr>
              <w:spacing w:line="276" w:lineRule="auto"/>
              <w:jc w:val="both"/>
              <w:rPr>
                <w:b/>
                <w:sz w:val="20"/>
                <w:szCs w:val="20"/>
                <w:lang w:val="en-GB"/>
              </w:rPr>
            </w:pPr>
            <w:r w:rsidRPr="00184430">
              <w:rPr>
                <w:b/>
                <w:sz w:val="20"/>
                <w:szCs w:val="20"/>
                <w:lang w:val="en-GB"/>
              </w:rPr>
              <w:t>Worst performers</w:t>
            </w:r>
          </w:p>
        </w:tc>
        <w:tc>
          <w:tcPr>
            <w:tcW w:w="1701" w:type="dxa"/>
          </w:tcPr>
          <w:p w:rsidR="00A87EAF" w:rsidRDefault="0034774B">
            <w:pPr>
              <w:spacing w:line="276" w:lineRule="auto"/>
              <w:jc w:val="both"/>
              <w:rPr>
                <w:sz w:val="20"/>
                <w:szCs w:val="20"/>
                <w:lang w:val="en-GB"/>
              </w:rPr>
            </w:pPr>
            <w:r w:rsidRPr="00184430">
              <w:rPr>
                <w:sz w:val="20"/>
                <w:szCs w:val="20"/>
                <w:lang w:val="en-GB"/>
              </w:rPr>
              <w:t>Ireland (-0.3)</w:t>
            </w:r>
          </w:p>
          <w:p w:rsidR="00A87EAF" w:rsidRDefault="0034774B">
            <w:pPr>
              <w:spacing w:line="276" w:lineRule="auto"/>
              <w:jc w:val="both"/>
              <w:rPr>
                <w:sz w:val="20"/>
                <w:szCs w:val="20"/>
                <w:lang w:val="en-GB"/>
              </w:rPr>
            </w:pPr>
            <w:r w:rsidRPr="00184430">
              <w:rPr>
                <w:sz w:val="20"/>
                <w:szCs w:val="20"/>
                <w:lang w:val="en-GB"/>
              </w:rPr>
              <w:t>Romania (-0.8)</w:t>
            </w:r>
          </w:p>
          <w:p w:rsidR="00A87EAF" w:rsidRDefault="0034774B">
            <w:pPr>
              <w:spacing w:line="276" w:lineRule="auto"/>
              <w:jc w:val="both"/>
              <w:rPr>
                <w:sz w:val="20"/>
                <w:szCs w:val="20"/>
                <w:lang w:val="en-GB"/>
              </w:rPr>
            </w:pPr>
            <w:r w:rsidRPr="00184430">
              <w:rPr>
                <w:sz w:val="20"/>
                <w:szCs w:val="20"/>
                <w:lang w:val="en-GB"/>
              </w:rPr>
              <w:t>Croatia (-1.7)</w:t>
            </w:r>
          </w:p>
          <w:p w:rsidR="00A87EAF" w:rsidRDefault="0034774B">
            <w:pPr>
              <w:spacing w:line="276" w:lineRule="auto"/>
              <w:jc w:val="both"/>
              <w:rPr>
                <w:sz w:val="20"/>
                <w:szCs w:val="20"/>
                <w:lang w:val="en-GB"/>
              </w:rPr>
            </w:pPr>
            <w:r w:rsidRPr="00184430">
              <w:rPr>
                <w:sz w:val="20"/>
                <w:szCs w:val="20"/>
                <w:lang w:val="en-GB"/>
              </w:rPr>
              <w:lastRenderedPageBreak/>
              <w:t>Latvia (-2.9)</w:t>
            </w:r>
          </w:p>
          <w:p w:rsidR="00A87EAF" w:rsidRDefault="00FA1850">
            <w:pPr>
              <w:spacing w:line="276" w:lineRule="auto"/>
              <w:jc w:val="both"/>
              <w:rPr>
                <w:sz w:val="20"/>
                <w:szCs w:val="20"/>
                <w:lang w:val="en-GB"/>
              </w:rPr>
            </w:pPr>
            <w:r w:rsidRPr="00184430">
              <w:rPr>
                <w:sz w:val="20"/>
                <w:szCs w:val="20"/>
                <w:lang w:val="en-GB"/>
              </w:rPr>
              <w:t>Greece (-5.4)</w:t>
            </w:r>
          </w:p>
        </w:tc>
        <w:tc>
          <w:tcPr>
            <w:tcW w:w="1418" w:type="dxa"/>
          </w:tcPr>
          <w:p w:rsidR="00A87EAF" w:rsidRDefault="0034774B">
            <w:pPr>
              <w:spacing w:line="276" w:lineRule="auto"/>
              <w:jc w:val="both"/>
              <w:rPr>
                <w:sz w:val="20"/>
                <w:szCs w:val="20"/>
                <w:lang w:val="en-GB"/>
              </w:rPr>
            </w:pPr>
            <w:r w:rsidRPr="00184430">
              <w:rPr>
                <w:sz w:val="20"/>
                <w:szCs w:val="20"/>
                <w:lang w:val="en-GB"/>
              </w:rPr>
              <w:lastRenderedPageBreak/>
              <w:t>Portugal (-1.8)</w:t>
            </w:r>
          </w:p>
          <w:p w:rsidR="00A87EAF" w:rsidRDefault="00FA1850">
            <w:pPr>
              <w:spacing w:line="276" w:lineRule="auto"/>
              <w:jc w:val="both"/>
              <w:rPr>
                <w:sz w:val="20"/>
                <w:szCs w:val="20"/>
                <w:lang w:val="en-GB"/>
              </w:rPr>
            </w:pPr>
            <w:r w:rsidRPr="00184430">
              <w:rPr>
                <w:sz w:val="20"/>
                <w:szCs w:val="20"/>
                <w:lang w:val="en-GB"/>
              </w:rPr>
              <w:t>Greece (-8.9)</w:t>
            </w:r>
          </w:p>
        </w:tc>
        <w:tc>
          <w:tcPr>
            <w:tcW w:w="1637" w:type="dxa"/>
          </w:tcPr>
          <w:p w:rsidR="00A87EAF" w:rsidRDefault="0034774B">
            <w:pPr>
              <w:spacing w:line="276" w:lineRule="auto"/>
              <w:jc w:val="both"/>
              <w:rPr>
                <w:sz w:val="20"/>
                <w:szCs w:val="20"/>
                <w:lang w:val="en-GB"/>
              </w:rPr>
            </w:pPr>
            <w:r w:rsidRPr="00184430">
              <w:rPr>
                <w:sz w:val="20"/>
                <w:szCs w:val="20"/>
                <w:lang w:val="en-GB"/>
              </w:rPr>
              <w:t>Portugal (-3.3)</w:t>
            </w:r>
          </w:p>
          <w:p w:rsidR="00A87EAF" w:rsidRDefault="00F91F9C">
            <w:pPr>
              <w:spacing w:line="276" w:lineRule="auto"/>
              <w:jc w:val="both"/>
              <w:rPr>
                <w:sz w:val="20"/>
                <w:szCs w:val="20"/>
                <w:lang w:val="en-GB"/>
              </w:rPr>
            </w:pPr>
            <w:r w:rsidRPr="00184430">
              <w:rPr>
                <w:sz w:val="20"/>
                <w:szCs w:val="20"/>
                <w:lang w:val="en-GB"/>
              </w:rPr>
              <w:t>Greece (-6.6)</w:t>
            </w:r>
          </w:p>
        </w:tc>
        <w:tc>
          <w:tcPr>
            <w:tcW w:w="1536" w:type="dxa"/>
          </w:tcPr>
          <w:p w:rsidR="00A87EAF" w:rsidRDefault="0034774B">
            <w:pPr>
              <w:spacing w:line="276" w:lineRule="auto"/>
              <w:jc w:val="both"/>
              <w:rPr>
                <w:sz w:val="20"/>
                <w:szCs w:val="20"/>
                <w:lang w:val="en-GB"/>
              </w:rPr>
            </w:pPr>
            <w:r w:rsidRPr="00184430">
              <w:rPr>
                <w:sz w:val="20"/>
                <w:szCs w:val="20"/>
                <w:lang w:val="en-GB"/>
              </w:rPr>
              <w:t>Greece (-3.3)</w:t>
            </w:r>
          </w:p>
          <w:p w:rsidR="00A87EAF" w:rsidRDefault="00F91F9C">
            <w:pPr>
              <w:spacing w:line="276" w:lineRule="auto"/>
              <w:jc w:val="both"/>
              <w:rPr>
                <w:sz w:val="20"/>
                <w:szCs w:val="20"/>
                <w:lang w:val="en-GB"/>
              </w:rPr>
            </w:pPr>
            <w:r w:rsidRPr="00184430">
              <w:rPr>
                <w:sz w:val="20"/>
                <w:szCs w:val="20"/>
                <w:lang w:val="en-GB"/>
              </w:rPr>
              <w:t>Cyprus (-5.4)</w:t>
            </w:r>
          </w:p>
        </w:tc>
        <w:tc>
          <w:tcPr>
            <w:tcW w:w="1536" w:type="dxa"/>
          </w:tcPr>
          <w:p w:rsidR="00A87EAF" w:rsidRDefault="0034774B">
            <w:pPr>
              <w:spacing w:line="276" w:lineRule="auto"/>
              <w:jc w:val="both"/>
              <w:rPr>
                <w:sz w:val="20"/>
                <w:szCs w:val="20"/>
                <w:lang w:val="en-GB"/>
              </w:rPr>
            </w:pPr>
            <w:r w:rsidRPr="00184430">
              <w:rPr>
                <w:sz w:val="20"/>
                <w:szCs w:val="20"/>
                <w:lang w:val="en-GB"/>
              </w:rPr>
              <w:t>Finland (-0.4)</w:t>
            </w:r>
          </w:p>
          <w:p w:rsidR="00A87EAF" w:rsidRDefault="00F91F9C">
            <w:pPr>
              <w:spacing w:line="276" w:lineRule="auto"/>
              <w:jc w:val="both"/>
              <w:rPr>
                <w:sz w:val="20"/>
                <w:szCs w:val="20"/>
                <w:lang w:val="en-GB"/>
              </w:rPr>
            </w:pPr>
            <w:r w:rsidRPr="00184430">
              <w:rPr>
                <w:sz w:val="20"/>
                <w:szCs w:val="20"/>
                <w:lang w:val="en-GB"/>
              </w:rPr>
              <w:t>Italy (-0.4)</w:t>
            </w:r>
          </w:p>
          <w:p w:rsidR="00A87EAF" w:rsidRDefault="0034774B">
            <w:pPr>
              <w:spacing w:line="276" w:lineRule="auto"/>
              <w:jc w:val="both"/>
              <w:rPr>
                <w:sz w:val="20"/>
                <w:szCs w:val="20"/>
                <w:lang w:val="en-GB"/>
              </w:rPr>
            </w:pPr>
            <w:r w:rsidRPr="00184430">
              <w:rPr>
                <w:sz w:val="20"/>
                <w:szCs w:val="20"/>
                <w:lang w:val="en-GB"/>
              </w:rPr>
              <w:t>Croatia (-0.7)</w:t>
            </w:r>
          </w:p>
          <w:p w:rsidR="00A87EAF" w:rsidRDefault="0034774B">
            <w:pPr>
              <w:spacing w:line="276" w:lineRule="auto"/>
              <w:jc w:val="both"/>
              <w:rPr>
                <w:sz w:val="20"/>
                <w:szCs w:val="20"/>
                <w:lang w:val="en-GB"/>
              </w:rPr>
            </w:pPr>
            <w:r w:rsidRPr="00184430">
              <w:rPr>
                <w:sz w:val="20"/>
                <w:szCs w:val="20"/>
                <w:lang w:val="en-GB"/>
              </w:rPr>
              <w:lastRenderedPageBreak/>
              <w:t>Cyprus (-2.8)</w:t>
            </w:r>
          </w:p>
        </w:tc>
      </w:tr>
    </w:tbl>
    <w:p w:rsidR="00E77D88" w:rsidRPr="00184430" w:rsidRDefault="00E77D88" w:rsidP="00FD1D46">
      <w:pPr>
        <w:spacing w:line="276" w:lineRule="auto"/>
        <w:jc w:val="both"/>
        <w:rPr>
          <w:lang w:val="en-GB"/>
        </w:rPr>
      </w:pPr>
    </w:p>
    <w:p w:rsidR="00A87EAF" w:rsidRDefault="002909D2">
      <w:pPr>
        <w:spacing w:line="276" w:lineRule="auto"/>
        <w:jc w:val="both"/>
        <w:rPr>
          <w:sz w:val="20"/>
          <w:szCs w:val="20"/>
          <w:lang w:val="en-GB"/>
        </w:rPr>
      </w:pPr>
      <w:r w:rsidRPr="00184430">
        <w:rPr>
          <w:sz w:val="20"/>
          <w:szCs w:val="20"/>
          <w:lang w:val="en-GB"/>
        </w:rPr>
        <w:t xml:space="preserve">Source: </w:t>
      </w:r>
      <w:r w:rsidR="001929C6">
        <w:rPr>
          <w:sz w:val="20"/>
          <w:szCs w:val="20"/>
          <w:lang w:val="en-GB"/>
        </w:rPr>
        <w:t xml:space="preserve">authors, </w:t>
      </w:r>
      <w:r w:rsidR="006629AD">
        <w:rPr>
          <w:sz w:val="20"/>
          <w:szCs w:val="20"/>
          <w:lang w:val="en-GB"/>
        </w:rPr>
        <w:t xml:space="preserve">based on </w:t>
      </w:r>
      <w:r w:rsidRPr="00184430">
        <w:rPr>
          <w:sz w:val="20"/>
          <w:szCs w:val="20"/>
          <w:lang w:val="en-GB"/>
        </w:rPr>
        <w:t>European Commission (2014</w:t>
      </w:r>
      <w:r w:rsidR="006629AD">
        <w:rPr>
          <w:sz w:val="20"/>
          <w:szCs w:val="20"/>
          <w:lang w:val="en-GB"/>
        </w:rPr>
        <w:t>a</w:t>
      </w:r>
      <w:r w:rsidRPr="00184430">
        <w:rPr>
          <w:sz w:val="20"/>
          <w:szCs w:val="20"/>
          <w:lang w:val="en-GB"/>
        </w:rPr>
        <w:t>).</w:t>
      </w:r>
    </w:p>
    <w:p w:rsidR="00A87EAF" w:rsidRDefault="002909D2">
      <w:pPr>
        <w:spacing w:line="276" w:lineRule="auto"/>
        <w:jc w:val="both"/>
        <w:rPr>
          <w:sz w:val="20"/>
          <w:szCs w:val="20"/>
          <w:lang w:val="en-GB"/>
        </w:rPr>
      </w:pPr>
      <w:r w:rsidRPr="00184430">
        <w:rPr>
          <w:sz w:val="20"/>
          <w:szCs w:val="20"/>
          <w:lang w:val="en-GB"/>
        </w:rPr>
        <w:t>Notes: the ‘best performers’ are the countries which showed rates at least one standard deviation higher than the EU average. ‘Worst performers’ are at least one standard deviation</w:t>
      </w:r>
      <w:r w:rsidR="00F32F6C" w:rsidRPr="00184430">
        <w:rPr>
          <w:sz w:val="20"/>
          <w:szCs w:val="20"/>
          <w:lang w:val="en-GB"/>
        </w:rPr>
        <w:t xml:space="preserve"> lower</w:t>
      </w:r>
      <w:r w:rsidRPr="00184430">
        <w:rPr>
          <w:sz w:val="20"/>
          <w:szCs w:val="20"/>
          <w:lang w:val="en-GB"/>
        </w:rPr>
        <w:t>. * indicates forecast data.</w:t>
      </w:r>
    </w:p>
    <w:p w:rsidR="002909D2" w:rsidRDefault="002909D2" w:rsidP="00FD1D46">
      <w:pPr>
        <w:spacing w:line="276" w:lineRule="auto"/>
        <w:jc w:val="both"/>
        <w:rPr>
          <w:lang w:val="en-GB"/>
        </w:rPr>
      </w:pPr>
    </w:p>
    <w:p w:rsidR="000D63D8" w:rsidRPr="00184430" w:rsidRDefault="000D63D8">
      <w:pPr>
        <w:spacing w:line="276" w:lineRule="auto"/>
        <w:jc w:val="both"/>
        <w:rPr>
          <w:lang w:val="en-GB"/>
        </w:rPr>
      </w:pPr>
    </w:p>
    <w:p w:rsidR="00586EFC" w:rsidRPr="00184430" w:rsidRDefault="00876A82">
      <w:pPr>
        <w:spacing w:line="276" w:lineRule="auto"/>
        <w:jc w:val="both"/>
        <w:rPr>
          <w:i/>
          <w:lang w:val="en-GB"/>
        </w:rPr>
      </w:pPr>
      <w:r w:rsidRPr="00184430">
        <w:rPr>
          <w:i/>
          <w:lang w:val="en-GB"/>
        </w:rPr>
        <w:t>Employment</w:t>
      </w:r>
    </w:p>
    <w:p w:rsidR="00876A82" w:rsidRPr="00184430" w:rsidRDefault="00876A82">
      <w:pPr>
        <w:spacing w:line="276" w:lineRule="auto"/>
        <w:jc w:val="both"/>
        <w:rPr>
          <w:lang w:val="en-GB"/>
        </w:rPr>
      </w:pPr>
    </w:p>
    <w:p w:rsidR="00F32F6C" w:rsidRPr="00184430" w:rsidRDefault="00F32F6C">
      <w:pPr>
        <w:spacing w:line="276" w:lineRule="auto"/>
        <w:jc w:val="both"/>
        <w:rPr>
          <w:lang w:val="en-GB"/>
        </w:rPr>
      </w:pPr>
      <w:r w:rsidRPr="00184430">
        <w:rPr>
          <w:lang w:val="en-GB"/>
        </w:rPr>
        <w:t>The slow and fragile European recovery in general has</w:t>
      </w:r>
      <w:r w:rsidR="004C77A2">
        <w:rPr>
          <w:lang w:val="en-GB"/>
        </w:rPr>
        <w:t xml:space="preserve"> nonetheless</w:t>
      </w:r>
      <w:r w:rsidRPr="00184430">
        <w:rPr>
          <w:lang w:val="en-GB"/>
        </w:rPr>
        <w:t xml:space="preserve"> generated jobs, with rates of unemployment decreasing in most countries</w:t>
      </w:r>
      <w:r w:rsidR="002F3FE7" w:rsidRPr="00184430">
        <w:rPr>
          <w:lang w:val="en-GB"/>
        </w:rPr>
        <w:t xml:space="preserve">, breaking the increasing trend of the past </w:t>
      </w:r>
      <w:r w:rsidR="00A25732">
        <w:rPr>
          <w:lang w:val="en-GB"/>
        </w:rPr>
        <w:t xml:space="preserve">few </w:t>
      </w:r>
      <w:r w:rsidR="002F3FE7" w:rsidRPr="00184430">
        <w:rPr>
          <w:lang w:val="en-GB"/>
        </w:rPr>
        <w:t xml:space="preserve">years (see Table </w:t>
      </w:r>
      <w:r w:rsidR="00A25732">
        <w:rPr>
          <w:lang w:val="en-GB"/>
        </w:rPr>
        <w:t>3</w:t>
      </w:r>
      <w:r w:rsidR="002F3FE7" w:rsidRPr="00184430">
        <w:rPr>
          <w:lang w:val="en-GB"/>
        </w:rPr>
        <w:t>)</w:t>
      </w:r>
      <w:r w:rsidRPr="00184430">
        <w:rPr>
          <w:lang w:val="en-GB"/>
        </w:rPr>
        <w:t xml:space="preserve">. However, differences between </w:t>
      </w:r>
      <w:r w:rsidR="00B72E3F">
        <w:rPr>
          <w:lang w:val="en-GB"/>
        </w:rPr>
        <w:t>Member State</w:t>
      </w:r>
      <w:r w:rsidRPr="00184430">
        <w:rPr>
          <w:lang w:val="en-GB"/>
        </w:rPr>
        <w:t>s are significant.</w:t>
      </w:r>
      <w:r w:rsidR="00423B9F" w:rsidRPr="00184430">
        <w:rPr>
          <w:lang w:val="en-GB"/>
        </w:rPr>
        <w:t xml:space="preserve"> </w:t>
      </w:r>
      <w:r w:rsidR="00D33581" w:rsidRPr="00184430">
        <w:rPr>
          <w:lang w:val="en-GB"/>
        </w:rPr>
        <w:t xml:space="preserve">Germany continued its trend of decreasing unemployment and </w:t>
      </w:r>
      <w:r w:rsidR="00A25732">
        <w:rPr>
          <w:lang w:val="en-GB"/>
        </w:rPr>
        <w:t xml:space="preserve">by </w:t>
      </w:r>
      <w:r w:rsidR="00D33581" w:rsidRPr="00184430">
        <w:rPr>
          <w:lang w:val="en-GB"/>
        </w:rPr>
        <w:t xml:space="preserve">now </w:t>
      </w:r>
      <w:r w:rsidR="00A25732">
        <w:rPr>
          <w:lang w:val="en-GB"/>
        </w:rPr>
        <w:t xml:space="preserve">it </w:t>
      </w:r>
      <w:r w:rsidR="00D33581" w:rsidRPr="00184430">
        <w:rPr>
          <w:lang w:val="en-GB"/>
        </w:rPr>
        <w:t>has the lowest level in the EU (5.3</w:t>
      </w:r>
      <w:r w:rsidR="001D3B9C">
        <w:rPr>
          <w:lang w:val="en-GB"/>
        </w:rPr>
        <w:t xml:space="preserve"> per cent</w:t>
      </w:r>
      <w:r w:rsidR="00D33581" w:rsidRPr="00184430">
        <w:rPr>
          <w:lang w:val="en-GB"/>
        </w:rPr>
        <w:t>). Countries which have been struggling with very high levels of unemployment for years have also made progress</w:t>
      </w:r>
      <w:r w:rsidR="005A2A41">
        <w:rPr>
          <w:lang w:val="en-GB"/>
        </w:rPr>
        <w:t xml:space="preserve"> </w:t>
      </w:r>
      <w:r w:rsidR="007C0D75">
        <w:rPr>
          <w:lang w:val="en-GB"/>
        </w:rPr>
        <w:t>in 2014</w:t>
      </w:r>
      <w:r w:rsidR="005A2A41">
        <w:rPr>
          <w:lang w:val="en-GB"/>
        </w:rPr>
        <w:t xml:space="preserve">. Following the record high levels in 2013, </w:t>
      </w:r>
      <w:r w:rsidR="001302F2">
        <w:rPr>
          <w:lang w:val="en-GB"/>
        </w:rPr>
        <w:t xml:space="preserve">Greece (26.8 per cent), </w:t>
      </w:r>
      <w:r w:rsidR="00D33581" w:rsidRPr="00184430">
        <w:rPr>
          <w:lang w:val="en-GB"/>
        </w:rPr>
        <w:t>Spain (24.8</w:t>
      </w:r>
      <w:r w:rsidR="001D3B9C">
        <w:rPr>
          <w:lang w:val="en-GB"/>
        </w:rPr>
        <w:t xml:space="preserve"> per cent</w:t>
      </w:r>
      <w:r w:rsidR="00D33581" w:rsidRPr="00184430">
        <w:rPr>
          <w:lang w:val="en-GB"/>
        </w:rPr>
        <w:t>)</w:t>
      </w:r>
      <w:r w:rsidR="001302F2">
        <w:rPr>
          <w:lang w:val="en-GB"/>
        </w:rPr>
        <w:t xml:space="preserve"> and</w:t>
      </w:r>
      <w:r w:rsidR="00D33581" w:rsidRPr="00184430">
        <w:rPr>
          <w:lang w:val="en-GB"/>
        </w:rPr>
        <w:t xml:space="preserve"> Portugal (14.5</w:t>
      </w:r>
      <w:r w:rsidR="001D3B9C">
        <w:rPr>
          <w:lang w:val="en-GB"/>
        </w:rPr>
        <w:t xml:space="preserve"> per cent</w:t>
      </w:r>
      <w:r w:rsidR="00D33581" w:rsidRPr="00184430">
        <w:rPr>
          <w:lang w:val="en-GB"/>
        </w:rPr>
        <w:t>)</w:t>
      </w:r>
      <w:r w:rsidR="005A2A41">
        <w:rPr>
          <w:lang w:val="en-GB"/>
        </w:rPr>
        <w:t xml:space="preserve"> managed to put a halt to further acceleration. </w:t>
      </w:r>
      <w:r w:rsidR="00D33581" w:rsidRPr="00184430">
        <w:rPr>
          <w:lang w:val="en-GB"/>
        </w:rPr>
        <w:t>Latvia (11.0</w:t>
      </w:r>
      <w:r w:rsidR="001D3B9C">
        <w:rPr>
          <w:lang w:val="en-GB"/>
        </w:rPr>
        <w:t xml:space="preserve"> per cent</w:t>
      </w:r>
      <w:r w:rsidR="00D33581" w:rsidRPr="00184430">
        <w:rPr>
          <w:lang w:val="en-GB"/>
        </w:rPr>
        <w:t>) and Ireland (11.1</w:t>
      </w:r>
      <w:r w:rsidR="001D3B9C">
        <w:rPr>
          <w:lang w:val="en-GB"/>
        </w:rPr>
        <w:t xml:space="preserve"> per cent</w:t>
      </w:r>
      <w:r w:rsidR="00D33581" w:rsidRPr="00184430">
        <w:rPr>
          <w:lang w:val="en-GB"/>
        </w:rPr>
        <w:t>)</w:t>
      </w:r>
      <w:r w:rsidR="001302F2">
        <w:rPr>
          <w:lang w:val="en-GB"/>
        </w:rPr>
        <w:t xml:space="preserve"> also experienced some moderation in their unemployment ratios</w:t>
      </w:r>
      <w:r w:rsidR="007C0D75">
        <w:rPr>
          <w:lang w:val="en-GB"/>
        </w:rPr>
        <w:t xml:space="preserve">. The </w:t>
      </w:r>
      <w:r w:rsidR="00ED0D06" w:rsidRPr="00ED0D06">
        <w:rPr>
          <w:rStyle w:val="Jegyzethivatkozs"/>
          <w:sz w:val="24"/>
          <w:szCs w:val="24"/>
        </w:rPr>
        <w:t xml:space="preserve">trends </w:t>
      </w:r>
      <w:r w:rsidR="001302F2">
        <w:rPr>
          <w:rStyle w:val="Jegyzethivatkozs"/>
          <w:sz w:val="24"/>
          <w:szCs w:val="24"/>
        </w:rPr>
        <w:t xml:space="preserve">in </w:t>
      </w:r>
      <w:r w:rsidR="001302F2" w:rsidRPr="00184430">
        <w:rPr>
          <w:lang w:val="en-GB"/>
        </w:rPr>
        <w:t xml:space="preserve">labour market </w:t>
      </w:r>
      <w:r w:rsidR="001302F2">
        <w:rPr>
          <w:lang w:val="en-GB"/>
        </w:rPr>
        <w:t xml:space="preserve">data </w:t>
      </w:r>
      <w:r w:rsidR="001302F2" w:rsidRPr="00184430">
        <w:rPr>
          <w:lang w:val="en-GB"/>
        </w:rPr>
        <w:t>indicat</w:t>
      </w:r>
      <w:r w:rsidR="001302F2">
        <w:rPr>
          <w:lang w:val="en-GB"/>
        </w:rPr>
        <w:t>e a strong correlation</w:t>
      </w:r>
      <w:r w:rsidR="001302F2" w:rsidRPr="00184430">
        <w:rPr>
          <w:lang w:val="en-GB"/>
        </w:rPr>
        <w:t xml:space="preserve"> </w:t>
      </w:r>
      <w:r w:rsidR="001302F2">
        <w:rPr>
          <w:lang w:val="en-GB"/>
        </w:rPr>
        <w:t xml:space="preserve">with recoveries in economic growth. </w:t>
      </w:r>
      <w:r w:rsidR="00423B9F" w:rsidRPr="00184430">
        <w:rPr>
          <w:lang w:val="en-GB"/>
        </w:rPr>
        <w:t>Only a handful of countries, including Austria, Luxemb</w:t>
      </w:r>
      <w:r w:rsidR="00C630CD">
        <w:rPr>
          <w:lang w:val="en-GB"/>
        </w:rPr>
        <w:t>o</w:t>
      </w:r>
      <w:r w:rsidR="00423B9F" w:rsidRPr="00184430">
        <w:rPr>
          <w:lang w:val="en-GB"/>
        </w:rPr>
        <w:t xml:space="preserve">urg, the Netherlands (although these three had very low rates to begin with), </w:t>
      </w:r>
      <w:r w:rsidR="00BC7993" w:rsidRPr="00184430">
        <w:rPr>
          <w:lang w:val="en-GB"/>
        </w:rPr>
        <w:t>Belgium</w:t>
      </w:r>
      <w:r w:rsidR="00BC7993">
        <w:rPr>
          <w:lang w:val="en-GB"/>
        </w:rPr>
        <w:t>,</w:t>
      </w:r>
      <w:r w:rsidR="00BC7993" w:rsidRPr="00184430">
        <w:rPr>
          <w:lang w:val="en-GB"/>
        </w:rPr>
        <w:t xml:space="preserve"> Croatia</w:t>
      </w:r>
      <w:r w:rsidR="00BC7993">
        <w:rPr>
          <w:lang w:val="en-GB"/>
        </w:rPr>
        <w:t xml:space="preserve">, </w:t>
      </w:r>
      <w:r w:rsidR="00BC7993" w:rsidRPr="00184430">
        <w:rPr>
          <w:lang w:val="en-GB"/>
        </w:rPr>
        <w:t>Cyprus</w:t>
      </w:r>
      <w:r w:rsidR="00BC7993">
        <w:rPr>
          <w:lang w:val="en-GB"/>
        </w:rPr>
        <w:t xml:space="preserve">, Finland, France and Italy </w:t>
      </w:r>
      <w:r w:rsidR="00423B9F" w:rsidRPr="00184430">
        <w:rPr>
          <w:lang w:val="en-GB"/>
        </w:rPr>
        <w:t>experienced rising unemployment</w:t>
      </w:r>
      <w:r w:rsidR="006629AD">
        <w:rPr>
          <w:lang w:val="en-GB"/>
        </w:rPr>
        <w:t xml:space="preserve"> ratios</w:t>
      </w:r>
      <w:r w:rsidR="00423B9F" w:rsidRPr="00184430">
        <w:rPr>
          <w:lang w:val="en-GB"/>
        </w:rPr>
        <w:t xml:space="preserve">. </w:t>
      </w:r>
      <w:r w:rsidR="00D33581" w:rsidRPr="00184430">
        <w:rPr>
          <w:lang w:val="en-GB"/>
        </w:rPr>
        <w:t>The case of France is especially worrying, where unemployment increase</w:t>
      </w:r>
      <w:r w:rsidR="00A25732">
        <w:rPr>
          <w:lang w:val="en-GB"/>
        </w:rPr>
        <w:t>d</w:t>
      </w:r>
      <w:r w:rsidR="00D33581" w:rsidRPr="00184430">
        <w:rPr>
          <w:lang w:val="en-GB"/>
        </w:rPr>
        <w:t xml:space="preserve"> despite a slow but growing economy.</w:t>
      </w:r>
    </w:p>
    <w:p w:rsidR="00423B9F" w:rsidRPr="00184430" w:rsidRDefault="00423B9F">
      <w:pPr>
        <w:spacing w:line="276" w:lineRule="auto"/>
        <w:jc w:val="both"/>
        <w:rPr>
          <w:lang w:val="en-GB"/>
        </w:rPr>
      </w:pPr>
    </w:p>
    <w:p w:rsidR="00A87EAF" w:rsidRDefault="00876A82">
      <w:pPr>
        <w:spacing w:line="276" w:lineRule="auto"/>
        <w:jc w:val="both"/>
        <w:rPr>
          <w:lang w:val="en-GB"/>
        </w:rPr>
      </w:pPr>
      <w:r w:rsidRPr="00184430">
        <w:rPr>
          <w:lang w:val="en-GB"/>
        </w:rPr>
        <w:t xml:space="preserve">Table 3. Average EU </w:t>
      </w:r>
      <w:r w:rsidR="00F32F6C" w:rsidRPr="00184430">
        <w:rPr>
          <w:lang w:val="en-GB"/>
        </w:rPr>
        <w:t>unemployment</w:t>
      </w:r>
      <w:r w:rsidRPr="00184430">
        <w:rPr>
          <w:lang w:val="en-GB"/>
        </w:rPr>
        <w:t xml:space="preserve"> rates (in </w:t>
      </w:r>
      <w:r w:rsidR="001D3B9C">
        <w:rPr>
          <w:lang w:val="en-GB"/>
        </w:rPr>
        <w:t>per cent</w:t>
      </w:r>
      <w:r w:rsidR="00F32F6C" w:rsidRPr="00184430">
        <w:rPr>
          <w:lang w:val="en-GB"/>
        </w:rPr>
        <w:t xml:space="preserve"> of total labour force</w:t>
      </w:r>
      <w:r w:rsidRPr="00184430">
        <w:rPr>
          <w:lang w:val="en-GB"/>
        </w:rPr>
        <w:t xml:space="preserve">) and the best and worst performing </w:t>
      </w:r>
      <w:r w:rsidR="00B72E3F">
        <w:rPr>
          <w:lang w:val="en-GB"/>
        </w:rPr>
        <w:t>Member State</w:t>
      </w:r>
      <w:r w:rsidRPr="00184430">
        <w:rPr>
          <w:lang w:val="en-GB"/>
        </w:rPr>
        <w:t>s</w:t>
      </w:r>
    </w:p>
    <w:p w:rsidR="00876A82" w:rsidRPr="00184430" w:rsidRDefault="00876A82" w:rsidP="00FD1D46">
      <w:pPr>
        <w:spacing w:line="276" w:lineRule="auto"/>
        <w:jc w:val="both"/>
        <w:rPr>
          <w:lang w:val="en-GB"/>
        </w:rPr>
      </w:pPr>
    </w:p>
    <w:tbl>
      <w:tblPr>
        <w:tblStyle w:val="Rcsostblzat"/>
        <w:tblW w:w="9322" w:type="dxa"/>
        <w:jc w:val="center"/>
        <w:tblLook w:val="04A0"/>
      </w:tblPr>
      <w:tblGrid>
        <w:gridCol w:w="1384"/>
        <w:gridCol w:w="1701"/>
        <w:gridCol w:w="1701"/>
        <w:gridCol w:w="1559"/>
        <w:gridCol w:w="1560"/>
        <w:gridCol w:w="1417"/>
      </w:tblGrid>
      <w:tr w:rsidR="00876A82" w:rsidRPr="00184430" w:rsidTr="002F3FE7">
        <w:trPr>
          <w:jc w:val="center"/>
        </w:trPr>
        <w:tc>
          <w:tcPr>
            <w:tcW w:w="1384" w:type="dxa"/>
          </w:tcPr>
          <w:p w:rsidR="00876A82" w:rsidRPr="00184430" w:rsidRDefault="00876A82">
            <w:pPr>
              <w:spacing w:line="276" w:lineRule="auto"/>
              <w:jc w:val="both"/>
              <w:rPr>
                <w:sz w:val="20"/>
                <w:szCs w:val="20"/>
                <w:lang w:val="en-GB"/>
              </w:rPr>
            </w:pPr>
          </w:p>
        </w:tc>
        <w:tc>
          <w:tcPr>
            <w:tcW w:w="1701" w:type="dxa"/>
          </w:tcPr>
          <w:p w:rsidR="00A87EAF" w:rsidRDefault="00876A82" w:rsidP="007C0D75">
            <w:pPr>
              <w:spacing w:line="276" w:lineRule="auto"/>
              <w:jc w:val="center"/>
              <w:rPr>
                <w:b/>
                <w:sz w:val="20"/>
                <w:szCs w:val="20"/>
                <w:lang w:val="en-GB"/>
              </w:rPr>
            </w:pPr>
            <w:r w:rsidRPr="00184430">
              <w:rPr>
                <w:b/>
                <w:sz w:val="20"/>
                <w:szCs w:val="20"/>
                <w:lang w:val="en-GB"/>
              </w:rPr>
              <w:t>2010</w:t>
            </w:r>
          </w:p>
        </w:tc>
        <w:tc>
          <w:tcPr>
            <w:tcW w:w="1701" w:type="dxa"/>
          </w:tcPr>
          <w:p w:rsidR="00A87EAF" w:rsidRDefault="00876A82" w:rsidP="007C0D75">
            <w:pPr>
              <w:spacing w:line="276" w:lineRule="auto"/>
              <w:jc w:val="center"/>
              <w:rPr>
                <w:b/>
                <w:sz w:val="20"/>
                <w:szCs w:val="20"/>
                <w:lang w:val="en-GB"/>
              </w:rPr>
            </w:pPr>
            <w:r w:rsidRPr="00184430">
              <w:rPr>
                <w:b/>
                <w:sz w:val="20"/>
                <w:szCs w:val="20"/>
                <w:lang w:val="en-GB"/>
              </w:rPr>
              <w:t>2011</w:t>
            </w:r>
          </w:p>
        </w:tc>
        <w:tc>
          <w:tcPr>
            <w:tcW w:w="1559" w:type="dxa"/>
          </w:tcPr>
          <w:p w:rsidR="00A87EAF" w:rsidRDefault="00876A82" w:rsidP="007C0D75">
            <w:pPr>
              <w:spacing w:line="276" w:lineRule="auto"/>
              <w:jc w:val="center"/>
              <w:rPr>
                <w:b/>
                <w:sz w:val="20"/>
                <w:szCs w:val="20"/>
                <w:lang w:val="en-GB"/>
              </w:rPr>
            </w:pPr>
            <w:r w:rsidRPr="00184430">
              <w:rPr>
                <w:b/>
                <w:sz w:val="20"/>
                <w:szCs w:val="20"/>
                <w:lang w:val="en-GB"/>
              </w:rPr>
              <w:t>2012</w:t>
            </w:r>
          </w:p>
        </w:tc>
        <w:tc>
          <w:tcPr>
            <w:tcW w:w="1560" w:type="dxa"/>
          </w:tcPr>
          <w:p w:rsidR="00A87EAF" w:rsidRDefault="00876A82" w:rsidP="007C0D75">
            <w:pPr>
              <w:spacing w:line="276" w:lineRule="auto"/>
              <w:jc w:val="center"/>
              <w:rPr>
                <w:b/>
                <w:sz w:val="20"/>
                <w:szCs w:val="20"/>
                <w:lang w:val="en-GB"/>
              </w:rPr>
            </w:pPr>
            <w:r w:rsidRPr="00184430">
              <w:rPr>
                <w:b/>
                <w:sz w:val="20"/>
                <w:szCs w:val="20"/>
                <w:lang w:val="en-GB"/>
              </w:rPr>
              <w:t>2013</w:t>
            </w:r>
          </w:p>
        </w:tc>
        <w:tc>
          <w:tcPr>
            <w:tcW w:w="1417" w:type="dxa"/>
          </w:tcPr>
          <w:p w:rsidR="00A87EAF" w:rsidRDefault="00876A82" w:rsidP="007C0D75">
            <w:pPr>
              <w:spacing w:line="276" w:lineRule="auto"/>
              <w:jc w:val="center"/>
              <w:rPr>
                <w:b/>
                <w:sz w:val="20"/>
                <w:szCs w:val="20"/>
                <w:lang w:val="en-GB"/>
              </w:rPr>
            </w:pPr>
            <w:r w:rsidRPr="00184430">
              <w:rPr>
                <w:b/>
                <w:sz w:val="20"/>
                <w:szCs w:val="20"/>
                <w:lang w:val="en-GB"/>
              </w:rPr>
              <w:t>2014*</w:t>
            </w:r>
          </w:p>
        </w:tc>
      </w:tr>
      <w:tr w:rsidR="00F32F6C" w:rsidRPr="00184430" w:rsidTr="002F3FE7">
        <w:trPr>
          <w:jc w:val="center"/>
        </w:trPr>
        <w:tc>
          <w:tcPr>
            <w:tcW w:w="1384" w:type="dxa"/>
            <w:vAlign w:val="center"/>
          </w:tcPr>
          <w:p w:rsidR="00A87EAF" w:rsidRDefault="00F32F6C">
            <w:pPr>
              <w:spacing w:line="276" w:lineRule="auto"/>
              <w:jc w:val="both"/>
              <w:rPr>
                <w:b/>
                <w:sz w:val="20"/>
                <w:szCs w:val="20"/>
                <w:lang w:val="en-GB"/>
              </w:rPr>
            </w:pPr>
            <w:r w:rsidRPr="00184430">
              <w:rPr>
                <w:b/>
                <w:sz w:val="20"/>
                <w:szCs w:val="20"/>
                <w:lang w:val="en-GB"/>
              </w:rPr>
              <w:t>EU average</w:t>
            </w:r>
          </w:p>
        </w:tc>
        <w:tc>
          <w:tcPr>
            <w:tcW w:w="1701" w:type="dxa"/>
            <w:vAlign w:val="bottom"/>
          </w:tcPr>
          <w:p w:rsidR="00A87EAF" w:rsidRDefault="00F32F6C" w:rsidP="007C0D75">
            <w:pPr>
              <w:spacing w:line="276" w:lineRule="auto"/>
              <w:jc w:val="right"/>
              <w:rPr>
                <w:color w:val="000000"/>
                <w:sz w:val="20"/>
                <w:szCs w:val="20"/>
                <w:lang w:val="en-GB"/>
              </w:rPr>
            </w:pPr>
            <w:r w:rsidRPr="00184430">
              <w:rPr>
                <w:color w:val="000000"/>
                <w:sz w:val="20"/>
                <w:szCs w:val="20"/>
                <w:lang w:val="en-GB"/>
              </w:rPr>
              <w:t>9.6</w:t>
            </w:r>
          </w:p>
        </w:tc>
        <w:tc>
          <w:tcPr>
            <w:tcW w:w="1701" w:type="dxa"/>
            <w:vAlign w:val="bottom"/>
          </w:tcPr>
          <w:p w:rsidR="00A87EAF" w:rsidRDefault="00F32F6C" w:rsidP="007C0D75">
            <w:pPr>
              <w:spacing w:line="276" w:lineRule="auto"/>
              <w:jc w:val="right"/>
              <w:rPr>
                <w:color w:val="000000"/>
                <w:sz w:val="20"/>
                <w:szCs w:val="20"/>
                <w:lang w:val="en-GB"/>
              </w:rPr>
            </w:pPr>
            <w:r w:rsidRPr="00184430">
              <w:rPr>
                <w:color w:val="000000"/>
                <w:sz w:val="20"/>
                <w:szCs w:val="20"/>
                <w:lang w:val="en-GB"/>
              </w:rPr>
              <w:t>9.6</w:t>
            </w:r>
          </w:p>
        </w:tc>
        <w:tc>
          <w:tcPr>
            <w:tcW w:w="1559" w:type="dxa"/>
            <w:vAlign w:val="bottom"/>
          </w:tcPr>
          <w:p w:rsidR="00A87EAF" w:rsidRDefault="00F32F6C" w:rsidP="007C0D75">
            <w:pPr>
              <w:spacing w:line="276" w:lineRule="auto"/>
              <w:jc w:val="right"/>
              <w:rPr>
                <w:color w:val="000000"/>
                <w:sz w:val="20"/>
                <w:szCs w:val="20"/>
                <w:lang w:val="en-GB"/>
              </w:rPr>
            </w:pPr>
            <w:r w:rsidRPr="00184430">
              <w:rPr>
                <w:color w:val="000000"/>
                <w:sz w:val="20"/>
                <w:szCs w:val="20"/>
                <w:lang w:val="en-GB"/>
              </w:rPr>
              <w:t>10.4</w:t>
            </w:r>
          </w:p>
        </w:tc>
        <w:tc>
          <w:tcPr>
            <w:tcW w:w="1560" w:type="dxa"/>
            <w:vAlign w:val="bottom"/>
          </w:tcPr>
          <w:p w:rsidR="00A87EAF" w:rsidRDefault="00F32F6C" w:rsidP="007C0D75">
            <w:pPr>
              <w:spacing w:line="276" w:lineRule="auto"/>
              <w:jc w:val="right"/>
              <w:rPr>
                <w:color w:val="000000"/>
                <w:sz w:val="20"/>
                <w:szCs w:val="20"/>
                <w:lang w:val="en-GB"/>
              </w:rPr>
            </w:pPr>
            <w:r w:rsidRPr="00184430">
              <w:rPr>
                <w:color w:val="000000"/>
                <w:sz w:val="20"/>
                <w:szCs w:val="20"/>
                <w:lang w:val="en-GB"/>
              </w:rPr>
              <w:t>10.8</w:t>
            </w:r>
          </w:p>
        </w:tc>
        <w:tc>
          <w:tcPr>
            <w:tcW w:w="1417" w:type="dxa"/>
            <w:vAlign w:val="bottom"/>
          </w:tcPr>
          <w:p w:rsidR="00A87EAF" w:rsidRDefault="00F32F6C" w:rsidP="007C0D75">
            <w:pPr>
              <w:spacing w:line="276" w:lineRule="auto"/>
              <w:jc w:val="right"/>
              <w:rPr>
                <w:color w:val="000000"/>
                <w:sz w:val="20"/>
                <w:szCs w:val="20"/>
                <w:lang w:val="en-GB"/>
              </w:rPr>
            </w:pPr>
            <w:r w:rsidRPr="00184430">
              <w:rPr>
                <w:color w:val="000000"/>
                <w:sz w:val="20"/>
                <w:szCs w:val="20"/>
                <w:lang w:val="en-GB"/>
              </w:rPr>
              <w:t>10.3</w:t>
            </w:r>
          </w:p>
        </w:tc>
      </w:tr>
      <w:tr w:rsidR="00F32F6C" w:rsidRPr="00184430" w:rsidTr="001929C6">
        <w:trPr>
          <w:jc w:val="center"/>
        </w:trPr>
        <w:tc>
          <w:tcPr>
            <w:tcW w:w="1384" w:type="dxa"/>
            <w:vAlign w:val="center"/>
          </w:tcPr>
          <w:p w:rsidR="00A87EAF" w:rsidRDefault="00F32F6C">
            <w:pPr>
              <w:spacing w:line="276" w:lineRule="auto"/>
              <w:jc w:val="both"/>
              <w:rPr>
                <w:b/>
                <w:sz w:val="20"/>
                <w:szCs w:val="20"/>
                <w:lang w:val="en-GB"/>
              </w:rPr>
            </w:pPr>
            <w:r w:rsidRPr="00184430">
              <w:rPr>
                <w:b/>
                <w:sz w:val="20"/>
                <w:szCs w:val="20"/>
                <w:lang w:val="en-GB"/>
              </w:rPr>
              <w:t>Standard deviation</w:t>
            </w:r>
          </w:p>
        </w:tc>
        <w:tc>
          <w:tcPr>
            <w:tcW w:w="1701" w:type="dxa"/>
            <w:vAlign w:val="center"/>
          </w:tcPr>
          <w:p w:rsidR="00A87EAF" w:rsidRDefault="00F32F6C" w:rsidP="007C0D75">
            <w:pPr>
              <w:spacing w:line="276" w:lineRule="auto"/>
              <w:jc w:val="right"/>
              <w:rPr>
                <w:color w:val="000000"/>
                <w:sz w:val="20"/>
                <w:szCs w:val="20"/>
                <w:lang w:val="en-GB"/>
              </w:rPr>
            </w:pPr>
            <w:r w:rsidRPr="00184430">
              <w:rPr>
                <w:color w:val="000000"/>
                <w:sz w:val="20"/>
                <w:szCs w:val="20"/>
                <w:lang w:val="en-GB"/>
              </w:rPr>
              <w:t>4.4</w:t>
            </w:r>
          </w:p>
        </w:tc>
        <w:tc>
          <w:tcPr>
            <w:tcW w:w="1701" w:type="dxa"/>
            <w:vAlign w:val="center"/>
          </w:tcPr>
          <w:p w:rsidR="00A87EAF" w:rsidRDefault="00F32F6C" w:rsidP="007C0D75">
            <w:pPr>
              <w:spacing w:line="276" w:lineRule="auto"/>
              <w:jc w:val="right"/>
              <w:rPr>
                <w:color w:val="000000"/>
                <w:sz w:val="20"/>
                <w:szCs w:val="20"/>
                <w:lang w:val="en-GB"/>
              </w:rPr>
            </w:pPr>
            <w:r w:rsidRPr="00184430">
              <w:rPr>
                <w:color w:val="000000"/>
                <w:sz w:val="20"/>
                <w:szCs w:val="20"/>
                <w:lang w:val="en-GB"/>
              </w:rPr>
              <w:t>4.3</w:t>
            </w:r>
          </w:p>
        </w:tc>
        <w:tc>
          <w:tcPr>
            <w:tcW w:w="1559" w:type="dxa"/>
            <w:vAlign w:val="center"/>
          </w:tcPr>
          <w:p w:rsidR="00A87EAF" w:rsidRDefault="00F32F6C" w:rsidP="007C0D75">
            <w:pPr>
              <w:spacing w:line="276" w:lineRule="auto"/>
              <w:jc w:val="right"/>
              <w:rPr>
                <w:color w:val="000000"/>
                <w:sz w:val="20"/>
                <w:szCs w:val="20"/>
                <w:lang w:val="en-GB"/>
              </w:rPr>
            </w:pPr>
            <w:r w:rsidRPr="00184430">
              <w:rPr>
                <w:color w:val="000000"/>
                <w:sz w:val="20"/>
                <w:szCs w:val="20"/>
                <w:lang w:val="en-GB"/>
              </w:rPr>
              <w:t>5.2</w:t>
            </w:r>
          </w:p>
        </w:tc>
        <w:tc>
          <w:tcPr>
            <w:tcW w:w="1560" w:type="dxa"/>
            <w:vAlign w:val="center"/>
          </w:tcPr>
          <w:p w:rsidR="00A87EAF" w:rsidRDefault="00F32F6C" w:rsidP="007C0D75">
            <w:pPr>
              <w:spacing w:line="276" w:lineRule="auto"/>
              <w:jc w:val="right"/>
              <w:rPr>
                <w:color w:val="000000"/>
                <w:sz w:val="20"/>
                <w:szCs w:val="20"/>
                <w:lang w:val="en-GB"/>
              </w:rPr>
            </w:pPr>
            <w:r w:rsidRPr="00184430">
              <w:rPr>
                <w:color w:val="000000"/>
                <w:sz w:val="20"/>
                <w:szCs w:val="20"/>
                <w:lang w:val="en-GB"/>
              </w:rPr>
              <w:t>5.6</w:t>
            </w:r>
          </w:p>
        </w:tc>
        <w:tc>
          <w:tcPr>
            <w:tcW w:w="1417" w:type="dxa"/>
            <w:vAlign w:val="center"/>
          </w:tcPr>
          <w:p w:rsidR="00A87EAF" w:rsidRDefault="00F32F6C" w:rsidP="007C0D75">
            <w:pPr>
              <w:spacing w:line="276" w:lineRule="auto"/>
              <w:jc w:val="right"/>
              <w:rPr>
                <w:color w:val="000000"/>
                <w:sz w:val="20"/>
                <w:szCs w:val="20"/>
                <w:lang w:val="en-GB"/>
              </w:rPr>
            </w:pPr>
            <w:r w:rsidRPr="00184430">
              <w:rPr>
                <w:color w:val="000000"/>
                <w:sz w:val="20"/>
                <w:szCs w:val="20"/>
                <w:lang w:val="en-GB"/>
              </w:rPr>
              <w:t>5.4</w:t>
            </w:r>
          </w:p>
        </w:tc>
      </w:tr>
      <w:tr w:rsidR="00876A82" w:rsidRPr="00184430" w:rsidTr="002F3FE7">
        <w:trPr>
          <w:jc w:val="center"/>
        </w:trPr>
        <w:tc>
          <w:tcPr>
            <w:tcW w:w="1384" w:type="dxa"/>
            <w:vAlign w:val="center"/>
          </w:tcPr>
          <w:p w:rsidR="00A87EAF" w:rsidRDefault="00876A82">
            <w:pPr>
              <w:spacing w:line="276" w:lineRule="auto"/>
              <w:jc w:val="both"/>
              <w:rPr>
                <w:b/>
                <w:sz w:val="20"/>
                <w:szCs w:val="20"/>
                <w:lang w:val="en-GB"/>
              </w:rPr>
            </w:pPr>
            <w:r w:rsidRPr="00184430">
              <w:rPr>
                <w:b/>
                <w:sz w:val="20"/>
                <w:szCs w:val="20"/>
                <w:lang w:val="en-GB"/>
              </w:rPr>
              <w:t>Best performers</w:t>
            </w:r>
          </w:p>
        </w:tc>
        <w:tc>
          <w:tcPr>
            <w:tcW w:w="1701" w:type="dxa"/>
          </w:tcPr>
          <w:p w:rsidR="00A87EAF" w:rsidRDefault="00F325C9">
            <w:pPr>
              <w:spacing w:line="276" w:lineRule="auto"/>
              <w:jc w:val="both"/>
              <w:rPr>
                <w:sz w:val="20"/>
                <w:szCs w:val="20"/>
                <w:lang w:val="en-GB"/>
              </w:rPr>
            </w:pPr>
            <w:r w:rsidRPr="00184430">
              <w:rPr>
                <w:sz w:val="20"/>
                <w:szCs w:val="20"/>
                <w:lang w:val="en-GB"/>
              </w:rPr>
              <w:t>Luxembourg (4.6)</w:t>
            </w:r>
          </w:p>
          <w:p w:rsidR="00A87EAF" w:rsidRDefault="002F3FE7">
            <w:pPr>
              <w:spacing w:line="276" w:lineRule="auto"/>
              <w:jc w:val="both"/>
              <w:rPr>
                <w:sz w:val="20"/>
                <w:szCs w:val="20"/>
                <w:lang w:val="en-GB"/>
              </w:rPr>
            </w:pPr>
            <w:r w:rsidRPr="00184430">
              <w:rPr>
                <w:sz w:val="20"/>
                <w:szCs w:val="20"/>
                <w:lang w:val="en-GB"/>
              </w:rPr>
              <w:t>Netherlands (4.5)</w:t>
            </w:r>
          </w:p>
          <w:p w:rsidR="00A87EAF" w:rsidRDefault="00F325C9">
            <w:pPr>
              <w:spacing w:line="276" w:lineRule="auto"/>
              <w:jc w:val="both"/>
              <w:rPr>
                <w:sz w:val="20"/>
                <w:szCs w:val="20"/>
                <w:lang w:val="en-GB"/>
              </w:rPr>
            </w:pPr>
            <w:r w:rsidRPr="00184430">
              <w:rPr>
                <w:sz w:val="20"/>
                <w:szCs w:val="20"/>
                <w:lang w:val="en-GB"/>
              </w:rPr>
              <w:t>Austria (4.4)</w:t>
            </w:r>
          </w:p>
        </w:tc>
        <w:tc>
          <w:tcPr>
            <w:tcW w:w="1701" w:type="dxa"/>
          </w:tcPr>
          <w:p w:rsidR="00A87EAF" w:rsidRDefault="00F325C9">
            <w:pPr>
              <w:spacing w:line="276" w:lineRule="auto"/>
              <w:jc w:val="both"/>
              <w:rPr>
                <w:sz w:val="20"/>
                <w:szCs w:val="20"/>
                <w:lang w:val="en-GB"/>
              </w:rPr>
            </w:pPr>
            <w:r w:rsidRPr="00184430">
              <w:rPr>
                <w:sz w:val="20"/>
                <w:szCs w:val="20"/>
                <w:lang w:val="en-GB"/>
              </w:rPr>
              <w:t>Luxembourg (4.8)</w:t>
            </w:r>
          </w:p>
          <w:p w:rsidR="00A87EAF" w:rsidRDefault="002F3FE7">
            <w:pPr>
              <w:spacing w:line="276" w:lineRule="auto"/>
              <w:jc w:val="both"/>
              <w:rPr>
                <w:sz w:val="20"/>
                <w:szCs w:val="20"/>
                <w:lang w:val="en-GB"/>
              </w:rPr>
            </w:pPr>
            <w:r w:rsidRPr="00184430">
              <w:rPr>
                <w:sz w:val="20"/>
                <w:szCs w:val="20"/>
                <w:lang w:val="en-GB"/>
              </w:rPr>
              <w:t>Netherlands (4.4)</w:t>
            </w:r>
          </w:p>
          <w:p w:rsidR="00A87EAF" w:rsidRDefault="00F325C9">
            <w:pPr>
              <w:spacing w:line="276" w:lineRule="auto"/>
              <w:jc w:val="both"/>
              <w:rPr>
                <w:sz w:val="20"/>
                <w:szCs w:val="20"/>
                <w:lang w:val="en-GB"/>
              </w:rPr>
            </w:pPr>
            <w:r w:rsidRPr="00184430">
              <w:rPr>
                <w:sz w:val="20"/>
                <w:szCs w:val="20"/>
                <w:lang w:val="en-GB"/>
              </w:rPr>
              <w:t>Austria (4.2)</w:t>
            </w:r>
          </w:p>
        </w:tc>
        <w:tc>
          <w:tcPr>
            <w:tcW w:w="1559" w:type="dxa"/>
          </w:tcPr>
          <w:p w:rsidR="00A87EAF" w:rsidRDefault="00F325C9">
            <w:pPr>
              <w:spacing w:line="276" w:lineRule="auto"/>
              <w:jc w:val="both"/>
              <w:rPr>
                <w:sz w:val="20"/>
                <w:szCs w:val="20"/>
                <w:lang w:val="en-GB"/>
              </w:rPr>
            </w:pPr>
            <w:r w:rsidRPr="00184430">
              <w:rPr>
                <w:sz w:val="20"/>
                <w:szCs w:val="20"/>
                <w:lang w:val="en-GB"/>
              </w:rPr>
              <w:t>Luxembourg (5.1)</w:t>
            </w:r>
          </w:p>
          <w:p w:rsidR="00A87EAF" w:rsidRDefault="002F3FE7">
            <w:pPr>
              <w:spacing w:line="276" w:lineRule="auto"/>
              <w:jc w:val="both"/>
              <w:rPr>
                <w:sz w:val="20"/>
                <w:szCs w:val="20"/>
                <w:lang w:val="en-GB"/>
              </w:rPr>
            </w:pPr>
            <w:r w:rsidRPr="00184430">
              <w:rPr>
                <w:sz w:val="20"/>
                <w:szCs w:val="20"/>
                <w:lang w:val="en-GB"/>
              </w:rPr>
              <w:t>Austria (4.3)</w:t>
            </w:r>
          </w:p>
        </w:tc>
        <w:tc>
          <w:tcPr>
            <w:tcW w:w="1560" w:type="dxa"/>
          </w:tcPr>
          <w:p w:rsidR="00A87EAF" w:rsidRDefault="002F3FE7">
            <w:pPr>
              <w:spacing w:line="276" w:lineRule="auto"/>
              <w:jc w:val="both"/>
              <w:rPr>
                <w:sz w:val="20"/>
                <w:szCs w:val="20"/>
                <w:lang w:val="en-GB"/>
              </w:rPr>
            </w:pPr>
            <w:r w:rsidRPr="00184430">
              <w:rPr>
                <w:sz w:val="20"/>
                <w:szCs w:val="20"/>
                <w:lang w:val="en-GB"/>
              </w:rPr>
              <w:t>Austria (4.9)</w:t>
            </w:r>
          </w:p>
        </w:tc>
        <w:tc>
          <w:tcPr>
            <w:tcW w:w="1417" w:type="dxa"/>
          </w:tcPr>
          <w:p w:rsidR="00A87EAF" w:rsidRDefault="002F3FE7">
            <w:pPr>
              <w:spacing w:line="276" w:lineRule="auto"/>
              <w:jc w:val="both"/>
              <w:rPr>
                <w:sz w:val="20"/>
                <w:szCs w:val="20"/>
                <w:lang w:val="en-GB"/>
              </w:rPr>
            </w:pPr>
            <w:r w:rsidRPr="00184430">
              <w:rPr>
                <w:sz w:val="20"/>
                <w:szCs w:val="20"/>
                <w:lang w:val="en-GB"/>
              </w:rPr>
              <w:t>Germany (5.1)</w:t>
            </w:r>
          </w:p>
        </w:tc>
      </w:tr>
      <w:tr w:rsidR="00876A82" w:rsidRPr="00184430" w:rsidTr="002F3FE7">
        <w:trPr>
          <w:jc w:val="center"/>
        </w:trPr>
        <w:tc>
          <w:tcPr>
            <w:tcW w:w="1384" w:type="dxa"/>
            <w:vAlign w:val="center"/>
          </w:tcPr>
          <w:p w:rsidR="00A87EAF" w:rsidRDefault="00876A82">
            <w:pPr>
              <w:spacing w:line="276" w:lineRule="auto"/>
              <w:jc w:val="both"/>
              <w:rPr>
                <w:b/>
                <w:sz w:val="20"/>
                <w:szCs w:val="20"/>
                <w:lang w:val="en-GB"/>
              </w:rPr>
            </w:pPr>
            <w:r w:rsidRPr="00184430">
              <w:rPr>
                <w:b/>
                <w:sz w:val="20"/>
                <w:szCs w:val="20"/>
                <w:lang w:val="en-GB"/>
              </w:rPr>
              <w:t>Worst performers</w:t>
            </w:r>
          </w:p>
        </w:tc>
        <w:tc>
          <w:tcPr>
            <w:tcW w:w="1701" w:type="dxa"/>
          </w:tcPr>
          <w:p w:rsidR="00A87EAF" w:rsidRDefault="00F325C9">
            <w:pPr>
              <w:spacing w:line="276" w:lineRule="auto"/>
              <w:jc w:val="both"/>
              <w:rPr>
                <w:sz w:val="20"/>
                <w:szCs w:val="20"/>
                <w:lang w:val="en-GB"/>
              </w:rPr>
            </w:pPr>
            <w:r w:rsidRPr="00184430">
              <w:rPr>
                <w:sz w:val="20"/>
                <w:szCs w:val="20"/>
                <w:lang w:val="en-GB"/>
              </w:rPr>
              <w:t>Slovakia</w:t>
            </w:r>
            <w:r w:rsidRPr="00184430">
              <w:rPr>
                <w:sz w:val="20"/>
                <w:szCs w:val="20"/>
                <w:lang w:val="en-GB"/>
              </w:rPr>
              <w:tab/>
              <w:t xml:space="preserve"> (14.5)</w:t>
            </w:r>
          </w:p>
          <w:p w:rsidR="00A87EAF" w:rsidRDefault="00F32F6C">
            <w:pPr>
              <w:spacing w:line="276" w:lineRule="auto"/>
              <w:jc w:val="both"/>
              <w:rPr>
                <w:sz w:val="20"/>
                <w:szCs w:val="20"/>
                <w:lang w:val="en-GB"/>
              </w:rPr>
            </w:pPr>
            <w:r w:rsidRPr="00184430">
              <w:rPr>
                <w:sz w:val="20"/>
                <w:szCs w:val="20"/>
                <w:lang w:val="en-GB"/>
              </w:rPr>
              <w:t>Estonia</w:t>
            </w:r>
            <w:r w:rsidR="002F3FE7" w:rsidRPr="00184430">
              <w:rPr>
                <w:sz w:val="20"/>
                <w:szCs w:val="20"/>
                <w:lang w:val="en-GB"/>
              </w:rPr>
              <w:t xml:space="preserve"> (</w:t>
            </w:r>
            <w:r w:rsidRPr="00184430">
              <w:rPr>
                <w:sz w:val="20"/>
                <w:szCs w:val="20"/>
                <w:lang w:val="en-GB"/>
              </w:rPr>
              <w:t>16</w:t>
            </w:r>
            <w:r w:rsidR="002F3FE7" w:rsidRPr="00184430">
              <w:rPr>
                <w:sz w:val="20"/>
                <w:szCs w:val="20"/>
                <w:lang w:val="en-GB"/>
              </w:rPr>
              <w:t>.</w:t>
            </w:r>
            <w:r w:rsidRPr="00184430">
              <w:rPr>
                <w:sz w:val="20"/>
                <w:szCs w:val="20"/>
                <w:lang w:val="en-GB"/>
              </w:rPr>
              <w:t>7</w:t>
            </w:r>
            <w:r w:rsidR="002F3FE7" w:rsidRPr="00184430">
              <w:rPr>
                <w:sz w:val="20"/>
                <w:szCs w:val="20"/>
                <w:lang w:val="en-GB"/>
              </w:rPr>
              <w:t>)</w:t>
            </w:r>
          </w:p>
          <w:p w:rsidR="00A87EAF" w:rsidRDefault="00F32F6C">
            <w:pPr>
              <w:spacing w:line="276" w:lineRule="auto"/>
              <w:jc w:val="both"/>
              <w:rPr>
                <w:sz w:val="20"/>
                <w:szCs w:val="20"/>
                <w:lang w:val="en-GB"/>
              </w:rPr>
            </w:pPr>
            <w:r w:rsidRPr="00184430">
              <w:rPr>
                <w:sz w:val="20"/>
                <w:szCs w:val="20"/>
                <w:lang w:val="en-GB"/>
              </w:rPr>
              <w:t>Lithuania</w:t>
            </w:r>
            <w:r w:rsidR="002F3FE7" w:rsidRPr="00184430">
              <w:rPr>
                <w:sz w:val="20"/>
                <w:szCs w:val="20"/>
                <w:lang w:val="en-GB"/>
              </w:rPr>
              <w:t xml:space="preserve"> (</w:t>
            </w:r>
            <w:r w:rsidRPr="00184430">
              <w:rPr>
                <w:sz w:val="20"/>
                <w:szCs w:val="20"/>
                <w:lang w:val="en-GB"/>
              </w:rPr>
              <w:t>17</w:t>
            </w:r>
            <w:r w:rsidR="002F3FE7" w:rsidRPr="00184430">
              <w:rPr>
                <w:sz w:val="20"/>
                <w:szCs w:val="20"/>
                <w:lang w:val="en-GB"/>
              </w:rPr>
              <w:t>.</w:t>
            </w:r>
            <w:r w:rsidRPr="00184430">
              <w:rPr>
                <w:sz w:val="20"/>
                <w:szCs w:val="20"/>
                <w:lang w:val="en-GB"/>
              </w:rPr>
              <w:t>8</w:t>
            </w:r>
            <w:r w:rsidR="002F3FE7" w:rsidRPr="00184430">
              <w:rPr>
                <w:sz w:val="20"/>
                <w:szCs w:val="20"/>
                <w:lang w:val="en-GB"/>
              </w:rPr>
              <w:t>)</w:t>
            </w:r>
          </w:p>
          <w:p w:rsidR="00A87EAF" w:rsidRDefault="00F32F6C">
            <w:pPr>
              <w:spacing w:line="276" w:lineRule="auto"/>
              <w:jc w:val="both"/>
              <w:rPr>
                <w:sz w:val="20"/>
                <w:szCs w:val="20"/>
                <w:lang w:val="en-GB"/>
              </w:rPr>
            </w:pPr>
            <w:r w:rsidRPr="00184430">
              <w:rPr>
                <w:sz w:val="20"/>
                <w:szCs w:val="20"/>
                <w:lang w:val="en-GB"/>
              </w:rPr>
              <w:t>Latvia</w:t>
            </w:r>
            <w:r w:rsidR="002F3FE7" w:rsidRPr="00184430">
              <w:rPr>
                <w:sz w:val="20"/>
                <w:szCs w:val="20"/>
                <w:lang w:val="en-GB"/>
              </w:rPr>
              <w:t xml:space="preserve"> (</w:t>
            </w:r>
            <w:r w:rsidRPr="00184430">
              <w:rPr>
                <w:sz w:val="20"/>
                <w:szCs w:val="20"/>
                <w:lang w:val="en-GB"/>
              </w:rPr>
              <w:t>19</w:t>
            </w:r>
            <w:r w:rsidR="002F3FE7" w:rsidRPr="00184430">
              <w:rPr>
                <w:sz w:val="20"/>
                <w:szCs w:val="20"/>
                <w:lang w:val="en-GB"/>
              </w:rPr>
              <w:t>.</w:t>
            </w:r>
            <w:r w:rsidRPr="00184430">
              <w:rPr>
                <w:sz w:val="20"/>
                <w:szCs w:val="20"/>
                <w:lang w:val="en-GB"/>
              </w:rPr>
              <w:t>5</w:t>
            </w:r>
            <w:r w:rsidR="002F3FE7" w:rsidRPr="00184430">
              <w:rPr>
                <w:sz w:val="20"/>
                <w:szCs w:val="20"/>
                <w:lang w:val="en-GB"/>
              </w:rPr>
              <w:t>)</w:t>
            </w:r>
          </w:p>
          <w:p w:rsidR="00A87EAF" w:rsidRDefault="00F32F6C">
            <w:pPr>
              <w:spacing w:line="276" w:lineRule="auto"/>
              <w:jc w:val="both"/>
              <w:rPr>
                <w:sz w:val="20"/>
                <w:szCs w:val="20"/>
                <w:lang w:val="en-GB"/>
              </w:rPr>
            </w:pPr>
            <w:r w:rsidRPr="00184430">
              <w:rPr>
                <w:sz w:val="20"/>
                <w:szCs w:val="20"/>
                <w:lang w:val="en-GB"/>
              </w:rPr>
              <w:t>Spain</w:t>
            </w:r>
            <w:r w:rsidR="002F3FE7" w:rsidRPr="00184430">
              <w:rPr>
                <w:sz w:val="20"/>
                <w:szCs w:val="20"/>
                <w:lang w:val="en-GB"/>
              </w:rPr>
              <w:t xml:space="preserve"> (</w:t>
            </w:r>
            <w:r w:rsidRPr="00184430">
              <w:rPr>
                <w:sz w:val="20"/>
                <w:szCs w:val="20"/>
                <w:lang w:val="en-GB"/>
              </w:rPr>
              <w:t>19</w:t>
            </w:r>
            <w:r w:rsidR="002F3FE7" w:rsidRPr="00184430">
              <w:rPr>
                <w:sz w:val="20"/>
                <w:szCs w:val="20"/>
                <w:lang w:val="en-GB"/>
              </w:rPr>
              <w:t>.</w:t>
            </w:r>
            <w:r w:rsidRPr="00184430">
              <w:rPr>
                <w:sz w:val="20"/>
                <w:szCs w:val="20"/>
                <w:lang w:val="en-GB"/>
              </w:rPr>
              <w:t>9</w:t>
            </w:r>
            <w:r w:rsidR="002F3FE7" w:rsidRPr="00184430">
              <w:rPr>
                <w:sz w:val="20"/>
                <w:szCs w:val="20"/>
                <w:lang w:val="en-GB"/>
              </w:rPr>
              <w:t>)</w:t>
            </w:r>
          </w:p>
        </w:tc>
        <w:tc>
          <w:tcPr>
            <w:tcW w:w="1701" w:type="dxa"/>
          </w:tcPr>
          <w:p w:rsidR="00A87EAF" w:rsidRDefault="002F3FE7">
            <w:pPr>
              <w:spacing w:line="276" w:lineRule="auto"/>
              <w:jc w:val="both"/>
              <w:rPr>
                <w:sz w:val="20"/>
                <w:szCs w:val="20"/>
                <w:lang w:val="en-GB"/>
              </w:rPr>
            </w:pPr>
            <w:r w:rsidRPr="00184430">
              <w:rPr>
                <w:sz w:val="20"/>
                <w:szCs w:val="20"/>
                <w:lang w:val="en-GB"/>
              </w:rPr>
              <w:t>Croatia (13.9)</w:t>
            </w:r>
          </w:p>
          <w:p w:rsidR="00A87EAF" w:rsidRDefault="002F3FE7">
            <w:pPr>
              <w:spacing w:line="276" w:lineRule="auto"/>
              <w:jc w:val="both"/>
              <w:rPr>
                <w:sz w:val="20"/>
                <w:szCs w:val="20"/>
                <w:lang w:val="en-GB"/>
              </w:rPr>
            </w:pPr>
            <w:r w:rsidRPr="00184430">
              <w:rPr>
                <w:sz w:val="20"/>
                <w:szCs w:val="20"/>
                <w:lang w:val="en-GB"/>
              </w:rPr>
              <w:t>Ireland (14.7)</w:t>
            </w:r>
          </w:p>
          <w:p w:rsidR="00A87EAF" w:rsidRDefault="002F3FE7">
            <w:pPr>
              <w:spacing w:line="276" w:lineRule="auto"/>
              <w:jc w:val="both"/>
              <w:rPr>
                <w:sz w:val="20"/>
                <w:szCs w:val="20"/>
                <w:lang w:val="en-GB"/>
              </w:rPr>
            </w:pPr>
            <w:r w:rsidRPr="00184430">
              <w:rPr>
                <w:sz w:val="20"/>
                <w:szCs w:val="20"/>
                <w:lang w:val="en-GB"/>
              </w:rPr>
              <w:t>Lithuania (15.4)</w:t>
            </w:r>
          </w:p>
          <w:p w:rsidR="00A87EAF" w:rsidRDefault="002F3FE7">
            <w:pPr>
              <w:spacing w:line="276" w:lineRule="auto"/>
              <w:jc w:val="both"/>
              <w:rPr>
                <w:sz w:val="20"/>
                <w:szCs w:val="20"/>
                <w:lang w:val="en-GB"/>
              </w:rPr>
            </w:pPr>
            <w:r w:rsidRPr="00184430">
              <w:rPr>
                <w:sz w:val="20"/>
                <w:szCs w:val="20"/>
                <w:lang w:val="en-GB"/>
              </w:rPr>
              <w:t>Latvia (16.2)</w:t>
            </w:r>
          </w:p>
          <w:p w:rsidR="00A87EAF" w:rsidRDefault="002F3FE7">
            <w:pPr>
              <w:spacing w:line="276" w:lineRule="auto"/>
              <w:jc w:val="both"/>
              <w:rPr>
                <w:sz w:val="20"/>
                <w:szCs w:val="20"/>
                <w:lang w:val="en-GB"/>
              </w:rPr>
            </w:pPr>
            <w:r w:rsidRPr="00184430">
              <w:rPr>
                <w:sz w:val="20"/>
                <w:szCs w:val="20"/>
                <w:lang w:val="en-GB"/>
              </w:rPr>
              <w:t>Greece (17.9)</w:t>
            </w:r>
          </w:p>
          <w:p w:rsidR="00A87EAF" w:rsidRDefault="002F3FE7">
            <w:pPr>
              <w:spacing w:line="276" w:lineRule="auto"/>
              <w:jc w:val="both"/>
              <w:rPr>
                <w:sz w:val="20"/>
                <w:szCs w:val="20"/>
                <w:lang w:val="en-GB"/>
              </w:rPr>
            </w:pPr>
            <w:r w:rsidRPr="00184430">
              <w:rPr>
                <w:sz w:val="20"/>
                <w:szCs w:val="20"/>
                <w:lang w:val="en-GB"/>
              </w:rPr>
              <w:t>Spain (21.4)</w:t>
            </w:r>
          </w:p>
        </w:tc>
        <w:tc>
          <w:tcPr>
            <w:tcW w:w="1559" w:type="dxa"/>
          </w:tcPr>
          <w:p w:rsidR="00A87EAF" w:rsidRDefault="002F3FE7">
            <w:pPr>
              <w:spacing w:line="276" w:lineRule="auto"/>
              <w:jc w:val="both"/>
              <w:rPr>
                <w:sz w:val="20"/>
                <w:szCs w:val="20"/>
                <w:lang w:val="en-GB"/>
              </w:rPr>
            </w:pPr>
            <w:r w:rsidRPr="00184430">
              <w:rPr>
                <w:sz w:val="20"/>
                <w:szCs w:val="20"/>
                <w:lang w:val="en-GB"/>
              </w:rPr>
              <w:t>Portugal (15.8)</w:t>
            </w:r>
          </w:p>
          <w:p w:rsidR="00A87EAF" w:rsidRDefault="002F3FE7">
            <w:pPr>
              <w:spacing w:line="276" w:lineRule="auto"/>
              <w:jc w:val="both"/>
              <w:rPr>
                <w:sz w:val="20"/>
                <w:szCs w:val="20"/>
                <w:lang w:val="en-GB"/>
              </w:rPr>
            </w:pPr>
            <w:r w:rsidRPr="00184430">
              <w:rPr>
                <w:sz w:val="20"/>
                <w:szCs w:val="20"/>
                <w:lang w:val="en-GB"/>
              </w:rPr>
              <w:t>Croatia (16.1)</w:t>
            </w:r>
          </w:p>
          <w:p w:rsidR="00A87EAF" w:rsidRDefault="002F3FE7">
            <w:pPr>
              <w:spacing w:line="276" w:lineRule="auto"/>
              <w:jc w:val="both"/>
              <w:rPr>
                <w:sz w:val="20"/>
                <w:szCs w:val="20"/>
                <w:lang w:val="en-GB"/>
              </w:rPr>
            </w:pPr>
            <w:r w:rsidRPr="00184430">
              <w:rPr>
                <w:sz w:val="20"/>
                <w:szCs w:val="20"/>
                <w:lang w:val="en-GB"/>
              </w:rPr>
              <w:t>Greece (24.5)</w:t>
            </w:r>
          </w:p>
          <w:p w:rsidR="00A87EAF" w:rsidRDefault="002F3FE7">
            <w:pPr>
              <w:spacing w:line="276" w:lineRule="auto"/>
              <w:jc w:val="both"/>
              <w:rPr>
                <w:sz w:val="20"/>
                <w:szCs w:val="20"/>
                <w:lang w:val="en-GB"/>
              </w:rPr>
            </w:pPr>
            <w:r w:rsidRPr="00184430">
              <w:rPr>
                <w:sz w:val="20"/>
                <w:szCs w:val="20"/>
                <w:lang w:val="en-GB"/>
              </w:rPr>
              <w:t>Spain (24.8)</w:t>
            </w:r>
          </w:p>
        </w:tc>
        <w:tc>
          <w:tcPr>
            <w:tcW w:w="1560" w:type="dxa"/>
          </w:tcPr>
          <w:p w:rsidR="00A87EAF" w:rsidRDefault="002F3FE7">
            <w:pPr>
              <w:spacing w:line="276" w:lineRule="auto"/>
              <w:jc w:val="both"/>
              <w:rPr>
                <w:sz w:val="20"/>
                <w:szCs w:val="20"/>
                <w:lang w:val="en-GB"/>
              </w:rPr>
            </w:pPr>
            <w:r w:rsidRPr="00184430">
              <w:rPr>
                <w:sz w:val="20"/>
                <w:szCs w:val="20"/>
                <w:lang w:val="en-GB"/>
              </w:rPr>
              <w:t>Portugal (16.4)</w:t>
            </w:r>
          </w:p>
          <w:p w:rsidR="00A87EAF" w:rsidRDefault="002F3FE7">
            <w:pPr>
              <w:spacing w:line="276" w:lineRule="auto"/>
              <w:jc w:val="both"/>
              <w:rPr>
                <w:sz w:val="20"/>
                <w:szCs w:val="20"/>
                <w:lang w:val="en-GB"/>
              </w:rPr>
            </w:pPr>
            <w:r w:rsidRPr="00184430">
              <w:rPr>
                <w:sz w:val="20"/>
                <w:szCs w:val="20"/>
                <w:lang w:val="en-GB"/>
              </w:rPr>
              <w:t>Croatia (17.3)</w:t>
            </w:r>
          </w:p>
          <w:p w:rsidR="00A87EAF" w:rsidRDefault="002F3FE7">
            <w:pPr>
              <w:spacing w:line="276" w:lineRule="auto"/>
              <w:jc w:val="both"/>
              <w:rPr>
                <w:sz w:val="20"/>
                <w:szCs w:val="20"/>
                <w:lang w:val="en-GB"/>
              </w:rPr>
            </w:pPr>
            <w:r w:rsidRPr="00184430">
              <w:rPr>
                <w:sz w:val="20"/>
                <w:szCs w:val="20"/>
                <w:lang w:val="en-GB"/>
              </w:rPr>
              <w:t>Spain (26.1)</w:t>
            </w:r>
          </w:p>
          <w:p w:rsidR="00A87EAF" w:rsidRDefault="002F3FE7">
            <w:pPr>
              <w:spacing w:line="276" w:lineRule="auto"/>
              <w:jc w:val="both"/>
              <w:rPr>
                <w:sz w:val="20"/>
                <w:szCs w:val="20"/>
                <w:lang w:val="en-GB"/>
              </w:rPr>
            </w:pPr>
            <w:r w:rsidRPr="00184430">
              <w:rPr>
                <w:sz w:val="20"/>
                <w:szCs w:val="20"/>
                <w:lang w:val="en-GB"/>
              </w:rPr>
              <w:t>Greece (27.5)</w:t>
            </w:r>
          </w:p>
        </w:tc>
        <w:tc>
          <w:tcPr>
            <w:tcW w:w="1417" w:type="dxa"/>
          </w:tcPr>
          <w:p w:rsidR="00A87EAF" w:rsidRDefault="002F3FE7">
            <w:pPr>
              <w:spacing w:line="276" w:lineRule="auto"/>
              <w:jc w:val="both"/>
              <w:rPr>
                <w:sz w:val="20"/>
                <w:szCs w:val="20"/>
                <w:lang w:val="en-GB"/>
              </w:rPr>
            </w:pPr>
            <w:r w:rsidRPr="00184430">
              <w:rPr>
                <w:sz w:val="20"/>
                <w:szCs w:val="20"/>
                <w:lang w:val="en-GB"/>
              </w:rPr>
              <w:t>Cyprus (16.2)</w:t>
            </w:r>
          </w:p>
          <w:p w:rsidR="00A87EAF" w:rsidRDefault="002F3FE7">
            <w:pPr>
              <w:spacing w:line="276" w:lineRule="auto"/>
              <w:jc w:val="both"/>
              <w:rPr>
                <w:sz w:val="20"/>
                <w:szCs w:val="20"/>
                <w:lang w:val="en-GB"/>
              </w:rPr>
            </w:pPr>
            <w:r w:rsidRPr="00184430">
              <w:rPr>
                <w:sz w:val="20"/>
                <w:szCs w:val="20"/>
                <w:lang w:val="en-GB"/>
              </w:rPr>
              <w:t>Croatia (17.7)</w:t>
            </w:r>
          </w:p>
          <w:p w:rsidR="00A87EAF" w:rsidRDefault="002F3FE7">
            <w:pPr>
              <w:spacing w:line="276" w:lineRule="auto"/>
              <w:jc w:val="both"/>
              <w:rPr>
                <w:sz w:val="20"/>
                <w:szCs w:val="20"/>
                <w:lang w:val="en-GB"/>
              </w:rPr>
            </w:pPr>
            <w:r w:rsidRPr="00184430">
              <w:rPr>
                <w:sz w:val="20"/>
                <w:szCs w:val="20"/>
                <w:lang w:val="en-GB"/>
              </w:rPr>
              <w:t>Spain (24.8)</w:t>
            </w:r>
          </w:p>
          <w:p w:rsidR="00A87EAF" w:rsidRDefault="002F3FE7">
            <w:pPr>
              <w:spacing w:line="276" w:lineRule="auto"/>
              <w:jc w:val="both"/>
              <w:rPr>
                <w:sz w:val="20"/>
                <w:szCs w:val="20"/>
                <w:lang w:val="en-GB"/>
              </w:rPr>
            </w:pPr>
            <w:r w:rsidRPr="00184430">
              <w:rPr>
                <w:sz w:val="20"/>
                <w:szCs w:val="20"/>
                <w:lang w:val="en-GB"/>
              </w:rPr>
              <w:t>Greece (26.8)</w:t>
            </w:r>
          </w:p>
        </w:tc>
      </w:tr>
    </w:tbl>
    <w:p w:rsidR="00586EFC" w:rsidRPr="00184430" w:rsidRDefault="00586EFC" w:rsidP="00FD1D46">
      <w:pPr>
        <w:spacing w:line="276" w:lineRule="auto"/>
        <w:jc w:val="both"/>
        <w:rPr>
          <w:lang w:val="en-GB"/>
        </w:rPr>
      </w:pPr>
    </w:p>
    <w:p w:rsidR="00A87EAF" w:rsidRDefault="00F32F6C">
      <w:pPr>
        <w:spacing w:line="276" w:lineRule="auto"/>
        <w:jc w:val="both"/>
        <w:rPr>
          <w:sz w:val="20"/>
          <w:szCs w:val="20"/>
          <w:lang w:val="en-GB"/>
        </w:rPr>
      </w:pPr>
      <w:r w:rsidRPr="00184430">
        <w:rPr>
          <w:sz w:val="20"/>
          <w:szCs w:val="20"/>
          <w:lang w:val="en-GB"/>
        </w:rPr>
        <w:t>Source:</w:t>
      </w:r>
      <w:r w:rsidR="00E63F1A">
        <w:rPr>
          <w:sz w:val="20"/>
          <w:szCs w:val="20"/>
          <w:lang w:val="en-GB"/>
        </w:rPr>
        <w:t xml:space="preserve"> author</w:t>
      </w:r>
      <w:r w:rsidR="001929C6">
        <w:rPr>
          <w:sz w:val="20"/>
          <w:szCs w:val="20"/>
          <w:lang w:val="en-GB"/>
        </w:rPr>
        <w:t>,</w:t>
      </w:r>
      <w:r w:rsidR="00E63F1A">
        <w:rPr>
          <w:sz w:val="20"/>
          <w:szCs w:val="20"/>
          <w:lang w:val="en-GB"/>
        </w:rPr>
        <w:t xml:space="preserve"> based on</w:t>
      </w:r>
      <w:r w:rsidRPr="00184430">
        <w:rPr>
          <w:sz w:val="20"/>
          <w:szCs w:val="20"/>
          <w:lang w:val="en-GB"/>
        </w:rPr>
        <w:t xml:space="preserve"> European Commission (2014</w:t>
      </w:r>
      <w:r w:rsidR="000F735C">
        <w:rPr>
          <w:sz w:val="20"/>
          <w:szCs w:val="20"/>
          <w:lang w:val="en-GB"/>
        </w:rPr>
        <w:t>a</w:t>
      </w:r>
      <w:r w:rsidRPr="00184430">
        <w:rPr>
          <w:sz w:val="20"/>
          <w:szCs w:val="20"/>
          <w:lang w:val="en-GB"/>
        </w:rPr>
        <w:t>).</w:t>
      </w:r>
    </w:p>
    <w:p w:rsidR="00A87EAF" w:rsidRDefault="00F32F6C">
      <w:pPr>
        <w:spacing w:line="276" w:lineRule="auto"/>
        <w:jc w:val="both"/>
        <w:rPr>
          <w:sz w:val="20"/>
          <w:szCs w:val="20"/>
          <w:lang w:val="en-GB"/>
        </w:rPr>
      </w:pPr>
      <w:r w:rsidRPr="00184430">
        <w:rPr>
          <w:sz w:val="20"/>
          <w:szCs w:val="20"/>
          <w:lang w:val="en-GB"/>
        </w:rPr>
        <w:t xml:space="preserve">Notes: the ‘best performers’ are the countries which showed unemployment rates at least one standard deviation </w:t>
      </w:r>
      <w:r w:rsidR="00E63F1A">
        <w:rPr>
          <w:sz w:val="20"/>
          <w:szCs w:val="20"/>
          <w:lang w:val="en-GB"/>
        </w:rPr>
        <w:t>below</w:t>
      </w:r>
      <w:r w:rsidRPr="00184430">
        <w:rPr>
          <w:sz w:val="20"/>
          <w:szCs w:val="20"/>
          <w:lang w:val="en-GB"/>
        </w:rPr>
        <w:t xml:space="preserve"> the EU average. ‘Worst performers’ are at least one standard deviation higher. * indicates forecast data.</w:t>
      </w:r>
    </w:p>
    <w:p w:rsidR="00586EFC" w:rsidRPr="00184430" w:rsidRDefault="00586EFC" w:rsidP="00FD1D46">
      <w:pPr>
        <w:spacing w:line="276" w:lineRule="auto"/>
        <w:jc w:val="both"/>
        <w:rPr>
          <w:lang w:val="en-GB"/>
        </w:rPr>
      </w:pPr>
    </w:p>
    <w:p w:rsidR="00184430" w:rsidRDefault="00184430" w:rsidP="00FD1D46">
      <w:pPr>
        <w:spacing w:line="276" w:lineRule="auto"/>
        <w:jc w:val="both"/>
        <w:rPr>
          <w:lang w:val="en-GB"/>
        </w:rPr>
      </w:pPr>
      <w:r w:rsidRPr="00184430">
        <w:rPr>
          <w:lang w:val="en-GB"/>
        </w:rPr>
        <w:lastRenderedPageBreak/>
        <w:t xml:space="preserve">One of the most </w:t>
      </w:r>
      <w:r w:rsidR="00A25732">
        <w:rPr>
          <w:lang w:val="en-GB"/>
        </w:rPr>
        <w:t>worrying</w:t>
      </w:r>
      <w:r w:rsidR="00A25732" w:rsidRPr="00184430">
        <w:rPr>
          <w:lang w:val="en-GB"/>
        </w:rPr>
        <w:t xml:space="preserve"> </w:t>
      </w:r>
      <w:r w:rsidRPr="00184430">
        <w:rPr>
          <w:lang w:val="en-GB"/>
        </w:rPr>
        <w:t xml:space="preserve">social and economic </w:t>
      </w:r>
      <w:r w:rsidR="00A25732">
        <w:rPr>
          <w:lang w:val="en-GB"/>
        </w:rPr>
        <w:t>phenomen</w:t>
      </w:r>
      <w:r w:rsidR="001929C6">
        <w:rPr>
          <w:lang w:val="en-GB"/>
        </w:rPr>
        <w:t>a</w:t>
      </w:r>
      <w:r w:rsidR="00A25732">
        <w:rPr>
          <w:lang w:val="en-GB"/>
        </w:rPr>
        <w:t xml:space="preserve"> </w:t>
      </w:r>
      <w:r w:rsidRPr="00184430">
        <w:rPr>
          <w:lang w:val="en-GB"/>
        </w:rPr>
        <w:t>in the European labour market is the persistently high level of youth unemployment, i.e. people without jobs between the ages of 15 and 24. The youth unemployment ratio was 15</w:t>
      </w:r>
      <w:r w:rsidR="001D3B9C">
        <w:rPr>
          <w:lang w:val="en-GB"/>
        </w:rPr>
        <w:t xml:space="preserve"> per cent</w:t>
      </w:r>
      <w:r w:rsidRPr="00184430">
        <w:rPr>
          <w:lang w:val="en-GB"/>
        </w:rPr>
        <w:t xml:space="preserve"> just before the crisis, and subsequently increased to a record high level of 23.6</w:t>
      </w:r>
      <w:r w:rsidR="001D3B9C">
        <w:rPr>
          <w:lang w:val="en-GB"/>
        </w:rPr>
        <w:t xml:space="preserve"> per cent</w:t>
      </w:r>
      <w:r w:rsidRPr="00184430">
        <w:rPr>
          <w:lang w:val="en-GB"/>
        </w:rPr>
        <w:t xml:space="preserve"> by early 2013 (Eurostat</w:t>
      </w:r>
      <w:r w:rsidR="004B4798">
        <w:rPr>
          <w:lang w:val="en-GB"/>
        </w:rPr>
        <w:t>,</w:t>
      </w:r>
      <w:r w:rsidRPr="00184430">
        <w:rPr>
          <w:lang w:val="en-GB"/>
        </w:rPr>
        <w:t xml:space="preserve"> 2014a). Due to somewhat accelerating </w:t>
      </w:r>
      <w:r w:rsidR="00A25732">
        <w:rPr>
          <w:lang w:val="en-GB"/>
        </w:rPr>
        <w:t xml:space="preserve">economic </w:t>
      </w:r>
      <w:r w:rsidRPr="00184430">
        <w:rPr>
          <w:lang w:val="en-GB"/>
        </w:rPr>
        <w:t>growth rates in 2014, youth unemployment decreased, but</w:t>
      </w:r>
      <w:r w:rsidR="00A25732">
        <w:rPr>
          <w:lang w:val="en-GB"/>
        </w:rPr>
        <w:t xml:space="preserve"> it was</w:t>
      </w:r>
      <w:r w:rsidRPr="00184430">
        <w:rPr>
          <w:lang w:val="en-GB"/>
        </w:rPr>
        <w:t xml:space="preserve"> still close to 5 million people (or 21.6</w:t>
      </w:r>
      <w:r w:rsidR="001D3B9C">
        <w:rPr>
          <w:lang w:val="en-GB"/>
        </w:rPr>
        <w:t xml:space="preserve"> per cent</w:t>
      </w:r>
      <w:r w:rsidRPr="00184430">
        <w:rPr>
          <w:lang w:val="en-GB"/>
        </w:rPr>
        <w:t xml:space="preserve">) </w:t>
      </w:r>
      <w:r w:rsidR="006629AD">
        <w:rPr>
          <w:lang w:val="en-GB"/>
        </w:rPr>
        <w:t>by</w:t>
      </w:r>
      <w:r w:rsidR="006629AD" w:rsidRPr="00184430">
        <w:rPr>
          <w:lang w:val="en-GB"/>
        </w:rPr>
        <w:t xml:space="preserve"> </w:t>
      </w:r>
      <w:r w:rsidRPr="00184430">
        <w:rPr>
          <w:lang w:val="en-GB"/>
        </w:rPr>
        <w:t>the end of 2014. The highest ratios, close to or even half of the young population, were measured in Spain (53.8</w:t>
      </w:r>
      <w:r w:rsidR="001D3B9C">
        <w:rPr>
          <w:lang w:val="en-GB"/>
        </w:rPr>
        <w:t xml:space="preserve"> per cent</w:t>
      </w:r>
      <w:r w:rsidRPr="00184430">
        <w:rPr>
          <w:lang w:val="en-GB"/>
        </w:rPr>
        <w:t>), Greece (49.3</w:t>
      </w:r>
      <w:r w:rsidR="001D3B9C">
        <w:rPr>
          <w:lang w:val="en-GB"/>
        </w:rPr>
        <w:t xml:space="preserve"> per cent</w:t>
      </w:r>
      <w:r w:rsidRPr="00184430">
        <w:rPr>
          <w:lang w:val="en-GB"/>
        </w:rPr>
        <w:t>), Italy (43.3</w:t>
      </w:r>
      <w:r w:rsidR="001D3B9C">
        <w:rPr>
          <w:lang w:val="en-GB"/>
        </w:rPr>
        <w:t xml:space="preserve"> per cent</w:t>
      </w:r>
      <w:r w:rsidRPr="00184430">
        <w:rPr>
          <w:lang w:val="en-GB"/>
        </w:rPr>
        <w:t>) and</w:t>
      </w:r>
      <w:r w:rsidR="008A43F7">
        <w:rPr>
          <w:lang w:val="en-GB"/>
        </w:rPr>
        <w:t xml:space="preserve"> Croatia (41.5</w:t>
      </w:r>
      <w:r w:rsidR="001D3B9C">
        <w:rPr>
          <w:lang w:val="en-GB"/>
        </w:rPr>
        <w:t xml:space="preserve"> per cent</w:t>
      </w:r>
      <w:r w:rsidR="008A43F7">
        <w:rPr>
          <w:lang w:val="en-GB"/>
        </w:rPr>
        <w:t>) (Eurostat</w:t>
      </w:r>
      <w:r w:rsidR="004B4798">
        <w:rPr>
          <w:lang w:val="en-GB"/>
        </w:rPr>
        <w:t>,</w:t>
      </w:r>
      <w:r w:rsidR="008A43F7">
        <w:rPr>
          <w:lang w:val="en-GB"/>
        </w:rPr>
        <w:t xml:space="preserve"> 2014b</w:t>
      </w:r>
      <w:r w:rsidRPr="00184430">
        <w:rPr>
          <w:lang w:val="en-GB"/>
        </w:rPr>
        <w:t xml:space="preserve">). </w:t>
      </w:r>
    </w:p>
    <w:p w:rsidR="00CB24B0" w:rsidRDefault="00CB24B0">
      <w:pPr>
        <w:spacing w:line="276" w:lineRule="auto"/>
        <w:jc w:val="both"/>
        <w:rPr>
          <w:lang w:val="en-GB"/>
        </w:rPr>
      </w:pPr>
    </w:p>
    <w:p w:rsidR="00CB24B0" w:rsidRPr="00184430" w:rsidRDefault="00CB24B0">
      <w:pPr>
        <w:spacing w:line="276" w:lineRule="auto"/>
        <w:jc w:val="both"/>
        <w:rPr>
          <w:lang w:val="en-GB"/>
        </w:rPr>
      </w:pPr>
    </w:p>
    <w:p w:rsidR="00876A82" w:rsidRPr="00184430" w:rsidRDefault="00D33581">
      <w:pPr>
        <w:spacing w:line="276" w:lineRule="auto"/>
        <w:jc w:val="both"/>
        <w:rPr>
          <w:i/>
          <w:lang w:val="en-GB"/>
        </w:rPr>
      </w:pPr>
      <w:r w:rsidRPr="00184430">
        <w:rPr>
          <w:i/>
          <w:lang w:val="en-GB"/>
        </w:rPr>
        <w:t>Inflation</w:t>
      </w:r>
    </w:p>
    <w:p w:rsidR="00D33581" w:rsidRPr="00184430" w:rsidRDefault="00D33581">
      <w:pPr>
        <w:spacing w:line="276" w:lineRule="auto"/>
        <w:jc w:val="both"/>
        <w:rPr>
          <w:lang w:val="en-GB"/>
        </w:rPr>
      </w:pPr>
    </w:p>
    <w:p w:rsidR="00DA7568" w:rsidRPr="00184430" w:rsidRDefault="008203B6">
      <w:pPr>
        <w:spacing w:line="276" w:lineRule="auto"/>
        <w:jc w:val="both"/>
        <w:rPr>
          <w:lang w:val="en-GB"/>
        </w:rPr>
      </w:pPr>
      <w:r w:rsidRPr="00CB24B0">
        <w:rPr>
          <w:lang w:val="en-GB"/>
        </w:rPr>
        <w:t xml:space="preserve">The past </w:t>
      </w:r>
      <w:r w:rsidR="00A25732">
        <w:rPr>
          <w:lang w:val="en-GB"/>
        </w:rPr>
        <w:t xml:space="preserve">couple of </w:t>
      </w:r>
      <w:r w:rsidRPr="00CB24B0">
        <w:rPr>
          <w:lang w:val="en-GB"/>
        </w:rPr>
        <w:t xml:space="preserve">years </w:t>
      </w:r>
      <w:r w:rsidR="00A25732">
        <w:rPr>
          <w:lang w:val="en-GB"/>
        </w:rPr>
        <w:t>had seen a</w:t>
      </w:r>
      <w:r w:rsidRPr="00CB24B0">
        <w:rPr>
          <w:lang w:val="en-GB"/>
        </w:rPr>
        <w:t xml:space="preserve"> moderation of inflation across the EU, </w:t>
      </w:r>
      <w:r w:rsidR="00A25732">
        <w:rPr>
          <w:lang w:val="en-GB"/>
        </w:rPr>
        <w:t xml:space="preserve">a trend that </w:t>
      </w:r>
      <w:r w:rsidRPr="00CB24B0">
        <w:rPr>
          <w:lang w:val="en-GB"/>
        </w:rPr>
        <w:t>continued in 2014 as well</w:t>
      </w:r>
      <w:r w:rsidR="00CB24B0" w:rsidRPr="00CB24B0">
        <w:rPr>
          <w:lang w:val="en-GB"/>
        </w:rPr>
        <w:t>, leading to deflation in several countries</w:t>
      </w:r>
      <w:r w:rsidRPr="00CB24B0">
        <w:rPr>
          <w:lang w:val="en-GB"/>
        </w:rPr>
        <w:t xml:space="preserve">. </w:t>
      </w:r>
      <w:r w:rsidR="007A1147" w:rsidRPr="00184430">
        <w:rPr>
          <w:lang w:val="en-GB"/>
        </w:rPr>
        <w:t xml:space="preserve">By 2014, consumer price inflation averaged at </w:t>
      </w:r>
      <w:r w:rsidR="000F735C">
        <w:rPr>
          <w:lang w:val="en-GB"/>
        </w:rPr>
        <w:t xml:space="preserve">an unusually low rate of </w:t>
      </w:r>
      <w:r w:rsidR="007A1147" w:rsidRPr="00184430">
        <w:rPr>
          <w:lang w:val="en-GB"/>
        </w:rPr>
        <w:t>0.6</w:t>
      </w:r>
      <w:r w:rsidR="001D3B9C">
        <w:rPr>
          <w:lang w:val="en-GB"/>
        </w:rPr>
        <w:t xml:space="preserve"> per cent</w:t>
      </w:r>
      <w:r w:rsidR="000F735C">
        <w:rPr>
          <w:lang w:val="en-GB"/>
        </w:rPr>
        <w:t xml:space="preserve">, although the </w:t>
      </w:r>
      <w:r w:rsidR="00D2482F">
        <w:rPr>
          <w:lang w:val="en-GB"/>
        </w:rPr>
        <w:t xml:space="preserve">standard deviation </w:t>
      </w:r>
      <w:r w:rsidR="000F735C">
        <w:rPr>
          <w:lang w:val="en-GB"/>
        </w:rPr>
        <w:t xml:space="preserve">was relatively high, leaving the EU rather divided </w:t>
      </w:r>
      <w:r w:rsidR="00D2482F">
        <w:rPr>
          <w:lang w:val="en-GB"/>
        </w:rPr>
        <w:t>(Table 4). The major reasons for decelerating inflation were the</w:t>
      </w:r>
      <w:r w:rsidR="007A1147" w:rsidRPr="00184430">
        <w:rPr>
          <w:lang w:val="en-GB"/>
        </w:rPr>
        <w:t xml:space="preserve"> lack of growth dynamism</w:t>
      </w:r>
      <w:r w:rsidR="00D2482F">
        <w:rPr>
          <w:lang w:val="en-GB"/>
        </w:rPr>
        <w:t xml:space="preserve">, </w:t>
      </w:r>
      <w:r w:rsidR="00DA7568" w:rsidRPr="00184430">
        <w:rPr>
          <w:lang w:val="en-GB"/>
        </w:rPr>
        <w:t xml:space="preserve">low energy prices, falling import prices (mostly due to the appreciation of the single currency) and a substantial drop in food prices, closely related to Russian </w:t>
      </w:r>
      <w:r w:rsidR="00CB24B0">
        <w:rPr>
          <w:lang w:val="en-GB"/>
        </w:rPr>
        <w:t>sanctions</w:t>
      </w:r>
      <w:r w:rsidR="00DA7568" w:rsidRPr="00184430">
        <w:rPr>
          <w:lang w:val="en-GB"/>
        </w:rPr>
        <w:t xml:space="preserve"> on EU food export</w:t>
      </w:r>
      <w:r w:rsidR="00E77D88">
        <w:rPr>
          <w:lang w:val="en-GB"/>
        </w:rPr>
        <w:t>s</w:t>
      </w:r>
      <w:r w:rsidR="00DA7568" w:rsidRPr="00184430">
        <w:rPr>
          <w:lang w:val="en-GB"/>
        </w:rPr>
        <w:t xml:space="preserve">. </w:t>
      </w:r>
      <w:r w:rsidRPr="00CB24B0">
        <w:rPr>
          <w:lang w:val="en-GB"/>
        </w:rPr>
        <w:t>The 0.6</w:t>
      </w:r>
      <w:r w:rsidR="001D3B9C">
        <w:rPr>
          <w:lang w:val="en-GB"/>
        </w:rPr>
        <w:t xml:space="preserve"> per cent</w:t>
      </w:r>
      <w:r w:rsidRPr="00CB24B0">
        <w:rPr>
          <w:lang w:val="en-GB"/>
        </w:rPr>
        <w:t xml:space="preserve"> average rate of inflation</w:t>
      </w:r>
      <w:r w:rsidR="007A1147" w:rsidRPr="00184430">
        <w:rPr>
          <w:lang w:val="en-GB"/>
        </w:rPr>
        <w:t xml:space="preserve"> </w:t>
      </w:r>
      <w:r w:rsidR="00DA7568" w:rsidRPr="00184430">
        <w:rPr>
          <w:lang w:val="en-GB"/>
        </w:rPr>
        <w:t xml:space="preserve">implies that the EU as a whole has entered a danger zone. While both the US and emerging markets have managed to thwart deflation in the last few years, </w:t>
      </w:r>
      <w:r w:rsidR="007A1147" w:rsidRPr="00184430">
        <w:rPr>
          <w:lang w:val="en-GB"/>
        </w:rPr>
        <w:t>a</w:t>
      </w:r>
      <w:r w:rsidR="00DA7568" w:rsidRPr="00184430">
        <w:rPr>
          <w:lang w:val="en-GB"/>
        </w:rPr>
        <w:t xml:space="preserve"> negative</w:t>
      </w:r>
      <w:r w:rsidR="007A1147" w:rsidRPr="00184430">
        <w:rPr>
          <w:lang w:val="en-GB"/>
        </w:rPr>
        <w:t xml:space="preserve"> or close to zero</w:t>
      </w:r>
      <w:r w:rsidR="00DA7568" w:rsidRPr="00184430">
        <w:rPr>
          <w:lang w:val="en-GB"/>
        </w:rPr>
        <w:t xml:space="preserve"> </w:t>
      </w:r>
      <w:r w:rsidR="00184430">
        <w:rPr>
          <w:lang w:val="en-GB"/>
        </w:rPr>
        <w:t>consumer price index</w:t>
      </w:r>
      <w:r w:rsidR="00DA7568" w:rsidRPr="00184430">
        <w:rPr>
          <w:lang w:val="en-GB"/>
        </w:rPr>
        <w:t xml:space="preserve"> </w:t>
      </w:r>
      <w:r w:rsidR="00E26771">
        <w:rPr>
          <w:lang w:val="en-GB"/>
        </w:rPr>
        <w:t xml:space="preserve">at the end of 2014 </w:t>
      </w:r>
      <w:r w:rsidR="00D2482F" w:rsidRPr="00184430">
        <w:rPr>
          <w:lang w:val="en-GB"/>
        </w:rPr>
        <w:t>pos</w:t>
      </w:r>
      <w:r w:rsidR="00E26771">
        <w:rPr>
          <w:lang w:val="en-GB"/>
        </w:rPr>
        <w:t>ed</w:t>
      </w:r>
      <w:r w:rsidR="00D2482F" w:rsidRPr="00184430">
        <w:rPr>
          <w:lang w:val="en-GB"/>
        </w:rPr>
        <w:t xml:space="preserve"> </w:t>
      </w:r>
      <w:r w:rsidR="00DA7568" w:rsidRPr="00184430">
        <w:rPr>
          <w:lang w:val="en-GB"/>
        </w:rPr>
        <w:t xml:space="preserve">a serious challenge for some of the </w:t>
      </w:r>
      <w:r w:rsidR="00B72E3F">
        <w:rPr>
          <w:lang w:val="en-GB"/>
        </w:rPr>
        <w:t>Member State</w:t>
      </w:r>
      <w:r w:rsidR="00374EE8">
        <w:rPr>
          <w:lang w:val="en-GB"/>
        </w:rPr>
        <w:t>s</w:t>
      </w:r>
      <w:r w:rsidR="00DA7568" w:rsidRPr="00184430">
        <w:rPr>
          <w:lang w:val="en-GB"/>
        </w:rPr>
        <w:t>, especially for crisis-hit economies such as Greece, which fac</w:t>
      </w:r>
      <w:r w:rsidR="00A25732">
        <w:rPr>
          <w:lang w:val="en-GB"/>
        </w:rPr>
        <w:t>ed</w:t>
      </w:r>
      <w:r w:rsidR="00DA7568" w:rsidRPr="00184430">
        <w:rPr>
          <w:lang w:val="en-GB"/>
        </w:rPr>
        <w:t xml:space="preserve"> deflation for the past two years (-0.9</w:t>
      </w:r>
      <w:r w:rsidR="001D3B9C">
        <w:rPr>
          <w:lang w:val="en-GB"/>
        </w:rPr>
        <w:t xml:space="preserve"> per cent</w:t>
      </w:r>
      <w:r w:rsidR="00DA7568" w:rsidRPr="00184430">
        <w:rPr>
          <w:lang w:val="en-GB"/>
        </w:rPr>
        <w:t xml:space="preserve"> in 2013 and -1.0</w:t>
      </w:r>
      <w:r w:rsidR="001D3B9C">
        <w:rPr>
          <w:lang w:val="en-GB"/>
        </w:rPr>
        <w:t xml:space="preserve"> per cent</w:t>
      </w:r>
      <w:r w:rsidR="00DA7568" w:rsidRPr="00184430">
        <w:rPr>
          <w:lang w:val="en-GB"/>
        </w:rPr>
        <w:t xml:space="preserve"> in 2014), Spain (-0.1</w:t>
      </w:r>
      <w:r w:rsidR="001D3B9C">
        <w:rPr>
          <w:lang w:val="en-GB"/>
        </w:rPr>
        <w:t xml:space="preserve"> per cent</w:t>
      </w:r>
      <w:r w:rsidR="00DA7568" w:rsidRPr="00184430">
        <w:rPr>
          <w:lang w:val="en-GB"/>
        </w:rPr>
        <w:t>), Cyprus (-0.2</w:t>
      </w:r>
      <w:r w:rsidR="001D3B9C">
        <w:rPr>
          <w:lang w:val="en-GB"/>
        </w:rPr>
        <w:t xml:space="preserve"> per cent</w:t>
      </w:r>
      <w:r w:rsidR="00DA7568" w:rsidRPr="00184430">
        <w:rPr>
          <w:lang w:val="en-GB"/>
        </w:rPr>
        <w:t>) and more recently Bulgaria (-1.4</w:t>
      </w:r>
      <w:r w:rsidR="001D3B9C">
        <w:rPr>
          <w:lang w:val="en-GB"/>
        </w:rPr>
        <w:t xml:space="preserve"> per cent</w:t>
      </w:r>
      <w:r w:rsidR="00DA7568" w:rsidRPr="00184430">
        <w:rPr>
          <w:lang w:val="en-GB"/>
        </w:rPr>
        <w:t>) and Slovakia (-0.1</w:t>
      </w:r>
      <w:r w:rsidR="001D3B9C">
        <w:rPr>
          <w:lang w:val="en-GB"/>
        </w:rPr>
        <w:t xml:space="preserve"> per cent</w:t>
      </w:r>
      <w:r w:rsidR="00DA7568" w:rsidRPr="00184430">
        <w:rPr>
          <w:lang w:val="en-GB"/>
        </w:rPr>
        <w:t>). Only Austria, the UK and Romania (1.5</w:t>
      </w:r>
      <w:r w:rsidR="001D3B9C">
        <w:rPr>
          <w:lang w:val="en-GB"/>
        </w:rPr>
        <w:t xml:space="preserve"> per cent</w:t>
      </w:r>
      <w:r w:rsidR="00DA7568" w:rsidRPr="00184430">
        <w:rPr>
          <w:lang w:val="en-GB"/>
        </w:rPr>
        <w:t xml:space="preserve"> in each case) managed to come </w:t>
      </w:r>
      <w:r w:rsidR="000F735C">
        <w:rPr>
          <w:lang w:val="en-GB"/>
        </w:rPr>
        <w:t xml:space="preserve">close to the </w:t>
      </w:r>
      <w:r w:rsidR="00F07CF8">
        <w:rPr>
          <w:lang w:val="en-GB"/>
        </w:rPr>
        <w:t xml:space="preserve">ECB’s </w:t>
      </w:r>
      <w:r w:rsidR="000F735C" w:rsidRPr="00184430">
        <w:rPr>
          <w:lang w:val="en-GB"/>
        </w:rPr>
        <w:t>2</w:t>
      </w:r>
      <w:r w:rsidR="001D3B9C">
        <w:rPr>
          <w:lang w:val="en-GB"/>
        </w:rPr>
        <w:t xml:space="preserve"> per cent</w:t>
      </w:r>
      <w:r w:rsidR="000F735C" w:rsidRPr="00184430">
        <w:rPr>
          <w:lang w:val="en-GB"/>
        </w:rPr>
        <w:t xml:space="preserve"> benchmark </w:t>
      </w:r>
      <w:r w:rsidR="000F735C">
        <w:rPr>
          <w:lang w:val="en-GB"/>
        </w:rPr>
        <w:t xml:space="preserve">value </w:t>
      </w:r>
      <w:r w:rsidR="000F735C" w:rsidRPr="00184430">
        <w:rPr>
          <w:lang w:val="en-GB"/>
        </w:rPr>
        <w:t>for consumer price inflation</w:t>
      </w:r>
      <w:r w:rsidR="000F735C">
        <w:rPr>
          <w:lang w:val="en-GB"/>
        </w:rPr>
        <w:t>.</w:t>
      </w:r>
      <w:r w:rsidR="000F735C" w:rsidRPr="00184430">
        <w:rPr>
          <w:lang w:val="en-GB"/>
        </w:rPr>
        <w:t xml:space="preserve"> </w:t>
      </w:r>
      <w:r w:rsidR="00D2482F">
        <w:rPr>
          <w:lang w:val="en-GB"/>
        </w:rPr>
        <w:t xml:space="preserve">Importantly, </w:t>
      </w:r>
      <w:r w:rsidR="00DA7568" w:rsidRPr="00184430">
        <w:rPr>
          <w:lang w:val="en-GB"/>
        </w:rPr>
        <w:t xml:space="preserve">the low </w:t>
      </w:r>
      <w:r w:rsidR="007A1147" w:rsidRPr="00184430">
        <w:rPr>
          <w:lang w:val="en-GB"/>
        </w:rPr>
        <w:t>inflation</w:t>
      </w:r>
      <w:r w:rsidR="00DA7568" w:rsidRPr="00184430">
        <w:rPr>
          <w:lang w:val="en-GB"/>
        </w:rPr>
        <w:t xml:space="preserve"> </w:t>
      </w:r>
      <w:r w:rsidR="00D2482F">
        <w:rPr>
          <w:lang w:val="en-GB"/>
        </w:rPr>
        <w:t xml:space="preserve">rate </w:t>
      </w:r>
      <w:r w:rsidR="00DA7568" w:rsidRPr="00184430">
        <w:rPr>
          <w:lang w:val="en-GB"/>
        </w:rPr>
        <w:t>does not support the</w:t>
      </w:r>
      <w:r w:rsidR="007A1147" w:rsidRPr="00184430">
        <w:rPr>
          <w:lang w:val="en-GB"/>
        </w:rPr>
        <w:t xml:space="preserve"> EU</w:t>
      </w:r>
      <w:r w:rsidR="00DA7568" w:rsidRPr="00184430">
        <w:rPr>
          <w:lang w:val="en-GB"/>
        </w:rPr>
        <w:t xml:space="preserve"> economies </w:t>
      </w:r>
      <w:r w:rsidR="007A1147" w:rsidRPr="00184430">
        <w:rPr>
          <w:lang w:val="en-GB"/>
        </w:rPr>
        <w:t>in</w:t>
      </w:r>
      <w:r w:rsidR="00DA7568" w:rsidRPr="00184430">
        <w:rPr>
          <w:lang w:val="en-GB"/>
        </w:rPr>
        <w:t xml:space="preserve"> </w:t>
      </w:r>
      <w:r w:rsidR="00D2482F">
        <w:rPr>
          <w:lang w:val="en-GB"/>
        </w:rPr>
        <w:t xml:space="preserve">their effort to </w:t>
      </w:r>
      <w:r w:rsidR="00D2482F" w:rsidRPr="00184430">
        <w:rPr>
          <w:lang w:val="en-GB"/>
        </w:rPr>
        <w:t>dismantl</w:t>
      </w:r>
      <w:r w:rsidR="00D2482F">
        <w:rPr>
          <w:lang w:val="en-GB"/>
        </w:rPr>
        <w:t>e</w:t>
      </w:r>
      <w:r w:rsidR="00D2482F" w:rsidRPr="00184430">
        <w:rPr>
          <w:lang w:val="en-GB"/>
        </w:rPr>
        <w:t xml:space="preserve"> </w:t>
      </w:r>
      <w:r w:rsidR="007A1147" w:rsidRPr="00184430">
        <w:rPr>
          <w:lang w:val="en-GB"/>
        </w:rPr>
        <w:t>public and private debt</w:t>
      </w:r>
      <w:r w:rsidR="00D2482F">
        <w:rPr>
          <w:lang w:val="en-GB"/>
        </w:rPr>
        <w:t>s</w:t>
      </w:r>
      <w:r w:rsidR="00D02539">
        <w:rPr>
          <w:lang w:val="en-GB"/>
        </w:rPr>
        <w:t xml:space="preserve"> or to increase investment</w:t>
      </w:r>
      <w:r w:rsidR="00DA7568" w:rsidRPr="00184430">
        <w:rPr>
          <w:lang w:val="en-GB"/>
        </w:rPr>
        <w:t>, as the real interest rate may</w:t>
      </w:r>
      <w:r w:rsidR="007E6F69">
        <w:rPr>
          <w:lang w:val="en-GB"/>
        </w:rPr>
        <w:t xml:space="preserve"> remain</w:t>
      </w:r>
      <w:r w:rsidR="00DA7568" w:rsidRPr="00184430">
        <w:rPr>
          <w:lang w:val="en-GB"/>
        </w:rPr>
        <w:t xml:space="preserve"> </w:t>
      </w:r>
      <w:r w:rsidR="00D2482F">
        <w:rPr>
          <w:lang w:val="en-GB"/>
        </w:rPr>
        <w:t xml:space="preserve">stuck at </w:t>
      </w:r>
      <w:r w:rsidR="00DA7568" w:rsidRPr="00184430">
        <w:rPr>
          <w:lang w:val="en-GB"/>
        </w:rPr>
        <w:t>a relatively high level. On the positive side, the extremely low (or even negative) inflation may help crisis-hit countries to partly capitalise on falling wage demand</w:t>
      </w:r>
      <w:r w:rsidR="007A1147" w:rsidRPr="00184430">
        <w:rPr>
          <w:lang w:val="en-GB"/>
        </w:rPr>
        <w:t>s</w:t>
      </w:r>
      <w:r w:rsidR="00DA7568" w:rsidRPr="00184430">
        <w:rPr>
          <w:lang w:val="en-GB"/>
        </w:rPr>
        <w:t xml:space="preserve">, which </w:t>
      </w:r>
      <w:r w:rsidR="00F07CF8">
        <w:rPr>
          <w:lang w:val="en-GB"/>
        </w:rPr>
        <w:t xml:space="preserve">increase their competitiveness </w:t>
      </w:r>
      <w:r w:rsidR="00DA7568" w:rsidRPr="00184430">
        <w:rPr>
          <w:lang w:val="en-GB"/>
        </w:rPr>
        <w:t xml:space="preserve">on international markets. </w:t>
      </w:r>
    </w:p>
    <w:p w:rsidR="00A87EAF" w:rsidRDefault="00A87EAF">
      <w:pPr>
        <w:jc w:val="both"/>
        <w:rPr>
          <w:lang w:val="en-GB" w:eastAsia="hu-HU"/>
        </w:rPr>
      </w:pPr>
    </w:p>
    <w:p w:rsidR="00DA7568" w:rsidRPr="00184430" w:rsidRDefault="007E6F69" w:rsidP="00FD1D46">
      <w:pPr>
        <w:spacing w:line="276" w:lineRule="auto"/>
        <w:jc w:val="both"/>
        <w:rPr>
          <w:lang w:val="en-GB"/>
        </w:rPr>
      </w:pPr>
      <w:r>
        <w:rPr>
          <w:lang w:val="en-GB"/>
        </w:rPr>
        <w:t xml:space="preserve">Faced with </w:t>
      </w:r>
      <w:r w:rsidR="00DA7568" w:rsidRPr="00184430">
        <w:rPr>
          <w:lang w:val="en-GB"/>
        </w:rPr>
        <w:t>protracted low inflation, monetary policy has been rather accommodative in the EU</w:t>
      </w:r>
      <w:r>
        <w:rPr>
          <w:lang w:val="en-GB"/>
        </w:rPr>
        <w:t xml:space="preserve"> in 2014</w:t>
      </w:r>
      <w:r w:rsidR="00DA7568" w:rsidRPr="00184430">
        <w:rPr>
          <w:lang w:val="en-GB"/>
        </w:rPr>
        <w:t>, similarly to other advanced economies. Nevertheless, if expectations continue to push price changes further down or even into the negative, both the ECB and the national central banks will need to adopt more unconventional polic</w:t>
      </w:r>
      <w:r w:rsidR="00D2482F">
        <w:rPr>
          <w:lang w:val="en-GB"/>
        </w:rPr>
        <w:t>ie</w:t>
      </w:r>
      <w:r w:rsidR="00DA7568" w:rsidRPr="00184430">
        <w:rPr>
          <w:lang w:val="en-GB"/>
        </w:rPr>
        <w:t>s.</w:t>
      </w:r>
    </w:p>
    <w:p w:rsidR="00DA7568" w:rsidRPr="00184430" w:rsidRDefault="00DA7568" w:rsidP="001302F2">
      <w:pPr>
        <w:spacing w:line="276" w:lineRule="auto"/>
        <w:jc w:val="both"/>
        <w:rPr>
          <w:lang w:val="en-GB"/>
        </w:rPr>
      </w:pPr>
    </w:p>
    <w:p w:rsidR="00A87EAF" w:rsidRDefault="00DA7568">
      <w:pPr>
        <w:spacing w:line="276" w:lineRule="auto"/>
        <w:jc w:val="both"/>
        <w:rPr>
          <w:lang w:val="en-GB"/>
        </w:rPr>
      </w:pPr>
      <w:r w:rsidRPr="00184430">
        <w:rPr>
          <w:lang w:val="en-GB"/>
        </w:rPr>
        <w:t>Table 4</w:t>
      </w:r>
      <w:r w:rsidR="00BD1347" w:rsidRPr="00184430">
        <w:rPr>
          <w:lang w:val="en-GB"/>
        </w:rPr>
        <w:t xml:space="preserve">. Average EU inflation rates (harmonized indices of consumer prices, in </w:t>
      </w:r>
      <w:r w:rsidR="001D3B9C">
        <w:rPr>
          <w:lang w:val="en-GB"/>
        </w:rPr>
        <w:t>percent</w:t>
      </w:r>
      <w:r w:rsidR="00B053F9">
        <w:rPr>
          <w:lang w:val="en-GB"/>
        </w:rPr>
        <w:t>ages</w:t>
      </w:r>
      <w:r w:rsidR="00BD1347" w:rsidRPr="00184430">
        <w:rPr>
          <w:lang w:val="en-GB"/>
        </w:rPr>
        <w:t xml:space="preserve">) and countries with the lowest and highest values </w:t>
      </w:r>
    </w:p>
    <w:p w:rsidR="00BD1347" w:rsidRPr="00184430" w:rsidRDefault="00BD1347" w:rsidP="00FD1D46">
      <w:pPr>
        <w:spacing w:line="276" w:lineRule="auto"/>
        <w:jc w:val="both"/>
        <w:rPr>
          <w:lang w:val="en-GB"/>
        </w:rPr>
      </w:pPr>
    </w:p>
    <w:tbl>
      <w:tblPr>
        <w:tblStyle w:val="Rcsostblzat"/>
        <w:tblW w:w="0" w:type="auto"/>
        <w:tblLook w:val="04A0"/>
      </w:tblPr>
      <w:tblGrid>
        <w:gridCol w:w="1384"/>
        <w:gridCol w:w="1418"/>
        <w:gridCol w:w="1701"/>
        <w:gridCol w:w="1559"/>
        <w:gridCol w:w="1701"/>
        <w:gridCol w:w="1449"/>
      </w:tblGrid>
      <w:tr w:rsidR="007E1C71" w:rsidRPr="00184430" w:rsidTr="007E1C71">
        <w:tc>
          <w:tcPr>
            <w:tcW w:w="1384" w:type="dxa"/>
          </w:tcPr>
          <w:p w:rsidR="00BD1347" w:rsidRPr="00184430" w:rsidRDefault="00BD1347">
            <w:pPr>
              <w:spacing w:line="276" w:lineRule="auto"/>
              <w:jc w:val="both"/>
              <w:rPr>
                <w:sz w:val="20"/>
                <w:szCs w:val="20"/>
                <w:lang w:val="en-GB"/>
              </w:rPr>
            </w:pPr>
          </w:p>
        </w:tc>
        <w:tc>
          <w:tcPr>
            <w:tcW w:w="1418" w:type="dxa"/>
          </w:tcPr>
          <w:p w:rsidR="00A87EAF" w:rsidRDefault="00BD1347" w:rsidP="007C0D75">
            <w:pPr>
              <w:spacing w:line="276" w:lineRule="auto"/>
              <w:jc w:val="center"/>
              <w:rPr>
                <w:b/>
                <w:sz w:val="20"/>
                <w:szCs w:val="20"/>
                <w:lang w:val="en-GB"/>
              </w:rPr>
            </w:pPr>
            <w:r w:rsidRPr="00184430">
              <w:rPr>
                <w:b/>
                <w:sz w:val="20"/>
                <w:szCs w:val="20"/>
                <w:lang w:val="en-GB"/>
              </w:rPr>
              <w:t>2010</w:t>
            </w:r>
          </w:p>
        </w:tc>
        <w:tc>
          <w:tcPr>
            <w:tcW w:w="1701" w:type="dxa"/>
          </w:tcPr>
          <w:p w:rsidR="00A87EAF" w:rsidRDefault="00BD1347" w:rsidP="007C0D75">
            <w:pPr>
              <w:spacing w:line="276" w:lineRule="auto"/>
              <w:jc w:val="center"/>
              <w:rPr>
                <w:b/>
                <w:sz w:val="20"/>
                <w:szCs w:val="20"/>
                <w:lang w:val="en-GB"/>
              </w:rPr>
            </w:pPr>
            <w:r w:rsidRPr="00184430">
              <w:rPr>
                <w:b/>
                <w:sz w:val="20"/>
                <w:szCs w:val="20"/>
                <w:lang w:val="en-GB"/>
              </w:rPr>
              <w:t>2011</w:t>
            </w:r>
          </w:p>
        </w:tc>
        <w:tc>
          <w:tcPr>
            <w:tcW w:w="1559" w:type="dxa"/>
          </w:tcPr>
          <w:p w:rsidR="00A87EAF" w:rsidRDefault="00BD1347" w:rsidP="007C0D75">
            <w:pPr>
              <w:spacing w:line="276" w:lineRule="auto"/>
              <w:jc w:val="center"/>
              <w:rPr>
                <w:b/>
                <w:sz w:val="20"/>
                <w:szCs w:val="20"/>
                <w:lang w:val="en-GB"/>
              </w:rPr>
            </w:pPr>
            <w:r w:rsidRPr="00184430">
              <w:rPr>
                <w:b/>
                <w:sz w:val="20"/>
                <w:szCs w:val="20"/>
                <w:lang w:val="en-GB"/>
              </w:rPr>
              <w:t>2012</w:t>
            </w:r>
          </w:p>
        </w:tc>
        <w:tc>
          <w:tcPr>
            <w:tcW w:w="1701" w:type="dxa"/>
          </w:tcPr>
          <w:p w:rsidR="00A87EAF" w:rsidRDefault="00BD1347" w:rsidP="007C0D75">
            <w:pPr>
              <w:spacing w:line="276" w:lineRule="auto"/>
              <w:jc w:val="center"/>
              <w:rPr>
                <w:b/>
                <w:sz w:val="20"/>
                <w:szCs w:val="20"/>
                <w:lang w:val="en-GB"/>
              </w:rPr>
            </w:pPr>
            <w:r w:rsidRPr="00184430">
              <w:rPr>
                <w:b/>
                <w:sz w:val="20"/>
                <w:szCs w:val="20"/>
                <w:lang w:val="en-GB"/>
              </w:rPr>
              <w:t>2013</w:t>
            </w:r>
          </w:p>
        </w:tc>
        <w:tc>
          <w:tcPr>
            <w:tcW w:w="1449" w:type="dxa"/>
          </w:tcPr>
          <w:p w:rsidR="00A87EAF" w:rsidRDefault="00BD1347" w:rsidP="007C0D75">
            <w:pPr>
              <w:spacing w:line="276" w:lineRule="auto"/>
              <w:jc w:val="center"/>
              <w:rPr>
                <w:b/>
                <w:sz w:val="20"/>
                <w:szCs w:val="20"/>
                <w:lang w:val="en-GB"/>
              </w:rPr>
            </w:pPr>
            <w:r w:rsidRPr="00184430">
              <w:rPr>
                <w:b/>
                <w:sz w:val="20"/>
                <w:szCs w:val="20"/>
                <w:lang w:val="en-GB"/>
              </w:rPr>
              <w:t>2014*</w:t>
            </w:r>
          </w:p>
        </w:tc>
      </w:tr>
      <w:tr w:rsidR="007E1C71" w:rsidRPr="00184430" w:rsidTr="007E1C71">
        <w:tc>
          <w:tcPr>
            <w:tcW w:w="1384" w:type="dxa"/>
            <w:vAlign w:val="center"/>
          </w:tcPr>
          <w:p w:rsidR="00A87EAF" w:rsidRDefault="00BD1347">
            <w:pPr>
              <w:spacing w:line="276" w:lineRule="auto"/>
              <w:jc w:val="both"/>
              <w:rPr>
                <w:b/>
                <w:sz w:val="20"/>
                <w:szCs w:val="20"/>
                <w:lang w:val="en-GB"/>
              </w:rPr>
            </w:pPr>
            <w:r w:rsidRPr="00184430">
              <w:rPr>
                <w:b/>
                <w:sz w:val="20"/>
                <w:szCs w:val="20"/>
                <w:lang w:val="en-GB"/>
              </w:rPr>
              <w:t>EU average</w:t>
            </w:r>
          </w:p>
        </w:tc>
        <w:tc>
          <w:tcPr>
            <w:tcW w:w="1418"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2.1</w:t>
            </w:r>
          </w:p>
        </w:tc>
        <w:tc>
          <w:tcPr>
            <w:tcW w:w="1701"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3.1</w:t>
            </w:r>
          </w:p>
        </w:tc>
        <w:tc>
          <w:tcPr>
            <w:tcW w:w="1559"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2.6</w:t>
            </w:r>
          </w:p>
        </w:tc>
        <w:tc>
          <w:tcPr>
            <w:tcW w:w="1701"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1.5</w:t>
            </w:r>
          </w:p>
        </w:tc>
        <w:tc>
          <w:tcPr>
            <w:tcW w:w="1449"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0.6</w:t>
            </w:r>
          </w:p>
        </w:tc>
      </w:tr>
      <w:tr w:rsidR="007E1C71" w:rsidRPr="00184430" w:rsidTr="007E1C71">
        <w:tc>
          <w:tcPr>
            <w:tcW w:w="1384" w:type="dxa"/>
            <w:vAlign w:val="center"/>
          </w:tcPr>
          <w:p w:rsidR="00A87EAF" w:rsidRDefault="00BD1347">
            <w:pPr>
              <w:spacing w:line="276" w:lineRule="auto"/>
              <w:jc w:val="both"/>
              <w:rPr>
                <w:b/>
                <w:sz w:val="20"/>
                <w:szCs w:val="20"/>
                <w:lang w:val="en-GB"/>
              </w:rPr>
            </w:pPr>
            <w:r w:rsidRPr="00184430">
              <w:rPr>
                <w:b/>
                <w:sz w:val="20"/>
                <w:szCs w:val="20"/>
                <w:lang w:val="en-GB"/>
              </w:rPr>
              <w:lastRenderedPageBreak/>
              <w:t>Standard deviation</w:t>
            </w:r>
          </w:p>
        </w:tc>
        <w:tc>
          <w:tcPr>
            <w:tcW w:w="1418"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1.</w:t>
            </w:r>
            <w:r w:rsidR="00317E9A" w:rsidRPr="00184430">
              <w:rPr>
                <w:color w:val="000000"/>
                <w:sz w:val="20"/>
                <w:szCs w:val="20"/>
                <w:lang w:val="en-GB"/>
              </w:rPr>
              <w:t>6</w:t>
            </w:r>
          </w:p>
        </w:tc>
        <w:tc>
          <w:tcPr>
            <w:tcW w:w="1701"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1.</w:t>
            </w:r>
            <w:r w:rsidR="00317E9A" w:rsidRPr="00184430">
              <w:rPr>
                <w:color w:val="000000"/>
                <w:sz w:val="20"/>
                <w:szCs w:val="20"/>
                <w:lang w:val="en-GB"/>
              </w:rPr>
              <w:t>1</w:t>
            </w:r>
          </w:p>
        </w:tc>
        <w:tc>
          <w:tcPr>
            <w:tcW w:w="1559"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0.9</w:t>
            </w:r>
          </w:p>
        </w:tc>
        <w:tc>
          <w:tcPr>
            <w:tcW w:w="1701"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1.0</w:t>
            </w:r>
          </w:p>
        </w:tc>
        <w:tc>
          <w:tcPr>
            <w:tcW w:w="1449" w:type="dxa"/>
            <w:vAlign w:val="bottom"/>
          </w:tcPr>
          <w:p w:rsidR="00A87EAF" w:rsidRDefault="00BD1347" w:rsidP="007C0D75">
            <w:pPr>
              <w:spacing w:line="276" w:lineRule="auto"/>
              <w:jc w:val="right"/>
              <w:rPr>
                <w:color w:val="000000"/>
                <w:sz w:val="20"/>
                <w:szCs w:val="20"/>
                <w:lang w:val="en-GB"/>
              </w:rPr>
            </w:pPr>
            <w:r w:rsidRPr="00184430">
              <w:rPr>
                <w:color w:val="000000"/>
                <w:sz w:val="20"/>
                <w:szCs w:val="20"/>
                <w:lang w:val="en-GB"/>
              </w:rPr>
              <w:t>0.7</w:t>
            </w:r>
          </w:p>
        </w:tc>
      </w:tr>
      <w:tr w:rsidR="00571DBB" w:rsidRPr="00184430" w:rsidTr="00292F2C">
        <w:tc>
          <w:tcPr>
            <w:tcW w:w="1384" w:type="dxa"/>
            <w:vAlign w:val="center"/>
          </w:tcPr>
          <w:p w:rsidR="00A87EAF" w:rsidRDefault="00571DBB">
            <w:pPr>
              <w:spacing w:line="276" w:lineRule="auto"/>
              <w:jc w:val="both"/>
              <w:rPr>
                <w:b/>
                <w:sz w:val="20"/>
                <w:szCs w:val="20"/>
                <w:lang w:val="en-GB"/>
              </w:rPr>
            </w:pPr>
            <w:r w:rsidRPr="00184430">
              <w:rPr>
                <w:b/>
                <w:sz w:val="20"/>
                <w:szCs w:val="20"/>
                <w:lang w:val="en-GB"/>
              </w:rPr>
              <w:t>High inflation</w:t>
            </w:r>
          </w:p>
        </w:tc>
        <w:tc>
          <w:tcPr>
            <w:tcW w:w="1418" w:type="dxa"/>
          </w:tcPr>
          <w:p w:rsidR="00A87EAF" w:rsidRDefault="00B053F9">
            <w:pPr>
              <w:spacing w:line="276" w:lineRule="auto"/>
              <w:jc w:val="both"/>
              <w:rPr>
                <w:sz w:val="20"/>
                <w:szCs w:val="20"/>
                <w:lang w:val="en-GB"/>
              </w:rPr>
            </w:pPr>
            <w:r w:rsidRPr="00184430">
              <w:rPr>
                <w:sz w:val="20"/>
                <w:szCs w:val="20"/>
                <w:lang w:val="en-GB"/>
              </w:rPr>
              <w:t>Romania (6.1)</w:t>
            </w:r>
          </w:p>
          <w:p w:rsidR="00A87EAF" w:rsidRDefault="00571DBB">
            <w:pPr>
              <w:spacing w:line="276" w:lineRule="auto"/>
              <w:jc w:val="both"/>
              <w:rPr>
                <w:sz w:val="20"/>
                <w:szCs w:val="20"/>
                <w:lang w:val="en-GB"/>
              </w:rPr>
            </w:pPr>
            <w:r w:rsidRPr="00184430">
              <w:rPr>
                <w:sz w:val="20"/>
                <w:szCs w:val="20"/>
                <w:lang w:val="en-GB"/>
              </w:rPr>
              <w:t>Greece (4.7)</w:t>
            </w:r>
          </w:p>
          <w:p w:rsidR="00A87EAF" w:rsidRDefault="00571DBB">
            <w:pPr>
              <w:spacing w:line="276" w:lineRule="auto"/>
              <w:jc w:val="both"/>
              <w:rPr>
                <w:sz w:val="20"/>
                <w:szCs w:val="20"/>
                <w:lang w:val="en-GB"/>
              </w:rPr>
            </w:pPr>
            <w:r w:rsidRPr="00184430">
              <w:rPr>
                <w:sz w:val="20"/>
                <w:szCs w:val="20"/>
                <w:lang w:val="en-GB"/>
              </w:rPr>
              <w:t>Hungary</w:t>
            </w:r>
            <w:r w:rsidRPr="00184430">
              <w:rPr>
                <w:sz w:val="20"/>
                <w:szCs w:val="20"/>
                <w:lang w:val="en-GB"/>
              </w:rPr>
              <w:tab/>
              <w:t xml:space="preserve"> (4.7)</w:t>
            </w:r>
          </w:p>
          <w:p w:rsidR="00A87EAF" w:rsidRDefault="00A87EAF">
            <w:pPr>
              <w:spacing w:line="276" w:lineRule="auto"/>
              <w:jc w:val="both"/>
              <w:rPr>
                <w:sz w:val="20"/>
                <w:szCs w:val="20"/>
                <w:lang w:val="en-GB"/>
              </w:rPr>
            </w:pPr>
          </w:p>
        </w:tc>
        <w:tc>
          <w:tcPr>
            <w:tcW w:w="1701" w:type="dxa"/>
          </w:tcPr>
          <w:p w:rsidR="00A87EAF" w:rsidRDefault="00B053F9">
            <w:pPr>
              <w:spacing w:line="276" w:lineRule="auto"/>
              <w:jc w:val="both"/>
              <w:rPr>
                <w:sz w:val="20"/>
                <w:szCs w:val="20"/>
                <w:lang w:val="en-GB"/>
              </w:rPr>
            </w:pPr>
            <w:r w:rsidRPr="00184430">
              <w:rPr>
                <w:sz w:val="20"/>
                <w:szCs w:val="20"/>
                <w:lang w:val="en-GB"/>
              </w:rPr>
              <w:t>Romania (5.8)</w:t>
            </w:r>
          </w:p>
          <w:p w:rsidR="00A87EAF" w:rsidRDefault="00B053F9">
            <w:pPr>
              <w:spacing w:line="276" w:lineRule="auto"/>
              <w:jc w:val="both"/>
              <w:rPr>
                <w:sz w:val="20"/>
                <w:szCs w:val="20"/>
                <w:lang w:val="en-GB"/>
              </w:rPr>
            </w:pPr>
            <w:r w:rsidRPr="00184430">
              <w:rPr>
                <w:sz w:val="20"/>
                <w:szCs w:val="20"/>
                <w:lang w:val="en-GB"/>
              </w:rPr>
              <w:t>Estonia (5.1)</w:t>
            </w:r>
          </w:p>
          <w:p w:rsidR="00A87EAF" w:rsidRDefault="00B053F9">
            <w:pPr>
              <w:spacing w:line="276" w:lineRule="auto"/>
              <w:jc w:val="both"/>
              <w:rPr>
                <w:sz w:val="20"/>
                <w:szCs w:val="20"/>
                <w:lang w:val="en-GB"/>
              </w:rPr>
            </w:pPr>
            <w:r w:rsidRPr="00184430">
              <w:rPr>
                <w:sz w:val="20"/>
                <w:szCs w:val="20"/>
                <w:lang w:val="en-GB"/>
              </w:rPr>
              <w:t>UK (4.5)</w:t>
            </w:r>
          </w:p>
          <w:p w:rsidR="00A87EAF" w:rsidRDefault="00B053F9">
            <w:pPr>
              <w:spacing w:line="276" w:lineRule="auto"/>
              <w:jc w:val="both"/>
              <w:rPr>
                <w:sz w:val="20"/>
                <w:szCs w:val="20"/>
                <w:lang w:val="en-GB"/>
              </w:rPr>
            </w:pPr>
            <w:r w:rsidRPr="00184430">
              <w:rPr>
                <w:sz w:val="20"/>
                <w:szCs w:val="20"/>
                <w:lang w:val="en-GB"/>
              </w:rPr>
              <w:t>Latvia (4.2)</w:t>
            </w:r>
          </w:p>
          <w:p w:rsidR="00A87EAF" w:rsidRDefault="00B053F9">
            <w:pPr>
              <w:spacing w:line="276" w:lineRule="auto"/>
              <w:jc w:val="both"/>
              <w:rPr>
                <w:sz w:val="20"/>
                <w:szCs w:val="20"/>
                <w:lang w:val="en-GB"/>
              </w:rPr>
            </w:pPr>
            <w:r w:rsidRPr="00184430">
              <w:rPr>
                <w:sz w:val="20"/>
                <w:szCs w:val="20"/>
                <w:lang w:val="en-GB"/>
              </w:rPr>
              <w:t>Lithuania 4.1</w:t>
            </w:r>
          </w:p>
          <w:p w:rsidR="00A87EAF" w:rsidRDefault="00571DBB">
            <w:pPr>
              <w:spacing w:line="276" w:lineRule="auto"/>
              <w:jc w:val="both"/>
              <w:rPr>
                <w:sz w:val="20"/>
                <w:szCs w:val="20"/>
                <w:lang w:val="en-GB"/>
              </w:rPr>
            </w:pPr>
            <w:r w:rsidRPr="00184430">
              <w:rPr>
                <w:sz w:val="20"/>
                <w:szCs w:val="20"/>
                <w:lang w:val="en-GB"/>
              </w:rPr>
              <w:t>Slovakia (4.1)</w:t>
            </w:r>
          </w:p>
        </w:tc>
        <w:tc>
          <w:tcPr>
            <w:tcW w:w="1559" w:type="dxa"/>
          </w:tcPr>
          <w:p w:rsidR="00A87EAF" w:rsidRDefault="00B053F9">
            <w:pPr>
              <w:spacing w:line="276" w:lineRule="auto"/>
              <w:jc w:val="both"/>
              <w:rPr>
                <w:sz w:val="20"/>
                <w:szCs w:val="20"/>
                <w:lang w:val="en-GB"/>
              </w:rPr>
            </w:pPr>
            <w:r w:rsidRPr="00184430">
              <w:rPr>
                <w:sz w:val="20"/>
                <w:szCs w:val="20"/>
                <w:lang w:val="en-GB"/>
              </w:rPr>
              <w:t>Hungary</w:t>
            </w:r>
            <w:r w:rsidRPr="00184430">
              <w:rPr>
                <w:sz w:val="20"/>
                <w:szCs w:val="20"/>
                <w:lang w:val="en-GB"/>
              </w:rPr>
              <w:tab/>
              <w:t xml:space="preserve"> (5.7)</w:t>
            </w:r>
          </w:p>
          <w:p w:rsidR="00A87EAF" w:rsidRDefault="00B053F9">
            <w:pPr>
              <w:spacing w:line="276" w:lineRule="auto"/>
              <w:jc w:val="both"/>
              <w:rPr>
                <w:sz w:val="20"/>
                <w:szCs w:val="20"/>
                <w:lang w:val="en-GB"/>
              </w:rPr>
            </w:pPr>
            <w:r w:rsidRPr="00184430">
              <w:rPr>
                <w:sz w:val="20"/>
                <w:szCs w:val="20"/>
                <w:lang w:val="en-GB"/>
              </w:rPr>
              <w:t>Estonia (4.2)</w:t>
            </w:r>
          </w:p>
          <w:p w:rsidR="00A87EAF" w:rsidRDefault="00B053F9">
            <w:pPr>
              <w:spacing w:line="276" w:lineRule="auto"/>
              <w:jc w:val="both"/>
              <w:rPr>
                <w:sz w:val="20"/>
                <w:szCs w:val="20"/>
                <w:lang w:val="en-GB"/>
              </w:rPr>
            </w:pPr>
            <w:r w:rsidRPr="00184430">
              <w:rPr>
                <w:sz w:val="20"/>
                <w:szCs w:val="20"/>
                <w:lang w:val="en-GB"/>
              </w:rPr>
              <w:t>Poland (3.7)</w:t>
            </w:r>
          </w:p>
          <w:p w:rsidR="00A87EAF" w:rsidRDefault="00B053F9">
            <w:pPr>
              <w:spacing w:line="276" w:lineRule="auto"/>
              <w:jc w:val="both"/>
              <w:rPr>
                <w:sz w:val="20"/>
                <w:szCs w:val="20"/>
                <w:lang w:val="en-GB"/>
              </w:rPr>
            </w:pPr>
            <w:r w:rsidRPr="00184430">
              <w:rPr>
                <w:sz w:val="20"/>
                <w:szCs w:val="20"/>
                <w:lang w:val="en-GB"/>
              </w:rPr>
              <w:t>Slovakia</w:t>
            </w:r>
            <w:r w:rsidRPr="00184430">
              <w:rPr>
                <w:sz w:val="20"/>
                <w:szCs w:val="20"/>
                <w:lang w:val="en-GB"/>
              </w:rPr>
              <w:tab/>
              <w:t xml:space="preserve"> (3.7)</w:t>
            </w:r>
          </w:p>
          <w:p w:rsidR="00A87EAF" w:rsidRDefault="00571DBB">
            <w:pPr>
              <w:spacing w:line="276" w:lineRule="auto"/>
              <w:jc w:val="both"/>
              <w:rPr>
                <w:sz w:val="20"/>
                <w:szCs w:val="20"/>
                <w:lang w:val="en-GB"/>
              </w:rPr>
            </w:pPr>
            <w:r w:rsidRPr="00184430">
              <w:rPr>
                <w:sz w:val="20"/>
                <w:szCs w:val="20"/>
                <w:lang w:val="en-GB"/>
              </w:rPr>
              <w:t>Czech Republic (3.5)</w:t>
            </w:r>
          </w:p>
        </w:tc>
        <w:tc>
          <w:tcPr>
            <w:tcW w:w="1701" w:type="dxa"/>
          </w:tcPr>
          <w:p w:rsidR="00A87EAF" w:rsidRDefault="00B053F9">
            <w:pPr>
              <w:spacing w:line="276" w:lineRule="auto"/>
              <w:jc w:val="both"/>
              <w:rPr>
                <w:sz w:val="20"/>
                <w:szCs w:val="20"/>
                <w:lang w:val="en-GB"/>
              </w:rPr>
            </w:pPr>
            <w:r w:rsidRPr="00184430">
              <w:rPr>
                <w:sz w:val="20"/>
                <w:szCs w:val="20"/>
                <w:lang w:val="en-GB"/>
              </w:rPr>
              <w:t>Estonia (3.2)</w:t>
            </w:r>
          </w:p>
          <w:p w:rsidR="00A87EAF" w:rsidRDefault="00B053F9">
            <w:pPr>
              <w:spacing w:line="276" w:lineRule="auto"/>
              <w:jc w:val="both"/>
              <w:rPr>
                <w:sz w:val="20"/>
                <w:szCs w:val="20"/>
                <w:lang w:val="en-GB"/>
              </w:rPr>
            </w:pPr>
            <w:r w:rsidRPr="00184430">
              <w:rPr>
                <w:sz w:val="20"/>
                <w:szCs w:val="20"/>
                <w:lang w:val="en-GB"/>
              </w:rPr>
              <w:t>Romania (3.2)</w:t>
            </w:r>
          </w:p>
          <w:p w:rsidR="00A87EAF" w:rsidRDefault="00571DBB">
            <w:pPr>
              <w:spacing w:line="276" w:lineRule="auto"/>
              <w:jc w:val="both"/>
              <w:rPr>
                <w:sz w:val="20"/>
                <w:szCs w:val="20"/>
                <w:lang w:val="en-GB"/>
              </w:rPr>
            </w:pPr>
            <w:r w:rsidRPr="00184430">
              <w:rPr>
                <w:sz w:val="20"/>
                <w:szCs w:val="20"/>
                <w:lang w:val="en-GB"/>
              </w:rPr>
              <w:t>Netherlands (2.6)</w:t>
            </w:r>
          </w:p>
          <w:p w:rsidR="00A87EAF" w:rsidRDefault="00571DBB">
            <w:pPr>
              <w:spacing w:line="276" w:lineRule="auto"/>
              <w:jc w:val="both"/>
              <w:rPr>
                <w:sz w:val="20"/>
                <w:szCs w:val="20"/>
                <w:lang w:val="en-GB"/>
              </w:rPr>
            </w:pPr>
            <w:r w:rsidRPr="00184430">
              <w:rPr>
                <w:sz w:val="20"/>
                <w:szCs w:val="20"/>
                <w:lang w:val="en-GB"/>
              </w:rPr>
              <w:t>UK (2.6)</w:t>
            </w:r>
          </w:p>
        </w:tc>
        <w:tc>
          <w:tcPr>
            <w:tcW w:w="1449" w:type="dxa"/>
          </w:tcPr>
          <w:p w:rsidR="00A87EAF" w:rsidRDefault="00571DBB">
            <w:pPr>
              <w:spacing w:line="276" w:lineRule="auto"/>
              <w:jc w:val="both"/>
              <w:rPr>
                <w:sz w:val="20"/>
                <w:szCs w:val="20"/>
                <w:lang w:val="en-GB"/>
              </w:rPr>
            </w:pPr>
            <w:r w:rsidRPr="00184430">
              <w:rPr>
                <w:sz w:val="20"/>
                <w:szCs w:val="20"/>
                <w:lang w:val="en-GB"/>
              </w:rPr>
              <w:t>Austria (1.5)</w:t>
            </w:r>
          </w:p>
          <w:p w:rsidR="00A87EAF" w:rsidRDefault="00571DBB">
            <w:pPr>
              <w:spacing w:line="276" w:lineRule="auto"/>
              <w:jc w:val="both"/>
              <w:rPr>
                <w:sz w:val="20"/>
                <w:szCs w:val="20"/>
                <w:lang w:val="en-GB"/>
              </w:rPr>
            </w:pPr>
            <w:r w:rsidRPr="00184430">
              <w:rPr>
                <w:sz w:val="20"/>
                <w:szCs w:val="20"/>
                <w:lang w:val="en-GB"/>
              </w:rPr>
              <w:t>Romania (1.5)</w:t>
            </w:r>
          </w:p>
          <w:p w:rsidR="00A87EAF" w:rsidRDefault="00B053F9">
            <w:pPr>
              <w:spacing w:line="276" w:lineRule="auto"/>
              <w:jc w:val="both"/>
              <w:rPr>
                <w:sz w:val="20"/>
                <w:szCs w:val="20"/>
                <w:lang w:val="en-GB"/>
              </w:rPr>
            </w:pPr>
            <w:r w:rsidRPr="00184430">
              <w:rPr>
                <w:sz w:val="20"/>
                <w:szCs w:val="20"/>
                <w:lang w:val="en-GB"/>
              </w:rPr>
              <w:t>UK (1.5)</w:t>
            </w:r>
          </w:p>
        </w:tc>
      </w:tr>
      <w:tr w:rsidR="007E1C71" w:rsidRPr="00184430" w:rsidTr="007E1C71">
        <w:tc>
          <w:tcPr>
            <w:tcW w:w="1384" w:type="dxa"/>
            <w:vAlign w:val="center"/>
          </w:tcPr>
          <w:p w:rsidR="00A87EAF" w:rsidRDefault="00BD1347">
            <w:pPr>
              <w:spacing w:line="276" w:lineRule="auto"/>
              <w:jc w:val="both"/>
              <w:rPr>
                <w:b/>
                <w:sz w:val="20"/>
                <w:szCs w:val="20"/>
                <w:lang w:val="en-GB"/>
              </w:rPr>
            </w:pPr>
            <w:r w:rsidRPr="00184430">
              <w:rPr>
                <w:b/>
                <w:sz w:val="20"/>
                <w:szCs w:val="20"/>
                <w:lang w:val="en-GB"/>
              </w:rPr>
              <w:t>Low inflation or deflation</w:t>
            </w:r>
          </w:p>
        </w:tc>
        <w:tc>
          <w:tcPr>
            <w:tcW w:w="1418" w:type="dxa"/>
          </w:tcPr>
          <w:p w:rsidR="00A87EAF" w:rsidRDefault="00317E9A">
            <w:pPr>
              <w:spacing w:line="276" w:lineRule="auto"/>
              <w:jc w:val="both"/>
              <w:rPr>
                <w:sz w:val="20"/>
                <w:szCs w:val="20"/>
                <w:lang w:val="en-GB"/>
              </w:rPr>
            </w:pPr>
            <w:r w:rsidRPr="00184430">
              <w:rPr>
                <w:sz w:val="20"/>
                <w:szCs w:val="20"/>
                <w:lang w:val="en-GB"/>
              </w:rPr>
              <w:t>Latvia (-1.2)</w:t>
            </w:r>
          </w:p>
          <w:p w:rsidR="00A87EAF" w:rsidRDefault="00B053F9">
            <w:pPr>
              <w:spacing w:line="276" w:lineRule="auto"/>
              <w:jc w:val="both"/>
              <w:rPr>
                <w:sz w:val="20"/>
                <w:szCs w:val="20"/>
                <w:lang w:val="en-GB"/>
              </w:rPr>
            </w:pPr>
            <w:r w:rsidRPr="00184430">
              <w:rPr>
                <w:sz w:val="20"/>
                <w:szCs w:val="20"/>
                <w:lang w:val="en-GB"/>
              </w:rPr>
              <w:t>Ireland (-1.6)</w:t>
            </w:r>
          </w:p>
        </w:tc>
        <w:tc>
          <w:tcPr>
            <w:tcW w:w="1701" w:type="dxa"/>
          </w:tcPr>
          <w:p w:rsidR="00A87EAF" w:rsidRDefault="00B053F9">
            <w:pPr>
              <w:spacing w:line="276" w:lineRule="auto"/>
              <w:jc w:val="both"/>
              <w:rPr>
                <w:sz w:val="20"/>
                <w:szCs w:val="20"/>
                <w:lang w:val="en-GB"/>
              </w:rPr>
            </w:pPr>
            <w:r w:rsidRPr="00184430">
              <w:rPr>
                <w:sz w:val="20"/>
                <w:szCs w:val="20"/>
                <w:lang w:val="en-GB"/>
              </w:rPr>
              <w:t>Czech Republic (2.1)</w:t>
            </w:r>
          </w:p>
          <w:p w:rsidR="00A87EAF" w:rsidRDefault="00B053F9">
            <w:pPr>
              <w:spacing w:line="276" w:lineRule="auto"/>
              <w:jc w:val="both"/>
              <w:rPr>
                <w:sz w:val="20"/>
                <w:szCs w:val="20"/>
                <w:lang w:val="en-GB"/>
              </w:rPr>
            </w:pPr>
            <w:r w:rsidRPr="00184430">
              <w:rPr>
                <w:sz w:val="20"/>
                <w:szCs w:val="20"/>
                <w:lang w:val="en-GB"/>
              </w:rPr>
              <w:t>Slovenia</w:t>
            </w:r>
            <w:r w:rsidRPr="00184430">
              <w:rPr>
                <w:sz w:val="20"/>
                <w:szCs w:val="20"/>
                <w:lang w:val="en-GB"/>
              </w:rPr>
              <w:tab/>
              <w:t xml:space="preserve"> (2.1)</w:t>
            </w:r>
          </w:p>
          <w:p w:rsidR="00A87EAF" w:rsidRDefault="00317E9A">
            <w:pPr>
              <w:spacing w:line="276" w:lineRule="auto"/>
              <w:jc w:val="both"/>
              <w:rPr>
                <w:sz w:val="20"/>
                <w:szCs w:val="20"/>
                <w:lang w:val="en-GB"/>
              </w:rPr>
            </w:pPr>
            <w:r w:rsidRPr="00184430">
              <w:rPr>
                <w:sz w:val="20"/>
                <w:szCs w:val="20"/>
                <w:lang w:val="en-GB"/>
              </w:rPr>
              <w:t>Sweden (1.4)</w:t>
            </w:r>
          </w:p>
          <w:p w:rsidR="00A87EAF" w:rsidRDefault="00B053F9">
            <w:pPr>
              <w:spacing w:line="276" w:lineRule="auto"/>
              <w:jc w:val="both"/>
              <w:rPr>
                <w:sz w:val="20"/>
                <w:szCs w:val="20"/>
                <w:lang w:val="en-GB"/>
              </w:rPr>
            </w:pPr>
            <w:r w:rsidRPr="00184430">
              <w:rPr>
                <w:sz w:val="20"/>
                <w:szCs w:val="20"/>
                <w:lang w:val="en-GB"/>
              </w:rPr>
              <w:t>Ireland (1.2)</w:t>
            </w:r>
          </w:p>
        </w:tc>
        <w:tc>
          <w:tcPr>
            <w:tcW w:w="1559" w:type="dxa"/>
          </w:tcPr>
          <w:p w:rsidR="00A87EAF" w:rsidRDefault="00317E9A">
            <w:pPr>
              <w:spacing w:line="276" w:lineRule="auto"/>
              <w:jc w:val="both"/>
              <w:rPr>
                <w:sz w:val="20"/>
                <w:szCs w:val="20"/>
                <w:lang w:val="en-GB"/>
              </w:rPr>
            </w:pPr>
            <w:r w:rsidRPr="00184430">
              <w:rPr>
                <w:sz w:val="20"/>
                <w:szCs w:val="20"/>
                <w:lang w:val="en-GB"/>
              </w:rPr>
              <w:t>Greece</w:t>
            </w:r>
            <w:r w:rsidR="00900B78" w:rsidRPr="00184430">
              <w:rPr>
                <w:sz w:val="20"/>
                <w:szCs w:val="20"/>
                <w:lang w:val="en-GB"/>
              </w:rPr>
              <w:t xml:space="preserve"> (</w:t>
            </w:r>
            <w:r w:rsidRPr="00184430">
              <w:rPr>
                <w:sz w:val="20"/>
                <w:szCs w:val="20"/>
                <w:lang w:val="en-GB"/>
              </w:rPr>
              <w:t>1.0</w:t>
            </w:r>
            <w:r w:rsidR="00900B78" w:rsidRPr="00184430">
              <w:rPr>
                <w:sz w:val="20"/>
                <w:szCs w:val="20"/>
                <w:lang w:val="en-GB"/>
              </w:rPr>
              <w:t>)</w:t>
            </w:r>
          </w:p>
          <w:p w:rsidR="00A87EAF" w:rsidRDefault="00B053F9">
            <w:pPr>
              <w:spacing w:line="276" w:lineRule="auto"/>
              <w:jc w:val="both"/>
              <w:rPr>
                <w:sz w:val="20"/>
                <w:szCs w:val="20"/>
                <w:lang w:val="en-GB"/>
              </w:rPr>
            </w:pPr>
            <w:r w:rsidRPr="00184430">
              <w:rPr>
                <w:sz w:val="20"/>
                <w:szCs w:val="20"/>
                <w:lang w:val="en-GB"/>
              </w:rPr>
              <w:t>Sweden (0.9)</w:t>
            </w:r>
          </w:p>
        </w:tc>
        <w:tc>
          <w:tcPr>
            <w:tcW w:w="1701" w:type="dxa"/>
          </w:tcPr>
          <w:p w:rsidR="00A87EAF" w:rsidRDefault="00B053F9">
            <w:pPr>
              <w:spacing w:line="276" w:lineRule="auto"/>
              <w:jc w:val="both"/>
              <w:rPr>
                <w:sz w:val="20"/>
                <w:szCs w:val="20"/>
                <w:lang w:val="en-GB"/>
              </w:rPr>
            </w:pPr>
            <w:r w:rsidRPr="00184430">
              <w:rPr>
                <w:sz w:val="20"/>
                <w:szCs w:val="20"/>
                <w:lang w:val="en-GB"/>
              </w:rPr>
              <w:t>Bulgaria (0.4)</w:t>
            </w:r>
          </w:p>
          <w:p w:rsidR="00A87EAF" w:rsidRDefault="00B053F9">
            <w:pPr>
              <w:spacing w:line="276" w:lineRule="auto"/>
              <w:jc w:val="both"/>
              <w:rPr>
                <w:sz w:val="20"/>
                <w:szCs w:val="20"/>
                <w:lang w:val="en-GB"/>
              </w:rPr>
            </w:pPr>
            <w:r w:rsidRPr="00184430">
              <w:rPr>
                <w:sz w:val="20"/>
                <w:szCs w:val="20"/>
                <w:lang w:val="en-GB"/>
              </w:rPr>
              <w:t>Cyprus (0.4)</w:t>
            </w:r>
          </w:p>
          <w:p w:rsidR="00A87EAF" w:rsidRDefault="00B053F9">
            <w:pPr>
              <w:spacing w:line="276" w:lineRule="auto"/>
              <w:jc w:val="both"/>
              <w:rPr>
                <w:sz w:val="20"/>
                <w:szCs w:val="20"/>
                <w:lang w:val="en-GB"/>
              </w:rPr>
            </w:pPr>
            <w:r w:rsidRPr="00184430">
              <w:rPr>
                <w:sz w:val="20"/>
                <w:szCs w:val="20"/>
                <w:lang w:val="en-GB"/>
              </w:rPr>
              <w:t>Portugal (0.4)</w:t>
            </w:r>
          </w:p>
          <w:p w:rsidR="00A87EAF" w:rsidRDefault="00B053F9">
            <w:pPr>
              <w:spacing w:line="276" w:lineRule="auto"/>
              <w:jc w:val="both"/>
              <w:rPr>
                <w:sz w:val="20"/>
                <w:szCs w:val="20"/>
                <w:lang w:val="en-GB"/>
              </w:rPr>
            </w:pPr>
            <w:r w:rsidRPr="00184430">
              <w:rPr>
                <w:sz w:val="20"/>
                <w:szCs w:val="20"/>
                <w:lang w:val="en-GB"/>
              </w:rPr>
              <w:t>Sweden (0.4)</w:t>
            </w:r>
          </w:p>
          <w:p w:rsidR="00A87EAF" w:rsidRDefault="00B053F9">
            <w:pPr>
              <w:spacing w:line="276" w:lineRule="auto"/>
              <w:jc w:val="both"/>
              <w:rPr>
                <w:sz w:val="20"/>
                <w:szCs w:val="20"/>
                <w:lang w:val="en-GB"/>
              </w:rPr>
            </w:pPr>
            <w:r w:rsidRPr="00184430">
              <w:rPr>
                <w:sz w:val="20"/>
                <w:szCs w:val="20"/>
                <w:lang w:val="en-GB"/>
              </w:rPr>
              <w:t>Latvia (0.0)</w:t>
            </w:r>
          </w:p>
          <w:p w:rsidR="00A87EAF" w:rsidRDefault="007E1C71">
            <w:pPr>
              <w:spacing w:line="276" w:lineRule="auto"/>
              <w:jc w:val="both"/>
              <w:rPr>
                <w:sz w:val="20"/>
                <w:szCs w:val="20"/>
                <w:lang w:val="en-GB"/>
              </w:rPr>
            </w:pPr>
            <w:r w:rsidRPr="00184430">
              <w:rPr>
                <w:sz w:val="20"/>
                <w:szCs w:val="20"/>
                <w:lang w:val="en-GB"/>
              </w:rPr>
              <w:t>Greece (</w:t>
            </w:r>
            <w:r w:rsidR="00317E9A" w:rsidRPr="00184430">
              <w:rPr>
                <w:sz w:val="20"/>
                <w:szCs w:val="20"/>
                <w:lang w:val="en-GB"/>
              </w:rPr>
              <w:t>-0.9</w:t>
            </w:r>
            <w:r w:rsidRPr="00184430">
              <w:rPr>
                <w:sz w:val="20"/>
                <w:szCs w:val="20"/>
                <w:lang w:val="en-GB"/>
              </w:rPr>
              <w:t>)</w:t>
            </w:r>
          </w:p>
        </w:tc>
        <w:tc>
          <w:tcPr>
            <w:tcW w:w="1449" w:type="dxa"/>
          </w:tcPr>
          <w:p w:rsidR="00A87EAF" w:rsidRDefault="007E1C71">
            <w:pPr>
              <w:spacing w:line="276" w:lineRule="auto"/>
              <w:jc w:val="both"/>
              <w:rPr>
                <w:sz w:val="20"/>
                <w:szCs w:val="20"/>
                <w:lang w:val="en-GB"/>
              </w:rPr>
            </w:pPr>
            <w:r w:rsidRPr="00184430">
              <w:rPr>
                <w:sz w:val="20"/>
                <w:szCs w:val="20"/>
                <w:lang w:val="en-GB"/>
              </w:rPr>
              <w:t>Bulgaria (</w:t>
            </w:r>
            <w:r w:rsidR="00317E9A" w:rsidRPr="00184430">
              <w:rPr>
                <w:sz w:val="20"/>
                <w:szCs w:val="20"/>
                <w:lang w:val="en-GB"/>
              </w:rPr>
              <w:t>1.4</w:t>
            </w:r>
            <w:r w:rsidRPr="00184430">
              <w:rPr>
                <w:sz w:val="20"/>
                <w:szCs w:val="20"/>
                <w:lang w:val="en-GB"/>
              </w:rPr>
              <w:t>)</w:t>
            </w:r>
          </w:p>
          <w:p w:rsidR="00A87EAF" w:rsidRDefault="00B053F9">
            <w:pPr>
              <w:spacing w:line="276" w:lineRule="auto"/>
              <w:jc w:val="both"/>
              <w:rPr>
                <w:sz w:val="20"/>
                <w:szCs w:val="20"/>
                <w:lang w:val="en-GB"/>
              </w:rPr>
            </w:pPr>
            <w:r w:rsidRPr="00184430">
              <w:rPr>
                <w:sz w:val="20"/>
                <w:szCs w:val="20"/>
                <w:lang w:val="en-GB"/>
              </w:rPr>
              <w:t>Slovakia</w:t>
            </w:r>
            <w:r w:rsidRPr="00184430">
              <w:rPr>
                <w:sz w:val="20"/>
                <w:szCs w:val="20"/>
                <w:lang w:val="en-GB"/>
              </w:rPr>
              <w:tab/>
              <w:t xml:space="preserve"> (-0.1)</w:t>
            </w:r>
          </w:p>
          <w:p w:rsidR="00A87EAF" w:rsidRDefault="00B053F9">
            <w:pPr>
              <w:spacing w:line="276" w:lineRule="auto"/>
              <w:jc w:val="both"/>
              <w:rPr>
                <w:sz w:val="20"/>
                <w:szCs w:val="20"/>
                <w:lang w:val="en-GB"/>
              </w:rPr>
            </w:pPr>
            <w:r w:rsidRPr="00184430">
              <w:rPr>
                <w:sz w:val="20"/>
                <w:szCs w:val="20"/>
                <w:lang w:val="en-GB"/>
              </w:rPr>
              <w:t>Spain (-0.1)</w:t>
            </w:r>
          </w:p>
          <w:p w:rsidR="00A87EAF" w:rsidRDefault="007E1C71">
            <w:pPr>
              <w:spacing w:line="276" w:lineRule="auto"/>
              <w:jc w:val="both"/>
              <w:rPr>
                <w:sz w:val="20"/>
                <w:szCs w:val="20"/>
                <w:lang w:val="en-GB"/>
              </w:rPr>
            </w:pPr>
            <w:r w:rsidRPr="00184430">
              <w:rPr>
                <w:sz w:val="20"/>
                <w:szCs w:val="20"/>
                <w:lang w:val="en-GB"/>
              </w:rPr>
              <w:t>Cyprus (</w:t>
            </w:r>
            <w:r w:rsidR="00317E9A" w:rsidRPr="00184430">
              <w:rPr>
                <w:sz w:val="20"/>
                <w:szCs w:val="20"/>
                <w:lang w:val="en-GB"/>
              </w:rPr>
              <w:t>-0.2</w:t>
            </w:r>
            <w:r w:rsidRPr="00184430">
              <w:rPr>
                <w:sz w:val="20"/>
                <w:szCs w:val="20"/>
                <w:lang w:val="en-GB"/>
              </w:rPr>
              <w:t>)</w:t>
            </w:r>
          </w:p>
          <w:p w:rsidR="00A87EAF" w:rsidRDefault="00B053F9">
            <w:pPr>
              <w:spacing w:line="276" w:lineRule="auto"/>
              <w:jc w:val="both"/>
              <w:rPr>
                <w:sz w:val="20"/>
                <w:szCs w:val="20"/>
                <w:lang w:val="en-GB"/>
              </w:rPr>
            </w:pPr>
            <w:r w:rsidRPr="00184430">
              <w:rPr>
                <w:sz w:val="20"/>
                <w:szCs w:val="20"/>
                <w:lang w:val="en-GB"/>
              </w:rPr>
              <w:t>Greece (-1.0)</w:t>
            </w:r>
          </w:p>
        </w:tc>
      </w:tr>
    </w:tbl>
    <w:p w:rsidR="00BD1347" w:rsidRPr="00184430" w:rsidRDefault="00BD1347" w:rsidP="00FD1D46">
      <w:pPr>
        <w:spacing w:line="276" w:lineRule="auto"/>
        <w:jc w:val="both"/>
        <w:rPr>
          <w:lang w:val="en-GB"/>
        </w:rPr>
      </w:pPr>
    </w:p>
    <w:p w:rsidR="00A87EAF" w:rsidRDefault="00BD1347">
      <w:pPr>
        <w:spacing w:line="276" w:lineRule="auto"/>
        <w:jc w:val="both"/>
        <w:rPr>
          <w:sz w:val="20"/>
          <w:szCs w:val="20"/>
          <w:lang w:val="en-GB"/>
        </w:rPr>
      </w:pPr>
      <w:r w:rsidRPr="00184430">
        <w:rPr>
          <w:sz w:val="20"/>
          <w:szCs w:val="20"/>
          <w:lang w:val="en-GB"/>
        </w:rPr>
        <w:t xml:space="preserve">Source: </w:t>
      </w:r>
      <w:r w:rsidR="0083391A">
        <w:rPr>
          <w:sz w:val="20"/>
          <w:szCs w:val="20"/>
          <w:lang w:val="en-GB"/>
        </w:rPr>
        <w:t xml:space="preserve">authors, </w:t>
      </w:r>
      <w:r w:rsidR="00E63F1A">
        <w:rPr>
          <w:sz w:val="20"/>
          <w:szCs w:val="20"/>
          <w:lang w:val="en-GB"/>
        </w:rPr>
        <w:t xml:space="preserve">based on </w:t>
      </w:r>
      <w:r w:rsidRPr="00184430">
        <w:rPr>
          <w:sz w:val="20"/>
          <w:szCs w:val="20"/>
          <w:lang w:val="en-GB"/>
        </w:rPr>
        <w:t>European Commission (2014</w:t>
      </w:r>
      <w:r w:rsidR="000F735C">
        <w:rPr>
          <w:sz w:val="20"/>
          <w:szCs w:val="20"/>
          <w:lang w:val="en-GB"/>
        </w:rPr>
        <w:t>a</w:t>
      </w:r>
      <w:r w:rsidRPr="00184430">
        <w:rPr>
          <w:sz w:val="20"/>
          <w:szCs w:val="20"/>
          <w:lang w:val="en-GB"/>
        </w:rPr>
        <w:t>).</w:t>
      </w:r>
    </w:p>
    <w:p w:rsidR="00A87EAF" w:rsidRDefault="00BD1347">
      <w:pPr>
        <w:spacing w:line="276" w:lineRule="auto"/>
        <w:jc w:val="both"/>
        <w:rPr>
          <w:sz w:val="20"/>
          <w:szCs w:val="20"/>
          <w:lang w:val="en-GB"/>
        </w:rPr>
      </w:pPr>
      <w:r w:rsidRPr="00184430">
        <w:rPr>
          <w:sz w:val="20"/>
          <w:szCs w:val="20"/>
          <w:lang w:val="en-GB"/>
        </w:rPr>
        <w:t xml:space="preserve">Notes: countries with </w:t>
      </w:r>
      <w:r w:rsidR="00155B1B">
        <w:rPr>
          <w:sz w:val="20"/>
          <w:szCs w:val="20"/>
          <w:lang w:val="en-GB"/>
        </w:rPr>
        <w:t>‘l</w:t>
      </w:r>
      <w:r w:rsidRPr="00184430">
        <w:rPr>
          <w:sz w:val="20"/>
          <w:szCs w:val="20"/>
          <w:lang w:val="en-GB"/>
        </w:rPr>
        <w:t>ow inflation or deflation</w:t>
      </w:r>
      <w:r w:rsidR="00155B1B">
        <w:rPr>
          <w:sz w:val="20"/>
          <w:szCs w:val="20"/>
          <w:lang w:val="en-GB"/>
        </w:rPr>
        <w:t>’</w:t>
      </w:r>
      <w:r w:rsidRPr="00184430">
        <w:rPr>
          <w:sz w:val="20"/>
          <w:szCs w:val="20"/>
          <w:lang w:val="en-GB"/>
        </w:rPr>
        <w:t xml:space="preserve"> are the </w:t>
      </w:r>
      <w:r w:rsidR="00317E9A" w:rsidRPr="00184430">
        <w:rPr>
          <w:sz w:val="20"/>
          <w:szCs w:val="20"/>
          <w:lang w:val="en-GB"/>
        </w:rPr>
        <w:t>ones</w:t>
      </w:r>
      <w:r w:rsidRPr="00184430">
        <w:rPr>
          <w:sz w:val="20"/>
          <w:szCs w:val="20"/>
          <w:lang w:val="en-GB"/>
        </w:rPr>
        <w:t xml:space="preserve"> which showed inflation rates at least one standard deviation </w:t>
      </w:r>
      <w:r w:rsidR="00E63F1A">
        <w:rPr>
          <w:sz w:val="20"/>
          <w:szCs w:val="20"/>
          <w:lang w:val="en-GB"/>
        </w:rPr>
        <w:t>below</w:t>
      </w:r>
      <w:r w:rsidRPr="00184430">
        <w:rPr>
          <w:sz w:val="20"/>
          <w:szCs w:val="20"/>
          <w:lang w:val="en-GB"/>
        </w:rPr>
        <w:t xml:space="preserve"> the EU average. ‘</w:t>
      </w:r>
      <w:r w:rsidR="00317E9A" w:rsidRPr="00184430">
        <w:rPr>
          <w:sz w:val="20"/>
          <w:szCs w:val="20"/>
          <w:lang w:val="en-GB"/>
        </w:rPr>
        <w:t>High inflation</w:t>
      </w:r>
      <w:r w:rsidRPr="00184430">
        <w:rPr>
          <w:sz w:val="20"/>
          <w:szCs w:val="20"/>
          <w:lang w:val="en-GB"/>
        </w:rPr>
        <w:t>’</w:t>
      </w:r>
      <w:r w:rsidR="00317E9A" w:rsidRPr="00184430">
        <w:rPr>
          <w:sz w:val="20"/>
          <w:szCs w:val="20"/>
          <w:lang w:val="en-GB"/>
        </w:rPr>
        <w:t xml:space="preserve"> countries</w:t>
      </w:r>
      <w:r w:rsidRPr="00184430">
        <w:rPr>
          <w:sz w:val="20"/>
          <w:szCs w:val="20"/>
          <w:lang w:val="en-GB"/>
        </w:rPr>
        <w:t xml:space="preserve"> are at least one standard deviation higher. * indicates forecast data.</w:t>
      </w:r>
    </w:p>
    <w:p w:rsidR="00BD1347" w:rsidRDefault="00BD1347" w:rsidP="00FD1D46">
      <w:pPr>
        <w:spacing w:line="276" w:lineRule="auto"/>
        <w:jc w:val="both"/>
        <w:rPr>
          <w:lang w:val="en-GB"/>
        </w:rPr>
      </w:pPr>
    </w:p>
    <w:p w:rsidR="00E63F1A" w:rsidRPr="00184430" w:rsidRDefault="00E63F1A">
      <w:pPr>
        <w:spacing w:line="276" w:lineRule="auto"/>
        <w:jc w:val="both"/>
        <w:rPr>
          <w:lang w:val="en-GB"/>
        </w:rPr>
      </w:pPr>
    </w:p>
    <w:p w:rsidR="00D33581" w:rsidRPr="00155B1B" w:rsidRDefault="00D33581">
      <w:pPr>
        <w:spacing w:line="276" w:lineRule="auto"/>
        <w:jc w:val="both"/>
        <w:rPr>
          <w:i/>
          <w:lang w:val="en-GB"/>
        </w:rPr>
      </w:pPr>
      <w:r w:rsidRPr="00155B1B">
        <w:rPr>
          <w:i/>
          <w:lang w:val="en-GB"/>
        </w:rPr>
        <w:t>Budget deficit and public debt</w:t>
      </w:r>
    </w:p>
    <w:p w:rsidR="00D33581" w:rsidRPr="00184430" w:rsidRDefault="00D33581">
      <w:pPr>
        <w:spacing w:line="276" w:lineRule="auto"/>
        <w:jc w:val="both"/>
        <w:rPr>
          <w:lang w:val="en-GB"/>
        </w:rPr>
      </w:pPr>
    </w:p>
    <w:p w:rsidR="00382260" w:rsidRPr="00184430" w:rsidRDefault="00382260">
      <w:pPr>
        <w:spacing w:line="276" w:lineRule="auto"/>
        <w:jc w:val="both"/>
        <w:rPr>
          <w:lang w:val="en-GB"/>
        </w:rPr>
      </w:pPr>
      <w:r w:rsidRPr="00184430">
        <w:rPr>
          <w:lang w:val="en-GB"/>
        </w:rPr>
        <w:t xml:space="preserve">While central banks did not have much room to </w:t>
      </w:r>
      <w:r w:rsidR="00CA0E55" w:rsidRPr="00184430">
        <w:rPr>
          <w:lang w:val="en-GB"/>
        </w:rPr>
        <w:t>stimulate growth in 2014</w:t>
      </w:r>
      <w:r w:rsidRPr="00184430">
        <w:rPr>
          <w:lang w:val="en-GB"/>
        </w:rPr>
        <w:t>, fiscal policy</w:t>
      </w:r>
      <w:r w:rsidR="00E63F1A">
        <w:rPr>
          <w:lang w:val="en-GB"/>
        </w:rPr>
        <w:t xml:space="preserve">, </w:t>
      </w:r>
      <w:r w:rsidR="00E63F1A" w:rsidRPr="00184430">
        <w:rPr>
          <w:lang w:val="en-GB"/>
        </w:rPr>
        <w:t>remain</w:t>
      </w:r>
      <w:r w:rsidR="00E63F1A">
        <w:rPr>
          <w:lang w:val="en-GB"/>
        </w:rPr>
        <w:t>ing</w:t>
      </w:r>
      <w:r w:rsidR="00E63F1A" w:rsidRPr="00184430">
        <w:rPr>
          <w:lang w:val="en-GB"/>
        </w:rPr>
        <w:t xml:space="preserve"> by and large</w:t>
      </w:r>
      <w:r w:rsidR="00E63F1A">
        <w:rPr>
          <w:lang w:val="en-GB"/>
        </w:rPr>
        <w:t xml:space="preserve"> neutral</w:t>
      </w:r>
      <w:r w:rsidR="00E63F1A" w:rsidRPr="00184430">
        <w:rPr>
          <w:lang w:val="en-GB"/>
        </w:rPr>
        <w:t xml:space="preserve"> throughout </w:t>
      </w:r>
      <w:r w:rsidR="00E63F1A">
        <w:rPr>
          <w:lang w:val="en-GB"/>
        </w:rPr>
        <w:t>the year,</w:t>
      </w:r>
      <w:r w:rsidRPr="00184430">
        <w:rPr>
          <w:lang w:val="en-GB"/>
        </w:rPr>
        <w:t xml:space="preserve"> was not too active either </w:t>
      </w:r>
      <w:r w:rsidR="00CA0E55" w:rsidRPr="00184430">
        <w:rPr>
          <w:lang w:val="en-GB"/>
        </w:rPr>
        <w:t>in</w:t>
      </w:r>
      <w:r w:rsidRPr="00184430">
        <w:rPr>
          <w:lang w:val="en-GB"/>
        </w:rPr>
        <w:t xml:space="preserve"> remedy</w:t>
      </w:r>
      <w:r w:rsidR="00CA0E55" w:rsidRPr="00184430">
        <w:rPr>
          <w:lang w:val="en-GB"/>
        </w:rPr>
        <w:t>ing</w:t>
      </w:r>
      <w:r w:rsidRPr="00184430">
        <w:rPr>
          <w:lang w:val="en-GB"/>
        </w:rPr>
        <w:t xml:space="preserve"> the sluggish economic performance. After six years of persistently violating the 3</w:t>
      </w:r>
      <w:r w:rsidR="001D3B9C">
        <w:rPr>
          <w:lang w:val="en-GB"/>
        </w:rPr>
        <w:t xml:space="preserve"> per cent</w:t>
      </w:r>
      <w:r w:rsidRPr="00184430">
        <w:rPr>
          <w:lang w:val="en-GB"/>
        </w:rPr>
        <w:t xml:space="preserve"> general government deficit reference value enshrined </w:t>
      </w:r>
      <w:r w:rsidR="00CA0E55" w:rsidRPr="00184430">
        <w:rPr>
          <w:lang w:val="en-GB"/>
        </w:rPr>
        <w:t>in</w:t>
      </w:r>
      <w:r w:rsidRPr="00184430">
        <w:rPr>
          <w:lang w:val="en-GB"/>
        </w:rPr>
        <w:t xml:space="preserve"> Article 126 of the Treaty, both the </w:t>
      </w:r>
      <w:proofErr w:type="spellStart"/>
      <w:r w:rsidRPr="00184430">
        <w:rPr>
          <w:lang w:val="en-GB"/>
        </w:rPr>
        <w:t>e</w:t>
      </w:r>
      <w:r w:rsidR="00B053F9">
        <w:rPr>
          <w:lang w:val="en-GB"/>
        </w:rPr>
        <w:t>uro</w:t>
      </w:r>
      <w:r w:rsidRPr="00184430">
        <w:rPr>
          <w:lang w:val="en-GB"/>
        </w:rPr>
        <w:t>zone</w:t>
      </w:r>
      <w:proofErr w:type="spellEnd"/>
      <w:r w:rsidRPr="00184430">
        <w:rPr>
          <w:lang w:val="en-GB"/>
        </w:rPr>
        <w:t xml:space="preserve"> deficit average and the EU average decreased below 3</w:t>
      </w:r>
      <w:r w:rsidR="001D3B9C">
        <w:rPr>
          <w:lang w:val="en-GB"/>
        </w:rPr>
        <w:t xml:space="preserve"> per cent</w:t>
      </w:r>
      <w:r w:rsidRPr="00184430">
        <w:rPr>
          <w:lang w:val="en-GB"/>
        </w:rPr>
        <w:t xml:space="preserve"> </w:t>
      </w:r>
      <w:r w:rsidR="00CA0E55" w:rsidRPr="00184430">
        <w:rPr>
          <w:lang w:val="en-GB"/>
        </w:rPr>
        <w:t>in 2014</w:t>
      </w:r>
      <w:r w:rsidR="00155B1B">
        <w:rPr>
          <w:lang w:val="en-GB"/>
        </w:rPr>
        <w:t xml:space="preserve"> (see Table 5)</w:t>
      </w:r>
      <w:r w:rsidRPr="00184430">
        <w:rPr>
          <w:lang w:val="en-GB"/>
        </w:rPr>
        <w:t>. According to the forecast of the European Commission</w:t>
      </w:r>
      <w:r w:rsidR="00155B1B">
        <w:rPr>
          <w:lang w:val="en-GB"/>
        </w:rPr>
        <w:t xml:space="preserve"> (2014</w:t>
      </w:r>
      <w:r w:rsidR="000F735C">
        <w:rPr>
          <w:lang w:val="en-GB"/>
        </w:rPr>
        <w:t>a</w:t>
      </w:r>
      <w:r w:rsidR="004B4798">
        <w:rPr>
          <w:lang w:val="en-GB"/>
        </w:rPr>
        <w:t>, p.</w:t>
      </w:r>
      <w:r w:rsidR="00155B1B">
        <w:rPr>
          <w:lang w:val="en-GB"/>
        </w:rPr>
        <w:t xml:space="preserve"> 36)</w:t>
      </w:r>
      <w:r w:rsidRPr="00184430">
        <w:rPr>
          <w:lang w:val="en-GB"/>
        </w:rPr>
        <w:t>, headline deficits will decrease further down to 2.7</w:t>
      </w:r>
      <w:r w:rsidR="001D3B9C">
        <w:rPr>
          <w:lang w:val="en-GB"/>
        </w:rPr>
        <w:t xml:space="preserve"> per cent</w:t>
      </w:r>
      <w:r w:rsidRPr="00184430">
        <w:rPr>
          <w:lang w:val="en-GB"/>
        </w:rPr>
        <w:t xml:space="preserve"> in 2015 and to 2.3</w:t>
      </w:r>
      <w:r w:rsidR="001D3B9C">
        <w:rPr>
          <w:lang w:val="en-GB"/>
        </w:rPr>
        <w:t xml:space="preserve"> per cent</w:t>
      </w:r>
      <w:r w:rsidRPr="00184430">
        <w:rPr>
          <w:lang w:val="en-GB"/>
        </w:rPr>
        <w:t xml:space="preserve"> in 2016. </w:t>
      </w:r>
    </w:p>
    <w:p w:rsidR="00382260" w:rsidRPr="00184430" w:rsidRDefault="00382260">
      <w:pPr>
        <w:spacing w:line="276" w:lineRule="auto"/>
        <w:jc w:val="both"/>
        <w:rPr>
          <w:lang w:val="en-GB"/>
        </w:rPr>
      </w:pPr>
    </w:p>
    <w:p w:rsidR="00382260" w:rsidRPr="00184430" w:rsidRDefault="00382260">
      <w:pPr>
        <w:spacing w:line="276" w:lineRule="auto"/>
        <w:jc w:val="both"/>
        <w:rPr>
          <w:lang w:val="en-GB"/>
        </w:rPr>
      </w:pPr>
      <w:r w:rsidRPr="00184430">
        <w:rPr>
          <w:lang w:val="en-GB"/>
        </w:rPr>
        <w:t xml:space="preserve">The consolidation efforts of the last couple of years have seemingly delivered their much-awaited results. It is important to recall that almost every </w:t>
      </w:r>
      <w:r w:rsidR="00B72E3F">
        <w:rPr>
          <w:lang w:val="en-GB"/>
        </w:rPr>
        <w:t>Member State</w:t>
      </w:r>
      <w:r w:rsidRPr="00184430">
        <w:rPr>
          <w:lang w:val="en-GB"/>
        </w:rPr>
        <w:t xml:space="preserve"> engaged in sizeable fiscal stimuli during 2008 and 2009. The few exceptions were Greece, Portugal and Hungary, countries which pursued </w:t>
      </w:r>
      <w:r w:rsidR="00887040">
        <w:rPr>
          <w:lang w:val="en-GB"/>
        </w:rPr>
        <w:t>lax</w:t>
      </w:r>
      <w:r w:rsidRPr="00184430">
        <w:rPr>
          <w:lang w:val="en-GB"/>
        </w:rPr>
        <w:t xml:space="preserve"> fiscal policies before the crisis and did not have any extra fiscal space by the time the global crisis hit Europe in 2008. As benchmark interest rates were close to zero right from the very start of the crisis, fiscal policy was expected to serve as the major tool for feeding aggregate demand in EU economies. As a corollary, the headline deficit number of the general government deteriorated by 6.1 </w:t>
      </w:r>
      <w:r w:rsidR="00CA0E55" w:rsidRPr="00184430">
        <w:rPr>
          <w:lang w:val="en-GB"/>
        </w:rPr>
        <w:t>percentage points</w:t>
      </w:r>
      <w:r w:rsidRPr="00184430">
        <w:rPr>
          <w:lang w:val="en-GB"/>
        </w:rPr>
        <w:t>, on average</w:t>
      </w:r>
      <w:r w:rsidR="00362D23">
        <w:rPr>
          <w:lang w:val="en-GB"/>
        </w:rPr>
        <w:t>,</w:t>
      </w:r>
      <w:r w:rsidRPr="00184430">
        <w:rPr>
          <w:lang w:val="en-GB"/>
        </w:rPr>
        <w:t xml:space="preserve"> between 2007 and 2009. Debt ratios have increased substantially and </w:t>
      </w:r>
      <w:r w:rsidR="00CC0940">
        <w:rPr>
          <w:lang w:val="en-GB"/>
        </w:rPr>
        <w:t xml:space="preserve">are </w:t>
      </w:r>
      <w:r w:rsidRPr="00184430">
        <w:rPr>
          <w:lang w:val="en-GB"/>
        </w:rPr>
        <w:t xml:space="preserve">still on the ascent. In 2007, the </w:t>
      </w:r>
      <w:r w:rsidR="00CA0E55" w:rsidRPr="00184430">
        <w:rPr>
          <w:lang w:val="en-GB"/>
        </w:rPr>
        <w:t xml:space="preserve">average </w:t>
      </w:r>
      <w:r w:rsidRPr="00184430">
        <w:rPr>
          <w:lang w:val="en-GB"/>
        </w:rPr>
        <w:t xml:space="preserve">debt ratio </w:t>
      </w:r>
      <w:r w:rsidR="00CA0E55" w:rsidRPr="00184430">
        <w:rPr>
          <w:lang w:val="en-GB"/>
        </w:rPr>
        <w:t xml:space="preserve">of EU economies </w:t>
      </w:r>
      <w:r w:rsidRPr="00184430">
        <w:rPr>
          <w:lang w:val="en-GB"/>
        </w:rPr>
        <w:t>was at 44.4</w:t>
      </w:r>
      <w:r w:rsidR="001D3B9C">
        <w:rPr>
          <w:lang w:val="en-GB"/>
        </w:rPr>
        <w:t xml:space="preserve"> per cent</w:t>
      </w:r>
      <w:r w:rsidR="00CC0940">
        <w:rPr>
          <w:lang w:val="en-GB"/>
        </w:rPr>
        <w:t xml:space="preserve">, but by </w:t>
      </w:r>
      <w:r w:rsidR="003E1F0C">
        <w:rPr>
          <w:lang w:val="en-GB"/>
        </w:rPr>
        <w:t>2014</w:t>
      </w:r>
      <w:r w:rsidR="000F735C">
        <w:rPr>
          <w:lang w:val="en-GB"/>
        </w:rPr>
        <w:t xml:space="preserve"> it </w:t>
      </w:r>
      <w:r w:rsidR="007B256C">
        <w:rPr>
          <w:lang w:val="en-GB"/>
        </w:rPr>
        <w:t xml:space="preserve">got </w:t>
      </w:r>
      <w:r w:rsidR="000F735C">
        <w:rPr>
          <w:lang w:val="en-GB"/>
        </w:rPr>
        <w:t xml:space="preserve">close to </w:t>
      </w:r>
      <w:r w:rsidR="00155B1B">
        <w:rPr>
          <w:lang w:val="en-GB"/>
        </w:rPr>
        <w:t>90</w:t>
      </w:r>
      <w:r w:rsidR="001D3B9C">
        <w:rPr>
          <w:lang w:val="en-GB"/>
        </w:rPr>
        <w:t xml:space="preserve"> per cent</w:t>
      </w:r>
      <w:r w:rsidR="00155B1B">
        <w:rPr>
          <w:lang w:val="en-GB"/>
        </w:rPr>
        <w:t xml:space="preserve"> (European Commission 2014</w:t>
      </w:r>
      <w:r w:rsidR="000F735C">
        <w:rPr>
          <w:lang w:val="en-GB"/>
        </w:rPr>
        <w:t>a</w:t>
      </w:r>
      <w:r w:rsidR="004B4798">
        <w:rPr>
          <w:lang w:val="en-GB"/>
        </w:rPr>
        <w:t>, p.</w:t>
      </w:r>
      <w:r w:rsidR="00155B1B">
        <w:rPr>
          <w:lang w:val="en-GB"/>
        </w:rPr>
        <w:t xml:space="preserve"> 164)</w:t>
      </w:r>
      <w:r w:rsidRPr="00184430">
        <w:rPr>
          <w:lang w:val="en-GB"/>
        </w:rPr>
        <w:t xml:space="preserve">. </w:t>
      </w:r>
    </w:p>
    <w:p w:rsidR="00382260" w:rsidRPr="00184430" w:rsidRDefault="00382260">
      <w:pPr>
        <w:spacing w:line="276" w:lineRule="auto"/>
        <w:jc w:val="both"/>
        <w:rPr>
          <w:lang w:val="en-GB"/>
        </w:rPr>
      </w:pPr>
    </w:p>
    <w:p w:rsidR="00382260" w:rsidRDefault="00382260">
      <w:pPr>
        <w:spacing w:line="276" w:lineRule="auto"/>
        <w:jc w:val="both"/>
        <w:rPr>
          <w:lang w:val="en-GB"/>
        </w:rPr>
      </w:pPr>
      <w:r w:rsidRPr="00184430">
        <w:rPr>
          <w:lang w:val="en-GB"/>
        </w:rPr>
        <w:t xml:space="preserve">From 2010 onwards, EU countries have been heavily engaged in robust consolidation efforts. </w:t>
      </w:r>
      <w:r w:rsidR="005832C7">
        <w:rPr>
          <w:lang w:val="en-GB"/>
        </w:rPr>
        <w:t>By 2014, t</w:t>
      </w:r>
      <w:r w:rsidRPr="00184430">
        <w:rPr>
          <w:lang w:val="en-GB"/>
        </w:rPr>
        <w:t xml:space="preserve">he Baltic </w:t>
      </w:r>
      <w:r w:rsidR="00C630CD">
        <w:rPr>
          <w:lang w:val="en-GB"/>
        </w:rPr>
        <w:t>States</w:t>
      </w:r>
      <w:r w:rsidR="00362D23" w:rsidRPr="00184430">
        <w:rPr>
          <w:lang w:val="en-GB"/>
        </w:rPr>
        <w:t xml:space="preserve"> </w:t>
      </w:r>
      <w:r w:rsidR="005832C7">
        <w:rPr>
          <w:lang w:val="en-GB"/>
        </w:rPr>
        <w:t xml:space="preserve">were among the </w:t>
      </w:r>
      <w:r w:rsidRPr="00184430">
        <w:rPr>
          <w:lang w:val="en-GB"/>
        </w:rPr>
        <w:t>best performers in terms of net len</w:t>
      </w:r>
      <w:r w:rsidR="005832C7">
        <w:rPr>
          <w:lang w:val="en-GB"/>
        </w:rPr>
        <w:t>ding and primary deficit</w:t>
      </w:r>
      <w:r w:rsidRPr="00184430">
        <w:rPr>
          <w:lang w:val="en-GB"/>
        </w:rPr>
        <w:t>. Greece managed to curb the general government deficit by more than 10</w:t>
      </w:r>
      <w:r w:rsidR="00CA0E55" w:rsidRPr="00184430">
        <w:rPr>
          <w:lang w:val="en-GB"/>
        </w:rPr>
        <w:t xml:space="preserve"> percentage points </w:t>
      </w:r>
      <w:r w:rsidRPr="00184430">
        <w:rPr>
          <w:lang w:val="en-GB"/>
        </w:rPr>
        <w:t xml:space="preserve">in a single year, from a </w:t>
      </w:r>
      <w:r w:rsidR="00BC7993">
        <w:rPr>
          <w:lang w:val="en-GB"/>
        </w:rPr>
        <w:t>strikingly</w:t>
      </w:r>
      <w:r w:rsidRPr="00184430">
        <w:rPr>
          <w:lang w:val="en-GB"/>
        </w:rPr>
        <w:t xml:space="preserve"> high </w:t>
      </w:r>
      <w:r w:rsidR="00362D23">
        <w:rPr>
          <w:lang w:val="en-GB"/>
        </w:rPr>
        <w:t xml:space="preserve">level of </w:t>
      </w:r>
      <w:r w:rsidRPr="00184430">
        <w:rPr>
          <w:lang w:val="en-GB"/>
        </w:rPr>
        <w:t>12.2</w:t>
      </w:r>
      <w:r w:rsidR="001D3B9C">
        <w:rPr>
          <w:lang w:val="en-GB"/>
        </w:rPr>
        <w:t xml:space="preserve"> per cent</w:t>
      </w:r>
      <w:r w:rsidRPr="00184430">
        <w:rPr>
          <w:lang w:val="en-GB"/>
        </w:rPr>
        <w:t xml:space="preserve"> in 2013 to only </w:t>
      </w:r>
      <w:r w:rsidRPr="00184430">
        <w:rPr>
          <w:lang w:val="en-GB"/>
        </w:rPr>
        <w:lastRenderedPageBreak/>
        <w:t>1.6</w:t>
      </w:r>
      <w:r w:rsidR="001D3B9C">
        <w:rPr>
          <w:lang w:val="en-GB"/>
        </w:rPr>
        <w:t xml:space="preserve"> per cent</w:t>
      </w:r>
      <w:r w:rsidRPr="00184430">
        <w:rPr>
          <w:lang w:val="en-GB"/>
        </w:rPr>
        <w:t xml:space="preserve"> in 2014.</w:t>
      </w:r>
      <w:r w:rsidRPr="00155B1B">
        <w:rPr>
          <w:vertAlign w:val="superscript"/>
          <w:lang w:val="en-GB"/>
        </w:rPr>
        <w:t xml:space="preserve"> </w:t>
      </w:r>
      <w:r w:rsidRPr="00184430">
        <w:rPr>
          <w:lang w:val="en-GB"/>
        </w:rPr>
        <w:t>Denmark, Sweden and Germany were also among the best performers in terms of general government balance</w:t>
      </w:r>
      <w:r w:rsidR="00E149A8">
        <w:rPr>
          <w:lang w:val="en-GB"/>
        </w:rPr>
        <w:t>. I</w:t>
      </w:r>
      <w:r w:rsidRPr="00184430">
        <w:rPr>
          <w:lang w:val="en-GB"/>
        </w:rPr>
        <w:t xml:space="preserve">n fact, </w:t>
      </w:r>
      <w:r w:rsidR="00E149A8">
        <w:rPr>
          <w:lang w:val="en-GB"/>
        </w:rPr>
        <w:t xml:space="preserve">Germany achieved </w:t>
      </w:r>
      <w:r w:rsidRPr="00184430">
        <w:rPr>
          <w:lang w:val="en-GB"/>
        </w:rPr>
        <w:t xml:space="preserve">a slight surplus </w:t>
      </w:r>
      <w:r w:rsidR="00E149A8">
        <w:rPr>
          <w:lang w:val="en-GB"/>
        </w:rPr>
        <w:t>by</w:t>
      </w:r>
      <w:r w:rsidR="00EF48CF">
        <w:rPr>
          <w:lang w:val="en-GB"/>
        </w:rPr>
        <w:t xml:space="preserve"> substantially repressing</w:t>
      </w:r>
      <w:r w:rsidRPr="00184430">
        <w:rPr>
          <w:lang w:val="en-GB"/>
        </w:rPr>
        <w:t xml:space="preserve"> its aggregate demand as a result of a strong dedication to consolidating its public finances. The country had the highest primary balance in the EU in the last three consecutive years, which </w:t>
      </w:r>
      <w:r w:rsidR="00362D23">
        <w:rPr>
          <w:lang w:val="en-GB"/>
        </w:rPr>
        <w:t>was</w:t>
      </w:r>
      <w:r w:rsidRPr="00184430">
        <w:rPr>
          <w:lang w:val="en-GB"/>
        </w:rPr>
        <w:t xml:space="preserve"> clearly reflected in its current account position as well. At the other end of the spectrum, crisis-hit economies such as Spain and Portugal</w:t>
      </w:r>
      <w:r w:rsidR="00EF48CF">
        <w:rPr>
          <w:lang w:val="en-GB"/>
        </w:rPr>
        <w:t>,</w:t>
      </w:r>
      <w:r w:rsidRPr="00184430">
        <w:rPr>
          <w:lang w:val="en-GB"/>
        </w:rPr>
        <w:t xml:space="preserve"> Slovenia, plus France and the UK </w:t>
      </w:r>
      <w:r w:rsidR="00362D23">
        <w:rPr>
          <w:lang w:val="en-GB"/>
        </w:rPr>
        <w:t>had a deficit of at least 4.4</w:t>
      </w:r>
      <w:r w:rsidR="001D3B9C">
        <w:rPr>
          <w:lang w:val="en-GB"/>
        </w:rPr>
        <w:t xml:space="preserve"> per cent</w:t>
      </w:r>
      <w:r w:rsidR="00362D23">
        <w:rPr>
          <w:lang w:val="en-GB"/>
        </w:rPr>
        <w:t xml:space="preserve"> </w:t>
      </w:r>
      <w:r w:rsidRPr="00184430">
        <w:rPr>
          <w:lang w:val="en-GB"/>
        </w:rPr>
        <w:t xml:space="preserve">in </w:t>
      </w:r>
      <w:r w:rsidR="00341AEB" w:rsidRPr="00184430">
        <w:rPr>
          <w:lang w:val="en-GB"/>
        </w:rPr>
        <w:t>2014</w:t>
      </w:r>
      <w:r w:rsidRPr="00184430">
        <w:rPr>
          <w:lang w:val="en-GB"/>
        </w:rPr>
        <w:t xml:space="preserve">. </w:t>
      </w:r>
      <w:r w:rsidR="00C630CD">
        <w:rPr>
          <w:lang w:val="en-GB"/>
        </w:rPr>
        <w:t xml:space="preserve">With the exception of the UK, this reflects </w:t>
      </w:r>
      <w:r w:rsidR="00362D23">
        <w:rPr>
          <w:lang w:val="en-GB"/>
        </w:rPr>
        <w:t xml:space="preserve">disappointing growth dynamism. Public finances data demonstrate that </w:t>
      </w:r>
      <w:proofErr w:type="spellStart"/>
      <w:r w:rsidR="00374EE8">
        <w:rPr>
          <w:lang w:val="en-GB"/>
        </w:rPr>
        <w:t>e</w:t>
      </w:r>
      <w:r w:rsidRPr="00184430">
        <w:rPr>
          <w:lang w:val="en-GB"/>
        </w:rPr>
        <w:t>urozone</w:t>
      </w:r>
      <w:proofErr w:type="spellEnd"/>
      <w:r w:rsidRPr="00184430">
        <w:rPr>
          <w:lang w:val="en-GB"/>
        </w:rPr>
        <w:t xml:space="preserve"> membership itself, the core-periphery divide or the distinction between old and new </w:t>
      </w:r>
      <w:r w:rsidR="00B72E3F">
        <w:rPr>
          <w:lang w:val="en-GB"/>
        </w:rPr>
        <w:t>Member State</w:t>
      </w:r>
      <w:r w:rsidRPr="00184430">
        <w:rPr>
          <w:lang w:val="en-GB"/>
        </w:rPr>
        <w:t xml:space="preserve">s does not make a difference at all in terms of </w:t>
      </w:r>
      <w:r w:rsidR="00362D23">
        <w:rPr>
          <w:lang w:val="en-GB"/>
        </w:rPr>
        <w:t>‘</w:t>
      </w:r>
      <w:r w:rsidRPr="00184430">
        <w:rPr>
          <w:lang w:val="en-GB"/>
        </w:rPr>
        <w:t>fiscal discipline</w:t>
      </w:r>
      <w:r w:rsidR="00206E67">
        <w:rPr>
          <w:lang w:val="en-GB"/>
        </w:rPr>
        <w:t>’</w:t>
      </w:r>
      <w:r w:rsidRPr="00184430">
        <w:rPr>
          <w:lang w:val="en-GB"/>
        </w:rPr>
        <w:t>.</w:t>
      </w:r>
    </w:p>
    <w:p w:rsidR="00A87EAF" w:rsidRDefault="00A87EAF">
      <w:pPr>
        <w:jc w:val="both"/>
        <w:rPr>
          <w:lang w:val="en-GB"/>
        </w:rPr>
      </w:pPr>
    </w:p>
    <w:p w:rsidR="00A87EAF" w:rsidRDefault="00382260">
      <w:pPr>
        <w:spacing w:line="276" w:lineRule="auto"/>
        <w:jc w:val="both"/>
        <w:rPr>
          <w:lang w:val="en-GB"/>
        </w:rPr>
      </w:pPr>
      <w:r w:rsidRPr="00184430">
        <w:rPr>
          <w:lang w:val="en-GB"/>
        </w:rPr>
        <w:t>Table</w:t>
      </w:r>
      <w:r w:rsidR="00341AEB" w:rsidRPr="00184430">
        <w:rPr>
          <w:lang w:val="en-GB"/>
        </w:rPr>
        <w:t xml:space="preserve"> 5.</w:t>
      </w:r>
      <w:r w:rsidRPr="00184430">
        <w:rPr>
          <w:lang w:val="en-GB"/>
        </w:rPr>
        <w:t xml:space="preserve"> </w:t>
      </w:r>
      <w:r w:rsidR="00341AEB" w:rsidRPr="00184430">
        <w:rPr>
          <w:lang w:val="en-GB"/>
        </w:rPr>
        <w:t>Average general government budget balances (</w:t>
      </w:r>
      <w:r w:rsidR="000A73C1">
        <w:rPr>
          <w:lang w:val="en-GB"/>
        </w:rPr>
        <w:t>in</w:t>
      </w:r>
      <w:r w:rsidR="00341AEB" w:rsidRPr="00184430">
        <w:rPr>
          <w:lang w:val="en-GB"/>
        </w:rPr>
        <w:t xml:space="preserve"> </w:t>
      </w:r>
      <w:r w:rsidR="001D3B9C">
        <w:rPr>
          <w:lang w:val="en-GB"/>
        </w:rPr>
        <w:t>percent</w:t>
      </w:r>
      <w:r w:rsidR="000A73C1">
        <w:rPr>
          <w:lang w:val="en-GB"/>
        </w:rPr>
        <w:t>ages</w:t>
      </w:r>
      <w:r w:rsidR="00341AEB" w:rsidRPr="00184430">
        <w:rPr>
          <w:lang w:val="en-GB"/>
        </w:rPr>
        <w:t xml:space="preserve"> of GDP) in the EU, </w:t>
      </w:r>
      <w:r w:rsidR="00374EE8" w:rsidRPr="00184430">
        <w:rPr>
          <w:lang w:val="en-GB"/>
        </w:rPr>
        <w:t xml:space="preserve">and the best and worst performing </w:t>
      </w:r>
      <w:r w:rsidR="00B72E3F">
        <w:rPr>
          <w:lang w:val="en-GB"/>
        </w:rPr>
        <w:t>Member State</w:t>
      </w:r>
      <w:r w:rsidR="00374EE8">
        <w:rPr>
          <w:lang w:val="en-GB"/>
        </w:rPr>
        <w:t>s</w:t>
      </w:r>
    </w:p>
    <w:p w:rsidR="00A87EAF" w:rsidRDefault="00A87EAF">
      <w:pPr>
        <w:jc w:val="both"/>
        <w:rPr>
          <w:b/>
          <w:lang w:val="en-GB"/>
        </w:rPr>
      </w:pPr>
    </w:p>
    <w:tbl>
      <w:tblPr>
        <w:tblStyle w:val="Rcsostblzat"/>
        <w:tblW w:w="9322" w:type="dxa"/>
        <w:jc w:val="center"/>
        <w:tblLook w:val="04A0"/>
      </w:tblPr>
      <w:tblGrid>
        <w:gridCol w:w="1510"/>
        <w:gridCol w:w="1510"/>
        <w:gridCol w:w="1510"/>
        <w:gridCol w:w="1510"/>
        <w:gridCol w:w="1511"/>
        <w:gridCol w:w="1771"/>
      </w:tblGrid>
      <w:tr w:rsidR="00382260" w:rsidRPr="00184430" w:rsidTr="008A3B8B">
        <w:trPr>
          <w:jc w:val="center"/>
        </w:trPr>
        <w:tc>
          <w:tcPr>
            <w:tcW w:w="1510" w:type="dxa"/>
          </w:tcPr>
          <w:p w:rsidR="00A87EAF" w:rsidRDefault="00A87EAF">
            <w:pPr>
              <w:jc w:val="both"/>
              <w:rPr>
                <w:b/>
                <w:sz w:val="20"/>
                <w:szCs w:val="20"/>
                <w:lang w:val="en-GB"/>
              </w:rPr>
            </w:pPr>
          </w:p>
        </w:tc>
        <w:tc>
          <w:tcPr>
            <w:tcW w:w="1510" w:type="dxa"/>
          </w:tcPr>
          <w:p w:rsidR="00A87EAF" w:rsidRDefault="00382260" w:rsidP="007C0D75">
            <w:pPr>
              <w:jc w:val="center"/>
              <w:rPr>
                <w:b/>
                <w:sz w:val="20"/>
                <w:szCs w:val="20"/>
                <w:lang w:val="en-GB"/>
              </w:rPr>
            </w:pPr>
            <w:r w:rsidRPr="00184430">
              <w:rPr>
                <w:b/>
                <w:sz w:val="20"/>
                <w:szCs w:val="20"/>
                <w:lang w:val="en-GB"/>
              </w:rPr>
              <w:t>2010</w:t>
            </w:r>
          </w:p>
        </w:tc>
        <w:tc>
          <w:tcPr>
            <w:tcW w:w="1510" w:type="dxa"/>
          </w:tcPr>
          <w:p w:rsidR="00A87EAF" w:rsidRDefault="00382260" w:rsidP="007C0D75">
            <w:pPr>
              <w:jc w:val="center"/>
              <w:rPr>
                <w:b/>
                <w:sz w:val="20"/>
                <w:szCs w:val="20"/>
                <w:lang w:val="en-GB"/>
              </w:rPr>
            </w:pPr>
            <w:r w:rsidRPr="00184430">
              <w:rPr>
                <w:b/>
                <w:sz w:val="20"/>
                <w:szCs w:val="20"/>
                <w:lang w:val="en-GB"/>
              </w:rPr>
              <w:t>2011</w:t>
            </w:r>
          </w:p>
        </w:tc>
        <w:tc>
          <w:tcPr>
            <w:tcW w:w="1510" w:type="dxa"/>
          </w:tcPr>
          <w:p w:rsidR="00A87EAF" w:rsidRDefault="00382260" w:rsidP="007C0D75">
            <w:pPr>
              <w:jc w:val="center"/>
              <w:rPr>
                <w:b/>
                <w:sz w:val="20"/>
                <w:szCs w:val="20"/>
                <w:lang w:val="en-GB"/>
              </w:rPr>
            </w:pPr>
            <w:r w:rsidRPr="00184430">
              <w:rPr>
                <w:b/>
                <w:sz w:val="20"/>
                <w:szCs w:val="20"/>
                <w:lang w:val="en-GB"/>
              </w:rPr>
              <w:t>2012</w:t>
            </w:r>
          </w:p>
        </w:tc>
        <w:tc>
          <w:tcPr>
            <w:tcW w:w="1511" w:type="dxa"/>
          </w:tcPr>
          <w:p w:rsidR="00A87EAF" w:rsidRDefault="00382260" w:rsidP="007C0D75">
            <w:pPr>
              <w:jc w:val="center"/>
              <w:rPr>
                <w:b/>
                <w:sz w:val="20"/>
                <w:szCs w:val="20"/>
                <w:lang w:val="en-GB"/>
              </w:rPr>
            </w:pPr>
            <w:r w:rsidRPr="00184430">
              <w:rPr>
                <w:b/>
                <w:sz w:val="20"/>
                <w:szCs w:val="20"/>
                <w:lang w:val="en-GB"/>
              </w:rPr>
              <w:t>2013</w:t>
            </w:r>
          </w:p>
        </w:tc>
        <w:tc>
          <w:tcPr>
            <w:tcW w:w="1771" w:type="dxa"/>
          </w:tcPr>
          <w:p w:rsidR="00A87EAF" w:rsidRDefault="00382260" w:rsidP="007C0D75">
            <w:pPr>
              <w:jc w:val="center"/>
              <w:rPr>
                <w:b/>
                <w:sz w:val="20"/>
                <w:szCs w:val="20"/>
                <w:lang w:val="en-GB"/>
              </w:rPr>
            </w:pPr>
            <w:r w:rsidRPr="00184430">
              <w:rPr>
                <w:b/>
                <w:sz w:val="20"/>
                <w:szCs w:val="20"/>
                <w:lang w:val="en-GB"/>
              </w:rPr>
              <w:t>2014</w:t>
            </w:r>
            <w:r w:rsidR="00341AEB" w:rsidRPr="00184430">
              <w:rPr>
                <w:b/>
                <w:sz w:val="20"/>
                <w:szCs w:val="20"/>
                <w:lang w:val="en-GB"/>
              </w:rPr>
              <w:t>*</w:t>
            </w:r>
          </w:p>
        </w:tc>
      </w:tr>
      <w:tr w:rsidR="00382260" w:rsidRPr="00184430" w:rsidTr="008A3B8B">
        <w:trPr>
          <w:jc w:val="center"/>
        </w:trPr>
        <w:tc>
          <w:tcPr>
            <w:tcW w:w="1510" w:type="dxa"/>
            <w:vAlign w:val="center"/>
          </w:tcPr>
          <w:p w:rsidR="00A87EAF" w:rsidRDefault="00382260">
            <w:pPr>
              <w:jc w:val="both"/>
              <w:rPr>
                <w:b/>
                <w:sz w:val="20"/>
                <w:szCs w:val="20"/>
                <w:lang w:val="en-GB"/>
              </w:rPr>
            </w:pPr>
            <w:r w:rsidRPr="008A3B8B">
              <w:rPr>
                <w:b/>
                <w:sz w:val="20"/>
                <w:szCs w:val="20"/>
                <w:lang w:val="en-GB"/>
              </w:rPr>
              <w:t>Mean</w:t>
            </w:r>
          </w:p>
        </w:tc>
        <w:tc>
          <w:tcPr>
            <w:tcW w:w="1510" w:type="dxa"/>
          </w:tcPr>
          <w:p w:rsidR="00A87EAF" w:rsidRDefault="00382260" w:rsidP="007C0D75">
            <w:pPr>
              <w:jc w:val="right"/>
              <w:rPr>
                <w:sz w:val="20"/>
                <w:szCs w:val="20"/>
                <w:lang w:val="en-GB"/>
              </w:rPr>
            </w:pPr>
            <w:r w:rsidRPr="00184430">
              <w:rPr>
                <w:sz w:val="20"/>
                <w:szCs w:val="20"/>
                <w:lang w:val="en-GB"/>
              </w:rPr>
              <w:t>-6.3</w:t>
            </w:r>
          </w:p>
        </w:tc>
        <w:tc>
          <w:tcPr>
            <w:tcW w:w="1510" w:type="dxa"/>
          </w:tcPr>
          <w:p w:rsidR="00A87EAF" w:rsidRDefault="00382260" w:rsidP="007C0D75">
            <w:pPr>
              <w:jc w:val="right"/>
              <w:rPr>
                <w:sz w:val="20"/>
                <w:szCs w:val="20"/>
                <w:lang w:val="en-GB"/>
              </w:rPr>
            </w:pPr>
            <w:r w:rsidRPr="00184430">
              <w:rPr>
                <w:sz w:val="20"/>
                <w:szCs w:val="20"/>
                <w:lang w:val="en-GB"/>
              </w:rPr>
              <w:t>-4.6</w:t>
            </w:r>
          </w:p>
        </w:tc>
        <w:tc>
          <w:tcPr>
            <w:tcW w:w="1510" w:type="dxa"/>
          </w:tcPr>
          <w:p w:rsidR="00A87EAF" w:rsidRDefault="00382260" w:rsidP="007C0D75">
            <w:pPr>
              <w:jc w:val="right"/>
              <w:rPr>
                <w:sz w:val="20"/>
                <w:szCs w:val="20"/>
                <w:lang w:val="en-GB"/>
              </w:rPr>
            </w:pPr>
            <w:r w:rsidRPr="00184430">
              <w:rPr>
                <w:sz w:val="20"/>
                <w:szCs w:val="20"/>
                <w:lang w:val="en-GB"/>
              </w:rPr>
              <w:t>-3.8</w:t>
            </w:r>
          </w:p>
        </w:tc>
        <w:tc>
          <w:tcPr>
            <w:tcW w:w="1511" w:type="dxa"/>
          </w:tcPr>
          <w:p w:rsidR="00A87EAF" w:rsidRDefault="00382260" w:rsidP="007C0D75">
            <w:pPr>
              <w:jc w:val="right"/>
              <w:rPr>
                <w:sz w:val="20"/>
                <w:szCs w:val="20"/>
                <w:lang w:val="en-GB"/>
              </w:rPr>
            </w:pPr>
            <w:r w:rsidRPr="00184430">
              <w:rPr>
                <w:sz w:val="20"/>
                <w:szCs w:val="20"/>
                <w:lang w:val="en-GB"/>
              </w:rPr>
              <w:t>-3.5</w:t>
            </w:r>
          </w:p>
        </w:tc>
        <w:tc>
          <w:tcPr>
            <w:tcW w:w="1771" w:type="dxa"/>
          </w:tcPr>
          <w:p w:rsidR="00A87EAF" w:rsidRDefault="00382260" w:rsidP="007C0D75">
            <w:pPr>
              <w:jc w:val="right"/>
              <w:rPr>
                <w:sz w:val="20"/>
                <w:szCs w:val="20"/>
                <w:lang w:val="en-GB"/>
              </w:rPr>
            </w:pPr>
            <w:r w:rsidRPr="00184430">
              <w:rPr>
                <w:sz w:val="20"/>
                <w:szCs w:val="20"/>
                <w:lang w:val="en-GB"/>
              </w:rPr>
              <w:t>-2.8</w:t>
            </w:r>
          </w:p>
        </w:tc>
      </w:tr>
      <w:tr w:rsidR="00382260" w:rsidRPr="00184430" w:rsidTr="00374EE8">
        <w:trPr>
          <w:jc w:val="center"/>
        </w:trPr>
        <w:tc>
          <w:tcPr>
            <w:tcW w:w="1510" w:type="dxa"/>
            <w:vAlign w:val="center"/>
          </w:tcPr>
          <w:p w:rsidR="00A87EAF" w:rsidRDefault="00382260">
            <w:pPr>
              <w:jc w:val="both"/>
              <w:rPr>
                <w:b/>
                <w:sz w:val="20"/>
                <w:szCs w:val="20"/>
                <w:lang w:val="en-GB"/>
              </w:rPr>
            </w:pPr>
            <w:r w:rsidRPr="008A3B8B">
              <w:rPr>
                <w:b/>
                <w:sz w:val="20"/>
                <w:szCs w:val="20"/>
                <w:lang w:val="en-GB"/>
              </w:rPr>
              <w:t>St</w:t>
            </w:r>
            <w:r w:rsidR="008A3B8B" w:rsidRPr="008A3B8B">
              <w:rPr>
                <w:b/>
                <w:sz w:val="20"/>
                <w:szCs w:val="20"/>
                <w:lang w:val="en-GB"/>
              </w:rPr>
              <w:t>andard</w:t>
            </w:r>
            <w:r w:rsidRPr="008A3B8B">
              <w:rPr>
                <w:b/>
                <w:sz w:val="20"/>
                <w:szCs w:val="20"/>
                <w:lang w:val="en-GB"/>
              </w:rPr>
              <w:t xml:space="preserve"> deviation</w:t>
            </w:r>
          </w:p>
        </w:tc>
        <w:tc>
          <w:tcPr>
            <w:tcW w:w="1510" w:type="dxa"/>
            <w:vAlign w:val="center"/>
          </w:tcPr>
          <w:p w:rsidR="00A87EAF" w:rsidRDefault="00382260" w:rsidP="007C0D75">
            <w:pPr>
              <w:jc w:val="right"/>
              <w:rPr>
                <w:sz w:val="20"/>
                <w:szCs w:val="20"/>
                <w:lang w:val="en-GB"/>
              </w:rPr>
            </w:pPr>
            <w:r w:rsidRPr="00184430">
              <w:rPr>
                <w:sz w:val="20"/>
                <w:szCs w:val="20"/>
                <w:lang w:val="en-GB"/>
              </w:rPr>
              <w:t>5.8</w:t>
            </w:r>
          </w:p>
        </w:tc>
        <w:tc>
          <w:tcPr>
            <w:tcW w:w="1510" w:type="dxa"/>
            <w:vAlign w:val="center"/>
          </w:tcPr>
          <w:p w:rsidR="00A87EAF" w:rsidRDefault="00382260" w:rsidP="007C0D75">
            <w:pPr>
              <w:jc w:val="right"/>
              <w:rPr>
                <w:sz w:val="20"/>
                <w:szCs w:val="20"/>
                <w:lang w:val="en-GB"/>
              </w:rPr>
            </w:pPr>
            <w:r w:rsidRPr="00184430">
              <w:rPr>
                <w:sz w:val="20"/>
                <w:szCs w:val="20"/>
                <w:lang w:val="en-GB"/>
              </w:rPr>
              <w:t>3.3</w:t>
            </w:r>
          </w:p>
        </w:tc>
        <w:tc>
          <w:tcPr>
            <w:tcW w:w="1510" w:type="dxa"/>
            <w:vAlign w:val="center"/>
          </w:tcPr>
          <w:p w:rsidR="00A87EAF" w:rsidRDefault="00382260" w:rsidP="007C0D75">
            <w:pPr>
              <w:jc w:val="right"/>
              <w:rPr>
                <w:sz w:val="20"/>
                <w:szCs w:val="20"/>
                <w:lang w:val="en-GB"/>
              </w:rPr>
            </w:pPr>
            <w:r w:rsidRPr="00184430">
              <w:rPr>
                <w:sz w:val="20"/>
                <w:szCs w:val="20"/>
                <w:lang w:val="en-GB"/>
              </w:rPr>
              <w:t>2.6</w:t>
            </w:r>
          </w:p>
        </w:tc>
        <w:tc>
          <w:tcPr>
            <w:tcW w:w="1511" w:type="dxa"/>
            <w:vAlign w:val="center"/>
          </w:tcPr>
          <w:p w:rsidR="00A87EAF" w:rsidRDefault="00382260" w:rsidP="007C0D75">
            <w:pPr>
              <w:jc w:val="right"/>
              <w:rPr>
                <w:sz w:val="20"/>
                <w:szCs w:val="20"/>
                <w:lang w:val="en-GB"/>
              </w:rPr>
            </w:pPr>
            <w:r w:rsidRPr="00184430">
              <w:rPr>
                <w:sz w:val="20"/>
                <w:szCs w:val="20"/>
                <w:lang w:val="en-GB"/>
              </w:rPr>
              <w:t>3.3</w:t>
            </w:r>
          </w:p>
        </w:tc>
        <w:tc>
          <w:tcPr>
            <w:tcW w:w="1771" w:type="dxa"/>
            <w:vAlign w:val="center"/>
          </w:tcPr>
          <w:p w:rsidR="00A87EAF" w:rsidRDefault="00382260" w:rsidP="007C0D75">
            <w:pPr>
              <w:jc w:val="right"/>
              <w:rPr>
                <w:sz w:val="20"/>
                <w:szCs w:val="20"/>
                <w:lang w:val="en-GB"/>
              </w:rPr>
            </w:pPr>
            <w:r w:rsidRPr="00184430">
              <w:rPr>
                <w:sz w:val="20"/>
                <w:szCs w:val="20"/>
                <w:lang w:val="en-GB"/>
              </w:rPr>
              <w:t>1.6</w:t>
            </w:r>
          </w:p>
        </w:tc>
      </w:tr>
      <w:tr w:rsidR="00382260" w:rsidRPr="00184430" w:rsidTr="008A3B8B">
        <w:trPr>
          <w:jc w:val="center"/>
        </w:trPr>
        <w:tc>
          <w:tcPr>
            <w:tcW w:w="1510" w:type="dxa"/>
            <w:vAlign w:val="center"/>
          </w:tcPr>
          <w:p w:rsidR="00A87EAF" w:rsidRDefault="00382260">
            <w:pPr>
              <w:jc w:val="both"/>
              <w:rPr>
                <w:b/>
                <w:sz w:val="20"/>
                <w:szCs w:val="20"/>
                <w:lang w:val="en-GB"/>
              </w:rPr>
            </w:pPr>
            <w:r w:rsidRPr="008A3B8B">
              <w:rPr>
                <w:b/>
                <w:sz w:val="20"/>
                <w:szCs w:val="20"/>
                <w:lang w:val="en-GB"/>
              </w:rPr>
              <w:t>Best performers</w:t>
            </w:r>
          </w:p>
        </w:tc>
        <w:tc>
          <w:tcPr>
            <w:tcW w:w="1510" w:type="dxa"/>
          </w:tcPr>
          <w:p w:rsidR="00A87EAF" w:rsidRDefault="00382260">
            <w:pPr>
              <w:jc w:val="both"/>
              <w:rPr>
                <w:sz w:val="20"/>
                <w:szCs w:val="20"/>
                <w:lang w:val="en-GB"/>
              </w:rPr>
            </w:pPr>
            <w:r w:rsidRPr="00184430">
              <w:rPr>
                <w:sz w:val="20"/>
                <w:szCs w:val="20"/>
                <w:lang w:val="en-GB"/>
              </w:rPr>
              <w:t>Estonia (0.2)</w:t>
            </w:r>
          </w:p>
          <w:p w:rsidR="00A87EAF" w:rsidRDefault="00382260">
            <w:pPr>
              <w:jc w:val="both"/>
              <w:rPr>
                <w:sz w:val="20"/>
                <w:szCs w:val="20"/>
                <w:lang w:val="en-GB"/>
              </w:rPr>
            </w:pPr>
            <w:r w:rsidRPr="00184430">
              <w:rPr>
                <w:sz w:val="20"/>
                <w:szCs w:val="20"/>
                <w:lang w:val="en-GB"/>
              </w:rPr>
              <w:t>Sweden (0.0)</w:t>
            </w:r>
          </w:p>
        </w:tc>
        <w:tc>
          <w:tcPr>
            <w:tcW w:w="1510" w:type="dxa"/>
          </w:tcPr>
          <w:p w:rsidR="00A87EAF" w:rsidRDefault="000A73C1">
            <w:pPr>
              <w:jc w:val="both"/>
              <w:rPr>
                <w:sz w:val="20"/>
                <w:szCs w:val="20"/>
                <w:lang w:val="en-GB"/>
              </w:rPr>
            </w:pPr>
            <w:r w:rsidRPr="00184430">
              <w:rPr>
                <w:sz w:val="20"/>
                <w:szCs w:val="20"/>
                <w:lang w:val="en-GB"/>
              </w:rPr>
              <w:t>Estonia (1.0)</w:t>
            </w:r>
          </w:p>
          <w:p w:rsidR="00A87EAF" w:rsidRDefault="000A73C1">
            <w:pPr>
              <w:jc w:val="both"/>
              <w:rPr>
                <w:sz w:val="20"/>
                <w:szCs w:val="20"/>
                <w:lang w:val="en-GB"/>
              </w:rPr>
            </w:pPr>
            <w:r w:rsidRPr="00184430">
              <w:rPr>
                <w:sz w:val="20"/>
                <w:szCs w:val="20"/>
                <w:lang w:val="en-GB"/>
              </w:rPr>
              <w:t>Luxembourg (0.3)</w:t>
            </w:r>
          </w:p>
          <w:p w:rsidR="00A87EAF" w:rsidRDefault="000A73C1">
            <w:pPr>
              <w:jc w:val="both"/>
              <w:rPr>
                <w:sz w:val="20"/>
                <w:szCs w:val="20"/>
                <w:lang w:val="en-GB"/>
              </w:rPr>
            </w:pPr>
            <w:r w:rsidRPr="00184430">
              <w:rPr>
                <w:sz w:val="20"/>
                <w:szCs w:val="20"/>
                <w:lang w:val="en-GB"/>
              </w:rPr>
              <w:t>Sweden (-0.1)</w:t>
            </w:r>
          </w:p>
          <w:p w:rsidR="00A87EAF" w:rsidRDefault="00382260">
            <w:pPr>
              <w:jc w:val="both"/>
              <w:rPr>
                <w:sz w:val="20"/>
                <w:szCs w:val="20"/>
                <w:lang w:val="en-GB"/>
              </w:rPr>
            </w:pPr>
            <w:r w:rsidRPr="00184430">
              <w:rPr>
                <w:sz w:val="20"/>
                <w:szCs w:val="20"/>
                <w:lang w:val="en-GB"/>
              </w:rPr>
              <w:t>Germany (-0.9)</w:t>
            </w:r>
          </w:p>
          <w:p w:rsidR="00A87EAF" w:rsidRDefault="00382260">
            <w:pPr>
              <w:jc w:val="both"/>
              <w:rPr>
                <w:sz w:val="20"/>
                <w:szCs w:val="20"/>
                <w:lang w:val="en-GB"/>
              </w:rPr>
            </w:pPr>
            <w:r w:rsidRPr="00184430">
              <w:rPr>
                <w:sz w:val="20"/>
                <w:szCs w:val="20"/>
                <w:lang w:val="en-GB"/>
              </w:rPr>
              <w:t>Finland (-1.0)</w:t>
            </w:r>
          </w:p>
        </w:tc>
        <w:tc>
          <w:tcPr>
            <w:tcW w:w="1510" w:type="dxa"/>
          </w:tcPr>
          <w:p w:rsidR="00A87EAF" w:rsidRDefault="000A73C1">
            <w:pPr>
              <w:jc w:val="both"/>
              <w:rPr>
                <w:sz w:val="20"/>
                <w:szCs w:val="20"/>
                <w:lang w:val="en-GB"/>
              </w:rPr>
            </w:pPr>
            <w:r w:rsidRPr="00184430">
              <w:rPr>
                <w:sz w:val="20"/>
                <w:szCs w:val="20"/>
                <w:lang w:val="en-GB"/>
              </w:rPr>
              <w:t>Germany (0.1)</w:t>
            </w:r>
          </w:p>
          <w:p w:rsidR="00A87EAF" w:rsidRDefault="000A73C1">
            <w:pPr>
              <w:jc w:val="both"/>
              <w:rPr>
                <w:sz w:val="20"/>
                <w:szCs w:val="20"/>
                <w:lang w:val="en-GB"/>
              </w:rPr>
            </w:pPr>
            <w:r w:rsidRPr="00184430">
              <w:rPr>
                <w:sz w:val="20"/>
                <w:szCs w:val="20"/>
                <w:lang w:val="en-GB"/>
              </w:rPr>
              <w:t>Luxembourg (0.1)</w:t>
            </w:r>
          </w:p>
          <w:p w:rsidR="00A87EAF" w:rsidRDefault="000A73C1">
            <w:pPr>
              <w:jc w:val="both"/>
              <w:rPr>
                <w:sz w:val="20"/>
                <w:szCs w:val="20"/>
                <w:lang w:val="en-GB"/>
              </w:rPr>
            </w:pPr>
            <w:r w:rsidRPr="00184430">
              <w:rPr>
                <w:sz w:val="20"/>
                <w:szCs w:val="20"/>
                <w:lang w:val="en-GB"/>
              </w:rPr>
              <w:t>Estonia (-0.3)</w:t>
            </w:r>
          </w:p>
          <w:p w:rsidR="00A87EAF" w:rsidRDefault="00382260">
            <w:pPr>
              <w:jc w:val="both"/>
              <w:rPr>
                <w:sz w:val="20"/>
                <w:szCs w:val="20"/>
                <w:lang w:val="en-GB"/>
              </w:rPr>
            </w:pPr>
            <w:r w:rsidRPr="00184430">
              <w:rPr>
                <w:sz w:val="20"/>
                <w:szCs w:val="20"/>
                <w:lang w:val="en-GB"/>
              </w:rPr>
              <w:t>Bulgaria (-0.5)</w:t>
            </w:r>
          </w:p>
          <w:p w:rsidR="00A87EAF" w:rsidRDefault="00382260">
            <w:pPr>
              <w:jc w:val="both"/>
              <w:rPr>
                <w:sz w:val="20"/>
                <w:szCs w:val="20"/>
                <w:lang w:val="en-GB"/>
              </w:rPr>
            </w:pPr>
            <w:r w:rsidRPr="00184430">
              <w:rPr>
                <w:sz w:val="20"/>
                <w:szCs w:val="20"/>
                <w:lang w:val="en-GB"/>
              </w:rPr>
              <w:t>Sweden (-0.9)</w:t>
            </w:r>
          </w:p>
        </w:tc>
        <w:tc>
          <w:tcPr>
            <w:tcW w:w="1511" w:type="dxa"/>
          </w:tcPr>
          <w:p w:rsidR="00A87EAF" w:rsidRDefault="000A73C1">
            <w:pPr>
              <w:jc w:val="both"/>
              <w:rPr>
                <w:sz w:val="20"/>
                <w:szCs w:val="20"/>
                <w:lang w:val="en-GB"/>
              </w:rPr>
            </w:pPr>
            <w:r w:rsidRPr="00184430">
              <w:rPr>
                <w:sz w:val="20"/>
                <w:szCs w:val="20"/>
                <w:lang w:val="en-GB"/>
              </w:rPr>
              <w:t>Luxembourg (0.6)</w:t>
            </w:r>
          </w:p>
          <w:p w:rsidR="00A87EAF" w:rsidRDefault="00382260">
            <w:pPr>
              <w:jc w:val="both"/>
              <w:rPr>
                <w:sz w:val="20"/>
                <w:szCs w:val="20"/>
                <w:lang w:val="en-GB"/>
              </w:rPr>
            </w:pPr>
            <w:r w:rsidRPr="00184430">
              <w:rPr>
                <w:sz w:val="20"/>
                <w:szCs w:val="20"/>
                <w:lang w:val="en-GB"/>
              </w:rPr>
              <w:t>Germany (0.1)</w:t>
            </w:r>
          </w:p>
          <w:p w:rsidR="00A87EAF" w:rsidRDefault="00382260">
            <w:pPr>
              <w:jc w:val="both"/>
              <w:rPr>
                <w:sz w:val="20"/>
                <w:szCs w:val="20"/>
                <w:lang w:val="en-GB"/>
              </w:rPr>
            </w:pPr>
            <w:r w:rsidRPr="00184430">
              <w:rPr>
                <w:sz w:val="20"/>
                <w:szCs w:val="20"/>
                <w:lang w:val="en-GB"/>
              </w:rPr>
              <w:t>Sweden (-0.9)</w:t>
            </w:r>
          </w:p>
        </w:tc>
        <w:tc>
          <w:tcPr>
            <w:tcW w:w="1771" w:type="dxa"/>
          </w:tcPr>
          <w:p w:rsidR="00A87EAF" w:rsidRDefault="000A73C1">
            <w:pPr>
              <w:jc w:val="both"/>
              <w:rPr>
                <w:sz w:val="20"/>
                <w:szCs w:val="20"/>
                <w:lang w:val="en-GB"/>
              </w:rPr>
            </w:pPr>
            <w:r w:rsidRPr="00184430">
              <w:rPr>
                <w:sz w:val="20"/>
                <w:szCs w:val="20"/>
                <w:lang w:val="en-GB"/>
              </w:rPr>
              <w:t>Germany (0.2)</w:t>
            </w:r>
          </w:p>
          <w:p w:rsidR="00A87EAF" w:rsidRDefault="000A73C1">
            <w:pPr>
              <w:jc w:val="both"/>
              <w:rPr>
                <w:sz w:val="20"/>
                <w:szCs w:val="20"/>
                <w:lang w:val="en-GB"/>
              </w:rPr>
            </w:pPr>
            <w:r w:rsidRPr="00184430">
              <w:rPr>
                <w:sz w:val="20"/>
                <w:szCs w:val="20"/>
                <w:lang w:val="en-GB"/>
              </w:rPr>
              <w:t>Luxembourg (0.2)</w:t>
            </w:r>
          </w:p>
          <w:p w:rsidR="00A87EAF" w:rsidRDefault="00382260">
            <w:pPr>
              <w:jc w:val="both"/>
              <w:rPr>
                <w:sz w:val="20"/>
                <w:szCs w:val="20"/>
                <w:lang w:val="en-GB"/>
              </w:rPr>
            </w:pPr>
            <w:r w:rsidRPr="00184430">
              <w:rPr>
                <w:sz w:val="20"/>
                <w:szCs w:val="20"/>
                <w:lang w:val="en-GB"/>
              </w:rPr>
              <w:t>Estonia (-0.4)</w:t>
            </w:r>
          </w:p>
          <w:p w:rsidR="00A87EAF" w:rsidRDefault="000A73C1">
            <w:pPr>
              <w:jc w:val="both"/>
              <w:rPr>
                <w:sz w:val="20"/>
                <w:szCs w:val="20"/>
                <w:lang w:val="en-GB"/>
              </w:rPr>
            </w:pPr>
            <w:r w:rsidRPr="00184430">
              <w:rPr>
                <w:sz w:val="20"/>
                <w:szCs w:val="20"/>
                <w:lang w:val="en-GB"/>
              </w:rPr>
              <w:t>Sweden (-0.9)</w:t>
            </w:r>
          </w:p>
          <w:p w:rsidR="00A87EAF" w:rsidRDefault="000A73C1">
            <w:pPr>
              <w:jc w:val="both"/>
              <w:rPr>
                <w:sz w:val="20"/>
                <w:szCs w:val="20"/>
                <w:lang w:val="en-GB"/>
              </w:rPr>
            </w:pPr>
            <w:r w:rsidRPr="00184430">
              <w:rPr>
                <w:sz w:val="20"/>
                <w:szCs w:val="20"/>
                <w:lang w:val="en-GB"/>
              </w:rPr>
              <w:t>Denmark (-1.0)</w:t>
            </w:r>
          </w:p>
          <w:p w:rsidR="00A87EAF" w:rsidRDefault="00382260">
            <w:pPr>
              <w:jc w:val="both"/>
              <w:rPr>
                <w:sz w:val="20"/>
                <w:szCs w:val="20"/>
                <w:lang w:val="en-GB"/>
              </w:rPr>
            </w:pPr>
            <w:r w:rsidRPr="00184430">
              <w:rPr>
                <w:sz w:val="20"/>
                <w:szCs w:val="20"/>
                <w:lang w:val="en-GB"/>
              </w:rPr>
              <w:t>Latvia (-1.1)</w:t>
            </w:r>
          </w:p>
          <w:p w:rsidR="00A87EAF" w:rsidRDefault="00382260">
            <w:pPr>
              <w:jc w:val="both"/>
              <w:rPr>
                <w:sz w:val="20"/>
                <w:szCs w:val="20"/>
                <w:lang w:val="en-GB"/>
              </w:rPr>
            </w:pPr>
            <w:r w:rsidRPr="00184430">
              <w:rPr>
                <w:sz w:val="20"/>
                <w:szCs w:val="20"/>
                <w:lang w:val="en-GB"/>
              </w:rPr>
              <w:t>Lithuania (-1.1)</w:t>
            </w:r>
          </w:p>
        </w:tc>
      </w:tr>
      <w:tr w:rsidR="00382260" w:rsidRPr="00184430" w:rsidTr="008A3B8B">
        <w:trPr>
          <w:jc w:val="center"/>
        </w:trPr>
        <w:tc>
          <w:tcPr>
            <w:tcW w:w="1510" w:type="dxa"/>
            <w:vAlign w:val="center"/>
          </w:tcPr>
          <w:p w:rsidR="00A87EAF" w:rsidRDefault="00382260">
            <w:pPr>
              <w:jc w:val="both"/>
              <w:rPr>
                <w:b/>
                <w:sz w:val="20"/>
                <w:szCs w:val="20"/>
                <w:lang w:val="en-GB"/>
              </w:rPr>
            </w:pPr>
            <w:r w:rsidRPr="008A3B8B">
              <w:rPr>
                <w:b/>
                <w:sz w:val="20"/>
                <w:szCs w:val="20"/>
                <w:lang w:val="en-GB"/>
              </w:rPr>
              <w:t>Worst performers</w:t>
            </w:r>
          </w:p>
        </w:tc>
        <w:tc>
          <w:tcPr>
            <w:tcW w:w="1510" w:type="dxa"/>
          </w:tcPr>
          <w:p w:rsidR="00A87EAF" w:rsidRDefault="00382260">
            <w:pPr>
              <w:jc w:val="both"/>
              <w:rPr>
                <w:sz w:val="20"/>
                <w:szCs w:val="20"/>
                <w:lang w:val="en-GB"/>
              </w:rPr>
            </w:pPr>
            <w:r w:rsidRPr="00184430">
              <w:rPr>
                <w:sz w:val="20"/>
                <w:szCs w:val="20"/>
                <w:lang w:val="en-GB"/>
              </w:rPr>
              <w:t>Ireland (-32.4)</w:t>
            </w:r>
          </w:p>
        </w:tc>
        <w:tc>
          <w:tcPr>
            <w:tcW w:w="1510" w:type="dxa"/>
          </w:tcPr>
          <w:p w:rsidR="00A87EAF" w:rsidRDefault="00382260">
            <w:pPr>
              <w:jc w:val="both"/>
              <w:rPr>
                <w:sz w:val="20"/>
                <w:szCs w:val="20"/>
                <w:lang w:val="en-GB"/>
              </w:rPr>
            </w:pPr>
            <w:r w:rsidRPr="00184430">
              <w:rPr>
                <w:sz w:val="20"/>
                <w:szCs w:val="20"/>
                <w:lang w:val="en-GB"/>
              </w:rPr>
              <w:t>Lithuania (-9.0)</w:t>
            </w:r>
          </w:p>
          <w:p w:rsidR="00A87EAF" w:rsidRDefault="000A73C1">
            <w:pPr>
              <w:jc w:val="both"/>
              <w:rPr>
                <w:sz w:val="20"/>
                <w:szCs w:val="20"/>
                <w:lang w:val="en-GB"/>
              </w:rPr>
            </w:pPr>
            <w:r w:rsidRPr="00184430">
              <w:rPr>
                <w:sz w:val="20"/>
                <w:szCs w:val="20"/>
                <w:lang w:val="en-GB"/>
              </w:rPr>
              <w:t>Spain (-9.4)</w:t>
            </w:r>
          </w:p>
          <w:p w:rsidR="00A87EAF" w:rsidRDefault="000A73C1">
            <w:pPr>
              <w:jc w:val="both"/>
              <w:rPr>
                <w:sz w:val="20"/>
                <w:szCs w:val="20"/>
                <w:lang w:val="en-GB"/>
              </w:rPr>
            </w:pPr>
            <w:r w:rsidRPr="00184430">
              <w:rPr>
                <w:sz w:val="20"/>
                <w:szCs w:val="20"/>
                <w:lang w:val="en-GB"/>
              </w:rPr>
              <w:t>Greece (-10.0)</w:t>
            </w:r>
          </w:p>
          <w:p w:rsidR="00A87EAF" w:rsidRDefault="000A73C1">
            <w:pPr>
              <w:jc w:val="both"/>
              <w:rPr>
                <w:b/>
                <w:sz w:val="20"/>
                <w:szCs w:val="20"/>
                <w:lang w:val="en-GB"/>
              </w:rPr>
            </w:pPr>
            <w:r w:rsidRPr="00184430">
              <w:rPr>
                <w:sz w:val="20"/>
                <w:szCs w:val="20"/>
                <w:lang w:val="en-GB"/>
              </w:rPr>
              <w:t>Ireland (-12.6)</w:t>
            </w:r>
          </w:p>
        </w:tc>
        <w:tc>
          <w:tcPr>
            <w:tcW w:w="1510" w:type="dxa"/>
          </w:tcPr>
          <w:p w:rsidR="00A87EAF" w:rsidRDefault="00382260">
            <w:pPr>
              <w:jc w:val="both"/>
              <w:rPr>
                <w:sz w:val="20"/>
                <w:szCs w:val="20"/>
                <w:lang w:val="en-GB"/>
              </w:rPr>
            </w:pPr>
            <w:r w:rsidRPr="00184430">
              <w:rPr>
                <w:sz w:val="20"/>
                <w:szCs w:val="20"/>
                <w:lang w:val="en-GB"/>
              </w:rPr>
              <w:t>Ireland (-8.0)</w:t>
            </w:r>
          </w:p>
          <w:p w:rsidR="00A87EAF" w:rsidRDefault="00382260">
            <w:pPr>
              <w:jc w:val="both"/>
              <w:rPr>
                <w:sz w:val="20"/>
                <w:szCs w:val="20"/>
                <w:lang w:val="en-GB"/>
              </w:rPr>
            </w:pPr>
            <w:r w:rsidRPr="00184430">
              <w:rPr>
                <w:sz w:val="20"/>
                <w:szCs w:val="20"/>
                <w:lang w:val="en-GB"/>
              </w:rPr>
              <w:t>UK (-8.3)</w:t>
            </w:r>
          </w:p>
          <w:p w:rsidR="00A87EAF" w:rsidRDefault="000A73C1">
            <w:pPr>
              <w:jc w:val="both"/>
              <w:rPr>
                <w:sz w:val="20"/>
                <w:szCs w:val="20"/>
                <w:lang w:val="en-GB"/>
              </w:rPr>
            </w:pPr>
            <w:r w:rsidRPr="00184430">
              <w:rPr>
                <w:sz w:val="20"/>
                <w:szCs w:val="20"/>
                <w:lang w:val="en-GB"/>
              </w:rPr>
              <w:t>Greece (-8.6)</w:t>
            </w:r>
          </w:p>
          <w:p w:rsidR="00A87EAF" w:rsidRDefault="000A73C1">
            <w:pPr>
              <w:jc w:val="both"/>
              <w:rPr>
                <w:b/>
                <w:sz w:val="20"/>
                <w:szCs w:val="20"/>
                <w:lang w:val="en-GB"/>
              </w:rPr>
            </w:pPr>
            <w:r w:rsidRPr="00184430">
              <w:rPr>
                <w:sz w:val="20"/>
                <w:szCs w:val="20"/>
                <w:lang w:val="en-GB"/>
              </w:rPr>
              <w:t>Spain (-10.3)</w:t>
            </w:r>
          </w:p>
        </w:tc>
        <w:tc>
          <w:tcPr>
            <w:tcW w:w="1511" w:type="dxa"/>
          </w:tcPr>
          <w:p w:rsidR="00A87EAF" w:rsidRDefault="00382260">
            <w:pPr>
              <w:jc w:val="both"/>
              <w:rPr>
                <w:sz w:val="20"/>
                <w:szCs w:val="20"/>
                <w:lang w:val="en-GB"/>
              </w:rPr>
            </w:pPr>
            <w:r w:rsidRPr="00184430">
              <w:rPr>
                <w:sz w:val="20"/>
                <w:szCs w:val="20"/>
                <w:lang w:val="en-GB"/>
              </w:rPr>
              <w:t>Spain (-6.8)</w:t>
            </w:r>
          </w:p>
          <w:p w:rsidR="00A87EAF" w:rsidRDefault="000A73C1">
            <w:pPr>
              <w:jc w:val="both"/>
              <w:rPr>
                <w:sz w:val="20"/>
                <w:szCs w:val="20"/>
                <w:lang w:val="en-GB"/>
              </w:rPr>
            </w:pPr>
            <w:r w:rsidRPr="00184430">
              <w:rPr>
                <w:sz w:val="20"/>
                <w:szCs w:val="20"/>
                <w:lang w:val="en-GB"/>
              </w:rPr>
              <w:t>Greece (-12.2)</w:t>
            </w:r>
          </w:p>
          <w:p w:rsidR="00A87EAF" w:rsidRDefault="00382260">
            <w:pPr>
              <w:jc w:val="both"/>
              <w:rPr>
                <w:b/>
                <w:sz w:val="20"/>
                <w:szCs w:val="20"/>
                <w:lang w:val="en-GB"/>
              </w:rPr>
            </w:pPr>
            <w:r w:rsidRPr="00184430">
              <w:rPr>
                <w:sz w:val="20"/>
                <w:szCs w:val="20"/>
                <w:lang w:val="en-GB"/>
              </w:rPr>
              <w:t>Slovenia (-14.6)</w:t>
            </w:r>
          </w:p>
        </w:tc>
        <w:tc>
          <w:tcPr>
            <w:tcW w:w="1771" w:type="dxa"/>
          </w:tcPr>
          <w:p w:rsidR="00A87EAF" w:rsidRDefault="00382260">
            <w:pPr>
              <w:jc w:val="both"/>
              <w:rPr>
                <w:sz w:val="20"/>
                <w:szCs w:val="20"/>
                <w:lang w:val="en-GB"/>
              </w:rPr>
            </w:pPr>
            <w:r w:rsidRPr="00184430">
              <w:rPr>
                <w:sz w:val="20"/>
                <w:szCs w:val="20"/>
                <w:lang w:val="en-GB"/>
              </w:rPr>
              <w:t>France (-4.4)</w:t>
            </w:r>
          </w:p>
          <w:p w:rsidR="00A87EAF" w:rsidRDefault="00382260">
            <w:pPr>
              <w:jc w:val="both"/>
              <w:rPr>
                <w:sz w:val="20"/>
                <w:szCs w:val="20"/>
                <w:lang w:val="en-GB"/>
              </w:rPr>
            </w:pPr>
            <w:r w:rsidRPr="00184430">
              <w:rPr>
                <w:sz w:val="20"/>
                <w:szCs w:val="20"/>
                <w:lang w:val="en-GB"/>
              </w:rPr>
              <w:t>Slovenia (-4.4)</w:t>
            </w:r>
          </w:p>
          <w:p w:rsidR="00A87EAF" w:rsidRDefault="000A73C1">
            <w:pPr>
              <w:jc w:val="both"/>
              <w:rPr>
                <w:sz w:val="20"/>
                <w:szCs w:val="20"/>
                <w:lang w:val="en-GB"/>
              </w:rPr>
            </w:pPr>
            <w:r w:rsidRPr="00184430">
              <w:rPr>
                <w:sz w:val="20"/>
                <w:szCs w:val="20"/>
                <w:lang w:val="en-GB"/>
              </w:rPr>
              <w:t>Portugal (-4.9)</w:t>
            </w:r>
          </w:p>
          <w:p w:rsidR="00A87EAF" w:rsidRDefault="00382260">
            <w:pPr>
              <w:jc w:val="both"/>
              <w:rPr>
                <w:sz w:val="20"/>
                <w:szCs w:val="20"/>
                <w:lang w:val="en-GB"/>
              </w:rPr>
            </w:pPr>
            <w:r w:rsidRPr="00184430">
              <w:rPr>
                <w:sz w:val="20"/>
                <w:szCs w:val="20"/>
                <w:lang w:val="en-GB"/>
              </w:rPr>
              <w:t>UK (-5.4)</w:t>
            </w:r>
          </w:p>
          <w:p w:rsidR="00A87EAF" w:rsidRDefault="000A73C1">
            <w:pPr>
              <w:jc w:val="both"/>
              <w:rPr>
                <w:sz w:val="20"/>
                <w:szCs w:val="20"/>
                <w:lang w:val="en-GB"/>
              </w:rPr>
            </w:pPr>
            <w:r w:rsidRPr="00184430">
              <w:rPr>
                <w:sz w:val="20"/>
                <w:szCs w:val="20"/>
                <w:lang w:val="en-GB"/>
              </w:rPr>
              <w:t>Croatia (-5.6)</w:t>
            </w:r>
          </w:p>
          <w:p w:rsidR="00A87EAF" w:rsidRDefault="000A73C1">
            <w:pPr>
              <w:jc w:val="both"/>
              <w:rPr>
                <w:b/>
                <w:sz w:val="20"/>
                <w:szCs w:val="20"/>
                <w:lang w:val="en-GB"/>
              </w:rPr>
            </w:pPr>
            <w:r w:rsidRPr="00184430">
              <w:rPr>
                <w:sz w:val="20"/>
                <w:szCs w:val="20"/>
                <w:lang w:val="en-GB"/>
              </w:rPr>
              <w:t>Spain (-5.6)</w:t>
            </w:r>
          </w:p>
        </w:tc>
      </w:tr>
    </w:tbl>
    <w:p w:rsidR="00A87EAF" w:rsidRDefault="00A87EAF">
      <w:pPr>
        <w:jc w:val="both"/>
        <w:rPr>
          <w:lang w:val="en-GB"/>
        </w:rPr>
      </w:pPr>
    </w:p>
    <w:p w:rsidR="00A87EAF" w:rsidRDefault="00341AEB">
      <w:pPr>
        <w:spacing w:line="276" w:lineRule="auto"/>
        <w:jc w:val="both"/>
        <w:rPr>
          <w:sz w:val="20"/>
          <w:szCs w:val="20"/>
          <w:lang w:val="en-GB"/>
        </w:rPr>
      </w:pPr>
      <w:r w:rsidRPr="00184430">
        <w:rPr>
          <w:sz w:val="20"/>
          <w:szCs w:val="20"/>
          <w:lang w:val="en-GB"/>
        </w:rPr>
        <w:t>Source:</w:t>
      </w:r>
      <w:r w:rsidR="00C630CD">
        <w:rPr>
          <w:sz w:val="20"/>
          <w:szCs w:val="20"/>
          <w:lang w:val="en-GB"/>
        </w:rPr>
        <w:t xml:space="preserve"> authors</w:t>
      </w:r>
      <w:r w:rsidR="00374EE8">
        <w:rPr>
          <w:sz w:val="20"/>
          <w:szCs w:val="20"/>
          <w:lang w:val="en-GB"/>
        </w:rPr>
        <w:t>,</w:t>
      </w:r>
      <w:r w:rsidR="00C630CD">
        <w:rPr>
          <w:sz w:val="20"/>
          <w:szCs w:val="20"/>
          <w:lang w:val="en-GB"/>
        </w:rPr>
        <w:t xml:space="preserve"> based on</w:t>
      </w:r>
      <w:r w:rsidRPr="00184430">
        <w:rPr>
          <w:sz w:val="20"/>
          <w:szCs w:val="20"/>
          <w:lang w:val="en-GB"/>
        </w:rPr>
        <w:t xml:space="preserve"> European Commission (2014</w:t>
      </w:r>
      <w:r w:rsidR="00362D23">
        <w:rPr>
          <w:sz w:val="20"/>
          <w:szCs w:val="20"/>
          <w:lang w:val="en-GB"/>
        </w:rPr>
        <w:t>a</w:t>
      </w:r>
      <w:r w:rsidRPr="00184430">
        <w:rPr>
          <w:sz w:val="20"/>
          <w:szCs w:val="20"/>
          <w:lang w:val="en-GB"/>
        </w:rPr>
        <w:t>).</w:t>
      </w:r>
    </w:p>
    <w:p w:rsidR="00A87EAF" w:rsidRDefault="00341AEB">
      <w:pPr>
        <w:spacing w:line="276" w:lineRule="auto"/>
        <w:jc w:val="both"/>
        <w:rPr>
          <w:sz w:val="20"/>
          <w:szCs w:val="20"/>
          <w:lang w:val="en-GB"/>
        </w:rPr>
      </w:pPr>
      <w:r w:rsidRPr="00184430">
        <w:rPr>
          <w:sz w:val="20"/>
          <w:szCs w:val="20"/>
          <w:lang w:val="en-GB"/>
        </w:rPr>
        <w:t xml:space="preserve">Notes: the ‘best performers’ are the countries which showed a budget position at least one standard deviation </w:t>
      </w:r>
      <w:r w:rsidR="00C630CD">
        <w:rPr>
          <w:sz w:val="20"/>
          <w:szCs w:val="20"/>
          <w:lang w:val="en-GB"/>
        </w:rPr>
        <w:t>above</w:t>
      </w:r>
      <w:r w:rsidRPr="00184430">
        <w:rPr>
          <w:sz w:val="20"/>
          <w:szCs w:val="20"/>
          <w:lang w:val="en-GB"/>
        </w:rPr>
        <w:t xml:space="preserve"> the EU average. ‘Worst performers’ are at least one standard deviation </w:t>
      </w:r>
      <w:r w:rsidR="00C630CD">
        <w:rPr>
          <w:sz w:val="20"/>
          <w:szCs w:val="20"/>
          <w:lang w:val="en-GB"/>
        </w:rPr>
        <w:t>below</w:t>
      </w:r>
      <w:r w:rsidRPr="00184430">
        <w:rPr>
          <w:sz w:val="20"/>
          <w:szCs w:val="20"/>
          <w:lang w:val="en-GB"/>
        </w:rPr>
        <w:t>. * indicates forecast data.</w:t>
      </w:r>
    </w:p>
    <w:p w:rsidR="00A87EAF" w:rsidRDefault="00A87EAF">
      <w:pPr>
        <w:jc w:val="both"/>
        <w:rPr>
          <w:lang w:val="en-GB"/>
        </w:rPr>
      </w:pPr>
    </w:p>
    <w:p w:rsidR="00876A82" w:rsidRPr="00184430" w:rsidRDefault="00876A82" w:rsidP="00FD1D46">
      <w:pPr>
        <w:spacing w:line="276" w:lineRule="auto"/>
        <w:jc w:val="both"/>
        <w:rPr>
          <w:lang w:val="en-GB"/>
        </w:rPr>
      </w:pPr>
    </w:p>
    <w:p w:rsidR="00063B53" w:rsidRPr="00184430" w:rsidRDefault="00063B53">
      <w:pPr>
        <w:spacing w:line="276" w:lineRule="auto"/>
        <w:jc w:val="both"/>
        <w:rPr>
          <w:i/>
          <w:lang w:val="en-GB"/>
        </w:rPr>
      </w:pPr>
      <w:r w:rsidRPr="00184430">
        <w:rPr>
          <w:i/>
          <w:lang w:val="en-GB"/>
        </w:rPr>
        <w:t>External balance</w:t>
      </w:r>
    </w:p>
    <w:p w:rsidR="00586EFC" w:rsidRPr="00184430" w:rsidRDefault="00586EFC">
      <w:pPr>
        <w:spacing w:line="276" w:lineRule="auto"/>
        <w:jc w:val="both"/>
        <w:rPr>
          <w:lang w:val="en-GB"/>
        </w:rPr>
      </w:pPr>
    </w:p>
    <w:p w:rsidR="00DA399A" w:rsidRDefault="00C77BEA">
      <w:pPr>
        <w:spacing w:line="276" w:lineRule="auto"/>
        <w:jc w:val="both"/>
        <w:rPr>
          <w:lang w:val="en-GB"/>
        </w:rPr>
      </w:pPr>
      <w:r w:rsidRPr="00184430">
        <w:rPr>
          <w:lang w:val="en-GB"/>
        </w:rPr>
        <w:t xml:space="preserve">Right from the beginning of the crisis, EU countries </w:t>
      </w:r>
      <w:r w:rsidR="00DA399A">
        <w:rPr>
          <w:lang w:val="en-GB"/>
        </w:rPr>
        <w:t>put great efforts in</w:t>
      </w:r>
      <w:r w:rsidRPr="00184430">
        <w:rPr>
          <w:lang w:val="en-GB"/>
        </w:rPr>
        <w:t xml:space="preserve"> </w:t>
      </w:r>
      <w:r w:rsidR="00DA399A" w:rsidRPr="00184430">
        <w:rPr>
          <w:lang w:val="en-GB"/>
        </w:rPr>
        <w:t>stabilis</w:t>
      </w:r>
      <w:r w:rsidR="00DA399A">
        <w:rPr>
          <w:lang w:val="en-GB"/>
        </w:rPr>
        <w:t>ing</w:t>
      </w:r>
      <w:r w:rsidRPr="00184430">
        <w:rPr>
          <w:lang w:val="en-GB"/>
        </w:rPr>
        <w:t xml:space="preserve"> external positions. </w:t>
      </w:r>
      <w:r w:rsidR="00DA399A">
        <w:rPr>
          <w:lang w:val="en-GB"/>
        </w:rPr>
        <w:t>T</w:t>
      </w:r>
      <w:r w:rsidRPr="00184430">
        <w:rPr>
          <w:lang w:val="en-GB"/>
        </w:rPr>
        <w:t>he large creditors such as Germany maintain</w:t>
      </w:r>
      <w:r w:rsidR="00DA399A">
        <w:rPr>
          <w:lang w:val="en-GB"/>
        </w:rPr>
        <w:t>ed</w:t>
      </w:r>
      <w:r w:rsidRPr="00184430">
        <w:rPr>
          <w:lang w:val="en-GB"/>
        </w:rPr>
        <w:t xml:space="preserve"> huge surpluses, while crisis-hit countries engaged in substantial cuts in their current account deficits. By 2014, the un</w:t>
      </w:r>
      <w:r w:rsidR="00DA399A">
        <w:rPr>
          <w:lang w:val="en-GB"/>
        </w:rPr>
        <w:t>-</w:t>
      </w:r>
      <w:r w:rsidRPr="00184430">
        <w:rPr>
          <w:lang w:val="en-GB"/>
        </w:rPr>
        <w:t>weighted average of current account balances showed a significant surplus of 1.3</w:t>
      </w:r>
      <w:r w:rsidR="001D3B9C">
        <w:rPr>
          <w:lang w:val="en-GB"/>
        </w:rPr>
        <w:t xml:space="preserve"> per cent</w:t>
      </w:r>
      <w:r w:rsidRPr="00184430">
        <w:rPr>
          <w:lang w:val="en-GB"/>
        </w:rPr>
        <w:t xml:space="preserve"> of GDP</w:t>
      </w:r>
      <w:r w:rsidR="00DA399A">
        <w:rPr>
          <w:lang w:val="en-GB"/>
        </w:rPr>
        <w:t xml:space="preserve">, though the spread around the mean was quite </w:t>
      </w:r>
      <w:r w:rsidR="00F04606">
        <w:rPr>
          <w:lang w:val="en-GB"/>
        </w:rPr>
        <w:t>substantial</w:t>
      </w:r>
      <w:r w:rsidRPr="00184430">
        <w:rPr>
          <w:lang w:val="en-GB"/>
        </w:rPr>
        <w:t xml:space="preserve">. Only 12 countries out of the 28 members had a </w:t>
      </w:r>
      <w:r w:rsidR="00DA399A" w:rsidRPr="00184430">
        <w:rPr>
          <w:lang w:val="en-GB"/>
        </w:rPr>
        <w:t xml:space="preserve">current account </w:t>
      </w:r>
      <w:r w:rsidRPr="00184430">
        <w:rPr>
          <w:lang w:val="en-GB"/>
        </w:rPr>
        <w:t xml:space="preserve">deficit </w:t>
      </w:r>
      <w:r w:rsidR="000A73C1">
        <w:rPr>
          <w:lang w:val="en-GB"/>
        </w:rPr>
        <w:t>in 2014</w:t>
      </w:r>
      <w:r w:rsidRPr="00184430">
        <w:rPr>
          <w:lang w:val="en-GB"/>
        </w:rPr>
        <w:t xml:space="preserve"> – but even those countries with deficits experienced solid improvements throughout the last couple of years (e.g. Greece, Portugal, Cyprus or Latvia). </w:t>
      </w:r>
    </w:p>
    <w:p w:rsidR="00DA399A" w:rsidRDefault="00DA399A">
      <w:pPr>
        <w:spacing w:line="276" w:lineRule="auto"/>
        <w:jc w:val="both"/>
        <w:rPr>
          <w:lang w:val="en-GB"/>
        </w:rPr>
      </w:pPr>
    </w:p>
    <w:p w:rsidR="00C77BEA" w:rsidRPr="00184430" w:rsidRDefault="00C77BEA">
      <w:pPr>
        <w:spacing w:line="276" w:lineRule="auto"/>
        <w:jc w:val="both"/>
        <w:rPr>
          <w:lang w:val="en-GB"/>
        </w:rPr>
      </w:pPr>
      <w:r w:rsidRPr="00184430">
        <w:rPr>
          <w:lang w:val="en-GB"/>
        </w:rPr>
        <w:lastRenderedPageBreak/>
        <w:t>Sadly, the considerable improvements have not been due to a general recovery in export performance. Instead, economies with high pre-crisis external imbalances implemented adjustment</w:t>
      </w:r>
      <w:r w:rsidR="00DA399A">
        <w:rPr>
          <w:lang w:val="en-GB"/>
        </w:rPr>
        <w:t>s</w:t>
      </w:r>
      <w:r w:rsidRPr="00184430">
        <w:rPr>
          <w:lang w:val="en-GB"/>
        </w:rPr>
        <w:t xml:space="preserve"> on the import side by substantially reducing their external demand. Improvements in current account balances have also been a clear sign of decreasing investment</w:t>
      </w:r>
      <w:r w:rsidR="00F04606">
        <w:rPr>
          <w:lang w:val="en-GB"/>
        </w:rPr>
        <w:t xml:space="preserve"> activity</w:t>
      </w:r>
      <w:r w:rsidRPr="00184430">
        <w:rPr>
          <w:lang w:val="en-GB"/>
        </w:rPr>
        <w:t xml:space="preserve">. The only exception to this trend </w:t>
      </w:r>
      <w:r w:rsidR="00EF7F76">
        <w:rPr>
          <w:lang w:val="en-GB"/>
        </w:rPr>
        <w:t>was</w:t>
      </w:r>
      <w:r w:rsidRPr="00184430">
        <w:rPr>
          <w:lang w:val="en-GB"/>
        </w:rPr>
        <w:t xml:space="preserve"> the UK</w:t>
      </w:r>
      <w:r w:rsidR="00EF7F76">
        <w:rPr>
          <w:lang w:val="en-GB"/>
        </w:rPr>
        <w:t>,</w:t>
      </w:r>
      <w:r w:rsidRPr="00184430">
        <w:rPr>
          <w:lang w:val="en-GB"/>
        </w:rPr>
        <w:t xml:space="preserve"> which had the largest external deficit last year, being an indication of strong import demand due to the country’s </w:t>
      </w:r>
      <w:r w:rsidR="00453785">
        <w:rPr>
          <w:lang w:val="en-GB"/>
        </w:rPr>
        <w:t xml:space="preserve">good </w:t>
      </w:r>
      <w:r w:rsidRPr="00184430">
        <w:rPr>
          <w:lang w:val="en-GB"/>
        </w:rPr>
        <w:t xml:space="preserve">economic </w:t>
      </w:r>
      <w:r w:rsidR="00F04606">
        <w:rPr>
          <w:lang w:val="en-GB"/>
        </w:rPr>
        <w:t>conditions</w:t>
      </w:r>
      <w:r w:rsidRPr="00184430">
        <w:rPr>
          <w:lang w:val="en-GB"/>
        </w:rPr>
        <w:t>. Countries showing large surpluses have been the same ones for considerable time, including Sweden, Denmark, Germany, the Netherlands and Luxembourg.</w:t>
      </w:r>
      <w:r w:rsidRPr="00184430">
        <w:rPr>
          <w:rStyle w:val="Lbjegyzet-hivatkozs"/>
          <w:lang w:val="en-GB"/>
        </w:rPr>
        <w:footnoteReference w:id="3"/>
      </w:r>
      <w:r w:rsidRPr="00184430">
        <w:rPr>
          <w:lang w:val="en-GB"/>
        </w:rPr>
        <w:t xml:space="preserve"> Without the increase of the external demand of these creditor economies, however, no recoveries in the periphery can be expected to remain solid. </w:t>
      </w:r>
      <w:r w:rsidR="00F04606">
        <w:rPr>
          <w:lang w:val="en-GB"/>
        </w:rPr>
        <w:t xml:space="preserve">That said, </w:t>
      </w:r>
      <w:r w:rsidRPr="00184430">
        <w:rPr>
          <w:lang w:val="en-GB"/>
        </w:rPr>
        <w:t xml:space="preserve">the robust recovery in the current account positions of most EU countries cannot be interpreted as a success since it has not been fed by </w:t>
      </w:r>
      <w:r w:rsidR="007B256C" w:rsidRPr="00184430">
        <w:rPr>
          <w:lang w:val="en-GB"/>
        </w:rPr>
        <w:t>accelerat</w:t>
      </w:r>
      <w:r w:rsidR="007B256C">
        <w:rPr>
          <w:lang w:val="en-GB"/>
        </w:rPr>
        <w:t>ing</w:t>
      </w:r>
      <w:r w:rsidR="007B256C" w:rsidRPr="00184430">
        <w:rPr>
          <w:lang w:val="en-GB"/>
        </w:rPr>
        <w:t xml:space="preserve"> </w:t>
      </w:r>
      <w:r w:rsidRPr="00184430">
        <w:rPr>
          <w:lang w:val="en-GB"/>
        </w:rPr>
        <w:t>net export</w:t>
      </w:r>
      <w:r w:rsidR="007B256C">
        <w:rPr>
          <w:lang w:val="en-GB"/>
        </w:rPr>
        <w:t>s</w:t>
      </w:r>
      <w:r w:rsidRPr="00184430">
        <w:rPr>
          <w:lang w:val="en-GB"/>
        </w:rPr>
        <w:t xml:space="preserve">. Instead, the decreased aggregate demand due to fiscal adjustment (see </w:t>
      </w:r>
      <w:r w:rsidR="00DA399A">
        <w:rPr>
          <w:lang w:val="en-GB"/>
        </w:rPr>
        <w:t>above</w:t>
      </w:r>
      <w:r w:rsidRPr="00184430">
        <w:rPr>
          <w:lang w:val="en-GB"/>
        </w:rPr>
        <w:t>) and private sector deleverag</w:t>
      </w:r>
      <w:r w:rsidR="00453785">
        <w:rPr>
          <w:lang w:val="en-GB"/>
        </w:rPr>
        <w:t>ing contributed to the further ‘recovery’</w:t>
      </w:r>
      <w:r w:rsidRPr="00184430">
        <w:rPr>
          <w:lang w:val="en-GB"/>
        </w:rPr>
        <w:t xml:space="preserve"> in external positions. The worst adjustment was experienced by Greece</w:t>
      </w:r>
      <w:r w:rsidR="00453785">
        <w:rPr>
          <w:lang w:val="en-GB"/>
        </w:rPr>
        <w:t>,</w:t>
      </w:r>
      <w:r w:rsidRPr="00184430">
        <w:rPr>
          <w:lang w:val="en-GB"/>
        </w:rPr>
        <w:t xml:space="preserve"> where almost the entire recovery was delivered by constrained </w:t>
      </w:r>
      <w:r w:rsidR="00374EE8">
        <w:rPr>
          <w:lang w:val="en-GB"/>
        </w:rPr>
        <w:t>private and public demand.</w:t>
      </w:r>
    </w:p>
    <w:p w:rsidR="0085556F" w:rsidRPr="00184430" w:rsidRDefault="0085556F">
      <w:pPr>
        <w:spacing w:line="276" w:lineRule="auto"/>
        <w:jc w:val="both"/>
        <w:rPr>
          <w:lang w:val="en-GB"/>
        </w:rPr>
      </w:pPr>
    </w:p>
    <w:p w:rsidR="00A87EAF" w:rsidRDefault="00636842">
      <w:pPr>
        <w:spacing w:line="276" w:lineRule="auto"/>
        <w:jc w:val="both"/>
        <w:rPr>
          <w:lang w:val="en-GB"/>
        </w:rPr>
      </w:pPr>
      <w:r w:rsidRPr="00184430">
        <w:rPr>
          <w:lang w:val="en-GB"/>
        </w:rPr>
        <w:t xml:space="preserve">Table </w:t>
      </w:r>
      <w:r w:rsidR="00341AEB" w:rsidRPr="00184430">
        <w:rPr>
          <w:lang w:val="en-GB"/>
        </w:rPr>
        <w:t>6</w:t>
      </w:r>
      <w:r w:rsidRPr="00184430">
        <w:rPr>
          <w:lang w:val="en-GB"/>
        </w:rPr>
        <w:t>. Average</w:t>
      </w:r>
      <w:r w:rsidR="0082279D">
        <w:rPr>
          <w:lang w:val="en-GB"/>
        </w:rPr>
        <w:t xml:space="preserve"> EU current account deficit (as</w:t>
      </w:r>
      <w:r w:rsidR="001D3B9C">
        <w:rPr>
          <w:lang w:val="en-GB"/>
        </w:rPr>
        <w:t xml:space="preserve"> percent</w:t>
      </w:r>
      <w:r w:rsidR="0082279D">
        <w:rPr>
          <w:lang w:val="en-GB"/>
        </w:rPr>
        <w:t>ages</w:t>
      </w:r>
      <w:r w:rsidRPr="00184430">
        <w:rPr>
          <w:lang w:val="en-GB"/>
        </w:rPr>
        <w:t xml:space="preserve"> of GDP) and </w:t>
      </w:r>
      <w:r w:rsidR="00B72E3F">
        <w:rPr>
          <w:lang w:val="en-GB"/>
        </w:rPr>
        <w:t>Member State</w:t>
      </w:r>
      <w:r w:rsidR="00374EE8">
        <w:rPr>
          <w:lang w:val="en-GB"/>
        </w:rPr>
        <w:t>s</w:t>
      </w:r>
      <w:r w:rsidRPr="00184430">
        <w:rPr>
          <w:lang w:val="en-GB"/>
        </w:rPr>
        <w:t xml:space="preserve"> with highest deficits and surpluses </w:t>
      </w:r>
    </w:p>
    <w:p w:rsidR="00CD463A" w:rsidRPr="00184430" w:rsidRDefault="00CD463A" w:rsidP="00FD1D46">
      <w:pPr>
        <w:spacing w:line="276" w:lineRule="auto"/>
        <w:jc w:val="both"/>
        <w:rPr>
          <w:lang w:val="en-GB"/>
        </w:rPr>
      </w:pPr>
    </w:p>
    <w:tbl>
      <w:tblPr>
        <w:tblStyle w:val="Rcsostblzat"/>
        <w:tblW w:w="9551" w:type="dxa"/>
        <w:jc w:val="center"/>
        <w:tblLook w:val="04A0"/>
      </w:tblPr>
      <w:tblGrid>
        <w:gridCol w:w="1242"/>
        <w:gridCol w:w="1505"/>
        <w:gridCol w:w="1559"/>
        <w:gridCol w:w="1701"/>
        <w:gridCol w:w="1843"/>
        <w:gridCol w:w="1701"/>
      </w:tblGrid>
      <w:tr w:rsidR="00CD463A" w:rsidRPr="00184430" w:rsidTr="003D5714">
        <w:trPr>
          <w:jc w:val="center"/>
        </w:trPr>
        <w:tc>
          <w:tcPr>
            <w:tcW w:w="1242" w:type="dxa"/>
          </w:tcPr>
          <w:p w:rsidR="00CD463A" w:rsidRPr="00184430" w:rsidRDefault="00CD463A">
            <w:pPr>
              <w:spacing w:line="276" w:lineRule="auto"/>
              <w:jc w:val="both"/>
              <w:rPr>
                <w:sz w:val="20"/>
                <w:szCs w:val="20"/>
                <w:lang w:val="en-GB"/>
              </w:rPr>
            </w:pPr>
          </w:p>
        </w:tc>
        <w:tc>
          <w:tcPr>
            <w:tcW w:w="1505" w:type="dxa"/>
          </w:tcPr>
          <w:p w:rsidR="00A87EAF" w:rsidRDefault="00CD463A" w:rsidP="00192FFB">
            <w:pPr>
              <w:spacing w:line="276" w:lineRule="auto"/>
              <w:jc w:val="center"/>
              <w:rPr>
                <w:b/>
                <w:sz w:val="20"/>
                <w:szCs w:val="20"/>
                <w:lang w:val="en-GB"/>
              </w:rPr>
            </w:pPr>
            <w:r w:rsidRPr="00184430">
              <w:rPr>
                <w:b/>
                <w:sz w:val="20"/>
                <w:szCs w:val="20"/>
                <w:lang w:val="en-GB"/>
              </w:rPr>
              <w:t>2010</w:t>
            </w:r>
          </w:p>
        </w:tc>
        <w:tc>
          <w:tcPr>
            <w:tcW w:w="1559" w:type="dxa"/>
          </w:tcPr>
          <w:p w:rsidR="00A87EAF" w:rsidRDefault="00CD463A" w:rsidP="00192FFB">
            <w:pPr>
              <w:spacing w:line="276" w:lineRule="auto"/>
              <w:jc w:val="center"/>
              <w:rPr>
                <w:b/>
                <w:sz w:val="20"/>
                <w:szCs w:val="20"/>
                <w:lang w:val="en-GB"/>
              </w:rPr>
            </w:pPr>
            <w:r w:rsidRPr="00184430">
              <w:rPr>
                <w:b/>
                <w:sz w:val="20"/>
                <w:szCs w:val="20"/>
                <w:lang w:val="en-GB"/>
              </w:rPr>
              <w:t>2011</w:t>
            </w:r>
          </w:p>
        </w:tc>
        <w:tc>
          <w:tcPr>
            <w:tcW w:w="1701" w:type="dxa"/>
          </w:tcPr>
          <w:p w:rsidR="00A87EAF" w:rsidRDefault="00CD463A" w:rsidP="00192FFB">
            <w:pPr>
              <w:spacing w:line="276" w:lineRule="auto"/>
              <w:jc w:val="center"/>
              <w:rPr>
                <w:b/>
                <w:sz w:val="20"/>
                <w:szCs w:val="20"/>
                <w:lang w:val="en-GB"/>
              </w:rPr>
            </w:pPr>
            <w:r w:rsidRPr="00184430">
              <w:rPr>
                <w:b/>
                <w:sz w:val="20"/>
                <w:szCs w:val="20"/>
                <w:lang w:val="en-GB"/>
              </w:rPr>
              <w:t>2012</w:t>
            </w:r>
          </w:p>
        </w:tc>
        <w:tc>
          <w:tcPr>
            <w:tcW w:w="1843" w:type="dxa"/>
          </w:tcPr>
          <w:p w:rsidR="00A87EAF" w:rsidRDefault="00CD463A" w:rsidP="00192FFB">
            <w:pPr>
              <w:spacing w:line="276" w:lineRule="auto"/>
              <w:jc w:val="center"/>
              <w:rPr>
                <w:b/>
                <w:sz w:val="20"/>
                <w:szCs w:val="20"/>
                <w:lang w:val="en-GB"/>
              </w:rPr>
            </w:pPr>
            <w:r w:rsidRPr="00184430">
              <w:rPr>
                <w:b/>
                <w:sz w:val="20"/>
                <w:szCs w:val="20"/>
                <w:lang w:val="en-GB"/>
              </w:rPr>
              <w:t>2013</w:t>
            </w:r>
          </w:p>
        </w:tc>
        <w:tc>
          <w:tcPr>
            <w:tcW w:w="1701" w:type="dxa"/>
          </w:tcPr>
          <w:p w:rsidR="00A87EAF" w:rsidRDefault="00CD463A" w:rsidP="00192FFB">
            <w:pPr>
              <w:spacing w:line="276" w:lineRule="auto"/>
              <w:jc w:val="center"/>
              <w:rPr>
                <w:b/>
                <w:sz w:val="20"/>
                <w:szCs w:val="20"/>
                <w:lang w:val="en-GB"/>
              </w:rPr>
            </w:pPr>
            <w:r w:rsidRPr="00184430">
              <w:rPr>
                <w:b/>
                <w:sz w:val="20"/>
                <w:szCs w:val="20"/>
                <w:lang w:val="en-GB"/>
              </w:rPr>
              <w:t>2014*</w:t>
            </w:r>
          </w:p>
        </w:tc>
      </w:tr>
      <w:tr w:rsidR="004D63C3" w:rsidRPr="00184430" w:rsidTr="003D5714">
        <w:trPr>
          <w:jc w:val="center"/>
        </w:trPr>
        <w:tc>
          <w:tcPr>
            <w:tcW w:w="1242" w:type="dxa"/>
            <w:vAlign w:val="center"/>
          </w:tcPr>
          <w:p w:rsidR="00A87EAF" w:rsidRDefault="004D63C3">
            <w:pPr>
              <w:spacing w:line="276" w:lineRule="auto"/>
              <w:jc w:val="both"/>
              <w:rPr>
                <w:b/>
                <w:sz w:val="20"/>
                <w:szCs w:val="20"/>
                <w:lang w:val="en-GB"/>
              </w:rPr>
            </w:pPr>
            <w:r w:rsidRPr="00184430">
              <w:rPr>
                <w:b/>
                <w:sz w:val="20"/>
                <w:szCs w:val="20"/>
                <w:lang w:val="en-GB"/>
              </w:rPr>
              <w:t>EU average**</w:t>
            </w:r>
          </w:p>
        </w:tc>
        <w:tc>
          <w:tcPr>
            <w:tcW w:w="1505" w:type="dxa"/>
            <w:vAlign w:val="bottom"/>
          </w:tcPr>
          <w:p w:rsidR="00A87EAF" w:rsidRDefault="004D63C3" w:rsidP="00192FFB">
            <w:pPr>
              <w:spacing w:line="276" w:lineRule="auto"/>
              <w:jc w:val="right"/>
              <w:rPr>
                <w:sz w:val="20"/>
                <w:szCs w:val="20"/>
                <w:lang w:val="en-GB"/>
              </w:rPr>
            </w:pPr>
            <w:r w:rsidRPr="00184430">
              <w:rPr>
                <w:sz w:val="20"/>
                <w:szCs w:val="20"/>
                <w:lang w:val="en-GB"/>
              </w:rPr>
              <w:t>-</w:t>
            </w:r>
            <w:r w:rsidR="002365DA" w:rsidRPr="00184430">
              <w:rPr>
                <w:sz w:val="20"/>
                <w:szCs w:val="20"/>
                <w:lang w:val="en-GB"/>
              </w:rPr>
              <w:t>1</w:t>
            </w:r>
            <w:r w:rsidRPr="00184430">
              <w:rPr>
                <w:sz w:val="20"/>
                <w:szCs w:val="20"/>
                <w:lang w:val="en-GB"/>
              </w:rPr>
              <w:t>.</w:t>
            </w:r>
            <w:r w:rsidR="002365DA" w:rsidRPr="00184430">
              <w:rPr>
                <w:sz w:val="20"/>
                <w:szCs w:val="20"/>
                <w:lang w:val="en-GB"/>
              </w:rPr>
              <w:t>0</w:t>
            </w:r>
          </w:p>
        </w:tc>
        <w:tc>
          <w:tcPr>
            <w:tcW w:w="1559" w:type="dxa"/>
            <w:vAlign w:val="bottom"/>
          </w:tcPr>
          <w:p w:rsidR="00A87EAF" w:rsidRDefault="004D63C3" w:rsidP="00192FFB">
            <w:pPr>
              <w:spacing w:line="276" w:lineRule="auto"/>
              <w:jc w:val="right"/>
              <w:rPr>
                <w:sz w:val="20"/>
                <w:szCs w:val="20"/>
                <w:lang w:val="en-GB"/>
              </w:rPr>
            </w:pPr>
            <w:r w:rsidRPr="00184430">
              <w:rPr>
                <w:sz w:val="20"/>
                <w:szCs w:val="20"/>
                <w:lang w:val="en-GB"/>
              </w:rPr>
              <w:t>-0.8</w:t>
            </w:r>
          </w:p>
        </w:tc>
        <w:tc>
          <w:tcPr>
            <w:tcW w:w="1701" w:type="dxa"/>
            <w:vAlign w:val="bottom"/>
          </w:tcPr>
          <w:p w:rsidR="00A87EAF" w:rsidRDefault="004D63C3" w:rsidP="00192FFB">
            <w:pPr>
              <w:spacing w:line="276" w:lineRule="auto"/>
              <w:jc w:val="right"/>
              <w:rPr>
                <w:sz w:val="20"/>
                <w:szCs w:val="20"/>
                <w:lang w:val="en-GB"/>
              </w:rPr>
            </w:pPr>
            <w:r w:rsidRPr="00184430">
              <w:rPr>
                <w:sz w:val="20"/>
                <w:szCs w:val="20"/>
                <w:lang w:val="en-GB"/>
              </w:rPr>
              <w:t>0.</w:t>
            </w:r>
            <w:r w:rsidR="002365DA" w:rsidRPr="00184430">
              <w:rPr>
                <w:sz w:val="20"/>
                <w:szCs w:val="20"/>
                <w:lang w:val="en-GB"/>
              </w:rPr>
              <w:t>2</w:t>
            </w:r>
          </w:p>
        </w:tc>
        <w:tc>
          <w:tcPr>
            <w:tcW w:w="1843" w:type="dxa"/>
            <w:vAlign w:val="bottom"/>
          </w:tcPr>
          <w:p w:rsidR="00A87EAF" w:rsidRDefault="004D63C3" w:rsidP="00192FFB">
            <w:pPr>
              <w:spacing w:line="276" w:lineRule="auto"/>
              <w:jc w:val="right"/>
              <w:rPr>
                <w:sz w:val="20"/>
                <w:szCs w:val="20"/>
                <w:lang w:val="en-GB"/>
              </w:rPr>
            </w:pPr>
            <w:r w:rsidRPr="00184430">
              <w:rPr>
                <w:sz w:val="20"/>
                <w:szCs w:val="20"/>
                <w:lang w:val="en-GB"/>
              </w:rPr>
              <w:t>1.</w:t>
            </w:r>
            <w:r w:rsidR="002365DA" w:rsidRPr="00184430">
              <w:rPr>
                <w:sz w:val="20"/>
                <w:szCs w:val="20"/>
                <w:lang w:val="en-GB"/>
              </w:rPr>
              <w:t>3</w:t>
            </w:r>
          </w:p>
        </w:tc>
        <w:tc>
          <w:tcPr>
            <w:tcW w:w="1701" w:type="dxa"/>
            <w:vAlign w:val="bottom"/>
          </w:tcPr>
          <w:p w:rsidR="00A87EAF" w:rsidRDefault="004D63C3" w:rsidP="00192FFB">
            <w:pPr>
              <w:spacing w:line="276" w:lineRule="auto"/>
              <w:jc w:val="right"/>
              <w:rPr>
                <w:sz w:val="20"/>
                <w:szCs w:val="20"/>
                <w:lang w:val="en-GB"/>
              </w:rPr>
            </w:pPr>
            <w:r w:rsidRPr="00184430">
              <w:rPr>
                <w:sz w:val="20"/>
                <w:szCs w:val="20"/>
                <w:lang w:val="en-GB"/>
              </w:rPr>
              <w:t>1.3</w:t>
            </w:r>
          </w:p>
        </w:tc>
      </w:tr>
      <w:tr w:rsidR="004D63C3" w:rsidRPr="00184430" w:rsidTr="00632205">
        <w:trPr>
          <w:jc w:val="center"/>
        </w:trPr>
        <w:tc>
          <w:tcPr>
            <w:tcW w:w="1242" w:type="dxa"/>
            <w:vAlign w:val="center"/>
          </w:tcPr>
          <w:p w:rsidR="00A87EAF" w:rsidRDefault="004D63C3">
            <w:pPr>
              <w:spacing w:line="276" w:lineRule="auto"/>
              <w:jc w:val="both"/>
              <w:rPr>
                <w:b/>
                <w:sz w:val="20"/>
                <w:szCs w:val="20"/>
                <w:lang w:val="en-GB"/>
              </w:rPr>
            </w:pPr>
            <w:r w:rsidRPr="00184430">
              <w:rPr>
                <w:b/>
                <w:sz w:val="20"/>
                <w:szCs w:val="20"/>
                <w:lang w:val="en-GB"/>
              </w:rPr>
              <w:t>Standard deviation</w:t>
            </w:r>
          </w:p>
        </w:tc>
        <w:tc>
          <w:tcPr>
            <w:tcW w:w="1505" w:type="dxa"/>
            <w:vAlign w:val="center"/>
          </w:tcPr>
          <w:p w:rsidR="00A87EAF" w:rsidRDefault="004D63C3" w:rsidP="00192FFB">
            <w:pPr>
              <w:spacing w:line="276" w:lineRule="auto"/>
              <w:jc w:val="right"/>
              <w:rPr>
                <w:sz w:val="20"/>
                <w:szCs w:val="20"/>
                <w:lang w:val="en-GB"/>
              </w:rPr>
            </w:pPr>
            <w:r w:rsidRPr="00184430">
              <w:rPr>
                <w:sz w:val="20"/>
                <w:szCs w:val="20"/>
                <w:lang w:val="en-GB"/>
              </w:rPr>
              <w:t>5.2</w:t>
            </w:r>
          </w:p>
        </w:tc>
        <w:tc>
          <w:tcPr>
            <w:tcW w:w="1559" w:type="dxa"/>
            <w:vAlign w:val="center"/>
          </w:tcPr>
          <w:p w:rsidR="00A87EAF" w:rsidRDefault="004D63C3" w:rsidP="00192FFB">
            <w:pPr>
              <w:spacing w:line="276" w:lineRule="auto"/>
              <w:jc w:val="right"/>
              <w:rPr>
                <w:sz w:val="20"/>
                <w:szCs w:val="20"/>
                <w:lang w:val="en-GB"/>
              </w:rPr>
            </w:pPr>
            <w:r w:rsidRPr="00184430">
              <w:rPr>
                <w:sz w:val="20"/>
                <w:szCs w:val="20"/>
                <w:lang w:val="en-GB"/>
              </w:rPr>
              <w:t>4.2</w:t>
            </w:r>
          </w:p>
        </w:tc>
        <w:tc>
          <w:tcPr>
            <w:tcW w:w="1701" w:type="dxa"/>
            <w:vAlign w:val="center"/>
          </w:tcPr>
          <w:p w:rsidR="00A87EAF" w:rsidRDefault="004D63C3" w:rsidP="00192FFB">
            <w:pPr>
              <w:spacing w:line="276" w:lineRule="auto"/>
              <w:jc w:val="right"/>
              <w:rPr>
                <w:sz w:val="20"/>
                <w:szCs w:val="20"/>
                <w:lang w:val="en-GB"/>
              </w:rPr>
            </w:pPr>
            <w:r w:rsidRPr="00184430">
              <w:rPr>
                <w:sz w:val="20"/>
                <w:szCs w:val="20"/>
                <w:lang w:val="en-GB"/>
              </w:rPr>
              <w:t>3.</w:t>
            </w:r>
            <w:r w:rsidR="002365DA" w:rsidRPr="00184430">
              <w:rPr>
                <w:sz w:val="20"/>
                <w:szCs w:val="20"/>
                <w:lang w:val="en-GB"/>
              </w:rPr>
              <w:t>9</w:t>
            </w:r>
          </w:p>
        </w:tc>
        <w:tc>
          <w:tcPr>
            <w:tcW w:w="1843" w:type="dxa"/>
            <w:vAlign w:val="center"/>
          </w:tcPr>
          <w:p w:rsidR="00A87EAF" w:rsidRDefault="004D63C3" w:rsidP="00192FFB">
            <w:pPr>
              <w:spacing w:line="276" w:lineRule="auto"/>
              <w:jc w:val="right"/>
              <w:rPr>
                <w:sz w:val="20"/>
                <w:szCs w:val="20"/>
                <w:lang w:val="en-GB"/>
              </w:rPr>
            </w:pPr>
            <w:r w:rsidRPr="00184430">
              <w:rPr>
                <w:sz w:val="20"/>
                <w:szCs w:val="20"/>
                <w:lang w:val="en-GB"/>
              </w:rPr>
              <w:t>3.4</w:t>
            </w:r>
          </w:p>
        </w:tc>
        <w:tc>
          <w:tcPr>
            <w:tcW w:w="1701" w:type="dxa"/>
            <w:vAlign w:val="center"/>
          </w:tcPr>
          <w:p w:rsidR="00A87EAF" w:rsidRDefault="004D63C3" w:rsidP="00192FFB">
            <w:pPr>
              <w:spacing w:line="276" w:lineRule="auto"/>
              <w:jc w:val="right"/>
              <w:rPr>
                <w:sz w:val="20"/>
                <w:szCs w:val="20"/>
                <w:lang w:val="en-GB"/>
              </w:rPr>
            </w:pPr>
            <w:r w:rsidRPr="00184430">
              <w:rPr>
                <w:sz w:val="20"/>
                <w:szCs w:val="20"/>
                <w:lang w:val="en-GB"/>
              </w:rPr>
              <w:t>3.4</w:t>
            </w:r>
          </w:p>
        </w:tc>
      </w:tr>
      <w:tr w:rsidR="0082279D" w:rsidRPr="00184430" w:rsidTr="003D5714">
        <w:trPr>
          <w:jc w:val="center"/>
        </w:trPr>
        <w:tc>
          <w:tcPr>
            <w:tcW w:w="1242" w:type="dxa"/>
            <w:vAlign w:val="center"/>
          </w:tcPr>
          <w:p w:rsidR="00A87EAF" w:rsidRDefault="0082279D">
            <w:pPr>
              <w:spacing w:line="276" w:lineRule="auto"/>
              <w:jc w:val="both"/>
              <w:rPr>
                <w:b/>
                <w:sz w:val="20"/>
                <w:szCs w:val="20"/>
                <w:lang w:val="en-GB"/>
              </w:rPr>
            </w:pPr>
            <w:r w:rsidRPr="00184430">
              <w:rPr>
                <w:b/>
                <w:sz w:val="20"/>
                <w:szCs w:val="20"/>
                <w:lang w:val="en-GB"/>
              </w:rPr>
              <w:t>High</w:t>
            </w:r>
            <w:r>
              <w:rPr>
                <w:b/>
                <w:sz w:val="20"/>
                <w:szCs w:val="20"/>
                <w:lang w:val="en-GB"/>
              </w:rPr>
              <w:t>est</w:t>
            </w:r>
            <w:r w:rsidRPr="00184430">
              <w:rPr>
                <w:b/>
                <w:sz w:val="20"/>
                <w:szCs w:val="20"/>
                <w:lang w:val="en-GB"/>
              </w:rPr>
              <w:t xml:space="preserve"> current account surpluses</w:t>
            </w:r>
          </w:p>
        </w:tc>
        <w:tc>
          <w:tcPr>
            <w:tcW w:w="1505" w:type="dxa"/>
          </w:tcPr>
          <w:p w:rsidR="00A87EAF" w:rsidRDefault="0082279D">
            <w:pPr>
              <w:spacing w:line="276" w:lineRule="auto"/>
              <w:jc w:val="both"/>
              <w:rPr>
                <w:sz w:val="20"/>
                <w:szCs w:val="20"/>
                <w:lang w:val="en-GB"/>
              </w:rPr>
            </w:pPr>
            <w:r w:rsidRPr="00184430">
              <w:rPr>
                <w:sz w:val="20"/>
                <w:szCs w:val="20"/>
                <w:lang w:val="en-GB"/>
              </w:rPr>
              <w:t>Luxembourg (7.7)</w:t>
            </w:r>
          </w:p>
          <w:p w:rsidR="00A87EAF" w:rsidRDefault="0082279D">
            <w:pPr>
              <w:spacing w:line="276" w:lineRule="auto"/>
              <w:jc w:val="both"/>
              <w:rPr>
                <w:sz w:val="20"/>
                <w:szCs w:val="20"/>
                <w:lang w:val="en-GB"/>
              </w:rPr>
            </w:pPr>
            <w:r w:rsidRPr="00184430">
              <w:rPr>
                <w:sz w:val="20"/>
                <w:szCs w:val="20"/>
                <w:lang w:val="en-GB"/>
              </w:rPr>
              <w:t>Netherlands (7.5)</w:t>
            </w:r>
          </w:p>
          <w:p w:rsidR="00A87EAF" w:rsidRDefault="0082279D">
            <w:pPr>
              <w:spacing w:line="276" w:lineRule="auto"/>
              <w:jc w:val="both"/>
              <w:rPr>
                <w:sz w:val="20"/>
                <w:szCs w:val="20"/>
                <w:lang w:val="en-GB"/>
              </w:rPr>
            </w:pPr>
            <w:r w:rsidRPr="00184430">
              <w:rPr>
                <w:sz w:val="20"/>
                <w:szCs w:val="20"/>
                <w:lang w:val="en-GB"/>
              </w:rPr>
              <w:t>Sweden (6.5)</w:t>
            </w:r>
          </w:p>
          <w:p w:rsidR="00A87EAF" w:rsidRDefault="0082279D">
            <w:pPr>
              <w:spacing w:line="276" w:lineRule="auto"/>
              <w:jc w:val="both"/>
              <w:rPr>
                <w:sz w:val="20"/>
                <w:szCs w:val="20"/>
                <w:lang w:val="en-GB"/>
              </w:rPr>
            </w:pPr>
            <w:r w:rsidRPr="00184430">
              <w:rPr>
                <w:sz w:val="20"/>
                <w:szCs w:val="20"/>
                <w:lang w:val="en-GB"/>
              </w:rPr>
              <w:t>Germany (5.9)</w:t>
            </w:r>
          </w:p>
          <w:p w:rsidR="00A87EAF" w:rsidRDefault="0082279D">
            <w:pPr>
              <w:spacing w:line="276" w:lineRule="auto"/>
              <w:jc w:val="both"/>
              <w:rPr>
                <w:sz w:val="20"/>
                <w:szCs w:val="20"/>
                <w:lang w:val="en-GB"/>
              </w:rPr>
            </w:pPr>
            <w:r w:rsidRPr="00184430">
              <w:rPr>
                <w:sz w:val="20"/>
                <w:szCs w:val="20"/>
                <w:lang w:val="en-GB"/>
              </w:rPr>
              <w:t>Denmark (5.7)</w:t>
            </w:r>
          </w:p>
        </w:tc>
        <w:tc>
          <w:tcPr>
            <w:tcW w:w="1559" w:type="dxa"/>
          </w:tcPr>
          <w:p w:rsidR="00A87EAF" w:rsidRDefault="0082279D">
            <w:pPr>
              <w:spacing w:line="276" w:lineRule="auto"/>
              <w:jc w:val="both"/>
              <w:rPr>
                <w:sz w:val="20"/>
                <w:szCs w:val="20"/>
                <w:lang w:val="en-GB"/>
              </w:rPr>
            </w:pPr>
            <w:r w:rsidRPr="00184430">
              <w:rPr>
                <w:sz w:val="20"/>
                <w:szCs w:val="20"/>
                <w:lang w:val="en-GB"/>
              </w:rPr>
              <w:t>Netherlands (7.1)</w:t>
            </w:r>
          </w:p>
          <w:p w:rsidR="00A87EAF" w:rsidRDefault="0082279D">
            <w:pPr>
              <w:spacing w:line="276" w:lineRule="auto"/>
              <w:jc w:val="both"/>
              <w:rPr>
                <w:sz w:val="20"/>
                <w:szCs w:val="20"/>
                <w:lang w:val="en-GB"/>
              </w:rPr>
            </w:pPr>
            <w:r w:rsidRPr="00184430">
              <w:rPr>
                <w:sz w:val="20"/>
                <w:szCs w:val="20"/>
                <w:lang w:val="en-GB"/>
              </w:rPr>
              <w:t>Luxembourg (6.5)</w:t>
            </w:r>
          </w:p>
          <w:p w:rsidR="00A87EAF" w:rsidRDefault="0082279D">
            <w:pPr>
              <w:spacing w:line="276" w:lineRule="auto"/>
              <w:jc w:val="both"/>
              <w:rPr>
                <w:sz w:val="20"/>
                <w:szCs w:val="20"/>
                <w:lang w:val="en-GB"/>
              </w:rPr>
            </w:pPr>
            <w:r w:rsidRPr="00184430">
              <w:rPr>
                <w:sz w:val="20"/>
                <w:szCs w:val="20"/>
                <w:lang w:val="en-GB"/>
              </w:rPr>
              <w:t>Germany (6.2)</w:t>
            </w:r>
          </w:p>
          <w:p w:rsidR="00A87EAF" w:rsidRDefault="0082279D">
            <w:pPr>
              <w:spacing w:line="276" w:lineRule="auto"/>
              <w:jc w:val="both"/>
              <w:rPr>
                <w:sz w:val="20"/>
                <w:szCs w:val="20"/>
                <w:lang w:val="en-GB"/>
              </w:rPr>
            </w:pPr>
            <w:r w:rsidRPr="00184430">
              <w:rPr>
                <w:sz w:val="20"/>
                <w:szCs w:val="20"/>
                <w:lang w:val="en-GB"/>
              </w:rPr>
              <w:t>Sweden (5.9)</w:t>
            </w:r>
          </w:p>
          <w:p w:rsidR="00A87EAF" w:rsidRDefault="0082279D">
            <w:pPr>
              <w:spacing w:line="276" w:lineRule="auto"/>
              <w:jc w:val="both"/>
              <w:rPr>
                <w:sz w:val="20"/>
                <w:szCs w:val="20"/>
                <w:lang w:val="en-GB"/>
              </w:rPr>
            </w:pPr>
            <w:r w:rsidRPr="00184430">
              <w:rPr>
                <w:sz w:val="20"/>
                <w:szCs w:val="20"/>
                <w:lang w:val="en-GB"/>
              </w:rPr>
              <w:t>Denmark (5.7)</w:t>
            </w:r>
          </w:p>
        </w:tc>
        <w:tc>
          <w:tcPr>
            <w:tcW w:w="1701" w:type="dxa"/>
          </w:tcPr>
          <w:p w:rsidR="00A87EAF" w:rsidRDefault="0082279D">
            <w:pPr>
              <w:spacing w:line="276" w:lineRule="auto"/>
              <w:jc w:val="both"/>
              <w:rPr>
                <w:sz w:val="20"/>
                <w:szCs w:val="20"/>
                <w:lang w:val="en-GB"/>
              </w:rPr>
            </w:pPr>
            <w:r w:rsidRPr="00184430">
              <w:rPr>
                <w:sz w:val="20"/>
                <w:szCs w:val="20"/>
                <w:lang w:val="en-GB"/>
              </w:rPr>
              <w:t>Netherlands (8.8)</w:t>
            </w:r>
          </w:p>
          <w:p w:rsidR="00A87EAF" w:rsidRDefault="009A7B47">
            <w:pPr>
              <w:spacing w:line="276" w:lineRule="auto"/>
              <w:jc w:val="both"/>
              <w:rPr>
                <w:sz w:val="20"/>
                <w:szCs w:val="20"/>
                <w:lang w:val="en-GB"/>
              </w:rPr>
            </w:pPr>
            <w:r w:rsidRPr="00184430">
              <w:rPr>
                <w:sz w:val="20"/>
                <w:szCs w:val="20"/>
                <w:lang w:val="en-GB"/>
              </w:rPr>
              <w:t>Germany (7.2)</w:t>
            </w:r>
          </w:p>
          <w:p w:rsidR="00A87EAF" w:rsidRDefault="009A7B47">
            <w:pPr>
              <w:spacing w:line="276" w:lineRule="auto"/>
              <w:jc w:val="both"/>
              <w:rPr>
                <w:sz w:val="20"/>
                <w:szCs w:val="20"/>
                <w:lang w:val="en-GB"/>
              </w:rPr>
            </w:pPr>
            <w:r w:rsidRPr="00184430">
              <w:rPr>
                <w:sz w:val="20"/>
                <w:szCs w:val="20"/>
                <w:lang w:val="en-GB"/>
              </w:rPr>
              <w:t>Sweden (6.3)</w:t>
            </w:r>
          </w:p>
          <w:p w:rsidR="00A87EAF" w:rsidRDefault="009A7B47">
            <w:pPr>
              <w:spacing w:line="276" w:lineRule="auto"/>
              <w:jc w:val="both"/>
              <w:rPr>
                <w:sz w:val="20"/>
                <w:szCs w:val="20"/>
                <w:lang w:val="en-GB"/>
              </w:rPr>
            </w:pPr>
            <w:r w:rsidRPr="00184430">
              <w:rPr>
                <w:sz w:val="20"/>
                <w:szCs w:val="20"/>
                <w:lang w:val="en-GB"/>
              </w:rPr>
              <w:t>Denmark (5.8)</w:t>
            </w:r>
          </w:p>
          <w:p w:rsidR="00A87EAF" w:rsidRDefault="0082279D">
            <w:pPr>
              <w:spacing w:line="276" w:lineRule="auto"/>
              <w:jc w:val="both"/>
              <w:rPr>
                <w:sz w:val="20"/>
                <w:szCs w:val="20"/>
                <w:lang w:val="en-GB"/>
              </w:rPr>
            </w:pPr>
            <w:r w:rsidRPr="00184430">
              <w:rPr>
                <w:sz w:val="20"/>
                <w:szCs w:val="20"/>
                <w:lang w:val="en-GB"/>
              </w:rPr>
              <w:t>Luxembourg (5.7)</w:t>
            </w:r>
          </w:p>
        </w:tc>
        <w:tc>
          <w:tcPr>
            <w:tcW w:w="1843" w:type="dxa"/>
          </w:tcPr>
          <w:p w:rsidR="00A87EAF" w:rsidRDefault="009A7B47">
            <w:pPr>
              <w:spacing w:line="276" w:lineRule="auto"/>
              <w:jc w:val="both"/>
              <w:rPr>
                <w:sz w:val="20"/>
                <w:szCs w:val="20"/>
                <w:lang w:val="en-GB"/>
              </w:rPr>
            </w:pPr>
            <w:r w:rsidRPr="00184430">
              <w:rPr>
                <w:sz w:val="20"/>
                <w:szCs w:val="20"/>
                <w:lang w:val="en-GB"/>
              </w:rPr>
              <w:t>Netherlands (8.5)</w:t>
            </w:r>
          </w:p>
          <w:p w:rsidR="00A87EAF" w:rsidRDefault="009A7B47">
            <w:pPr>
              <w:spacing w:line="276" w:lineRule="auto"/>
              <w:jc w:val="both"/>
              <w:rPr>
                <w:sz w:val="20"/>
                <w:szCs w:val="20"/>
                <w:lang w:val="en-GB"/>
              </w:rPr>
            </w:pPr>
            <w:r w:rsidRPr="00184430">
              <w:rPr>
                <w:sz w:val="20"/>
                <w:szCs w:val="20"/>
                <w:lang w:val="en-GB"/>
              </w:rPr>
              <w:t>Denmark (6.9)</w:t>
            </w:r>
          </w:p>
          <w:p w:rsidR="00A87EAF" w:rsidRDefault="009A7B47">
            <w:pPr>
              <w:spacing w:line="276" w:lineRule="auto"/>
              <w:jc w:val="both"/>
              <w:rPr>
                <w:sz w:val="20"/>
                <w:szCs w:val="20"/>
                <w:lang w:val="en-GB"/>
              </w:rPr>
            </w:pPr>
            <w:r w:rsidRPr="00184430">
              <w:rPr>
                <w:sz w:val="20"/>
                <w:szCs w:val="20"/>
                <w:lang w:val="en-GB"/>
              </w:rPr>
              <w:t>Germany (6.9)</w:t>
            </w:r>
          </w:p>
          <w:p w:rsidR="00A87EAF" w:rsidRDefault="009A7B47">
            <w:pPr>
              <w:spacing w:line="276" w:lineRule="auto"/>
              <w:jc w:val="both"/>
              <w:rPr>
                <w:sz w:val="20"/>
                <w:szCs w:val="20"/>
                <w:lang w:val="en-GB"/>
              </w:rPr>
            </w:pPr>
            <w:r w:rsidRPr="00184430">
              <w:rPr>
                <w:sz w:val="20"/>
                <w:szCs w:val="20"/>
                <w:lang w:val="en-GB"/>
              </w:rPr>
              <w:t>Sweden (6.5)</w:t>
            </w:r>
          </w:p>
          <w:p w:rsidR="00A87EAF" w:rsidRDefault="009A7B47">
            <w:pPr>
              <w:spacing w:line="276" w:lineRule="auto"/>
              <w:jc w:val="both"/>
              <w:rPr>
                <w:sz w:val="20"/>
                <w:szCs w:val="20"/>
                <w:lang w:val="en-GB"/>
              </w:rPr>
            </w:pPr>
            <w:r w:rsidRPr="00184430">
              <w:rPr>
                <w:sz w:val="20"/>
                <w:szCs w:val="20"/>
                <w:lang w:val="en-GB"/>
              </w:rPr>
              <w:t>Luxembourg (5.2)</w:t>
            </w:r>
          </w:p>
          <w:p w:rsidR="00A87EAF" w:rsidRDefault="0082279D">
            <w:pPr>
              <w:spacing w:line="276" w:lineRule="auto"/>
              <w:jc w:val="both"/>
              <w:rPr>
                <w:sz w:val="20"/>
                <w:szCs w:val="20"/>
                <w:lang w:val="en-GB"/>
              </w:rPr>
            </w:pPr>
            <w:r w:rsidRPr="00184430">
              <w:rPr>
                <w:sz w:val="20"/>
                <w:szCs w:val="20"/>
                <w:lang w:val="en-GB"/>
              </w:rPr>
              <w:t>Slovenia (4.8)</w:t>
            </w:r>
          </w:p>
        </w:tc>
        <w:tc>
          <w:tcPr>
            <w:tcW w:w="1701" w:type="dxa"/>
          </w:tcPr>
          <w:p w:rsidR="00A87EAF" w:rsidRDefault="009A7B47">
            <w:pPr>
              <w:spacing w:line="276" w:lineRule="auto"/>
              <w:jc w:val="both"/>
              <w:rPr>
                <w:sz w:val="20"/>
                <w:szCs w:val="20"/>
                <w:lang w:val="en-GB"/>
              </w:rPr>
            </w:pPr>
            <w:r w:rsidRPr="00184430">
              <w:rPr>
                <w:sz w:val="20"/>
                <w:szCs w:val="20"/>
                <w:lang w:val="en-GB"/>
              </w:rPr>
              <w:t>Netherlands (7.8)</w:t>
            </w:r>
          </w:p>
          <w:p w:rsidR="00A87EAF" w:rsidRDefault="009A7B47">
            <w:pPr>
              <w:spacing w:line="276" w:lineRule="auto"/>
              <w:jc w:val="both"/>
              <w:rPr>
                <w:sz w:val="20"/>
                <w:szCs w:val="20"/>
                <w:lang w:val="en-GB"/>
              </w:rPr>
            </w:pPr>
            <w:r w:rsidRPr="00184430">
              <w:rPr>
                <w:sz w:val="20"/>
                <w:szCs w:val="20"/>
                <w:lang w:val="en-GB"/>
              </w:rPr>
              <w:t>Germany (7.1)</w:t>
            </w:r>
          </w:p>
          <w:p w:rsidR="00A87EAF" w:rsidRDefault="009A7B47">
            <w:pPr>
              <w:spacing w:line="276" w:lineRule="auto"/>
              <w:jc w:val="both"/>
              <w:rPr>
                <w:sz w:val="20"/>
                <w:szCs w:val="20"/>
                <w:lang w:val="en-GB"/>
              </w:rPr>
            </w:pPr>
            <w:r w:rsidRPr="00184430">
              <w:rPr>
                <w:sz w:val="20"/>
                <w:szCs w:val="20"/>
                <w:lang w:val="en-GB"/>
              </w:rPr>
              <w:t>Denmark (6.2)</w:t>
            </w:r>
          </w:p>
          <w:p w:rsidR="00A87EAF" w:rsidRDefault="009A7B47">
            <w:pPr>
              <w:spacing w:line="276" w:lineRule="auto"/>
              <w:jc w:val="both"/>
              <w:rPr>
                <w:sz w:val="20"/>
                <w:szCs w:val="20"/>
                <w:lang w:val="en-GB"/>
              </w:rPr>
            </w:pPr>
            <w:r w:rsidRPr="00184430">
              <w:rPr>
                <w:sz w:val="20"/>
                <w:szCs w:val="20"/>
                <w:lang w:val="en-GB"/>
              </w:rPr>
              <w:t>Slovenia</w:t>
            </w:r>
            <w:r w:rsidRPr="00184430">
              <w:rPr>
                <w:sz w:val="20"/>
                <w:szCs w:val="20"/>
                <w:lang w:val="en-GB"/>
              </w:rPr>
              <w:tab/>
              <w:t xml:space="preserve"> (6.2)</w:t>
            </w:r>
          </w:p>
          <w:p w:rsidR="00A87EAF" w:rsidRDefault="009A7B47">
            <w:pPr>
              <w:spacing w:line="276" w:lineRule="auto"/>
              <w:jc w:val="both"/>
              <w:rPr>
                <w:sz w:val="20"/>
                <w:szCs w:val="20"/>
                <w:lang w:val="en-GB"/>
              </w:rPr>
            </w:pPr>
            <w:r w:rsidRPr="00184430">
              <w:rPr>
                <w:sz w:val="20"/>
                <w:szCs w:val="20"/>
                <w:lang w:val="en-GB"/>
              </w:rPr>
              <w:t>Sweden (5.7)</w:t>
            </w:r>
          </w:p>
          <w:p w:rsidR="00A87EAF" w:rsidRDefault="009A7B47">
            <w:pPr>
              <w:spacing w:line="276" w:lineRule="auto"/>
              <w:jc w:val="both"/>
              <w:rPr>
                <w:sz w:val="20"/>
                <w:szCs w:val="20"/>
                <w:lang w:val="en-GB"/>
              </w:rPr>
            </w:pPr>
            <w:r w:rsidRPr="00184430">
              <w:rPr>
                <w:sz w:val="20"/>
                <w:szCs w:val="20"/>
                <w:lang w:val="en-GB"/>
              </w:rPr>
              <w:t>Ireland (5.5)</w:t>
            </w:r>
          </w:p>
          <w:p w:rsidR="00A87EAF" w:rsidRDefault="0082279D">
            <w:pPr>
              <w:spacing w:line="276" w:lineRule="auto"/>
              <w:jc w:val="both"/>
              <w:rPr>
                <w:sz w:val="20"/>
                <w:szCs w:val="20"/>
                <w:lang w:val="en-GB"/>
              </w:rPr>
            </w:pPr>
            <w:r w:rsidRPr="00184430">
              <w:rPr>
                <w:sz w:val="20"/>
                <w:szCs w:val="20"/>
                <w:lang w:val="en-GB"/>
              </w:rPr>
              <w:t>Luxembourg (5.2)</w:t>
            </w:r>
          </w:p>
        </w:tc>
      </w:tr>
      <w:tr w:rsidR="0082279D" w:rsidRPr="00184430" w:rsidTr="003D5714">
        <w:trPr>
          <w:jc w:val="center"/>
        </w:trPr>
        <w:tc>
          <w:tcPr>
            <w:tcW w:w="1242" w:type="dxa"/>
            <w:vAlign w:val="center"/>
          </w:tcPr>
          <w:p w:rsidR="00A87EAF" w:rsidRDefault="0082279D">
            <w:pPr>
              <w:spacing w:line="276" w:lineRule="auto"/>
              <w:jc w:val="both"/>
              <w:rPr>
                <w:b/>
                <w:sz w:val="20"/>
                <w:szCs w:val="20"/>
                <w:lang w:val="en-GB"/>
              </w:rPr>
            </w:pPr>
            <w:r w:rsidRPr="00184430">
              <w:rPr>
                <w:b/>
                <w:sz w:val="20"/>
                <w:szCs w:val="20"/>
                <w:lang w:val="en-GB"/>
              </w:rPr>
              <w:t>High</w:t>
            </w:r>
            <w:r>
              <w:rPr>
                <w:b/>
                <w:sz w:val="20"/>
                <w:szCs w:val="20"/>
                <w:lang w:val="en-GB"/>
              </w:rPr>
              <w:t>est</w:t>
            </w:r>
            <w:r w:rsidRPr="00184430">
              <w:rPr>
                <w:b/>
                <w:sz w:val="20"/>
                <w:szCs w:val="20"/>
                <w:lang w:val="en-GB"/>
              </w:rPr>
              <w:t xml:space="preserve"> current account deficits</w:t>
            </w:r>
          </w:p>
        </w:tc>
        <w:tc>
          <w:tcPr>
            <w:tcW w:w="1505" w:type="dxa"/>
          </w:tcPr>
          <w:p w:rsidR="00A87EAF" w:rsidRDefault="0082279D">
            <w:pPr>
              <w:spacing w:line="276" w:lineRule="auto"/>
              <w:jc w:val="both"/>
              <w:rPr>
                <w:sz w:val="20"/>
                <w:szCs w:val="20"/>
                <w:lang w:val="en-GB"/>
              </w:rPr>
            </w:pPr>
            <w:r w:rsidRPr="00184430">
              <w:rPr>
                <w:sz w:val="20"/>
                <w:szCs w:val="20"/>
                <w:lang w:val="en-GB"/>
              </w:rPr>
              <w:t>Malta (-6.4)</w:t>
            </w:r>
          </w:p>
          <w:p w:rsidR="00A87EAF" w:rsidRDefault="0082279D">
            <w:pPr>
              <w:spacing w:line="276" w:lineRule="auto"/>
              <w:jc w:val="both"/>
              <w:rPr>
                <w:sz w:val="20"/>
                <w:szCs w:val="20"/>
                <w:lang w:val="en-GB"/>
              </w:rPr>
            </w:pPr>
            <w:r w:rsidRPr="00184430">
              <w:rPr>
                <w:sz w:val="20"/>
                <w:szCs w:val="20"/>
                <w:lang w:val="en-GB"/>
              </w:rPr>
              <w:t>Cyprus (-9.1)</w:t>
            </w:r>
          </w:p>
          <w:p w:rsidR="00A87EAF" w:rsidRDefault="0082279D">
            <w:pPr>
              <w:spacing w:line="276" w:lineRule="auto"/>
              <w:jc w:val="both"/>
              <w:rPr>
                <w:sz w:val="20"/>
                <w:szCs w:val="20"/>
                <w:lang w:val="en-GB"/>
              </w:rPr>
            </w:pPr>
            <w:r w:rsidRPr="00184430">
              <w:rPr>
                <w:sz w:val="20"/>
                <w:szCs w:val="20"/>
                <w:lang w:val="en-GB"/>
              </w:rPr>
              <w:t>Portugal (-10.4)</w:t>
            </w:r>
          </w:p>
          <w:p w:rsidR="00A87EAF" w:rsidRDefault="0082279D">
            <w:pPr>
              <w:spacing w:line="276" w:lineRule="auto"/>
              <w:jc w:val="both"/>
              <w:rPr>
                <w:sz w:val="20"/>
                <w:szCs w:val="20"/>
                <w:lang w:val="en-GB"/>
              </w:rPr>
            </w:pPr>
            <w:r w:rsidRPr="00184430">
              <w:rPr>
                <w:sz w:val="20"/>
                <w:szCs w:val="20"/>
                <w:lang w:val="en-GB"/>
              </w:rPr>
              <w:t>Greece (-12)</w:t>
            </w:r>
          </w:p>
        </w:tc>
        <w:tc>
          <w:tcPr>
            <w:tcW w:w="1559" w:type="dxa"/>
          </w:tcPr>
          <w:p w:rsidR="00A87EAF" w:rsidRDefault="0082279D">
            <w:pPr>
              <w:spacing w:line="276" w:lineRule="auto"/>
              <w:jc w:val="both"/>
              <w:rPr>
                <w:sz w:val="20"/>
                <w:szCs w:val="20"/>
                <w:lang w:val="en-GB"/>
              </w:rPr>
            </w:pPr>
            <w:r w:rsidRPr="00184430">
              <w:rPr>
                <w:sz w:val="20"/>
                <w:szCs w:val="20"/>
                <w:lang w:val="en-GB"/>
              </w:rPr>
              <w:t>Poland (-5)</w:t>
            </w:r>
          </w:p>
          <w:p w:rsidR="00A87EAF" w:rsidRDefault="0082279D">
            <w:pPr>
              <w:spacing w:line="276" w:lineRule="auto"/>
              <w:jc w:val="both"/>
              <w:rPr>
                <w:sz w:val="20"/>
                <w:szCs w:val="20"/>
                <w:lang w:val="en-GB"/>
              </w:rPr>
            </w:pPr>
            <w:r w:rsidRPr="00184430">
              <w:rPr>
                <w:sz w:val="20"/>
                <w:szCs w:val="20"/>
                <w:lang w:val="en-GB"/>
              </w:rPr>
              <w:t>Portugal (-5.6)</w:t>
            </w:r>
          </w:p>
          <w:p w:rsidR="00A87EAF" w:rsidRDefault="0082279D">
            <w:pPr>
              <w:spacing w:line="276" w:lineRule="auto"/>
              <w:jc w:val="both"/>
              <w:rPr>
                <w:sz w:val="20"/>
                <w:szCs w:val="20"/>
                <w:lang w:val="en-GB"/>
              </w:rPr>
            </w:pPr>
            <w:r w:rsidRPr="00184430">
              <w:rPr>
                <w:sz w:val="20"/>
                <w:szCs w:val="20"/>
                <w:lang w:val="en-GB"/>
              </w:rPr>
              <w:t>Greece (-10.5)</w:t>
            </w:r>
          </w:p>
        </w:tc>
        <w:tc>
          <w:tcPr>
            <w:tcW w:w="1701" w:type="dxa"/>
          </w:tcPr>
          <w:p w:rsidR="00A87EAF" w:rsidRDefault="009A7B47">
            <w:pPr>
              <w:spacing w:line="276" w:lineRule="auto"/>
              <w:jc w:val="both"/>
              <w:rPr>
                <w:sz w:val="20"/>
                <w:szCs w:val="20"/>
                <w:lang w:val="en-GB"/>
              </w:rPr>
            </w:pPr>
            <w:r w:rsidRPr="00184430">
              <w:rPr>
                <w:sz w:val="20"/>
                <w:szCs w:val="20"/>
                <w:lang w:val="en-GB"/>
              </w:rPr>
              <w:t>Poland (-3.8)</w:t>
            </w:r>
          </w:p>
          <w:p w:rsidR="00A87EAF" w:rsidRDefault="0082279D">
            <w:pPr>
              <w:spacing w:line="276" w:lineRule="auto"/>
              <w:jc w:val="both"/>
              <w:rPr>
                <w:sz w:val="20"/>
                <w:szCs w:val="20"/>
                <w:lang w:val="en-GB"/>
              </w:rPr>
            </w:pPr>
            <w:r w:rsidRPr="00184430">
              <w:rPr>
                <w:sz w:val="20"/>
                <w:szCs w:val="20"/>
                <w:lang w:val="en-GB"/>
              </w:rPr>
              <w:t>Greece (-4.3)</w:t>
            </w:r>
          </w:p>
          <w:p w:rsidR="00A87EAF" w:rsidRDefault="009A7B47">
            <w:pPr>
              <w:spacing w:line="276" w:lineRule="auto"/>
              <w:jc w:val="both"/>
              <w:rPr>
                <w:sz w:val="20"/>
                <w:szCs w:val="20"/>
                <w:lang w:val="en-GB"/>
              </w:rPr>
            </w:pPr>
            <w:r w:rsidRPr="00184430">
              <w:rPr>
                <w:sz w:val="20"/>
                <w:szCs w:val="20"/>
                <w:lang w:val="en-GB"/>
              </w:rPr>
              <w:t>Romania (-4.7)</w:t>
            </w:r>
          </w:p>
          <w:p w:rsidR="00A87EAF" w:rsidRDefault="009A7B47">
            <w:pPr>
              <w:spacing w:line="276" w:lineRule="auto"/>
              <w:jc w:val="both"/>
              <w:rPr>
                <w:sz w:val="20"/>
                <w:szCs w:val="20"/>
                <w:lang w:val="en-GB"/>
              </w:rPr>
            </w:pPr>
            <w:r w:rsidRPr="00184430">
              <w:rPr>
                <w:sz w:val="20"/>
                <w:szCs w:val="20"/>
                <w:lang w:val="en-GB"/>
              </w:rPr>
              <w:t>Cyprus (-5.5)</w:t>
            </w:r>
          </w:p>
        </w:tc>
        <w:tc>
          <w:tcPr>
            <w:tcW w:w="1843" w:type="dxa"/>
          </w:tcPr>
          <w:p w:rsidR="00A87EAF" w:rsidRDefault="009A7B47">
            <w:pPr>
              <w:spacing w:line="276" w:lineRule="auto"/>
              <w:jc w:val="both"/>
              <w:rPr>
                <w:sz w:val="20"/>
                <w:szCs w:val="20"/>
                <w:lang w:val="en-GB"/>
              </w:rPr>
            </w:pPr>
            <w:r w:rsidRPr="00184430">
              <w:rPr>
                <w:sz w:val="20"/>
                <w:szCs w:val="20"/>
                <w:lang w:val="en-GB"/>
              </w:rPr>
              <w:t>Czech Republic (-2.2)</w:t>
            </w:r>
          </w:p>
          <w:p w:rsidR="00A87EAF" w:rsidRDefault="009A7B47">
            <w:pPr>
              <w:spacing w:line="276" w:lineRule="auto"/>
              <w:jc w:val="both"/>
              <w:rPr>
                <w:sz w:val="20"/>
                <w:szCs w:val="20"/>
                <w:lang w:val="en-GB"/>
              </w:rPr>
            </w:pPr>
            <w:r w:rsidRPr="00184430">
              <w:rPr>
                <w:sz w:val="20"/>
                <w:szCs w:val="20"/>
                <w:lang w:val="en-GB"/>
              </w:rPr>
              <w:t>Latvia (-2.2)</w:t>
            </w:r>
          </w:p>
          <w:p w:rsidR="00A87EAF" w:rsidRDefault="0082279D">
            <w:pPr>
              <w:spacing w:line="276" w:lineRule="auto"/>
              <w:jc w:val="both"/>
              <w:rPr>
                <w:sz w:val="20"/>
                <w:szCs w:val="20"/>
                <w:lang w:val="en-GB"/>
              </w:rPr>
            </w:pPr>
            <w:r w:rsidRPr="00184430">
              <w:rPr>
                <w:sz w:val="20"/>
                <w:szCs w:val="20"/>
                <w:lang w:val="en-GB"/>
              </w:rPr>
              <w:t>Greece (-2.7)</w:t>
            </w:r>
          </w:p>
          <w:p w:rsidR="00A87EAF" w:rsidRDefault="009A7B47">
            <w:pPr>
              <w:spacing w:line="276" w:lineRule="auto"/>
              <w:jc w:val="both"/>
              <w:rPr>
                <w:sz w:val="20"/>
                <w:szCs w:val="20"/>
                <w:lang w:val="en-GB"/>
              </w:rPr>
            </w:pPr>
            <w:r w:rsidRPr="00184430">
              <w:rPr>
                <w:sz w:val="20"/>
                <w:szCs w:val="20"/>
                <w:lang w:val="en-GB"/>
              </w:rPr>
              <w:t>UK (-4.2)</w:t>
            </w:r>
          </w:p>
        </w:tc>
        <w:tc>
          <w:tcPr>
            <w:tcW w:w="1701" w:type="dxa"/>
          </w:tcPr>
          <w:p w:rsidR="00A87EAF" w:rsidRDefault="0082279D">
            <w:pPr>
              <w:spacing w:line="276" w:lineRule="auto"/>
              <w:jc w:val="both"/>
              <w:rPr>
                <w:sz w:val="20"/>
                <w:szCs w:val="20"/>
                <w:lang w:val="en-GB"/>
              </w:rPr>
            </w:pPr>
            <w:r w:rsidRPr="00184430">
              <w:rPr>
                <w:sz w:val="20"/>
                <w:szCs w:val="20"/>
                <w:lang w:val="en-GB"/>
              </w:rPr>
              <w:t>Latvia (-2.2)</w:t>
            </w:r>
          </w:p>
          <w:p w:rsidR="00A87EAF" w:rsidRDefault="009A7B47">
            <w:pPr>
              <w:spacing w:line="276" w:lineRule="auto"/>
              <w:jc w:val="both"/>
              <w:rPr>
                <w:sz w:val="20"/>
                <w:szCs w:val="20"/>
                <w:lang w:val="en-GB"/>
              </w:rPr>
            </w:pPr>
            <w:r w:rsidRPr="00184430">
              <w:rPr>
                <w:sz w:val="20"/>
                <w:szCs w:val="20"/>
                <w:lang w:val="en-GB"/>
              </w:rPr>
              <w:t>Estonia (-2.8)</w:t>
            </w:r>
          </w:p>
          <w:p w:rsidR="00A87EAF" w:rsidRDefault="009A7B47">
            <w:pPr>
              <w:spacing w:line="276" w:lineRule="auto"/>
              <w:jc w:val="both"/>
              <w:rPr>
                <w:sz w:val="20"/>
                <w:szCs w:val="20"/>
                <w:lang w:val="en-GB"/>
              </w:rPr>
            </w:pPr>
            <w:r w:rsidRPr="00184430">
              <w:rPr>
                <w:sz w:val="20"/>
                <w:szCs w:val="20"/>
                <w:lang w:val="en-GB"/>
              </w:rPr>
              <w:t>Greece (-2.8)</w:t>
            </w:r>
          </w:p>
          <w:p w:rsidR="00A87EAF" w:rsidRDefault="009A7B47">
            <w:pPr>
              <w:spacing w:line="276" w:lineRule="auto"/>
              <w:jc w:val="both"/>
              <w:rPr>
                <w:sz w:val="20"/>
                <w:szCs w:val="20"/>
                <w:lang w:val="en-GB"/>
              </w:rPr>
            </w:pPr>
            <w:r w:rsidRPr="00184430">
              <w:rPr>
                <w:sz w:val="20"/>
                <w:szCs w:val="20"/>
                <w:lang w:val="en-GB"/>
              </w:rPr>
              <w:t>UK (-4)</w:t>
            </w:r>
          </w:p>
        </w:tc>
      </w:tr>
    </w:tbl>
    <w:p w:rsidR="00CD463A" w:rsidRPr="00184430" w:rsidRDefault="00CD463A" w:rsidP="00FD1D46">
      <w:pPr>
        <w:spacing w:line="276" w:lineRule="auto"/>
        <w:jc w:val="both"/>
        <w:rPr>
          <w:lang w:val="en-GB"/>
        </w:rPr>
      </w:pPr>
    </w:p>
    <w:p w:rsidR="00A87EAF" w:rsidRDefault="00636842">
      <w:pPr>
        <w:spacing w:line="276" w:lineRule="auto"/>
        <w:jc w:val="both"/>
        <w:rPr>
          <w:sz w:val="20"/>
          <w:szCs w:val="20"/>
          <w:lang w:val="en-GB"/>
        </w:rPr>
      </w:pPr>
      <w:r w:rsidRPr="00184430">
        <w:rPr>
          <w:sz w:val="20"/>
          <w:szCs w:val="20"/>
          <w:lang w:val="en-GB"/>
        </w:rPr>
        <w:t xml:space="preserve">Source: </w:t>
      </w:r>
      <w:r w:rsidR="00374EE8">
        <w:rPr>
          <w:sz w:val="20"/>
          <w:szCs w:val="20"/>
          <w:lang w:val="en-GB"/>
        </w:rPr>
        <w:t>authors,</w:t>
      </w:r>
      <w:r w:rsidR="007C4F88">
        <w:rPr>
          <w:sz w:val="20"/>
          <w:szCs w:val="20"/>
          <w:lang w:val="en-GB"/>
        </w:rPr>
        <w:t xml:space="preserve"> based on</w:t>
      </w:r>
      <w:r w:rsidR="007C4F88" w:rsidRPr="00184430">
        <w:rPr>
          <w:sz w:val="20"/>
          <w:szCs w:val="20"/>
          <w:lang w:val="en-GB"/>
        </w:rPr>
        <w:t xml:space="preserve"> </w:t>
      </w:r>
      <w:r w:rsidRPr="00184430">
        <w:rPr>
          <w:sz w:val="20"/>
          <w:szCs w:val="20"/>
          <w:lang w:val="en-GB"/>
        </w:rPr>
        <w:t>European Commission (2014</w:t>
      </w:r>
      <w:r w:rsidR="00DA399A">
        <w:rPr>
          <w:sz w:val="20"/>
          <w:szCs w:val="20"/>
          <w:lang w:val="en-GB"/>
        </w:rPr>
        <w:t>a</w:t>
      </w:r>
      <w:r w:rsidRPr="00184430">
        <w:rPr>
          <w:sz w:val="20"/>
          <w:szCs w:val="20"/>
          <w:lang w:val="en-GB"/>
        </w:rPr>
        <w:t>).</w:t>
      </w:r>
    </w:p>
    <w:p w:rsidR="00A87EAF" w:rsidRDefault="00636842">
      <w:pPr>
        <w:spacing w:line="276" w:lineRule="auto"/>
        <w:jc w:val="both"/>
        <w:rPr>
          <w:sz w:val="20"/>
          <w:szCs w:val="20"/>
          <w:lang w:val="en-GB"/>
        </w:rPr>
      </w:pPr>
      <w:r w:rsidRPr="00184430">
        <w:rPr>
          <w:sz w:val="20"/>
          <w:szCs w:val="20"/>
          <w:lang w:val="en-GB"/>
        </w:rPr>
        <w:t xml:space="preserve">Notes: </w:t>
      </w:r>
      <w:r w:rsidR="0053105B" w:rsidRPr="00184430">
        <w:rPr>
          <w:sz w:val="20"/>
          <w:szCs w:val="20"/>
          <w:lang w:val="en-GB"/>
        </w:rPr>
        <w:t xml:space="preserve">countries with high current account deficits </w:t>
      </w:r>
      <w:r w:rsidRPr="00184430">
        <w:rPr>
          <w:sz w:val="20"/>
          <w:szCs w:val="20"/>
          <w:lang w:val="en-GB"/>
        </w:rPr>
        <w:t xml:space="preserve">are </w:t>
      </w:r>
      <w:r w:rsidR="0053105B" w:rsidRPr="00184430">
        <w:rPr>
          <w:sz w:val="20"/>
          <w:szCs w:val="20"/>
          <w:lang w:val="en-GB"/>
        </w:rPr>
        <w:t>ones</w:t>
      </w:r>
      <w:r w:rsidRPr="00184430">
        <w:rPr>
          <w:sz w:val="20"/>
          <w:szCs w:val="20"/>
          <w:lang w:val="en-GB"/>
        </w:rPr>
        <w:t xml:space="preserve"> which showed </w:t>
      </w:r>
      <w:r w:rsidR="0053105B" w:rsidRPr="00184430">
        <w:rPr>
          <w:sz w:val="20"/>
          <w:szCs w:val="20"/>
          <w:lang w:val="en-GB"/>
        </w:rPr>
        <w:t xml:space="preserve">deficits </w:t>
      </w:r>
      <w:r w:rsidRPr="00184430">
        <w:rPr>
          <w:sz w:val="20"/>
          <w:szCs w:val="20"/>
          <w:lang w:val="en-GB"/>
        </w:rPr>
        <w:t xml:space="preserve">at least one standard deviation </w:t>
      </w:r>
      <w:r w:rsidR="007C4F88">
        <w:rPr>
          <w:sz w:val="20"/>
          <w:szCs w:val="20"/>
          <w:lang w:val="en-GB"/>
        </w:rPr>
        <w:t>below</w:t>
      </w:r>
      <w:r w:rsidR="0053105B" w:rsidRPr="00184430">
        <w:rPr>
          <w:sz w:val="20"/>
          <w:szCs w:val="20"/>
          <w:lang w:val="en-GB"/>
        </w:rPr>
        <w:t xml:space="preserve"> the EU average. Those with high surpluses </w:t>
      </w:r>
      <w:r w:rsidRPr="00184430">
        <w:rPr>
          <w:sz w:val="20"/>
          <w:szCs w:val="20"/>
          <w:lang w:val="en-GB"/>
        </w:rPr>
        <w:t xml:space="preserve">are at least one standard deviation </w:t>
      </w:r>
      <w:r w:rsidR="007C4F88">
        <w:rPr>
          <w:sz w:val="20"/>
          <w:szCs w:val="20"/>
          <w:lang w:val="en-GB"/>
        </w:rPr>
        <w:t>above</w:t>
      </w:r>
      <w:r w:rsidRPr="00184430">
        <w:rPr>
          <w:sz w:val="20"/>
          <w:szCs w:val="20"/>
          <w:lang w:val="en-GB"/>
        </w:rPr>
        <w:t>. * indicates forecast data.</w:t>
      </w:r>
      <w:r w:rsidR="00453785">
        <w:rPr>
          <w:sz w:val="20"/>
          <w:szCs w:val="20"/>
          <w:lang w:val="en-GB"/>
        </w:rPr>
        <w:t xml:space="preserve"> </w:t>
      </w:r>
      <w:r w:rsidR="007B3BEC" w:rsidRPr="00184430">
        <w:rPr>
          <w:sz w:val="20"/>
          <w:szCs w:val="20"/>
          <w:lang w:val="en-GB"/>
        </w:rPr>
        <w:t>**: un</w:t>
      </w:r>
      <w:r w:rsidR="00DA399A">
        <w:rPr>
          <w:sz w:val="20"/>
          <w:szCs w:val="20"/>
          <w:lang w:val="en-GB"/>
        </w:rPr>
        <w:t>-</w:t>
      </w:r>
      <w:r w:rsidR="007B3BEC" w:rsidRPr="00184430">
        <w:rPr>
          <w:sz w:val="20"/>
          <w:szCs w:val="20"/>
          <w:lang w:val="en-GB"/>
        </w:rPr>
        <w:t>weighted average o</w:t>
      </w:r>
      <w:r w:rsidR="00B978E7" w:rsidRPr="00184430">
        <w:rPr>
          <w:sz w:val="20"/>
          <w:szCs w:val="20"/>
          <w:lang w:val="en-GB"/>
        </w:rPr>
        <w:t>f</w:t>
      </w:r>
      <w:r w:rsidR="007B3BEC" w:rsidRPr="00184430">
        <w:rPr>
          <w:sz w:val="20"/>
          <w:szCs w:val="20"/>
          <w:lang w:val="en-GB"/>
        </w:rPr>
        <w:t xml:space="preserve"> </w:t>
      </w:r>
      <w:r w:rsidR="00B72E3F">
        <w:rPr>
          <w:sz w:val="20"/>
          <w:szCs w:val="20"/>
          <w:lang w:val="en-GB"/>
        </w:rPr>
        <w:t>Member State</w:t>
      </w:r>
      <w:r w:rsidR="007B3BEC" w:rsidRPr="00184430">
        <w:rPr>
          <w:sz w:val="20"/>
          <w:szCs w:val="20"/>
          <w:lang w:val="en-GB"/>
        </w:rPr>
        <w:t xml:space="preserve"> current account balances</w:t>
      </w:r>
      <w:r w:rsidR="00374EE8">
        <w:rPr>
          <w:sz w:val="20"/>
          <w:szCs w:val="20"/>
          <w:lang w:val="en-GB"/>
        </w:rPr>
        <w:t>.</w:t>
      </w:r>
    </w:p>
    <w:p w:rsidR="00F371C9" w:rsidRDefault="00F371C9" w:rsidP="00FD1D46">
      <w:pPr>
        <w:spacing w:line="276" w:lineRule="auto"/>
        <w:jc w:val="both"/>
        <w:rPr>
          <w:i/>
          <w:lang w:val="en-GB"/>
        </w:rPr>
      </w:pPr>
    </w:p>
    <w:p w:rsidR="007A71F8" w:rsidRPr="00184430" w:rsidRDefault="007A71F8" w:rsidP="00FD1D46">
      <w:pPr>
        <w:spacing w:line="276" w:lineRule="auto"/>
        <w:jc w:val="both"/>
        <w:rPr>
          <w:i/>
          <w:lang w:val="en-GB"/>
        </w:rPr>
      </w:pPr>
    </w:p>
    <w:p w:rsidR="00C23364" w:rsidRPr="00184430" w:rsidRDefault="00063B53">
      <w:pPr>
        <w:spacing w:line="276" w:lineRule="auto"/>
        <w:jc w:val="both"/>
        <w:rPr>
          <w:i/>
          <w:lang w:val="en-GB"/>
        </w:rPr>
      </w:pPr>
      <w:r w:rsidRPr="00184430">
        <w:rPr>
          <w:i/>
          <w:lang w:val="en-GB"/>
        </w:rPr>
        <w:t>Competitiveness</w:t>
      </w:r>
    </w:p>
    <w:p w:rsidR="00A87EAF" w:rsidRDefault="00A87EAF">
      <w:pPr>
        <w:spacing w:line="276" w:lineRule="auto"/>
        <w:jc w:val="both"/>
        <w:rPr>
          <w:lang w:val="en-GB"/>
        </w:rPr>
      </w:pPr>
    </w:p>
    <w:p w:rsidR="00251B8E" w:rsidRPr="00184430" w:rsidRDefault="00453785" w:rsidP="00FD1D46">
      <w:pPr>
        <w:spacing w:line="276" w:lineRule="auto"/>
        <w:jc w:val="both"/>
        <w:rPr>
          <w:lang w:val="en-GB"/>
        </w:rPr>
      </w:pPr>
      <w:r>
        <w:rPr>
          <w:lang w:val="en-GB"/>
        </w:rPr>
        <w:lastRenderedPageBreak/>
        <w:t>C</w:t>
      </w:r>
      <w:r w:rsidR="00251B8E" w:rsidRPr="00184430">
        <w:rPr>
          <w:lang w:val="en-GB"/>
        </w:rPr>
        <w:t xml:space="preserve">hanges in the </w:t>
      </w:r>
      <w:r w:rsidR="009A7B47">
        <w:rPr>
          <w:lang w:val="en-GB"/>
        </w:rPr>
        <w:t>r</w:t>
      </w:r>
      <w:r w:rsidR="00251B8E" w:rsidRPr="00184430">
        <w:rPr>
          <w:lang w:val="en-GB"/>
        </w:rPr>
        <w:t xml:space="preserve">eal </w:t>
      </w:r>
      <w:r w:rsidR="009A7B47">
        <w:rPr>
          <w:lang w:val="en-GB"/>
        </w:rPr>
        <w:t>e</w:t>
      </w:r>
      <w:r w:rsidR="00251B8E" w:rsidRPr="00184430">
        <w:rPr>
          <w:lang w:val="en-GB"/>
        </w:rPr>
        <w:t>ffect</w:t>
      </w:r>
      <w:r w:rsidR="009A7B47">
        <w:rPr>
          <w:lang w:val="en-GB"/>
        </w:rPr>
        <w:t>ive exchange r</w:t>
      </w:r>
      <w:r w:rsidR="00251B8E" w:rsidRPr="00184430">
        <w:rPr>
          <w:lang w:val="en-GB"/>
        </w:rPr>
        <w:t xml:space="preserve">ate (REER, defined as </w:t>
      </w:r>
      <w:r w:rsidR="0009035A" w:rsidRPr="00184430">
        <w:rPr>
          <w:lang w:val="en-GB"/>
        </w:rPr>
        <w:t>unit labour costs adjusted for nominal exchange rate movements</w:t>
      </w:r>
      <w:r w:rsidR="00251B8E" w:rsidRPr="00184430">
        <w:rPr>
          <w:lang w:val="en-GB"/>
        </w:rPr>
        <w:t>)</w:t>
      </w:r>
      <w:r>
        <w:rPr>
          <w:lang w:val="en-GB"/>
        </w:rPr>
        <w:t xml:space="preserve"> are often used</w:t>
      </w:r>
      <w:r w:rsidR="00251B8E" w:rsidRPr="00184430">
        <w:rPr>
          <w:lang w:val="en-GB"/>
        </w:rPr>
        <w:t xml:space="preserve"> to illustrate changes in the</w:t>
      </w:r>
      <w:r w:rsidR="00F04606">
        <w:rPr>
          <w:lang w:val="en-GB"/>
        </w:rPr>
        <w:t xml:space="preserve"> </w:t>
      </w:r>
      <w:r w:rsidR="00F04606" w:rsidRPr="00184430">
        <w:rPr>
          <w:lang w:val="en-GB"/>
        </w:rPr>
        <w:t>international competitive position</w:t>
      </w:r>
      <w:r w:rsidR="00F04606">
        <w:rPr>
          <w:lang w:val="en-GB"/>
        </w:rPr>
        <w:t xml:space="preserve"> of the</w:t>
      </w:r>
      <w:r w:rsidR="00251B8E" w:rsidRPr="00184430">
        <w:rPr>
          <w:lang w:val="en-GB"/>
        </w:rPr>
        <w:t xml:space="preserve"> EU and </w:t>
      </w:r>
      <w:r w:rsidR="00F04606">
        <w:rPr>
          <w:lang w:val="en-GB"/>
        </w:rPr>
        <w:t xml:space="preserve">of </w:t>
      </w:r>
      <w:r w:rsidR="00251B8E" w:rsidRPr="00184430">
        <w:rPr>
          <w:lang w:val="en-GB"/>
        </w:rPr>
        <w:t xml:space="preserve">its </w:t>
      </w:r>
      <w:r w:rsidR="00F759AE">
        <w:rPr>
          <w:lang w:val="en-GB"/>
        </w:rPr>
        <w:t>M</w:t>
      </w:r>
      <w:r w:rsidR="00374EE8">
        <w:rPr>
          <w:lang w:val="en-GB"/>
        </w:rPr>
        <w:t xml:space="preserve">ember </w:t>
      </w:r>
      <w:r w:rsidR="00F759AE">
        <w:rPr>
          <w:lang w:val="en-GB"/>
        </w:rPr>
        <w:t>S</w:t>
      </w:r>
      <w:r w:rsidR="00374EE8">
        <w:rPr>
          <w:lang w:val="en-GB"/>
        </w:rPr>
        <w:t>tates</w:t>
      </w:r>
      <w:r w:rsidR="00251B8E" w:rsidRPr="00184430">
        <w:rPr>
          <w:lang w:val="en-GB"/>
        </w:rPr>
        <w:t xml:space="preserve">. </w:t>
      </w:r>
      <w:r w:rsidR="0009035A" w:rsidRPr="00184430">
        <w:rPr>
          <w:lang w:val="en-GB"/>
        </w:rPr>
        <w:t xml:space="preserve">Although </w:t>
      </w:r>
      <w:r w:rsidR="00251B8E" w:rsidRPr="00184430">
        <w:rPr>
          <w:lang w:val="en-GB"/>
        </w:rPr>
        <w:t xml:space="preserve">this </w:t>
      </w:r>
      <w:r w:rsidR="004B1F0E">
        <w:rPr>
          <w:lang w:val="en-GB"/>
        </w:rPr>
        <w:t xml:space="preserve">measure </w:t>
      </w:r>
      <w:r w:rsidR="00251B8E" w:rsidRPr="00184430">
        <w:rPr>
          <w:lang w:val="en-GB"/>
        </w:rPr>
        <w:t xml:space="preserve">is </w:t>
      </w:r>
      <w:r w:rsidR="0009035A" w:rsidRPr="00184430">
        <w:rPr>
          <w:lang w:val="en-GB"/>
        </w:rPr>
        <w:t xml:space="preserve">only able to capture changes in the cost competitiveness of </w:t>
      </w:r>
      <w:r w:rsidR="004B1F0E">
        <w:rPr>
          <w:lang w:val="en-GB"/>
        </w:rPr>
        <w:t xml:space="preserve">the </w:t>
      </w:r>
      <w:r w:rsidR="0009035A" w:rsidRPr="00184430">
        <w:rPr>
          <w:lang w:val="en-GB"/>
        </w:rPr>
        <w:t>export</w:t>
      </w:r>
      <w:r w:rsidR="004B1F0E">
        <w:rPr>
          <w:lang w:val="en-GB"/>
        </w:rPr>
        <w:t xml:space="preserve"> </w:t>
      </w:r>
      <w:r w:rsidR="0009035A" w:rsidRPr="00184430">
        <w:rPr>
          <w:lang w:val="en-GB"/>
        </w:rPr>
        <w:t>s</w:t>
      </w:r>
      <w:r w:rsidR="004B1F0E">
        <w:rPr>
          <w:lang w:val="en-GB"/>
        </w:rPr>
        <w:t>ector</w:t>
      </w:r>
      <w:r w:rsidR="0009035A" w:rsidRPr="00184430">
        <w:rPr>
          <w:lang w:val="en-GB"/>
        </w:rPr>
        <w:t xml:space="preserve">, it is perhaps a more straightforward indicator than the various composite competitiveness indicators and rankings. </w:t>
      </w:r>
      <w:r w:rsidR="00251B8E" w:rsidRPr="00184430">
        <w:rPr>
          <w:lang w:val="en-GB"/>
        </w:rPr>
        <w:t>After a substantial appreciation in 2013, t</w:t>
      </w:r>
      <w:r w:rsidR="00B978E7" w:rsidRPr="00184430">
        <w:rPr>
          <w:lang w:val="en-GB"/>
        </w:rPr>
        <w:t xml:space="preserve">he REER appreciated </w:t>
      </w:r>
      <w:r w:rsidR="00256E77" w:rsidRPr="00184430">
        <w:rPr>
          <w:lang w:val="en-GB"/>
        </w:rPr>
        <w:t xml:space="preserve">again </w:t>
      </w:r>
      <w:r w:rsidR="00B978E7" w:rsidRPr="00184430">
        <w:rPr>
          <w:lang w:val="en-GB"/>
        </w:rPr>
        <w:t>in the EU as whole</w:t>
      </w:r>
      <w:r>
        <w:rPr>
          <w:lang w:val="en-GB"/>
        </w:rPr>
        <w:t xml:space="preserve"> in 2014</w:t>
      </w:r>
      <w:r w:rsidR="00B978E7" w:rsidRPr="00184430">
        <w:rPr>
          <w:lang w:val="en-GB"/>
        </w:rPr>
        <w:t xml:space="preserve">, </w:t>
      </w:r>
      <w:r w:rsidR="00251B8E" w:rsidRPr="00184430">
        <w:rPr>
          <w:lang w:val="en-GB"/>
        </w:rPr>
        <w:t xml:space="preserve">making prospects for a stronger export led recovery gloomy. </w:t>
      </w:r>
      <w:r w:rsidR="00993A06" w:rsidRPr="00184430">
        <w:rPr>
          <w:lang w:val="en-GB"/>
        </w:rPr>
        <w:t>The EU average</w:t>
      </w:r>
      <w:r w:rsidR="004B1F0E">
        <w:rPr>
          <w:lang w:val="en-GB"/>
        </w:rPr>
        <w:t>,</w:t>
      </w:r>
      <w:r w:rsidR="00993A06" w:rsidRPr="00184430">
        <w:rPr>
          <w:lang w:val="en-GB"/>
        </w:rPr>
        <w:t xml:space="preserve"> however</w:t>
      </w:r>
      <w:r w:rsidR="004B1F0E">
        <w:rPr>
          <w:lang w:val="en-GB"/>
        </w:rPr>
        <w:t>,</w:t>
      </w:r>
      <w:r w:rsidR="00993A06" w:rsidRPr="00184430">
        <w:rPr>
          <w:lang w:val="en-GB"/>
        </w:rPr>
        <w:t xml:space="preserve"> is slightly misleading as it measures EU export competitiveness in relation to the EU’s main </w:t>
      </w:r>
      <w:r w:rsidR="008203B6" w:rsidRPr="008203B6">
        <w:rPr>
          <w:i/>
          <w:lang w:val="en-GB"/>
        </w:rPr>
        <w:t>external</w:t>
      </w:r>
      <w:r w:rsidR="00993A06" w:rsidRPr="00184430">
        <w:rPr>
          <w:lang w:val="en-GB"/>
        </w:rPr>
        <w:t xml:space="preserve"> trading partners. Much of the trade of </w:t>
      </w:r>
      <w:r w:rsidR="00F759AE">
        <w:rPr>
          <w:lang w:val="en-GB"/>
        </w:rPr>
        <w:t>M</w:t>
      </w:r>
      <w:r w:rsidR="00374EE8">
        <w:rPr>
          <w:lang w:val="en-GB"/>
        </w:rPr>
        <w:t xml:space="preserve">ember </w:t>
      </w:r>
      <w:r w:rsidR="00F759AE">
        <w:rPr>
          <w:lang w:val="en-GB"/>
        </w:rPr>
        <w:t>S</w:t>
      </w:r>
      <w:r w:rsidR="00374EE8">
        <w:rPr>
          <w:lang w:val="en-GB"/>
        </w:rPr>
        <w:t>tates</w:t>
      </w:r>
      <w:r w:rsidR="00993A06" w:rsidRPr="00184430">
        <w:rPr>
          <w:lang w:val="en-GB"/>
        </w:rPr>
        <w:t xml:space="preserve"> </w:t>
      </w:r>
      <w:r w:rsidR="007C4F88">
        <w:rPr>
          <w:lang w:val="en-GB"/>
        </w:rPr>
        <w:t xml:space="preserve">is with other members, </w:t>
      </w:r>
      <w:r w:rsidR="00993A06" w:rsidRPr="00184430">
        <w:rPr>
          <w:lang w:val="en-GB"/>
        </w:rPr>
        <w:t>thus</w:t>
      </w:r>
      <w:r w:rsidR="004B1F0E">
        <w:rPr>
          <w:lang w:val="en-GB"/>
        </w:rPr>
        <w:t>,</w:t>
      </w:r>
      <w:r w:rsidR="00993A06" w:rsidRPr="00184430">
        <w:rPr>
          <w:lang w:val="en-GB"/>
        </w:rPr>
        <w:t xml:space="preserve"> </w:t>
      </w:r>
      <w:r w:rsidR="00B72E3F">
        <w:rPr>
          <w:lang w:val="en-GB"/>
        </w:rPr>
        <w:t>Member State</w:t>
      </w:r>
      <w:r w:rsidR="00993A06" w:rsidRPr="00184430">
        <w:rPr>
          <w:lang w:val="en-GB"/>
        </w:rPr>
        <w:t xml:space="preserve"> REER’s </w:t>
      </w:r>
      <w:r w:rsidR="004B1F0E">
        <w:rPr>
          <w:lang w:val="en-GB"/>
        </w:rPr>
        <w:t>can</w:t>
      </w:r>
      <w:r w:rsidR="004B1F0E" w:rsidRPr="00184430">
        <w:rPr>
          <w:lang w:val="en-GB"/>
        </w:rPr>
        <w:t xml:space="preserve"> </w:t>
      </w:r>
      <w:r w:rsidR="00993A06" w:rsidRPr="00184430">
        <w:rPr>
          <w:lang w:val="en-GB"/>
        </w:rPr>
        <w:t xml:space="preserve">be more meaningful. </w:t>
      </w:r>
      <w:r w:rsidR="004B1F0E">
        <w:rPr>
          <w:lang w:val="en-GB"/>
        </w:rPr>
        <w:t>M</w:t>
      </w:r>
      <w:r w:rsidR="0009035A" w:rsidRPr="00184430">
        <w:rPr>
          <w:lang w:val="en-GB"/>
        </w:rPr>
        <w:t xml:space="preserve">ost </w:t>
      </w:r>
      <w:r w:rsidR="00B72E3F">
        <w:rPr>
          <w:lang w:val="en-GB"/>
        </w:rPr>
        <w:t>Member State</w:t>
      </w:r>
      <w:r w:rsidR="00374EE8">
        <w:rPr>
          <w:lang w:val="en-GB"/>
        </w:rPr>
        <w:t>s</w:t>
      </w:r>
      <w:r w:rsidR="0009035A" w:rsidRPr="00184430">
        <w:rPr>
          <w:lang w:val="en-GB"/>
        </w:rPr>
        <w:t xml:space="preserve"> did not see any significant change in their competitive position, as the un</w:t>
      </w:r>
      <w:r w:rsidR="004B1F0E">
        <w:rPr>
          <w:lang w:val="en-GB"/>
        </w:rPr>
        <w:t>-</w:t>
      </w:r>
      <w:r w:rsidR="0009035A" w:rsidRPr="00184430">
        <w:rPr>
          <w:lang w:val="en-GB"/>
        </w:rPr>
        <w:t xml:space="preserve">weighted average of </w:t>
      </w:r>
      <w:r w:rsidR="00B72E3F">
        <w:rPr>
          <w:lang w:val="en-GB"/>
        </w:rPr>
        <w:t>Member State</w:t>
      </w:r>
      <w:r w:rsidR="0009035A" w:rsidRPr="00184430">
        <w:rPr>
          <w:lang w:val="en-GB"/>
        </w:rPr>
        <w:t xml:space="preserve"> REER changes </w:t>
      </w:r>
      <w:r w:rsidR="004B1F0E">
        <w:rPr>
          <w:lang w:val="en-GB"/>
        </w:rPr>
        <w:t>wa</w:t>
      </w:r>
      <w:r w:rsidR="004B1F0E" w:rsidRPr="00184430">
        <w:rPr>
          <w:lang w:val="en-GB"/>
        </w:rPr>
        <w:t xml:space="preserve">s </w:t>
      </w:r>
      <w:r w:rsidR="0009035A" w:rsidRPr="00184430">
        <w:rPr>
          <w:lang w:val="en-GB"/>
        </w:rPr>
        <w:t>zero</w:t>
      </w:r>
      <w:r w:rsidR="004B1F0E">
        <w:rPr>
          <w:lang w:val="en-GB"/>
        </w:rPr>
        <w:t xml:space="preserve"> </w:t>
      </w:r>
      <w:r w:rsidR="007A71F8">
        <w:rPr>
          <w:lang w:val="en-GB"/>
        </w:rPr>
        <w:t>in 2014</w:t>
      </w:r>
      <w:r w:rsidR="0009035A" w:rsidRPr="00184430">
        <w:rPr>
          <w:lang w:val="en-GB"/>
        </w:rPr>
        <w:t>.</w:t>
      </w:r>
      <w:r w:rsidR="00251B8E" w:rsidRPr="00184430">
        <w:rPr>
          <w:lang w:val="en-GB"/>
        </w:rPr>
        <w:t xml:space="preserve"> </w:t>
      </w:r>
      <w:r w:rsidR="004B1F0E">
        <w:rPr>
          <w:lang w:val="en-GB"/>
        </w:rPr>
        <w:t>There were some exceptions</w:t>
      </w:r>
      <w:r w:rsidR="007C4F88">
        <w:rPr>
          <w:lang w:val="en-GB"/>
        </w:rPr>
        <w:t xml:space="preserve"> though</w:t>
      </w:r>
      <w:r w:rsidR="004B1F0E">
        <w:rPr>
          <w:lang w:val="en-GB"/>
        </w:rPr>
        <w:t>. T</w:t>
      </w:r>
      <w:r w:rsidR="00251B8E" w:rsidRPr="00184430">
        <w:rPr>
          <w:lang w:val="en-GB"/>
        </w:rPr>
        <w:t xml:space="preserve">he UK saw </w:t>
      </w:r>
      <w:r w:rsidR="004B1F0E">
        <w:rPr>
          <w:lang w:val="en-GB"/>
        </w:rPr>
        <w:t xml:space="preserve">a </w:t>
      </w:r>
      <w:r w:rsidR="00251B8E" w:rsidRPr="00184430">
        <w:rPr>
          <w:lang w:val="en-GB"/>
        </w:rPr>
        <w:t>substantial appreciation (6.1</w:t>
      </w:r>
      <w:r w:rsidR="001D3B9C">
        <w:rPr>
          <w:lang w:val="en-GB"/>
        </w:rPr>
        <w:t xml:space="preserve"> per cent</w:t>
      </w:r>
      <w:r w:rsidR="00251B8E" w:rsidRPr="00184430">
        <w:rPr>
          <w:lang w:val="en-GB"/>
        </w:rPr>
        <w:t>), and so did Latvia (2.9</w:t>
      </w:r>
      <w:r w:rsidR="001D3B9C">
        <w:rPr>
          <w:lang w:val="en-GB"/>
        </w:rPr>
        <w:t xml:space="preserve"> per cent</w:t>
      </w:r>
      <w:r w:rsidR="00251B8E" w:rsidRPr="00184430">
        <w:rPr>
          <w:lang w:val="en-GB"/>
        </w:rPr>
        <w:t>) and Estonia (2.5</w:t>
      </w:r>
      <w:r w:rsidR="001D3B9C">
        <w:rPr>
          <w:lang w:val="en-GB"/>
        </w:rPr>
        <w:t xml:space="preserve"> per cent</w:t>
      </w:r>
      <w:r w:rsidR="00251B8E" w:rsidRPr="00184430">
        <w:rPr>
          <w:lang w:val="en-GB"/>
        </w:rPr>
        <w:t>). Germany and Romania also experienced an appreciation of 2</w:t>
      </w:r>
      <w:r w:rsidR="001D3B9C">
        <w:rPr>
          <w:lang w:val="en-GB"/>
        </w:rPr>
        <w:t xml:space="preserve"> per cent</w:t>
      </w:r>
      <w:r w:rsidR="00251B8E" w:rsidRPr="00184430">
        <w:rPr>
          <w:lang w:val="en-GB"/>
        </w:rPr>
        <w:t xml:space="preserve">. </w:t>
      </w:r>
      <w:r w:rsidR="004B1F0E">
        <w:rPr>
          <w:lang w:val="en-GB"/>
        </w:rPr>
        <w:t>On the other hand, e</w:t>
      </w:r>
      <w:r w:rsidR="004B1F0E" w:rsidRPr="00184430">
        <w:rPr>
          <w:lang w:val="en-GB"/>
        </w:rPr>
        <w:t xml:space="preserve">xport </w:t>
      </w:r>
      <w:r w:rsidR="00251B8E" w:rsidRPr="00184430">
        <w:rPr>
          <w:lang w:val="en-GB"/>
        </w:rPr>
        <w:t xml:space="preserve">cost competitiveness improved </w:t>
      </w:r>
      <w:r w:rsidR="004B1F0E">
        <w:rPr>
          <w:lang w:val="en-GB"/>
        </w:rPr>
        <w:t xml:space="preserve">mostly </w:t>
      </w:r>
      <w:r w:rsidR="00251B8E" w:rsidRPr="00184430">
        <w:rPr>
          <w:lang w:val="en-GB"/>
        </w:rPr>
        <w:t xml:space="preserve">in smaller </w:t>
      </w:r>
      <w:r w:rsidR="00B72E3F">
        <w:rPr>
          <w:lang w:val="en-GB"/>
        </w:rPr>
        <w:t>Member State</w:t>
      </w:r>
      <w:r w:rsidR="00374EE8">
        <w:rPr>
          <w:lang w:val="en-GB"/>
        </w:rPr>
        <w:t>s</w:t>
      </w:r>
      <w:r w:rsidR="00251B8E" w:rsidRPr="00184430">
        <w:rPr>
          <w:lang w:val="en-GB"/>
        </w:rPr>
        <w:t>, such as the Czech Republic (-5.9</w:t>
      </w:r>
      <w:r w:rsidR="001D3B9C">
        <w:rPr>
          <w:lang w:val="en-GB"/>
        </w:rPr>
        <w:t xml:space="preserve"> per cent</w:t>
      </w:r>
      <w:r w:rsidR="00251B8E" w:rsidRPr="00184430">
        <w:rPr>
          <w:lang w:val="en-GB"/>
        </w:rPr>
        <w:t>), Ireland (-4.8</w:t>
      </w:r>
      <w:r w:rsidR="001D3B9C">
        <w:rPr>
          <w:lang w:val="en-GB"/>
        </w:rPr>
        <w:t xml:space="preserve"> per cent</w:t>
      </w:r>
      <w:r w:rsidR="00251B8E" w:rsidRPr="00184430">
        <w:rPr>
          <w:lang w:val="en-GB"/>
        </w:rPr>
        <w:t>)</w:t>
      </w:r>
      <w:r w:rsidR="004B1F0E">
        <w:rPr>
          <w:lang w:val="en-GB"/>
        </w:rPr>
        <w:t xml:space="preserve"> and</w:t>
      </w:r>
      <w:r w:rsidR="00251B8E" w:rsidRPr="00184430">
        <w:rPr>
          <w:lang w:val="en-GB"/>
        </w:rPr>
        <w:t xml:space="preserve"> Cyprus (-4</w:t>
      </w:r>
      <w:r w:rsidR="001D3B9C">
        <w:rPr>
          <w:lang w:val="en-GB"/>
        </w:rPr>
        <w:t xml:space="preserve"> per cent</w:t>
      </w:r>
      <w:r w:rsidR="00251B8E" w:rsidRPr="00184430">
        <w:rPr>
          <w:lang w:val="en-GB"/>
        </w:rPr>
        <w:t>)</w:t>
      </w:r>
      <w:r w:rsidR="004B1F0E">
        <w:rPr>
          <w:lang w:val="en-GB"/>
        </w:rPr>
        <w:t xml:space="preserve">; </w:t>
      </w:r>
      <w:r w:rsidR="00251B8E" w:rsidRPr="00184430">
        <w:rPr>
          <w:lang w:val="en-GB"/>
        </w:rPr>
        <w:t>Sweden (-3.2</w:t>
      </w:r>
      <w:r w:rsidR="001D3B9C">
        <w:rPr>
          <w:lang w:val="en-GB"/>
        </w:rPr>
        <w:t xml:space="preserve"> per cent</w:t>
      </w:r>
      <w:r w:rsidR="00251B8E" w:rsidRPr="00184430">
        <w:rPr>
          <w:lang w:val="en-GB"/>
        </w:rPr>
        <w:t>)</w:t>
      </w:r>
      <w:r w:rsidR="004B1F0E">
        <w:rPr>
          <w:lang w:val="en-GB"/>
        </w:rPr>
        <w:t xml:space="preserve"> also managed to improve on its cost competitiveness – se</w:t>
      </w:r>
      <w:r w:rsidR="00341AEB" w:rsidRPr="00184430">
        <w:rPr>
          <w:lang w:val="en-GB"/>
        </w:rPr>
        <w:t>e Table 7.</w:t>
      </w:r>
    </w:p>
    <w:p w:rsidR="00A87EAF" w:rsidRDefault="00A87EAF">
      <w:pPr>
        <w:spacing w:line="276" w:lineRule="auto"/>
        <w:jc w:val="both"/>
        <w:rPr>
          <w:lang w:val="en-GB"/>
        </w:rPr>
      </w:pPr>
    </w:p>
    <w:p w:rsidR="00B978E7" w:rsidRPr="00184430" w:rsidRDefault="00B978E7" w:rsidP="00FD1D46">
      <w:pPr>
        <w:spacing w:line="276" w:lineRule="auto"/>
        <w:jc w:val="both"/>
        <w:rPr>
          <w:lang w:val="en-GB"/>
        </w:rPr>
      </w:pPr>
      <w:r w:rsidRPr="00184430">
        <w:rPr>
          <w:lang w:val="en-GB"/>
        </w:rPr>
        <w:t xml:space="preserve">Table </w:t>
      </w:r>
      <w:r w:rsidR="00341AEB" w:rsidRPr="00184430">
        <w:rPr>
          <w:lang w:val="en-GB"/>
        </w:rPr>
        <w:t>7</w:t>
      </w:r>
      <w:r w:rsidRPr="00184430">
        <w:rPr>
          <w:lang w:val="en-GB"/>
        </w:rPr>
        <w:t xml:space="preserve">. </w:t>
      </w:r>
      <w:r w:rsidR="00D71BBA" w:rsidRPr="00184430">
        <w:rPr>
          <w:lang w:val="en-GB"/>
        </w:rPr>
        <w:t>Average r</w:t>
      </w:r>
      <w:r w:rsidR="00470BC8" w:rsidRPr="00184430">
        <w:rPr>
          <w:lang w:val="en-GB"/>
        </w:rPr>
        <w:t>eal effective exchange rate</w:t>
      </w:r>
      <w:r w:rsidR="00D71BBA" w:rsidRPr="00184430">
        <w:rPr>
          <w:lang w:val="en-GB"/>
        </w:rPr>
        <w:t>s, and highest appreciations and depreciations</w:t>
      </w:r>
      <w:r w:rsidR="00470BC8" w:rsidRPr="00184430">
        <w:rPr>
          <w:lang w:val="en-GB"/>
        </w:rPr>
        <w:t xml:space="preserve"> </w:t>
      </w:r>
      <w:r w:rsidR="00D71BBA" w:rsidRPr="00184430">
        <w:rPr>
          <w:lang w:val="en-GB"/>
        </w:rPr>
        <w:t xml:space="preserve">(unit labour costs </w:t>
      </w:r>
      <w:r w:rsidR="00470BC8" w:rsidRPr="00184430">
        <w:rPr>
          <w:lang w:val="en-GB"/>
        </w:rPr>
        <w:t>relative to a group of industrialised countries</w:t>
      </w:r>
      <w:r w:rsidR="00D71BBA" w:rsidRPr="00184430">
        <w:rPr>
          <w:lang w:val="en-GB"/>
        </w:rPr>
        <w:t>,</w:t>
      </w:r>
      <w:r w:rsidR="00470BC8" w:rsidRPr="00184430">
        <w:rPr>
          <w:lang w:val="en-GB"/>
        </w:rPr>
        <w:t xml:space="preserve"> </w:t>
      </w:r>
      <w:r w:rsidR="006B58B7">
        <w:rPr>
          <w:lang w:val="en-GB"/>
        </w:rPr>
        <w:t>percentage</w:t>
      </w:r>
      <w:r w:rsidR="00470BC8" w:rsidRPr="00184430">
        <w:rPr>
          <w:lang w:val="en-GB"/>
        </w:rPr>
        <w:t xml:space="preserve"> change on preceding year</w:t>
      </w:r>
      <w:r w:rsidR="00D71BBA" w:rsidRPr="00184430">
        <w:rPr>
          <w:lang w:val="en-GB"/>
        </w:rPr>
        <w:t>)</w:t>
      </w:r>
    </w:p>
    <w:p w:rsidR="00A87EAF" w:rsidRDefault="00A87EAF">
      <w:pPr>
        <w:spacing w:line="276" w:lineRule="auto"/>
        <w:jc w:val="both"/>
        <w:rPr>
          <w:lang w:val="en-GB"/>
        </w:rPr>
      </w:pPr>
    </w:p>
    <w:tbl>
      <w:tblPr>
        <w:tblStyle w:val="Rcsostblzat"/>
        <w:tblW w:w="9737" w:type="dxa"/>
        <w:jc w:val="center"/>
        <w:tblLook w:val="04A0"/>
      </w:tblPr>
      <w:tblGrid>
        <w:gridCol w:w="1481"/>
        <w:gridCol w:w="1496"/>
        <w:gridCol w:w="1550"/>
        <w:gridCol w:w="1689"/>
        <w:gridCol w:w="1829"/>
        <w:gridCol w:w="1692"/>
      </w:tblGrid>
      <w:tr w:rsidR="00B978E7" w:rsidRPr="00184430" w:rsidTr="00E30956">
        <w:trPr>
          <w:jc w:val="center"/>
        </w:trPr>
        <w:tc>
          <w:tcPr>
            <w:tcW w:w="1481" w:type="dxa"/>
          </w:tcPr>
          <w:p w:rsidR="00B978E7" w:rsidRPr="00184430" w:rsidRDefault="00B978E7" w:rsidP="00FD1D46">
            <w:pPr>
              <w:spacing w:line="276" w:lineRule="auto"/>
              <w:jc w:val="both"/>
              <w:rPr>
                <w:sz w:val="20"/>
                <w:szCs w:val="20"/>
                <w:lang w:val="en-GB"/>
              </w:rPr>
            </w:pPr>
          </w:p>
        </w:tc>
        <w:tc>
          <w:tcPr>
            <w:tcW w:w="1496" w:type="dxa"/>
          </w:tcPr>
          <w:p w:rsidR="00A87EAF" w:rsidRDefault="00B978E7" w:rsidP="00192FFB">
            <w:pPr>
              <w:spacing w:line="276" w:lineRule="auto"/>
              <w:jc w:val="center"/>
              <w:rPr>
                <w:b/>
                <w:sz w:val="20"/>
                <w:szCs w:val="20"/>
                <w:lang w:val="en-GB"/>
              </w:rPr>
            </w:pPr>
            <w:r w:rsidRPr="00184430">
              <w:rPr>
                <w:b/>
                <w:sz w:val="20"/>
                <w:szCs w:val="20"/>
                <w:lang w:val="en-GB"/>
              </w:rPr>
              <w:t>2010</w:t>
            </w:r>
          </w:p>
        </w:tc>
        <w:tc>
          <w:tcPr>
            <w:tcW w:w="1550" w:type="dxa"/>
          </w:tcPr>
          <w:p w:rsidR="00A87EAF" w:rsidRDefault="00B978E7" w:rsidP="00192FFB">
            <w:pPr>
              <w:spacing w:line="276" w:lineRule="auto"/>
              <w:jc w:val="center"/>
              <w:rPr>
                <w:b/>
                <w:sz w:val="20"/>
                <w:szCs w:val="20"/>
                <w:lang w:val="en-GB"/>
              </w:rPr>
            </w:pPr>
            <w:r w:rsidRPr="00184430">
              <w:rPr>
                <w:b/>
                <w:sz w:val="20"/>
                <w:szCs w:val="20"/>
                <w:lang w:val="en-GB"/>
              </w:rPr>
              <w:t>2011</w:t>
            </w:r>
          </w:p>
        </w:tc>
        <w:tc>
          <w:tcPr>
            <w:tcW w:w="1689" w:type="dxa"/>
          </w:tcPr>
          <w:p w:rsidR="00A87EAF" w:rsidRDefault="00B978E7" w:rsidP="00192FFB">
            <w:pPr>
              <w:spacing w:line="276" w:lineRule="auto"/>
              <w:jc w:val="center"/>
              <w:rPr>
                <w:b/>
                <w:sz w:val="20"/>
                <w:szCs w:val="20"/>
                <w:lang w:val="en-GB"/>
              </w:rPr>
            </w:pPr>
            <w:r w:rsidRPr="00184430">
              <w:rPr>
                <w:b/>
                <w:sz w:val="20"/>
                <w:szCs w:val="20"/>
                <w:lang w:val="en-GB"/>
              </w:rPr>
              <w:t>2012</w:t>
            </w:r>
          </w:p>
        </w:tc>
        <w:tc>
          <w:tcPr>
            <w:tcW w:w="1829" w:type="dxa"/>
          </w:tcPr>
          <w:p w:rsidR="00A87EAF" w:rsidRDefault="00B978E7" w:rsidP="00192FFB">
            <w:pPr>
              <w:spacing w:line="276" w:lineRule="auto"/>
              <w:jc w:val="center"/>
              <w:rPr>
                <w:b/>
                <w:sz w:val="20"/>
                <w:szCs w:val="20"/>
                <w:lang w:val="en-GB"/>
              </w:rPr>
            </w:pPr>
            <w:r w:rsidRPr="00184430">
              <w:rPr>
                <w:b/>
                <w:sz w:val="20"/>
                <w:szCs w:val="20"/>
                <w:lang w:val="en-GB"/>
              </w:rPr>
              <w:t>2013</w:t>
            </w:r>
          </w:p>
        </w:tc>
        <w:tc>
          <w:tcPr>
            <w:tcW w:w="1692" w:type="dxa"/>
          </w:tcPr>
          <w:p w:rsidR="00A87EAF" w:rsidRDefault="00B978E7" w:rsidP="00192FFB">
            <w:pPr>
              <w:spacing w:line="276" w:lineRule="auto"/>
              <w:jc w:val="center"/>
              <w:rPr>
                <w:b/>
                <w:sz w:val="20"/>
                <w:szCs w:val="20"/>
                <w:lang w:val="en-GB"/>
              </w:rPr>
            </w:pPr>
            <w:r w:rsidRPr="00184430">
              <w:rPr>
                <w:b/>
                <w:sz w:val="20"/>
                <w:szCs w:val="20"/>
                <w:lang w:val="en-GB"/>
              </w:rPr>
              <w:t>2014*</w:t>
            </w:r>
          </w:p>
        </w:tc>
      </w:tr>
      <w:tr w:rsidR="00B978E7" w:rsidRPr="00184430" w:rsidTr="00E30956">
        <w:trPr>
          <w:jc w:val="center"/>
        </w:trPr>
        <w:tc>
          <w:tcPr>
            <w:tcW w:w="1481" w:type="dxa"/>
            <w:vAlign w:val="center"/>
          </w:tcPr>
          <w:p w:rsidR="00A87EAF" w:rsidRDefault="00B978E7">
            <w:pPr>
              <w:spacing w:line="276" w:lineRule="auto"/>
              <w:jc w:val="both"/>
              <w:rPr>
                <w:b/>
                <w:sz w:val="20"/>
                <w:szCs w:val="20"/>
                <w:lang w:val="en-GB"/>
              </w:rPr>
            </w:pPr>
            <w:r w:rsidRPr="00184430">
              <w:rPr>
                <w:b/>
                <w:sz w:val="20"/>
                <w:szCs w:val="20"/>
                <w:lang w:val="en-GB"/>
              </w:rPr>
              <w:t xml:space="preserve">EU </w:t>
            </w:r>
          </w:p>
        </w:tc>
        <w:tc>
          <w:tcPr>
            <w:tcW w:w="1496" w:type="dxa"/>
            <w:vAlign w:val="bottom"/>
          </w:tcPr>
          <w:p w:rsidR="00A87EAF" w:rsidRDefault="00B978E7" w:rsidP="00192FFB">
            <w:pPr>
              <w:spacing w:line="276" w:lineRule="auto"/>
              <w:jc w:val="right"/>
              <w:rPr>
                <w:sz w:val="20"/>
                <w:szCs w:val="20"/>
                <w:lang w:val="en-GB"/>
              </w:rPr>
            </w:pPr>
            <w:r w:rsidRPr="00184430">
              <w:rPr>
                <w:sz w:val="20"/>
                <w:szCs w:val="20"/>
                <w:lang w:val="en-GB"/>
              </w:rPr>
              <w:t>-7.8</w:t>
            </w:r>
          </w:p>
        </w:tc>
        <w:tc>
          <w:tcPr>
            <w:tcW w:w="1550" w:type="dxa"/>
            <w:vAlign w:val="bottom"/>
          </w:tcPr>
          <w:p w:rsidR="00A87EAF" w:rsidRDefault="00B978E7" w:rsidP="00192FFB">
            <w:pPr>
              <w:spacing w:line="276" w:lineRule="auto"/>
              <w:jc w:val="right"/>
              <w:rPr>
                <w:sz w:val="20"/>
                <w:szCs w:val="20"/>
                <w:lang w:val="en-GB"/>
              </w:rPr>
            </w:pPr>
            <w:r w:rsidRPr="00184430">
              <w:rPr>
                <w:sz w:val="20"/>
                <w:szCs w:val="20"/>
                <w:lang w:val="en-GB"/>
              </w:rPr>
              <w:t>0.5</w:t>
            </w:r>
          </w:p>
        </w:tc>
        <w:tc>
          <w:tcPr>
            <w:tcW w:w="1689" w:type="dxa"/>
            <w:vAlign w:val="bottom"/>
          </w:tcPr>
          <w:p w:rsidR="00A87EAF" w:rsidRDefault="00B978E7" w:rsidP="00192FFB">
            <w:pPr>
              <w:spacing w:line="276" w:lineRule="auto"/>
              <w:jc w:val="right"/>
              <w:rPr>
                <w:sz w:val="20"/>
                <w:szCs w:val="20"/>
                <w:lang w:val="en-GB"/>
              </w:rPr>
            </w:pPr>
            <w:r w:rsidRPr="00184430">
              <w:rPr>
                <w:sz w:val="20"/>
                <w:szCs w:val="20"/>
                <w:lang w:val="en-GB"/>
              </w:rPr>
              <w:t>-5.1</w:t>
            </w:r>
          </w:p>
        </w:tc>
        <w:tc>
          <w:tcPr>
            <w:tcW w:w="1829" w:type="dxa"/>
            <w:vAlign w:val="bottom"/>
          </w:tcPr>
          <w:p w:rsidR="00A87EAF" w:rsidRDefault="00B978E7" w:rsidP="00192FFB">
            <w:pPr>
              <w:spacing w:line="276" w:lineRule="auto"/>
              <w:jc w:val="right"/>
              <w:rPr>
                <w:sz w:val="20"/>
                <w:szCs w:val="20"/>
                <w:lang w:val="en-GB"/>
              </w:rPr>
            </w:pPr>
            <w:r w:rsidRPr="00184430">
              <w:rPr>
                <w:sz w:val="20"/>
                <w:szCs w:val="20"/>
                <w:lang w:val="en-GB"/>
              </w:rPr>
              <w:t>8.9</w:t>
            </w:r>
          </w:p>
        </w:tc>
        <w:tc>
          <w:tcPr>
            <w:tcW w:w="1692" w:type="dxa"/>
            <w:vAlign w:val="bottom"/>
          </w:tcPr>
          <w:p w:rsidR="00A87EAF" w:rsidRDefault="00B978E7" w:rsidP="00192FFB">
            <w:pPr>
              <w:spacing w:line="276" w:lineRule="auto"/>
              <w:jc w:val="right"/>
              <w:rPr>
                <w:sz w:val="20"/>
                <w:szCs w:val="20"/>
                <w:lang w:val="en-GB"/>
              </w:rPr>
            </w:pPr>
            <w:r w:rsidRPr="00184430">
              <w:rPr>
                <w:sz w:val="20"/>
                <w:szCs w:val="20"/>
                <w:lang w:val="en-GB"/>
              </w:rPr>
              <w:t>3.3</w:t>
            </w:r>
          </w:p>
        </w:tc>
      </w:tr>
      <w:tr w:rsidR="00470BC8" w:rsidRPr="00184430" w:rsidTr="00E30956">
        <w:trPr>
          <w:jc w:val="center"/>
        </w:trPr>
        <w:tc>
          <w:tcPr>
            <w:tcW w:w="1481" w:type="dxa"/>
            <w:vAlign w:val="center"/>
          </w:tcPr>
          <w:p w:rsidR="00A87EAF" w:rsidRDefault="00470BC8">
            <w:pPr>
              <w:spacing w:line="276" w:lineRule="auto"/>
              <w:jc w:val="both"/>
              <w:rPr>
                <w:b/>
                <w:sz w:val="20"/>
                <w:szCs w:val="20"/>
                <w:lang w:val="en-GB"/>
              </w:rPr>
            </w:pPr>
            <w:r w:rsidRPr="00184430">
              <w:rPr>
                <w:b/>
                <w:sz w:val="20"/>
                <w:szCs w:val="20"/>
                <w:lang w:val="en-GB"/>
              </w:rPr>
              <w:t>Un</w:t>
            </w:r>
            <w:r w:rsidR="007C4F88">
              <w:rPr>
                <w:b/>
                <w:sz w:val="20"/>
                <w:szCs w:val="20"/>
                <w:lang w:val="en-GB"/>
              </w:rPr>
              <w:t>-</w:t>
            </w:r>
            <w:r w:rsidRPr="00184430">
              <w:rPr>
                <w:b/>
                <w:sz w:val="20"/>
                <w:szCs w:val="20"/>
                <w:lang w:val="en-GB"/>
              </w:rPr>
              <w:t xml:space="preserve">weighted average of </w:t>
            </w:r>
            <w:r w:rsidR="00B72E3F">
              <w:rPr>
                <w:b/>
                <w:sz w:val="20"/>
                <w:szCs w:val="20"/>
                <w:lang w:val="en-GB"/>
              </w:rPr>
              <w:t>Member State</w:t>
            </w:r>
            <w:r w:rsidR="00374EE8">
              <w:rPr>
                <w:b/>
                <w:sz w:val="20"/>
                <w:szCs w:val="20"/>
                <w:lang w:val="en-GB"/>
              </w:rPr>
              <w:t>s</w:t>
            </w:r>
          </w:p>
        </w:tc>
        <w:tc>
          <w:tcPr>
            <w:tcW w:w="1496" w:type="dxa"/>
            <w:vAlign w:val="bottom"/>
          </w:tcPr>
          <w:p w:rsidR="00A87EAF" w:rsidRDefault="00470BC8" w:rsidP="00192FFB">
            <w:pPr>
              <w:spacing w:line="276" w:lineRule="auto"/>
              <w:jc w:val="right"/>
              <w:rPr>
                <w:sz w:val="20"/>
                <w:szCs w:val="20"/>
                <w:lang w:val="en-GB"/>
              </w:rPr>
            </w:pPr>
            <w:r w:rsidRPr="00184430">
              <w:rPr>
                <w:sz w:val="20"/>
                <w:szCs w:val="20"/>
                <w:lang w:val="en-GB"/>
              </w:rPr>
              <w:t>-2.2</w:t>
            </w:r>
          </w:p>
        </w:tc>
        <w:tc>
          <w:tcPr>
            <w:tcW w:w="1550" w:type="dxa"/>
            <w:vAlign w:val="bottom"/>
          </w:tcPr>
          <w:p w:rsidR="00A87EAF" w:rsidRDefault="00470BC8" w:rsidP="00192FFB">
            <w:pPr>
              <w:spacing w:line="276" w:lineRule="auto"/>
              <w:jc w:val="right"/>
              <w:rPr>
                <w:sz w:val="20"/>
                <w:szCs w:val="20"/>
                <w:lang w:val="en-GB"/>
              </w:rPr>
            </w:pPr>
            <w:r w:rsidRPr="00184430">
              <w:rPr>
                <w:sz w:val="20"/>
                <w:szCs w:val="20"/>
                <w:lang w:val="en-GB"/>
              </w:rPr>
              <w:t>0.1</w:t>
            </w:r>
          </w:p>
        </w:tc>
        <w:tc>
          <w:tcPr>
            <w:tcW w:w="1689" w:type="dxa"/>
            <w:vAlign w:val="bottom"/>
          </w:tcPr>
          <w:p w:rsidR="00A87EAF" w:rsidRDefault="00470BC8" w:rsidP="00192FFB">
            <w:pPr>
              <w:spacing w:line="276" w:lineRule="auto"/>
              <w:jc w:val="right"/>
              <w:rPr>
                <w:sz w:val="20"/>
                <w:szCs w:val="20"/>
                <w:lang w:val="en-GB"/>
              </w:rPr>
            </w:pPr>
            <w:r w:rsidRPr="00184430">
              <w:rPr>
                <w:sz w:val="20"/>
                <w:szCs w:val="20"/>
                <w:lang w:val="en-GB"/>
              </w:rPr>
              <w:t>-2.1</w:t>
            </w:r>
          </w:p>
        </w:tc>
        <w:tc>
          <w:tcPr>
            <w:tcW w:w="1829" w:type="dxa"/>
            <w:vAlign w:val="bottom"/>
          </w:tcPr>
          <w:p w:rsidR="00A87EAF" w:rsidRDefault="00470BC8" w:rsidP="00192FFB">
            <w:pPr>
              <w:spacing w:line="276" w:lineRule="auto"/>
              <w:jc w:val="right"/>
              <w:rPr>
                <w:sz w:val="20"/>
                <w:szCs w:val="20"/>
                <w:lang w:val="en-GB"/>
              </w:rPr>
            </w:pPr>
            <w:r w:rsidRPr="00184430">
              <w:rPr>
                <w:sz w:val="20"/>
                <w:szCs w:val="20"/>
                <w:lang w:val="en-GB"/>
              </w:rPr>
              <w:t>2.0</w:t>
            </w:r>
          </w:p>
        </w:tc>
        <w:tc>
          <w:tcPr>
            <w:tcW w:w="1692" w:type="dxa"/>
            <w:vAlign w:val="bottom"/>
          </w:tcPr>
          <w:p w:rsidR="00A87EAF" w:rsidRDefault="00470BC8" w:rsidP="00192FFB">
            <w:pPr>
              <w:spacing w:line="276" w:lineRule="auto"/>
              <w:jc w:val="right"/>
              <w:rPr>
                <w:sz w:val="20"/>
                <w:szCs w:val="20"/>
                <w:lang w:val="en-GB"/>
              </w:rPr>
            </w:pPr>
            <w:r w:rsidRPr="00184430">
              <w:rPr>
                <w:sz w:val="20"/>
                <w:szCs w:val="20"/>
                <w:lang w:val="en-GB"/>
              </w:rPr>
              <w:t>0.0</w:t>
            </w:r>
          </w:p>
        </w:tc>
      </w:tr>
      <w:tr w:rsidR="00B978E7" w:rsidRPr="00184430" w:rsidTr="00632205">
        <w:trPr>
          <w:jc w:val="center"/>
        </w:trPr>
        <w:tc>
          <w:tcPr>
            <w:tcW w:w="1481" w:type="dxa"/>
            <w:vAlign w:val="center"/>
          </w:tcPr>
          <w:p w:rsidR="00A87EAF" w:rsidRDefault="00B978E7">
            <w:pPr>
              <w:spacing w:line="276" w:lineRule="auto"/>
              <w:jc w:val="both"/>
              <w:rPr>
                <w:b/>
                <w:sz w:val="20"/>
                <w:szCs w:val="20"/>
                <w:lang w:val="en-GB"/>
              </w:rPr>
            </w:pPr>
            <w:r w:rsidRPr="00184430">
              <w:rPr>
                <w:b/>
                <w:sz w:val="20"/>
                <w:szCs w:val="20"/>
                <w:lang w:val="en-GB"/>
              </w:rPr>
              <w:t>Standard deviation</w:t>
            </w:r>
          </w:p>
        </w:tc>
        <w:tc>
          <w:tcPr>
            <w:tcW w:w="1496" w:type="dxa"/>
            <w:vAlign w:val="center"/>
          </w:tcPr>
          <w:p w:rsidR="00A87EAF" w:rsidRDefault="00B978E7" w:rsidP="00192FFB">
            <w:pPr>
              <w:spacing w:line="276" w:lineRule="auto"/>
              <w:jc w:val="right"/>
              <w:rPr>
                <w:sz w:val="20"/>
                <w:szCs w:val="20"/>
                <w:lang w:val="en-GB"/>
              </w:rPr>
            </w:pPr>
            <w:r w:rsidRPr="00184430">
              <w:rPr>
                <w:sz w:val="20"/>
                <w:szCs w:val="20"/>
                <w:lang w:val="en-GB"/>
              </w:rPr>
              <w:t>4.2</w:t>
            </w:r>
          </w:p>
        </w:tc>
        <w:tc>
          <w:tcPr>
            <w:tcW w:w="1550" w:type="dxa"/>
            <w:vAlign w:val="center"/>
          </w:tcPr>
          <w:p w:rsidR="00A87EAF" w:rsidRDefault="00B978E7" w:rsidP="00192FFB">
            <w:pPr>
              <w:spacing w:line="276" w:lineRule="auto"/>
              <w:jc w:val="right"/>
              <w:rPr>
                <w:sz w:val="20"/>
                <w:szCs w:val="20"/>
                <w:lang w:val="en-GB"/>
              </w:rPr>
            </w:pPr>
            <w:r w:rsidRPr="00184430">
              <w:rPr>
                <w:sz w:val="20"/>
                <w:szCs w:val="20"/>
                <w:lang w:val="en-GB"/>
              </w:rPr>
              <w:t>2.7</w:t>
            </w:r>
          </w:p>
        </w:tc>
        <w:tc>
          <w:tcPr>
            <w:tcW w:w="1689" w:type="dxa"/>
            <w:vAlign w:val="center"/>
          </w:tcPr>
          <w:p w:rsidR="00A87EAF" w:rsidRDefault="00B978E7" w:rsidP="00192FFB">
            <w:pPr>
              <w:spacing w:line="276" w:lineRule="auto"/>
              <w:jc w:val="right"/>
              <w:rPr>
                <w:sz w:val="20"/>
                <w:szCs w:val="20"/>
                <w:lang w:val="en-GB"/>
              </w:rPr>
            </w:pPr>
            <w:r w:rsidRPr="00184430">
              <w:rPr>
                <w:sz w:val="20"/>
                <w:szCs w:val="20"/>
                <w:lang w:val="en-GB"/>
              </w:rPr>
              <w:t>2.9</w:t>
            </w:r>
          </w:p>
        </w:tc>
        <w:tc>
          <w:tcPr>
            <w:tcW w:w="1829" w:type="dxa"/>
            <w:vAlign w:val="center"/>
          </w:tcPr>
          <w:p w:rsidR="00A87EAF" w:rsidRDefault="00B978E7" w:rsidP="00192FFB">
            <w:pPr>
              <w:spacing w:line="276" w:lineRule="auto"/>
              <w:jc w:val="right"/>
              <w:rPr>
                <w:sz w:val="20"/>
                <w:szCs w:val="20"/>
                <w:lang w:val="en-GB"/>
              </w:rPr>
            </w:pPr>
            <w:r w:rsidRPr="00184430">
              <w:rPr>
                <w:sz w:val="20"/>
                <w:szCs w:val="20"/>
                <w:lang w:val="en-GB"/>
              </w:rPr>
              <w:t>3.3</w:t>
            </w:r>
          </w:p>
        </w:tc>
        <w:tc>
          <w:tcPr>
            <w:tcW w:w="1692" w:type="dxa"/>
            <w:vAlign w:val="center"/>
          </w:tcPr>
          <w:p w:rsidR="00A87EAF" w:rsidRDefault="00B978E7" w:rsidP="00192FFB">
            <w:pPr>
              <w:spacing w:line="276" w:lineRule="auto"/>
              <w:jc w:val="right"/>
              <w:rPr>
                <w:sz w:val="20"/>
                <w:szCs w:val="20"/>
                <w:lang w:val="en-GB"/>
              </w:rPr>
            </w:pPr>
            <w:r w:rsidRPr="00184430">
              <w:rPr>
                <w:sz w:val="20"/>
                <w:szCs w:val="20"/>
                <w:lang w:val="en-GB"/>
              </w:rPr>
              <w:t>2.5</w:t>
            </w:r>
          </w:p>
        </w:tc>
      </w:tr>
      <w:tr w:rsidR="00B978E7" w:rsidRPr="00184430" w:rsidTr="00E30956">
        <w:trPr>
          <w:jc w:val="center"/>
        </w:trPr>
        <w:tc>
          <w:tcPr>
            <w:tcW w:w="1481" w:type="dxa"/>
            <w:vAlign w:val="center"/>
          </w:tcPr>
          <w:p w:rsidR="00A87EAF" w:rsidRDefault="00B978E7">
            <w:pPr>
              <w:spacing w:line="276" w:lineRule="auto"/>
              <w:jc w:val="both"/>
              <w:rPr>
                <w:b/>
                <w:sz w:val="20"/>
                <w:szCs w:val="20"/>
                <w:lang w:val="en-GB"/>
              </w:rPr>
            </w:pPr>
            <w:r w:rsidRPr="00184430">
              <w:rPr>
                <w:b/>
                <w:sz w:val="20"/>
                <w:szCs w:val="20"/>
                <w:lang w:val="en-GB"/>
              </w:rPr>
              <w:t xml:space="preserve">Highest </w:t>
            </w:r>
            <w:r w:rsidR="00470BC8" w:rsidRPr="00184430">
              <w:rPr>
                <w:b/>
                <w:sz w:val="20"/>
                <w:szCs w:val="20"/>
                <w:lang w:val="en-GB"/>
              </w:rPr>
              <w:t>REER depreciation</w:t>
            </w:r>
          </w:p>
        </w:tc>
        <w:tc>
          <w:tcPr>
            <w:tcW w:w="1496" w:type="dxa"/>
          </w:tcPr>
          <w:p w:rsidR="00A87EAF" w:rsidRDefault="00E30956">
            <w:pPr>
              <w:spacing w:line="276" w:lineRule="auto"/>
              <w:jc w:val="both"/>
              <w:rPr>
                <w:sz w:val="20"/>
                <w:szCs w:val="20"/>
                <w:lang w:val="en-GB"/>
              </w:rPr>
            </w:pPr>
            <w:r w:rsidRPr="00184430">
              <w:rPr>
                <w:sz w:val="20"/>
                <w:szCs w:val="20"/>
                <w:lang w:val="en-GB"/>
              </w:rPr>
              <w:t>Ireland (</w:t>
            </w:r>
            <w:r w:rsidR="00470BC8" w:rsidRPr="00184430">
              <w:rPr>
                <w:sz w:val="20"/>
                <w:szCs w:val="20"/>
                <w:lang w:val="en-GB"/>
              </w:rPr>
              <w:t>-10</w:t>
            </w:r>
            <w:r w:rsidR="0009035A" w:rsidRPr="00184430">
              <w:rPr>
                <w:sz w:val="20"/>
                <w:szCs w:val="20"/>
                <w:lang w:val="en-GB"/>
              </w:rPr>
              <w:t>.</w:t>
            </w:r>
            <w:r w:rsidR="00470BC8" w:rsidRPr="00184430">
              <w:rPr>
                <w:sz w:val="20"/>
                <w:szCs w:val="20"/>
                <w:lang w:val="en-GB"/>
              </w:rPr>
              <w:t>5</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Latvia (</w:t>
            </w:r>
            <w:r w:rsidR="00470BC8" w:rsidRPr="00184430">
              <w:rPr>
                <w:sz w:val="20"/>
                <w:szCs w:val="20"/>
                <w:lang w:val="en-GB"/>
              </w:rPr>
              <w:t>-10</w:t>
            </w:r>
            <w:r w:rsidR="0009035A" w:rsidRPr="00184430">
              <w:rPr>
                <w:sz w:val="20"/>
                <w:szCs w:val="20"/>
                <w:lang w:val="en-GB"/>
              </w:rPr>
              <w:t>.</w:t>
            </w:r>
            <w:r w:rsidR="00470BC8" w:rsidRPr="00184430">
              <w:rPr>
                <w:sz w:val="20"/>
                <w:szCs w:val="20"/>
                <w:lang w:val="en-GB"/>
              </w:rPr>
              <w:t>5</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Lithuania (</w:t>
            </w:r>
            <w:r w:rsidR="00470BC8" w:rsidRPr="00184430">
              <w:rPr>
                <w:sz w:val="20"/>
                <w:szCs w:val="20"/>
                <w:lang w:val="en-GB"/>
              </w:rPr>
              <w:t>-8</w:t>
            </w:r>
            <w:r w:rsidR="0009035A" w:rsidRPr="00184430">
              <w:rPr>
                <w:sz w:val="20"/>
                <w:szCs w:val="20"/>
                <w:lang w:val="en-GB"/>
              </w:rPr>
              <w:t>.</w:t>
            </w:r>
            <w:r w:rsidR="00470BC8" w:rsidRPr="00184430">
              <w:rPr>
                <w:sz w:val="20"/>
                <w:szCs w:val="20"/>
                <w:lang w:val="en-GB"/>
              </w:rPr>
              <w:t>3</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Estonia</w:t>
            </w:r>
            <w:r w:rsidR="00E30956" w:rsidRPr="00184430">
              <w:rPr>
                <w:sz w:val="20"/>
                <w:szCs w:val="20"/>
                <w:lang w:val="en-GB"/>
              </w:rPr>
              <w:t xml:space="preserve"> (</w:t>
            </w:r>
            <w:r w:rsidRPr="00184430">
              <w:rPr>
                <w:sz w:val="20"/>
                <w:szCs w:val="20"/>
                <w:lang w:val="en-GB"/>
              </w:rPr>
              <w:t>-6</w:t>
            </w:r>
            <w:r w:rsidR="0009035A" w:rsidRPr="00184430">
              <w:rPr>
                <w:sz w:val="20"/>
                <w:szCs w:val="20"/>
                <w:lang w:val="en-GB"/>
              </w:rPr>
              <w:t>.</w:t>
            </w:r>
            <w:r w:rsidRPr="00184430">
              <w:rPr>
                <w:sz w:val="20"/>
                <w:szCs w:val="20"/>
                <w:lang w:val="en-GB"/>
              </w:rPr>
              <w:t>4</w:t>
            </w:r>
            <w:r w:rsidR="00E30956" w:rsidRPr="00184430">
              <w:rPr>
                <w:sz w:val="20"/>
                <w:szCs w:val="20"/>
                <w:lang w:val="en-GB"/>
              </w:rPr>
              <w:t>)</w:t>
            </w:r>
          </w:p>
        </w:tc>
        <w:tc>
          <w:tcPr>
            <w:tcW w:w="1550" w:type="dxa"/>
          </w:tcPr>
          <w:p w:rsidR="00A87EAF" w:rsidRDefault="00E30956">
            <w:pPr>
              <w:spacing w:line="276" w:lineRule="auto"/>
              <w:jc w:val="both"/>
              <w:rPr>
                <w:sz w:val="20"/>
                <w:szCs w:val="20"/>
                <w:lang w:val="en-GB"/>
              </w:rPr>
            </w:pPr>
            <w:r w:rsidRPr="00184430">
              <w:rPr>
                <w:sz w:val="20"/>
                <w:szCs w:val="20"/>
                <w:lang w:val="en-GB"/>
              </w:rPr>
              <w:t>Romania(</w:t>
            </w:r>
            <w:r w:rsidR="00470BC8" w:rsidRPr="00184430">
              <w:rPr>
                <w:sz w:val="20"/>
                <w:szCs w:val="20"/>
                <w:lang w:val="en-GB"/>
              </w:rPr>
              <w:t>-5</w:t>
            </w:r>
            <w:r w:rsidR="0009035A" w:rsidRPr="00184430">
              <w:rPr>
                <w:sz w:val="20"/>
                <w:szCs w:val="20"/>
                <w:lang w:val="en-GB"/>
              </w:rPr>
              <w:t>.</w:t>
            </w:r>
            <w:r w:rsidR="00470BC8" w:rsidRPr="00184430">
              <w:rPr>
                <w:sz w:val="20"/>
                <w:szCs w:val="20"/>
                <w:lang w:val="en-GB"/>
              </w:rPr>
              <w:t>9</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Ireland (</w:t>
            </w:r>
            <w:r w:rsidR="00470BC8" w:rsidRPr="00184430">
              <w:rPr>
                <w:sz w:val="20"/>
                <w:szCs w:val="20"/>
                <w:lang w:val="en-GB"/>
              </w:rPr>
              <w:t>-3</w:t>
            </w:r>
            <w:r w:rsidR="0009035A" w:rsidRPr="00184430">
              <w:rPr>
                <w:sz w:val="20"/>
                <w:szCs w:val="20"/>
                <w:lang w:val="en-GB"/>
              </w:rPr>
              <w:t>.</w:t>
            </w:r>
            <w:r w:rsidR="00470BC8" w:rsidRPr="00184430">
              <w:rPr>
                <w:sz w:val="20"/>
                <w:szCs w:val="20"/>
                <w:lang w:val="en-GB"/>
              </w:rPr>
              <w:t>5</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Poland (</w:t>
            </w:r>
            <w:r w:rsidR="00470BC8" w:rsidRPr="00184430">
              <w:rPr>
                <w:sz w:val="20"/>
                <w:szCs w:val="20"/>
                <w:lang w:val="en-GB"/>
              </w:rPr>
              <w:t>-2</w:t>
            </w:r>
            <w:r w:rsidR="0009035A" w:rsidRPr="00184430">
              <w:rPr>
                <w:sz w:val="20"/>
                <w:szCs w:val="20"/>
                <w:lang w:val="en-GB"/>
              </w:rPr>
              <w:t>.</w:t>
            </w:r>
            <w:r w:rsidR="00470BC8" w:rsidRPr="00184430">
              <w:rPr>
                <w:sz w:val="20"/>
                <w:szCs w:val="20"/>
                <w:lang w:val="en-GB"/>
              </w:rPr>
              <w:t>6</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Estonia (</w:t>
            </w:r>
            <w:r w:rsidR="00470BC8" w:rsidRPr="00184430">
              <w:rPr>
                <w:sz w:val="20"/>
                <w:szCs w:val="20"/>
                <w:lang w:val="en-GB"/>
              </w:rPr>
              <w:t>-2</w:t>
            </w:r>
            <w:r w:rsidR="0009035A" w:rsidRPr="00184430">
              <w:rPr>
                <w:sz w:val="20"/>
                <w:szCs w:val="20"/>
                <w:lang w:val="en-GB"/>
              </w:rPr>
              <w:t>.</w:t>
            </w:r>
            <w:r w:rsidR="00470BC8" w:rsidRPr="00184430">
              <w:rPr>
                <w:sz w:val="20"/>
                <w:szCs w:val="20"/>
                <w:lang w:val="en-GB"/>
              </w:rPr>
              <w:t>5</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Croatia</w:t>
            </w:r>
            <w:r w:rsidR="00E30956" w:rsidRPr="00184430">
              <w:rPr>
                <w:sz w:val="20"/>
                <w:szCs w:val="20"/>
                <w:lang w:val="en-GB"/>
              </w:rPr>
              <w:t xml:space="preserve"> (</w:t>
            </w:r>
            <w:r w:rsidRPr="00184430">
              <w:rPr>
                <w:sz w:val="20"/>
                <w:szCs w:val="20"/>
                <w:lang w:val="en-GB"/>
              </w:rPr>
              <w:t>-2</w:t>
            </w:r>
            <w:r w:rsidR="0009035A" w:rsidRPr="00184430">
              <w:rPr>
                <w:sz w:val="20"/>
                <w:szCs w:val="20"/>
                <w:lang w:val="en-GB"/>
              </w:rPr>
              <w:t>.</w:t>
            </w:r>
            <w:r w:rsidRPr="00184430">
              <w:rPr>
                <w:sz w:val="20"/>
                <w:szCs w:val="20"/>
                <w:lang w:val="en-GB"/>
              </w:rPr>
              <w:t>5</w:t>
            </w:r>
            <w:r w:rsidR="00E30956" w:rsidRPr="00184430">
              <w:rPr>
                <w:sz w:val="20"/>
                <w:szCs w:val="20"/>
                <w:lang w:val="en-GB"/>
              </w:rPr>
              <w:t>)</w:t>
            </w:r>
          </w:p>
        </w:tc>
        <w:tc>
          <w:tcPr>
            <w:tcW w:w="1689" w:type="dxa"/>
          </w:tcPr>
          <w:p w:rsidR="00A87EAF" w:rsidRDefault="00E30956">
            <w:pPr>
              <w:spacing w:line="276" w:lineRule="auto"/>
              <w:jc w:val="both"/>
              <w:rPr>
                <w:sz w:val="20"/>
                <w:szCs w:val="20"/>
                <w:lang w:val="en-GB"/>
              </w:rPr>
            </w:pPr>
            <w:r w:rsidRPr="00184430">
              <w:rPr>
                <w:sz w:val="20"/>
                <w:szCs w:val="20"/>
                <w:lang w:val="en-GB"/>
              </w:rPr>
              <w:t>Greece (</w:t>
            </w:r>
            <w:r w:rsidR="00470BC8" w:rsidRPr="00184430">
              <w:rPr>
                <w:sz w:val="20"/>
                <w:szCs w:val="20"/>
                <w:lang w:val="en-GB"/>
              </w:rPr>
              <w:t>-7</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Spain</w:t>
            </w:r>
            <w:r w:rsidR="00E30956" w:rsidRPr="00184430">
              <w:rPr>
                <w:sz w:val="20"/>
                <w:szCs w:val="20"/>
                <w:lang w:val="en-GB"/>
              </w:rPr>
              <w:t xml:space="preserve"> (</w:t>
            </w:r>
            <w:r w:rsidRPr="00184430">
              <w:rPr>
                <w:sz w:val="20"/>
                <w:szCs w:val="20"/>
                <w:lang w:val="en-GB"/>
              </w:rPr>
              <w:t>-6</w:t>
            </w:r>
            <w:r w:rsidR="0009035A" w:rsidRPr="00184430">
              <w:rPr>
                <w:sz w:val="20"/>
                <w:szCs w:val="20"/>
                <w:lang w:val="en-GB"/>
              </w:rPr>
              <w:t>.</w:t>
            </w:r>
            <w:r w:rsidRPr="00184430">
              <w:rPr>
                <w:sz w:val="20"/>
                <w:szCs w:val="20"/>
                <w:lang w:val="en-GB"/>
              </w:rPr>
              <w:t>6</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Romania (</w:t>
            </w:r>
            <w:r w:rsidR="00470BC8" w:rsidRPr="00184430">
              <w:rPr>
                <w:sz w:val="20"/>
                <w:szCs w:val="20"/>
                <w:lang w:val="en-GB"/>
              </w:rPr>
              <w:t>-6</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Cyprus (</w:t>
            </w:r>
            <w:r w:rsidR="00470BC8" w:rsidRPr="00184430">
              <w:rPr>
                <w:sz w:val="20"/>
                <w:szCs w:val="20"/>
                <w:lang w:val="en-GB"/>
              </w:rPr>
              <w:t>-5</w:t>
            </w:r>
            <w:r w:rsidR="0009035A" w:rsidRPr="00184430">
              <w:rPr>
                <w:sz w:val="20"/>
                <w:szCs w:val="20"/>
                <w:lang w:val="en-GB"/>
              </w:rPr>
              <w:t>.</w:t>
            </w:r>
            <w:r w:rsidR="00470BC8" w:rsidRPr="00184430">
              <w:rPr>
                <w:sz w:val="20"/>
                <w:szCs w:val="20"/>
                <w:lang w:val="en-GB"/>
              </w:rPr>
              <w:t>6</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 xml:space="preserve">Portugal </w:t>
            </w:r>
            <w:r w:rsidR="00E30956" w:rsidRPr="00184430">
              <w:rPr>
                <w:sz w:val="20"/>
                <w:szCs w:val="20"/>
                <w:lang w:val="en-GB"/>
              </w:rPr>
              <w:t>(</w:t>
            </w:r>
            <w:r w:rsidRPr="00184430">
              <w:rPr>
                <w:sz w:val="20"/>
                <w:szCs w:val="20"/>
                <w:lang w:val="en-GB"/>
              </w:rPr>
              <w:t>-5</w:t>
            </w:r>
            <w:r w:rsidR="0009035A" w:rsidRPr="00184430">
              <w:rPr>
                <w:sz w:val="20"/>
                <w:szCs w:val="20"/>
                <w:lang w:val="en-GB"/>
              </w:rPr>
              <w:t>.</w:t>
            </w:r>
            <w:r w:rsidRPr="00184430">
              <w:rPr>
                <w:sz w:val="20"/>
                <w:szCs w:val="20"/>
                <w:lang w:val="en-GB"/>
              </w:rPr>
              <w:t>5</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Ireland (</w:t>
            </w:r>
            <w:r w:rsidR="00470BC8" w:rsidRPr="00184430">
              <w:rPr>
                <w:sz w:val="20"/>
                <w:szCs w:val="20"/>
                <w:lang w:val="en-GB"/>
              </w:rPr>
              <w:t>-5</w:t>
            </w:r>
            <w:r w:rsidR="0009035A" w:rsidRPr="00184430">
              <w:rPr>
                <w:sz w:val="20"/>
                <w:szCs w:val="20"/>
                <w:lang w:val="en-GB"/>
              </w:rPr>
              <w:t>.</w:t>
            </w:r>
            <w:r w:rsidR="00470BC8" w:rsidRPr="00184430">
              <w:rPr>
                <w:sz w:val="20"/>
                <w:szCs w:val="20"/>
                <w:lang w:val="en-GB"/>
              </w:rPr>
              <w:t>1</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Croatia (</w:t>
            </w:r>
            <w:r w:rsidR="00470BC8" w:rsidRPr="00184430">
              <w:rPr>
                <w:sz w:val="20"/>
                <w:szCs w:val="20"/>
                <w:lang w:val="en-GB"/>
              </w:rPr>
              <w:t>-5</w:t>
            </w:r>
            <w:r w:rsidRPr="00184430">
              <w:rPr>
                <w:sz w:val="20"/>
                <w:szCs w:val="20"/>
                <w:lang w:val="en-GB"/>
              </w:rPr>
              <w:t>)</w:t>
            </w:r>
          </w:p>
        </w:tc>
        <w:tc>
          <w:tcPr>
            <w:tcW w:w="1829" w:type="dxa"/>
          </w:tcPr>
          <w:p w:rsidR="00A87EAF" w:rsidRDefault="00470BC8">
            <w:pPr>
              <w:spacing w:line="276" w:lineRule="auto"/>
              <w:jc w:val="both"/>
              <w:rPr>
                <w:sz w:val="20"/>
                <w:szCs w:val="20"/>
                <w:lang w:val="en-GB"/>
              </w:rPr>
            </w:pPr>
            <w:r w:rsidRPr="00184430">
              <w:rPr>
                <w:sz w:val="20"/>
                <w:szCs w:val="20"/>
                <w:lang w:val="en-GB"/>
              </w:rPr>
              <w:t>Greece</w:t>
            </w:r>
            <w:r w:rsidR="00E30956" w:rsidRPr="00184430">
              <w:rPr>
                <w:sz w:val="20"/>
                <w:szCs w:val="20"/>
                <w:lang w:val="en-GB"/>
              </w:rPr>
              <w:t xml:space="preserve"> (</w:t>
            </w:r>
            <w:r w:rsidRPr="00184430">
              <w:rPr>
                <w:sz w:val="20"/>
                <w:szCs w:val="20"/>
                <w:lang w:val="en-GB"/>
              </w:rPr>
              <w:t>-7</w:t>
            </w:r>
            <w:r w:rsidR="0009035A" w:rsidRPr="00184430">
              <w:rPr>
                <w:sz w:val="20"/>
                <w:szCs w:val="20"/>
                <w:lang w:val="en-GB"/>
              </w:rPr>
              <w:t>.</w:t>
            </w:r>
            <w:r w:rsidRPr="00184430">
              <w:rPr>
                <w:sz w:val="20"/>
                <w:szCs w:val="20"/>
                <w:lang w:val="en-GB"/>
              </w:rPr>
              <w:t>2</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Cyprus (</w:t>
            </w:r>
            <w:r w:rsidR="00470BC8" w:rsidRPr="00184430">
              <w:rPr>
                <w:sz w:val="20"/>
                <w:szCs w:val="20"/>
                <w:lang w:val="en-GB"/>
              </w:rPr>
              <w:t>-3</w:t>
            </w:r>
            <w:r w:rsidR="0009035A" w:rsidRPr="00184430">
              <w:rPr>
                <w:sz w:val="20"/>
                <w:szCs w:val="20"/>
                <w:lang w:val="en-GB"/>
              </w:rPr>
              <w:t>.</w:t>
            </w:r>
            <w:r w:rsidR="00470BC8" w:rsidRPr="00184430">
              <w:rPr>
                <w:sz w:val="20"/>
                <w:szCs w:val="20"/>
                <w:lang w:val="en-GB"/>
              </w:rPr>
              <w:t>1</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Czech Republic</w:t>
            </w:r>
            <w:r w:rsidR="00E30956" w:rsidRPr="00184430">
              <w:rPr>
                <w:sz w:val="20"/>
                <w:szCs w:val="20"/>
                <w:lang w:val="en-GB"/>
              </w:rPr>
              <w:t xml:space="preserve"> (</w:t>
            </w:r>
            <w:r w:rsidRPr="00184430">
              <w:rPr>
                <w:sz w:val="20"/>
                <w:szCs w:val="20"/>
                <w:lang w:val="en-GB"/>
              </w:rPr>
              <w:t>-3</w:t>
            </w:r>
            <w:r w:rsidR="0009035A" w:rsidRPr="00184430">
              <w:rPr>
                <w:sz w:val="20"/>
                <w:szCs w:val="20"/>
                <w:lang w:val="en-GB"/>
              </w:rPr>
              <w:t>.</w:t>
            </w:r>
            <w:r w:rsidRPr="00184430">
              <w:rPr>
                <w:sz w:val="20"/>
                <w:szCs w:val="20"/>
                <w:lang w:val="en-GB"/>
              </w:rPr>
              <w:t>1</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Hungary</w:t>
            </w:r>
            <w:r w:rsidRPr="00184430">
              <w:rPr>
                <w:sz w:val="20"/>
                <w:szCs w:val="20"/>
                <w:lang w:val="en-GB"/>
              </w:rPr>
              <w:tab/>
              <w:t xml:space="preserve"> (</w:t>
            </w:r>
            <w:r w:rsidR="00470BC8" w:rsidRPr="00184430">
              <w:rPr>
                <w:sz w:val="20"/>
                <w:szCs w:val="20"/>
                <w:lang w:val="en-GB"/>
              </w:rPr>
              <w:t>-1</w:t>
            </w:r>
            <w:r w:rsidR="0009035A" w:rsidRPr="00184430">
              <w:rPr>
                <w:sz w:val="20"/>
                <w:szCs w:val="20"/>
                <w:lang w:val="en-GB"/>
              </w:rPr>
              <w:t>.</w:t>
            </w:r>
            <w:r w:rsidR="00470BC8" w:rsidRPr="00184430">
              <w:rPr>
                <w:sz w:val="20"/>
                <w:szCs w:val="20"/>
                <w:lang w:val="en-GB"/>
              </w:rPr>
              <w:t>9</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UK (</w:t>
            </w:r>
            <w:r w:rsidR="00470BC8" w:rsidRPr="00184430">
              <w:rPr>
                <w:sz w:val="20"/>
                <w:szCs w:val="20"/>
                <w:lang w:val="en-GB"/>
              </w:rPr>
              <w:t>-1</w:t>
            </w:r>
            <w:r w:rsidR="0009035A" w:rsidRPr="00184430">
              <w:rPr>
                <w:sz w:val="20"/>
                <w:szCs w:val="20"/>
                <w:lang w:val="en-GB"/>
              </w:rPr>
              <w:t>.</w:t>
            </w:r>
            <w:r w:rsidR="00470BC8" w:rsidRPr="00184430">
              <w:rPr>
                <w:sz w:val="20"/>
                <w:szCs w:val="20"/>
                <w:lang w:val="en-GB"/>
              </w:rPr>
              <w:t>6</w:t>
            </w:r>
            <w:r w:rsidRPr="00184430">
              <w:rPr>
                <w:sz w:val="20"/>
                <w:szCs w:val="20"/>
                <w:lang w:val="en-GB"/>
              </w:rPr>
              <w:t>)</w:t>
            </w:r>
          </w:p>
        </w:tc>
        <w:tc>
          <w:tcPr>
            <w:tcW w:w="1692" w:type="dxa"/>
          </w:tcPr>
          <w:p w:rsidR="00A87EAF" w:rsidRDefault="00E30956">
            <w:pPr>
              <w:spacing w:line="276" w:lineRule="auto"/>
              <w:jc w:val="both"/>
              <w:rPr>
                <w:sz w:val="20"/>
                <w:szCs w:val="20"/>
                <w:lang w:val="en-GB"/>
              </w:rPr>
            </w:pPr>
            <w:r w:rsidRPr="00184430">
              <w:rPr>
                <w:sz w:val="20"/>
                <w:szCs w:val="20"/>
                <w:lang w:val="en-GB"/>
              </w:rPr>
              <w:t>Czech Republic (</w:t>
            </w:r>
            <w:r w:rsidR="0009035A" w:rsidRPr="00184430">
              <w:rPr>
                <w:sz w:val="20"/>
                <w:szCs w:val="20"/>
                <w:lang w:val="en-GB"/>
              </w:rPr>
              <w:t>-5.9</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Ireland (</w:t>
            </w:r>
            <w:r w:rsidR="0009035A" w:rsidRPr="00184430">
              <w:rPr>
                <w:sz w:val="20"/>
                <w:szCs w:val="20"/>
                <w:lang w:val="en-GB"/>
              </w:rPr>
              <w:t>-4.8</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Cyprus (</w:t>
            </w:r>
            <w:r w:rsidR="0009035A" w:rsidRPr="00184430">
              <w:rPr>
                <w:sz w:val="20"/>
                <w:szCs w:val="20"/>
                <w:lang w:val="en-GB"/>
              </w:rPr>
              <w:t>-4</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Sweden (</w:t>
            </w:r>
            <w:r w:rsidR="0009035A" w:rsidRPr="00184430">
              <w:rPr>
                <w:sz w:val="20"/>
                <w:szCs w:val="20"/>
                <w:lang w:val="en-GB"/>
              </w:rPr>
              <w:t>-3.2</w:t>
            </w:r>
            <w:r w:rsidRPr="00184430">
              <w:rPr>
                <w:sz w:val="20"/>
                <w:szCs w:val="20"/>
                <w:lang w:val="en-GB"/>
              </w:rPr>
              <w:t>)</w:t>
            </w:r>
          </w:p>
        </w:tc>
      </w:tr>
      <w:tr w:rsidR="00B978E7" w:rsidRPr="00184430" w:rsidTr="00E30956">
        <w:trPr>
          <w:jc w:val="center"/>
        </w:trPr>
        <w:tc>
          <w:tcPr>
            <w:tcW w:w="1481" w:type="dxa"/>
            <w:vAlign w:val="center"/>
          </w:tcPr>
          <w:p w:rsidR="00A87EAF" w:rsidRDefault="00B978E7">
            <w:pPr>
              <w:spacing w:line="276" w:lineRule="auto"/>
              <w:jc w:val="both"/>
              <w:rPr>
                <w:b/>
                <w:sz w:val="20"/>
                <w:szCs w:val="20"/>
                <w:lang w:val="en-GB"/>
              </w:rPr>
            </w:pPr>
            <w:r w:rsidRPr="00184430">
              <w:rPr>
                <w:b/>
                <w:sz w:val="20"/>
                <w:szCs w:val="20"/>
                <w:lang w:val="en-GB"/>
              </w:rPr>
              <w:t xml:space="preserve">Highest REER </w:t>
            </w:r>
            <w:r w:rsidR="00470BC8" w:rsidRPr="00184430">
              <w:rPr>
                <w:b/>
                <w:sz w:val="20"/>
                <w:szCs w:val="20"/>
                <w:lang w:val="en-GB"/>
              </w:rPr>
              <w:t>appreciation</w:t>
            </w:r>
          </w:p>
        </w:tc>
        <w:tc>
          <w:tcPr>
            <w:tcW w:w="1496" w:type="dxa"/>
          </w:tcPr>
          <w:p w:rsidR="00A87EAF" w:rsidRDefault="00470BC8">
            <w:pPr>
              <w:spacing w:line="276" w:lineRule="auto"/>
              <w:jc w:val="both"/>
              <w:rPr>
                <w:sz w:val="20"/>
                <w:szCs w:val="20"/>
                <w:lang w:val="en-GB"/>
              </w:rPr>
            </w:pPr>
            <w:r w:rsidRPr="00184430">
              <w:rPr>
                <w:sz w:val="20"/>
                <w:szCs w:val="20"/>
                <w:lang w:val="en-GB"/>
              </w:rPr>
              <w:t>Bulgaria</w:t>
            </w:r>
            <w:r w:rsidR="00E30956" w:rsidRPr="00184430">
              <w:rPr>
                <w:sz w:val="20"/>
                <w:szCs w:val="20"/>
                <w:lang w:val="en-GB"/>
              </w:rPr>
              <w:t xml:space="preserve"> (</w:t>
            </w:r>
            <w:r w:rsidRPr="00184430">
              <w:rPr>
                <w:sz w:val="20"/>
                <w:szCs w:val="20"/>
                <w:lang w:val="en-GB"/>
              </w:rPr>
              <w:t>2</w:t>
            </w:r>
            <w:r w:rsidR="0009035A" w:rsidRPr="00184430">
              <w:rPr>
                <w:sz w:val="20"/>
                <w:szCs w:val="20"/>
                <w:lang w:val="en-GB"/>
              </w:rPr>
              <w:t>.</w:t>
            </w:r>
            <w:r w:rsidRPr="00184430">
              <w:rPr>
                <w:sz w:val="20"/>
                <w:szCs w:val="20"/>
                <w:lang w:val="en-GB"/>
              </w:rPr>
              <w:t>6</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U</w:t>
            </w:r>
            <w:r w:rsidR="00470BC8" w:rsidRPr="00184430">
              <w:rPr>
                <w:sz w:val="20"/>
                <w:szCs w:val="20"/>
                <w:lang w:val="en-GB"/>
              </w:rPr>
              <w:t>K</w:t>
            </w:r>
            <w:r w:rsidRPr="00184430">
              <w:rPr>
                <w:sz w:val="20"/>
                <w:szCs w:val="20"/>
                <w:lang w:val="en-GB"/>
              </w:rPr>
              <w:t xml:space="preserve"> (</w:t>
            </w:r>
            <w:r w:rsidR="00470BC8" w:rsidRPr="00184430">
              <w:rPr>
                <w:sz w:val="20"/>
                <w:szCs w:val="20"/>
                <w:lang w:val="en-GB"/>
              </w:rPr>
              <w:t>2</w:t>
            </w:r>
            <w:r w:rsidR="0009035A" w:rsidRPr="00184430">
              <w:rPr>
                <w:sz w:val="20"/>
                <w:szCs w:val="20"/>
                <w:lang w:val="en-GB"/>
              </w:rPr>
              <w:t>.</w:t>
            </w:r>
            <w:r w:rsidR="00470BC8" w:rsidRPr="00184430">
              <w:rPr>
                <w:sz w:val="20"/>
                <w:szCs w:val="20"/>
                <w:lang w:val="en-GB"/>
              </w:rPr>
              <w:t>8</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Czech Republic</w:t>
            </w:r>
            <w:r w:rsidR="00E30956" w:rsidRPr="00184430">
              <w:rPr>
                <w:sz w:val="20"/>
                <w:szCs w:val="20"/>
                <w:lang w:val="en-GB"/>
              </w:rPr>
              <w:t xml:space="preserve"> (</w:t>
            </w:r>
            <w:r w:rsidRPr="00184430">
              <w:rPr>
                <w:sz w:val="20"/>
                <w:szCs w:val="20"/>
                <w:lang w:val="en-GB"/>
              </w:rPr>
              <w:t>3</w:t>
            </w:r>
            <w:r w:rsidR="006B58B7">
              <w:rPr>
                <w:sz w:val="20"/>
                <w:szCs w:val="20"/>
                <w:lang w:val="en-GB"/>
              </w:rPr>
              <w:t>.0</w:t>
            </w:r>
            <w:r w:rsidR="00E30956"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Sweden</w:t>
            </w:r>
            <w:r w:rsidR="00E30956" w:rsidRPr="00184430">
              <w:rPr>
                <w:sz w:val="20"/>
                <w:szCs w:val="20"/>
                <w:lang w:val="en-GB"/>
              </w:rPr>
              <w:t xml:space="preserve"> (</w:t>
            </w:r>
            <w:r w:rsidRPr="00184430">
              <w:rPr>
                <w:sz w:val="20"/>
                <w:szCs w:val="20"/>
                <w:lang w:val="en-GB"/>
              </w:rPr>
              <w:t>4</w:t>
            </w:r>
            <w:r w:rsidR="0009035A" w:rsidRPr="00184430">
              <w:rPr>
                <w:sz w:val="20"/>
                <w:szCs w:val="20"/>
                <w:lang w:val="en-GB"/>
              </w:rPr>
              <w:t>.</w:t>
            </w:r>
            <w:r w:rsidRPr="00184430">
              <w:rPr>
                <w:sz w:val="20"/>
                <w:szCs w:val="20"/>
                <w:lang w:val="en-GB"/>
              </w:rPr>
              <w:t>8</w:t>
            </w:r>
            <w:r w:rsidR="00E30956"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Poland</w:t>
            </w:r>
            <w:r w:rsidR="00E30956" w:rsidRPr="00184430">
              <w:rPr>
                <w:sz w:val="20"/>
                <w:szCs w:val="20"/>
                <w:lang w:val="en-GB"/>
              </w:rPr>
              <w:t xml:space="preserve"> (</w:t>
            </w:r>
            <w:r w:rsidRPr="00184430">
              <w:rPr>
                <w:sz w:val="20"/>
                <w:szCs w:val="20"/>
                <w:lang w:val="en-GB"/>
              </w:rPr>
              <w:t>8</w:t>
            </w:r>
            <w:r w:rsidR="0009035A" w:rsidRPr="00184430">
              <w:rPr>
                <w:sz w:val="20"/>
                <w:szCs w:val="20"/>
                <w:lang w:val="en-GB"/>
              </w:rPr>
              <w:t>.</w:t>
            </w:r>
            <w:r w:rsidRPr="00184430">
              <w:rPr>
                <w:sz w:val="20"/>
                <w:szCs w:val="20"/>
                <w:lang w:val="en-GB"/>
              </w:rPr>
              <w:t>4</w:t>
            </w:r>
            <w:r w:rsidR="00E30956" w:rsidRPr="00184430">
              <w:rPr>
                <w:sz w:val="20"/>
                <w:szCs w:val="20"/>
                <w:lang w:val="en-GB"/>
              </w:rPr>
              <w:t>)</w:t>
            </w:r>
          </w:p>
        </w:tc>
        <w:tc>
          <w:tcPr>
            <w:tcW w:w="1550" w:type="dxa"/>
          </w:tcPr>
          <w:p w:rsidR="00A87EAF" w:rsidRDefault="00E30956">
            <w:pPr>
              <w:spacing w:line="276" w:lineRule="auto"/>
              <w:jc w:val="both"/>
              <w:rPr>
                <w:sz w:val="20"/>
                <w:szCs w:val="20"/>
                <w:lang w:val="en-GB"/>
              </w:rPr>
            </w:pPr>
            <w:r w:rsidRPr="00184430">
              <w:rPr>
                <w:sz w:val="20"/>
                <w:szCs w:val="20"/>
                <w:lang w:val="en-GB"/>
              </w:rPr>
              <w:t>Czech Republic (</w:t>
            </w:r>
            <w:r w:rsidR="00470BC8" w:rsidRPr="00184430">
              <w:rPr>
                <w:sz w:val="20"/>
                <w:szCs w:val="20"/>
                <w:lang w:val="en-GB"/>
              </w:rPr>
              <w:t>2</w:t>
            </w:r>
            <w:r w:rsidR="0009035A" w:rsidRPr="00184430">
              <w:rPr>
                <w:sz w:val="20"/>
                <w:szCs w:val="20"/>
                <w:lang w:val="en-GB"/>
              </w:rPr>
              <w:t>.</w:t>
            </w:r>
            <w:r w:rsidR="00470BC8" w:rsidRPr="00184430">
              <w:rPr>
                <w:sz w:val="20"/>
                <w:szCs w:val="20"/>
                <w:lang w:val="en-GB"/>
              </w:rPr>
              <w:t>9</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Malta (</w:t>
            </w:r>
            <w:r w:rsidR="00470BC8" w:rsidRPr="00184430">
              <w:rPr>
                <w:sz w:val="20"/>
                <w:szCs w:val="20"/>
                <w:lang w:val="en-GB"/>
              </w:rPr>
              <w:t>3</w:t>
            </w:r>
            <w:r w:rsidR="0009035A" w:rsidRPr="00184430">
              <w:rPr>
                <w:sz w:val="20"/>
                <w:szCs w:val="20"/>
                <w:lang w:val="en-GB"/>
              </w:rPr>
              <w:t>.</w:t>
            </w:r>
            <w:r w:rsidR="00470BC8" w:rsidRPr="00184430">
              <w:rPr>
                <w:sz w:val="20"/>
                <w:szCs w:val="20"/>
                <w:lang w:val="en-GB"/>
              </w:rPr>
              <w:t>7</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 xml:space="preserve">Bulgaria </w:t>
            </w:r>
            <w:r w:rsidR="00E30956" w:rsidRPr="00184430">
              <w:rPr>
                <w:sz w:val="20"/>
                <w:szCs w:val="20"/>
                <w:lang w:val="en-GB"/>
              </w:rPr>
              <w:t>(</w:t>
            </w:r>
            <w:r w:rsidRPr="00184430">
              <w:rPr>
                <w:sz w:val="20"/>
                <w:szCs w:val="20"/>
                <w:lang w:val="en-GB"/>
              </w:rPr>
              <w:t>3</w:t>
            </w:r>
            <w:r w:rsidR="0009035A" w:rsidRPr="00184430">
              <w:rPr>
                <w:sz w:val="20"/>
                <w:szCs w:val="20"/>
                <w:lang w:val="en-GB"/>
              </w:rPr>
              <w:t>.</w:t>
            </w:r>
            <w:r w:rsidRPr="00184430">
              <w:rPr>
                <w:sz w:val="20"/>
                <w:szCs w:val="20"/>
                <w:lang w:val="en-GB"/>
              </w:rPr>
              <w:t>9</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Sweden (</w:t>
            </w:r>
            <w:r w:rsidR="00470BC8" w:rsidRPr="00184430">
              <w:rPr>
                <w:sz w:val="20"/>
                <w:szCs w:val="20"/>
                <w:lang w:val="en-GB"/>
              </w:rPr>
              <w:t>7</w:t>
            </w:r>
            <w:r w:rsidR="0009035A" w:rsidRPr="00184430">
              <w:rPr>
                <w:sz w:val="20"/>
                <w:szCs w:val="20"/>
                <w:lang w:val="en-GB"/>
              </w:rPr>
              <w:t>.</w:t>
            </w:r>
            <w:r w:rsidR="00470BC8" w:rsidRPr="00184430">
              <w:rPr>
                <w:sz w:val="20"/>
                <w:szCs w:val="20"/>
                <w:lang w:val="en-GB"/>
              </w:rPr>
              <w:t>5</w:t>
            </w:r>
            <w:r w:rsidRPr="00184430">
              <w:rPr>
                <w:sz w:val="20"/>
                <w:szCs w:val="20"/>
                <w:lang w:val="en-GB"/>
              </w:rPr>
              <w:t>)</w:t>
            </w:r>
          </w:p>
        </w:tc>
        <w:tc>
          <w:tcPr>
            <w:tcW w:w="1689" w:type="dxa"/>
          </w:tcPr>
          <w:p w:rsidR="00A87EAF" w:rsidRDefault="00E30956">
            <w:pPr>
              <w:spacing w:line="276" w:lineRule="auto"/>
              <w:jc w:val="both"/>
              <w:rPr>
                <w:sz w:val="20"/>
                <w:szCs w:val="20"/>
                <w:lang w:val="en-GB"/>
              </w:rPr>
            </w:pPr>
            <w:r w:rsidRPr="00184430">
              <w:rPr>
                <w:sz w:val="20"/>
                <w:szCs w:val="20"/>
                <w:lang w:val="en-GB"/>
              </w:rPr>
              <w:t>Bulgaria (</w:t>
            </w:r>
            <w:r w:rsidR="00470BC8" w:rsidRPr="00184430">
              <w:rPr>
                <w:sz w:val="20"/>
                <w:szCs w:val="20"/>
                <w:lang w:val="en-GB"/>
              </w:rPr>
              <w:t>1</w:t>
            </w:r>
            <w:r w:rsidR="0009035A" w:rsidRPr="00184430">
              <w:rPr>
                <w:sz w:val="20"/>
                <w:szCs w:val="20"/>
                <w:lang w:val="en-GB"/>
              </w:rPr>
              <w:t>.</w:t>
            </w:r>
            <w:r w:rsidR="00470BC8" w:rsidRPr="00184430">
              <w:rPr>
                <w:sz w:val="20"/>
                <w:szCs w:val="20"/>
                <w:lang w:val="en-GB"/>
              </w:rPr>
              <w:t>2</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Sweden (</w:t>
            </w:r>
            <w:r w:rsidR="00470BC8" w:rsidRPr="00184430">
              <w:rPr>
                <w:sz w:val="20"/>
                <w:szCs w:val="20"/>
                <w:lang w:val="en-GB"/>
              </w:rPr>
              <w:t>2</w:t>
            </w:r>
            <w:r w:rsidR="0009035A" w:rsidRPr="00184430">
              <w:rPr>
                <w:sz w:val="20"/>
                <w:szCs w:val="20"/>
                <w:lang w:val="en-GB"/>
              </w:rPr>
              <w:t>.</w:t>
            </w:r>
            <w:r w:rsidR="00470BC8" w:rsidRPr="00184430">
              <w:rPr>
                <w:sz w:val="20"/>
                <w:szCs w:val="20"/>
                <w:lang w:val="en-GB"/>
              </w:rPr>
              <w:t>8</w:t>
            </w:r>
            <w:r w:rsidRPr="00184430">
              <w:rPr>
                <w:sz w:val="20"/>
                <w:szCs w:val="20"/>
                <w:lang w:val="en-GB"/>
              </w:rPr>
              <w:t>)</w:t>
            </w:r>
          </w:p>
          <w:p w:rsidR="00A87EAF" w:rsidRDefault="00470BC8">
            <w:pPr>
              <w:spacing w:line="276" w:lineRule="auto"/>
              <w:jc w:val="both"/>
              <w:rPr>
                <w:sz w:val="20"/>
                <w:szCs w:val="20"/>
                <w:lang w:val="en-GB"/>
              </w:rPr>
            </w:pPr>
            <w:r w:rsidRPr="00184430">
              <w:rPr>
                <w:sz w:val="20"/>
                <w:szCs w:val="20"/>
                <w:lang w:val="en-GB"/>
              </w:rPr>
              <w:t>U</w:t>
            </w:r>
            <w:r w:rsidR="00E30956" w:rsidRPr="00184430">
              <w:rPr>
                <w:sz w:val="20"/>
                <w:szCs w:val="20"/>
                <w:lang w:val="en-GB"/>
              </w:rPr>
              <w:t>K (</w:t>
            </w:r>
            <w:r w:rsidRPr="00184430">
              <w:rPr>
                <w:sz w:val="20"/>
                <w:szCs w:val="20"/>
                <w:lang w:val="en-GB"/>
              </w:rPr>
              <w:t>4</w:t>
            </w:r>
            <w:r w:rsidR="0009035A" w:rsidRPr="00184430">
              <w:rPr>
                <w:sz w:val="20"/>
                <w:szCs w:val="20"/>
                <w:lang w:val="en-GB"/>
              </w:rPr>
              <w:t>.</w:t>
            </w:r>
            <w:r w:rsidRPr="00184430">
              <w:rPr>
                <w:sz w:val="20"/>
                <w:szCs w:val="20"/>
                <w:lang w:val="en-GB"/>
              </w:rPr>
              <w:t>9</w:t>
            </w:r>
            <w:r w:rsidR="00E30956" w:rsidRPr="00184430">
              <w:rPr>
                <w:sz w:val="20"/>
                <w:szCs w:val="20"/>
                <w:lang w:val="en-GB"/>
              </w:rPr>
              <w:t>)</w:t>
            </w:r>
          </w:p>
        </w:tc>
        <w:tc>
          <w:tcPr>
            <w:tcW w:w="1829" w:type="dxa"/>
          </w:tcPr>
          <w:p w:rsidR="00A87EAF" w:rsidRDefault="0009035A">
            <w:pPr>
              <w:spacing w:line="276" w:lineRule="auto"/>
              <w:jc w:val="both"/>
              <w:rPr>
                <w:sz w:val="20"/>
                <w:szCs w:val="20"/>
                <w:lang w:val="en-GB"/>
              </w:rPr>
            </w:pPr>
            <w:r w:rsidRPr="00184430">
              <w:rPr>
                <w:sz w:val="20"/>
                <w:szCs w:val="20"/>
                <w:lang w:val="en-GB"/>
              </w:rPr>
              <w:t>Estoni</w:t>
            </w:r>
            <w:r w:rsidR="00E30956" w:rsidRPr="00184430">
              <w:rPr>
                <w:sz w:val="20"/>
                <w:szCs w:val="20"/>
                <w:lang w:val="en-GB"/>
              </w:rPr>
              <w:t>a (</w:t>
            </w:r>
            <w:r w:rsidRPr="00184430">
              <w:rPr>
                <w:sz w:val="20"/>
                <w:szCs w:val="20"/>
                <w:lang w:val="en-GB"/>
              </w:rPr>
              <w:t>6.1</w:t>
            </w:r>
            <w:r w:rsidR="00E30956"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Ireland (</w:t>
            </w:r>
            <w:r w:rsidR="0009035A" w:rsidRPr="00184430">
              <w:rPr>
                <w:sz w:val="20"/>
                <w:szCs w:val="20"/>
                <w:lang w:val="en-GB"/>
              </w:rPr>
              <w:t>6.3</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Latvia (</w:t>
            </w:r>
            <w:r w:rsidR="0009035A" w:rsidRPr="00184430">
              <w:rPr>
                <w:sz w:val="20"/>
                <w:szCs w:val="20"/>
                <w:lang w:val="en-GB"/>
              </w:rPr>
              <w:t>6.3</w:t>
            </w:r>
            <w:r w:rsidRPr="00184430">
              <w:rPr>
                <w:sz w:val="20"/>
                <w:szCs w:val="20"/>
                <w:lang w:val="en-GB"/>
              </w:rPr>
              <w:t>)</w:t>
            </w:r>
          </w:p>
          <w:p w:rsidR="00A87EAF" w:rsidRDefault="0009035A">
            <w:pPr>
              <w:spacing w:line="276" w:lineRule="auto"/>
              <w:jc w:val="both"/>
              <w:rPr>
                <w:sz w:val="20"/>
                <w:szCs w:val="20"/>
                <w:lang w:val="en-GB"/>
              </w:rPr>
            </w:pPr>
            <w:r w:rsidRPr="00184430">
              <w:rPr>
                <w:sz w:val="20"/>
                <w:szCs w:val="20"/>
                <w:lang w:val="en-GB"/>
              </w:rPr>
              <w:t xml:space="preserve">Bulgaria </w:t>
            </w:r>
            <w:r w:rsidR="00E30956" w:rsidRPr="00184430">
              <w:rPr>
                <w:sz w:val="20"/>
                <w:szCs w:val="20"/>
                <w:lang w:val="en-GB"/>
              </w:rPr>
              <w:t>(</w:t>
            </w:r>
            <w:r w:rsidRPr="00184430">
              <w:rPr>
                <w:sz w:val="20"/>
                <w:szCs w:val="20"/>
                <w:lang w:val="en-GB"/>
              </w:rPr>
              <w:t>7.8</w:t>
            </w:r>
            <w:r w:rsidR="00E30956" w:rsidRPr="00184430">
              <w:rPr>
                <w:sz w:val="20"/>
                <w:szCs w:val="20"/>
                <w:lang w:val="en-GB"/>
              </w:rPr>
              <w:t>)</w:t>
            </w:r>
          </w:p>
        </w:tc>
        <w:tc>
          <w:tcPr>
            <w:tcW w:w="1692" w:type="dxa"/>
          </w:tcPr>
          <w:p w:rsidR="00A87EAF" w:rsidRDefault="00E30956">
            <w:pPr>
              <w:spacing w:line="276" w:lineRule="auto"/>
              <w:jc w:val="both"/>
              <w:rPr>
                <w:sz w:val="20"/>
                <w:szCs w:val="20"/>
                <w:lang w:val="en-GB"/>
              </w:rPr>
            </w:pPr>
            <w:r w:rsidRPr="00184430">
              <w:rPr>
                <w:sz w:val="20"/>
                <w:szCs w:val="20"/>
                <w:lang w:val="en-GB"/>
              </w:rPr>
              <w:t>Estonia (</w:t>
            </w:r>
            <w:r w:rsidR="0009035A" w:rsidRPr="00184430">
              <w:rPr>
                <w:sz w:val="20"/>
                <w:szCs w:val="20"/>
                <w:lang w:val="en-GB"/>
              </w:rPr>
              <w:t>2.5</w:t>
            </w:r>
            <w:r w:rsidRPr="00184430">
              <w:rPr>
                <w:sz w:val="20"/>
                <w:szCs w:val="20"/>
                <w:lang w:val="en-GB"/>
              </w:rPr>
              <w:t>)</w:t>
            </w:r>
          </w:p>
          <w:p w:rsidR="00A87EAF" w:rsidRDefault="00E30956">
            <w:pPr>
              <w:spacing w:line="276" w:lineRule="auto"/>
              <w:jc w:val="both"/>
              <w:rPr>
                <w:sz w:val="20"/>
                <w:szCs w:val="20"/>
                <w:lang w:val="en-GB"/>
              </w:rPr>
            </w:pPr>
            <w:r w:rsidRPr="00184430">
              <w:rPr>
                <w:sz w:val="20"/>
                <w:szCs w:val="20"/>
                <w:lang w:val="en-GB"/>
              </w:rPr>
              <w:t>Latvia (</w:t>
            </w:r>
            <w:r w:rsidR="0009035A" w:rsidRPr="00184430">
              <w:rPr>
                <w:sz w:val="20"/>
                <w:szCs w:val="20"/>
                <w:lang w:val="en-GB"/>
              </w:rPr>
              <w:t>2.9</w:t>
            </w:r>
            <w:r w:rsidRPr="00184430">
              <w:rPr>
                <w:sz w:val="20"/>
                <w:szCs w:val="20"/>
                <w:lang w:val="en-GB"/>
              </w:rPr>
              <w:t>)</w:t>
            </w:r>
          </w:p>
          <w:p w:rsidR="00A87EAF" w:rsidRDefault="0009035A">
            <w:pPr>
              <w:spacing w:line="276" w:lineRule="auto"/>
              <w:jc w:val="both"/>
              <w:rPr>
                <w:sz w:val="20"/>
                <w:szCs w:val="20"/>
                <w:lang w:val="en-GB"/>
              </w:rPr>
            </w:pPr>
            <w:r w:rsidRPr="00184430">
              <w:rPr>
                <w:sz w:val="20"/>
                <w:szCs w:val="20"/>
                <w:lang w:val="en-GB"/>
              </w:rPr>
              <w:t>U</w:t>
            </w:r>
            <w:r w:rsidR="00E30956" w:rsidRPr="00184430">
              <w:rPr>
                <w:sz w:val="20"/>
                <w:szCs w:val="20"/>
                <w:lang w:val="en-GB"/>
              </w:rPr>
              <w:t>K (6</w:t>
            </w:r>
            <w:r w:rsidRPr="00184430">
              <w:rPr>
                <w:sz w:val="20"/>
                <w:szCs w:val="20"/>
                <w:lang w:val="en-GB"/>
              </w:rPr>
              <w:t>.1</w:t>
            </w:r>
            <w:r w:rsidR="00E30956" w:rsidRPr="00184430">
              <w:rPr>
                <w:sz w:val="20"/>
                <w:szCs w:val="20"/>
                <w:lang w:val="en-GB"/>
              </w:rPr>
              <w:t>)</w:t>
            </w:r>
          </w:p>
        </w:tc>
      </w:tr>
    </w:tbl>
    <w:p w:rsidR="00A87EAF" w:rsidRDefault="00A87EAF">
      <w:pPr>
        <w:spacing w:line="276" w:lineRule="auto"/>
        <w:jc w:val="both"/>
        <w:rPr>
          <w:lang w:val="en-GB"/>
        </w:rPr>
      </w:pPr>
    </w:p>
    <w:p w:rsidR="00A87EAF" w:rsidRDefault="00D71BBA">
      <w:pPr>
        <w:spacing w:line="276" w:lineRule="auto"/>
        <w:jc w:val="both"/>
        <w:rPr>
          <w:sz w:val="20"/>
          <w:szCs w:val="20"/>
          <w:lang w:val="en-GB"/>
        </w:rPr>
      </w:pPr>
      <w:r w:rsidRPr="00184430">
        <w:rPr>
          <w:sz w:val="20"/>
          <w:szCs w:val="20"/>
          <w:lang w:val="en-GB"/>
        </w:rPr>
        <w:t xml:space="preserve">Source: </w:t>
      </w:r>
      <w:r w:rsidR="00405602">
        <w:rPr>
          <w:sz w:val="20"/>
          <w:szCs w:val="20"/>
          <w:lang w:val="en-GB"/>
        </w:rPr>
        <w:t xml:space="preserve">authors, </w:t>
      </w:r>
      <w:r w:rsidR="00A57ADA">
        <w:rPr>
          <w:sz w:val="20"/>
          <w:szCs w:val="20"/>
          <w:lang w:val="en-GB"/>
        </w:rPr>
        <w:t>based on</w:t>
      </w:r>
      <w:r w:rsidR="00A57ADA" w:rsidRPr="00184430">
        <w:rPr>
          <w:sz w:val="20"/>
          <w:szCs w:val="20"/>
          <w:lang w:val="en-GB"/>
        </w:rPr>
        <w:t xml:space="preserve"> </w:t>
      </w:r>
      <w:r w:rsidRPr="00184430">
        <w:rPr>
          <w:sz w:val="20"/>
          <w:szCs w:val="20"/>
          <w:lang w:val="en-GB"/>
        </w:rPr>
        <w:t>European Commission (2014</w:t>
      </w:r>
      <w:r w:rsidR="004B1F0E">
        <w:rPr>
          <w:sz w:val="20"/>
          <w:szCs w:val="20"/>
          <w:lang w:val="en-GB"/>
        </w:rPr>
        <w:t>a</w:t>
      </w:r>
      <w:r w:rsidRPr="00184430">
        <w:rPr>
          <w:sz w:val="20"/>
          <w:szCs w:val="20"/>
          <w:lang w:val="en-GB"/>
        </w:rPr>
        <w:t>).</w:t>
      </w:r>
    </w:p>
    <w:p w:rsidR="00A87EAF" w:rsidRDefault="00D71BBA">
      <w:pPr>
        <w:spacing w:line="276" w:lineRule="auto"/>
        <w:jc w:val="both"/>
        <w:rPr>
          <w:sz w:val="20"/>
          <w:szCs w:val="20"/>
          <w:lang w:val="en-GB"/>
        </w:rPr>
      </w:pPr>
      <w:r w:rsidRPr="00184430">
        <w:rPr>
          <w:sz w:val="20"/>
          <w:szCs w:val="20"/>
          <w:lang w:val="en-GB"/>
        </w:rPr>
        <w:t xml:space="preserve">Notes: </w:t>
      </w:r>
      <w:r w:rsidRPr="00453785">
        <w:rPr>
          <w:sz w:val="20"/>
          <w:szCs w:val="20"/>
          <w:lang w:val="en-GB"/>
        </w:rPr>
        <w:t xml:space="preserve">countries with high </w:t>
      </w:r>
      <w:r w:rsidR="00453785" w:rsidRPr="00453785">
        <w:rPr>
          <w:sz w:val="20"/>
          <w:szCs w:val="20"/>
          <w:lang w:val="en-GB"/>
        </w:rPr>
        <w:t xml:space="preserve">REER depreciations </w:t>
      </w:r>
      <w:r w:rsidRPr="00453785">
        <w:rPr>
          <w:sz w:val="20"/>
          <w:szCs w:val="20"/>
          <w:lang w:val="en-GB"/>
        </w:rPr>
        <w:t xml:space="preserve">are the ones which showed </w:t>
      </w:r>
      <w:r w:rsidR="00453785" w:rsidRPr="00453785">
        <w:rPr>
          <w:sz w:val="20"/>
          <w:szCs w:val="20"/>
          <w:lang w:val="en-GB"/>
        </w:rPr>
        <w:t>depreciations</w:t>
      </w:r>
      <w:r w:rsidRPr="00453785">
        <w:rPr>
          <w:sz w:val="20"/>
          <w:szCs w:val="20"/>
          <w:lang w:val="en-GB"/>
        </w:rPr>
        <w:t xml:space="preserve"> at least one standard deviation </w:t>
      </w:r>
      <w:r w:rsidR="00453785" w:rsidRPr="00453785">
        <w:rPr>
          <w:sz w:val="20"/>
          <w:szCs w:val="20"/>
          <w:lang w:val="en-GB"/>
        </w:rPr>
        <w:t>below</w:t>
      </w:r>
      <w:r w:rsidRPr="00453785">
        <w:rPr>
          <w:sz w:val="20"/>
          <w:szCs w:val="20"/>
          <w:lang w:val="en-GB"/>
        </w:rPr>
        <w:t xml:space="preserve"> the EU average. Those with high </w:t>
      </w:r>
      <w:r w:rsidR="00453785" w:rsidRPr="00453785">
        <w:rPr>
          <w:sz w:val="20"/>
          <w:szCs w:val="20"/>
          <w:lang w:val="en-GB"/>
        </w:rPr>
        <w:t>appreciations</w:t>
      </w:r>
      <w:r w:rsidRPr="00453785">
        <w:rPr>
          <w:sz w:val="20"/>
          <w:szCs w:val="20"/>
          <w:lang w:val="en-GB"/>
        </w:rPr>
        <w:t xml:space="preserve"> are at least one standard deviation </w:t>
      </w:r>
      <w:r w:rsidR="00453785" w:rsidRPr="00453785">
        <w:rPr>
          <w:sz w:val="20"/>
          <w:szCs w:val="20"/>
          <w:lang w:val="en-GB"/>
        </w:rPr>
        <w:t>above</w:t>
      </w:r>
      <w:r w:rsidRPr="00453785">
        <w:rPr>
          <w:sz w:val="20"/>
          <w:szCs w:val="20"/>
          <w:lang w:val="en-GB"/>
        </w:rPr>
        <w:t xml:space="preserve"> the average. * indicates forecast data.</w:t>
      </w:r>
    </w:p>
    <w:p w:rsidR="00A87EAF" w:rsidRDefault="00A87EAF">
      <w:pPr>
        <w:spacing w:line="276" w:lineRule="auto"/>
        <w:jc w:val="both"/>
        <w:rPr>
          <w:lang w:val="en-GB"/>
        </w:rPr>
      </w:pPr>
    </w:p>
    <w:p w:rsidR="00993A06" w:rsidRPr="00184430" w:rsidRDefault="00632205" w:rsidP="00FD1D46">
      <w:pPr>
        <w:spacing w:line="276" w:lineRule="auto"/>
        <w:jc w:val="both"/>
        <w:rPr>
          <w:lang w:val="en-GB"/>
        </w:rPr>
      </w:pPr>
      <w:r>
        <w:rPr>
          <w:lang w:val="en-GB"/>
        </w:rPr>
        <w:t>Going beyond cost aspects, t</w:t>
      </w:r>
      <w:r w:rsidR="007C5E00" w:rsidRPr="00184430">
        <w:rPr>
          <w:lang w:val="en-GB"/>
        </w:rPr>
        <w:t xml:space="preserve">he World Economic Forum’s Global Competitiveness Index </w:t>
      </w:r>
      <w:r w:rsidR="004B1F0E">
        <w:rPr>
          <w:lang w:val="en-GB"/>
        </w:rPr>
        <w:t xml:space="preserve">provides a </w:t>
      </w:r>
      <w:r w:rsidR="007C5E00" w:rsidRPr="00184430">
        <w:rPr>
          <w:lang w:val="en-GB"/>
        </w:rPr>
        <w:t>measure</w:t>
      </w:r>
      <w:r w:rsidR="004B1F0E">
        <w:rPr>
          <w:lang w:val="en-GB"/>
        </w:rPr>
        <w:t xml:space="preserve"> </w:t>
      </w:r>
      <w:r w:rsidR="009329A9">
        <w:rPr>
          <w:lang w:val="en-GB"/>
        </w:rPr>
        <w:t>of location</w:t>
      </w:r>
      <w:r w:rsidR="00A57ADA">
        <w:rPr>
          <w:lang w:val="en-GB"/>
        </w:rPr>
        <w:t>al</w:t>
      </w:r>
      <w:r w:rsidR="009329A9">
        <w:rPr>
          <w:lang w:val="en-GB"/>
        </w:rPr>
        <w:t xml:space="preserve"> attractiveness</w:t>
      </w:r>
      <w:r w:rsidR="006B58B7">
        <w:rPr>
          <w:lang w:val="en-GB"/>
        </w:rPr>
        <w:t xml:space="preserve"> (World Economic Forum</w:t>
      </w:r>
      <w:r w:rsidR="00641E52">
        <w:rPr>
          <w:lang w:val="en-GB"/>
        </w:rPr>
        <w:t>,</w:t>
      </w:r>
      <w:r w:rsidR="006B58B7">
        <w:rPr>
          <w:lang w:val="en-GB"/>
        </w:rPr>
        <w:t xml:space="preserve"> 2014)</w:t>
      </w:r>
      <w:r w:rsidR="009329A9">
        <w:rPr>
          <w:lang w:val="en-GB"/>
        </w:rPr>
        <w:t xml:space="preserve">. </w:t>
      </w:r>
      <w:r w:rsidR="00C8328B">
        <w:rPr>
          <w:lang w:val="en-GB"/>
        </w:rPr>
        <w:t>According to th</w:t>
      </w:r>
      <w:r w:rsidR="00A57ADA">
        <w:rPr>
          <w:lang w:val="en-GB"/>
        </w:rPr>
        <w:t xml:space="preserve">is index, some </w:t>
      </w:r>
      <w:r w:rsidR="007C5E00" w:rsidRPr="00184430">
        <w:rPr>
          <w:lang w:val="en-GB"/>
        </w:rPr>
        <w:t xml:space="preserve">EU </w:t>
      </w:r>
      <w:r w:rsidR="00A57ADA">
        <w:rPr>
          <w:lang w:val="en-GB"/>
        </w:rPr>
        <w:t xml:space="preserve">members, notably </w:t>
      </w:r>
      <w:r w:rsidR="00A57ADA" w:rsidRPr="00184430">
        <w:rPr>
          <w:lang w:val="en-GB"/>
        </w:rPr>
        <w:t>Finland, Germany</w:t>
      </w:r>
      <w:r w:rsidR="00A57ADA">
        <w:rPr>
          <w:lang w:val="en-GB"/>
        </w:rPr>
        <w:t>, Sweden</w:t>
      </w:r>
      <w:r w:rsidR="00A57ADA" w:rsidRPr="00184430">
        <w:rPr>
          <w:lang w:val="en-GB"/>
        </w:rPr>
        <w:t xml:space="preserve"> and the Netherlands</w:t>
      </w:r>
      <w:r w:rsidR="00A57ADA">
        <w:rPr>
          <w:lang w:val="en-GB"/>
        </w:rPr>
        <w:t xml:space="preserve">, have been among </w:t>
      </w:r>
      <w:r w:rsidR="007C5E00" w:rsidRPr="00184430">
        <w:rPr>
          <w:lang w:val="en-GB"/>
        </w:rPr>
        <w:t>the world’s most competitive economies</w:t>
      </w:r>
      <w:r w:rsidR="009329A9">
        <w:rPr>
          <w:lang w:val="en-GB"/>
        </w:rPr>
        <w:t xml:space="preserve"> for </w:t>
      </w:r>
      <w:r w:rsidR="00A57ADA">
        <w:rPr>
          <w:lang w:val="en-GB"/>
        </w:rPr>
        <w:t xml:space="preserve">some time. With the exception of </w:t>
      </w:r>
      <w:r w:rsidR="009329A9">
        <w:rPr>
          <w:lang w:val="en-GB"/>
        </w:rPr>
        <w:t xml:space="preserve">Sweden, the other three </w:t>
      </w:r>
      <w:r w:rsidR="00C3286A" w:rsidRPr="00184430">
        <w:rPr>
          <w:lang w:val="en-GB"/>
        </w:rPr>
        <w:t>managed to hold on to these positions</w:t>
      </w:r>
      <w:r w:rsidR="0073318C">
        <w:rPr>
          <w:lang w:val="en-GB"/>
        </w:rPr>
        <w:t xml:space="preserve"> in 2014</w:t>
      </w:r>
      <w:r w:rsidR="00C3286A" w:rsidRPr="00184430">
        <w:rPr>
          <w:lang w:val="en-GB"/>
        </w:rPr>
        <w:t xml:space="preserve">. </w:t>
      </w:r>
      <w:r w:rsidR="009329A9">
        <w:rPr>
          <w:lang w:val="en-GB"/>
        </w:rPr>
        <w:t>On the other hand, the least competitive EU countries are all from</w:t>
      </w:r>
      <w:r w:rsidR="007C5E00" w:rsidRPr="00184430">
        <w:rPr>
          <w:lang w:val="en-GB"/>
        </w:rPr>
        <w:t xml:space="preserve"> Southern and Eastern Europe</w:t>
      </w:r>
      <w:r w:rsidR="009329A9">
        <w:rPr>
          <w:lang w:val="en-GB"/>
        </w:rPr>
        <w:t xml:space="preserve">. Greece had the worst position in 2014, though </w:t>
      </w:r>
      <w:r w:rsidR="00A57ADA">
        <w:rPr>
          <w:lang w:val="en-GB"/>
        </w:rPr>
        <w:t>it</w:t>
      </w:r>
      <w:r w:rsidR="009329A9">
        <w:rPr>
          <w:lang w:val="en-GB"/>
        </w:rPr>
        <w:t xml:space="preserve"> substantially improved its </w:t>
      </w:r>
      <w:r w:rsidR="00A57ADA">
        <w:rPr>
          <w:lang w:val="en-GB"/>
        </w:rPr>
        <w:t>rank</w:t>
      </w:r>
      <w:r w:rsidR="009329A9">
        <w:rPr>
          <w:lang w:val="en-GB"/>
        </w:rPr>
        <w:t xml:space="preserve"> from the previous year. </w:t>
      </w:r>
      <w:r w:rsidR="009329A9" w:rsidRPr="00184430">
        <w:rPr>
          <w:lang w:val="en-GB"/>
        </w:rPr>
        <w:t>Bulgaria, Latvia, Portugal</w:t>
      </w:r>
      <w:r w:rsidR="009329A9">
        <w:rPr>
          <w:lang w:val="en-GB"/>
        </w:rPr>
        <w:t xml:space="preserve"> and </w:t>
      </w:r>
      <w:r w:rsidR="009329A9" w:rsidRPr="00184430">
        <w:rPr>
          <w:lang w:val="en-GB"/>
        </w:rPr>
        <w:t>Romania</w:t>
      </w:r>
      <w:r w:rsidR="009329A9">
        <w:rPr>
          <w:lang w:val="en-GB"/>
        </w:rPr>
        <w:t xml:space="preserve">, all belonging to the less competitive group of European countries </w:t>
      </w:r>
      <w:r w:rsidR="00C3286A" w:rsidRPr="00184430">
        <w:rPr>
          <w:lang w:val="en-GB"/>
        </w:rPr>
        <w:t xml:space="preserve">made impressive </w:t>
      </w:r>
      <w:r w:rsidR="009329A9">
        <w:rPr>
          <w:lang w:val="en-GB"/>
        </w:rPr>
        <w:t>progress</w:t>
      </w:r>
      <w:r w:rsidR="00A57ADA">
        <w:rPr>
          <w:lang w:val="en-GB"/>
        </w:rPr>
        <w:t xml:space="preserve"> as well. </w:t>
      </w:r>
      <w:r w:rsidR="00C3286A" w:rsidRPr="00184430">
        <w:rPr>
          <w:lang w:val="en-GB"/>
        </w:rPr>
        <w:t xml:space="preserve">On the other hand, Slovakia and Slovenia both </w:t>
      </w:r>
      <w:r w:rsidR="009329A9">
        <w:rPr>
          <w:lang w:val="en-GB"/>
        </w:rPr>
        <w:t>experienced</w:t>
      </w:r>
      <w:r w:rsidR="00C3286A" w:rsidRPr="00184430">
        <w:rPr>
          <w:lang w:val="en-GB"/>
        </w:rPr>
        <w:t xml:space="preserve"> huge slumps in their rankings</w:t>
      </w:r>
      <w:r w:rsidR="00D71BBA" w:rsidRPr="00184430">
        <w:rPr>
          <w:lang w:val="en-GB"/>
        </w:rPr>
        <w:t xml:space="preserve"> in recent years</w:t>
      </w:r>
      <w:r w:rsidR="00A57ADA">
        <w:rPr>
          <w:lang w:val="en-GB"/>
        </w:rPr>
        <w:t>, which continued in 2014</w:t>
      </w:r>
      <w:r w:rsidR="00C3286A" w:rsidRPr="00184430">
        <w:rPr>
          <w:lang w:val="en-GB"/>
        </w:rPr>
        <w:t>.</w:t>
      </w:r>
    </w:p>
    <w:p w:rsidR="00B978E7" w:rsidRPr="00184430" w:rsidRDefault="00B978E7" w:rsidP="00116DEB">
      <w:pPr>
        <w:spacing w:line="276" w:lineRule="auto"/>
        <w:jc w:val="both"/>
        <w:rPr>
          <w:lang w:val="en-GB"/>
        </w:rPr>
      </w:pPr>
    </w:p>
    <w:p w:rsidR="004C15DE" w:rsidRPr="00184430" w:rsidRDefault="004C15DE" w:rsidP="00116DEB">
      <w:pPr>
        <w:spacing w:line="276" w:lineRule="auto"/>
        <w:jc w:val="both"/>
        <w:rPr>
          <w:lang w:val="en-GB"/>
        </w:rPr>
      </w:pPr>
    </w:p>
    <w:p w:rsidR="004C15DE" w:rsidRPr="00960DDD" w:rsidRDefault="004C15DE" w:rsidP="00116DEB">
      <w:pPr>
        <w:spacing w:line="276" w:lineRule="auto"/>
        <w:jc w:val="both"/>
        <w:rPr>
          <w:b/>
          <w:lang w:val="en-GB"/>
        </w:rPr>
      </w:pPr>
      <w:r w:rsidRPr="00184430">
        <w:rPr>
          <w:b/>
          <w:lang w:val="en-GB"/>
        </w:rPr>
        <w:t>I</w:t>
      </w:r>
      <w:r w:rsidR="00B84029">
        <w:rPr>
          <w:b/>
          <w:lang w:val="en-GB"/>
        </w:rPr>
        <w:t>II</w:t>
      </w:r>
      <w:r w:rsidRPr="00184430">
        <w:rPr>
          <w:b/>
          <w:lang w:val="en-GB"/>
        </w:rPr>
        <w:t xml:space="preserve">. </w:t>
      </w:r>
      <w:r w:rsidR="008203B6" w:rsidRPr="008203B6">
        <w:rPr>
          <w:b/>
          <w:lang w:val="en-GB"/>
        </w:rPr>
        <w:t xml:space="preserve">Ten </w:t>
      </w:r>
      <w:r w:rsidR="00A57ADA">
        <w:rPr>
          <w:b/>
          <w:lang w:val="en-GB"/>
        </w:rPr>
        <w:t>Y</w:t>
      </w:r>
      <w:r w:rsidR="008203B6" w:rsidRPr="008203B6">
        <w:rPr>
          <w:b/>
          <w:lang w:val="en-GB"/>
        </w:rPr>
        <w:t xml:space="preserve">ears in </w:t>
      </w:r>
      <w:r w:rsidR="00A57ADA">
        <w:rPr>
          <w:b/>
          <w:lang w:val="en-GB"/>
        </w:rPr>
        <w:t>P</w:t>
      </w:r>
      <w:r w:rsidR="008203B6" w:rsidRPr="008203B6">
        <w:rPr>
          <w:b/>
          <w:lang w:val="en-GB"/>
        </w:rPr>
        <w:t xml:space="preserve">erspective: </w:t>
      </w:r>
      <w:r w:rsidR="00A57ADA">
        <w:rPr>
          <w:b/>
          <w:lang w:val="en-GB"/>
        </w:rPr>
        <w:t xml:space="preserve">the </w:t>
      </w:r>
      <w:r w:rsidR="00256E77">
        <w:rPr>
          <w:b/>
          <w:lang w:val="en-GB"/>
        </w:rPr>
        <w:t xml:space="preserve">Income </w:t>
      </w:r>
      <w:r w:rsidR="00A57ADA">
        <w:rPr>
          <w:b/>
          <w:lang w:val="en-GB"/>
        </w:rPr>
        <w:t>C</w:t>
      </w:r>
      <w:r w:rsidR="008203B6" w:rsidRPr="008203B6">
        <w:rPr>
          <w:b/>
          <w:lang w:val="en-GB"/>
        </w:rPr>
        <w:t xml:space="preserve">onvergence </w:t>
      </w:r>
      <w:r w:rsidR="00A57ADA">
        <w:rPr>
          <w:b/>
          <w:lang w:val="en-GB"/>
        </w:rPr>
        <w:t>H</w:t>
      </w:r>
      <w:r w:rsidR="008203B6" w:rsidRPr="008203B6">
        <w:rPr>
          <w:b/>
          <w:lang w:val="en-GB"/>
        </w:rPr>
        <w:t>ypothesis</w:t>
      </w:r>
    </w:p>
    <w:p w:rsidR="00192FFB" w:rsidRPr="00184430" w:rsidRDefault="00192FFB" w:rsidP="00192FFB">
      <w:pPr>
        <w:spacing w:line="276" w:lineRule="auto"/>
        <w:jc w:val="both"/>
        <w:rPr>
          <w:lang w:val="en-GB"/>
        </w:rPr>
      </w:pPr>
    </w:p>
    <w:p w:rsidR="00F07EED" w:rsidRPr="00184430" w:rsidRDefault="00192FFB" w:rsidP="00FD1D46">
      <w:pPr>
        <w:spacing w:line="276" w:lineRule="auto"/>
        <w:jc w:val="both"/>
        <w:rPr>
          <w:lang w:val="en-GB"/>
        </w:rPr>
      </w:pPr>
      <w:r w:rsidRPr="0073318C">
        <w:rPr>
          <w:lang w:val="en-GB"/>
        </w:rPr>
        <w:t>The ten year anniversary of the EU’s ‘big bang’ Eastern enlargement</w:t>
      </w:r>
      <w:r>
        <w:rPr>
          <w:lang w:val="en-GB"/>
        </w:rPr>
        <w:t xml:space="preserve"> in 2004</w:t>
      </w:r>
      <w:r w:rsidRPr="0073318C">
        <w:rPr>
          <w:lang w:val="en-GB"/>
        </w:rPr>
        <w:t xml:space="preserve">, along with the rather diverse impacts of the </w:t>
      </w:r>
      <w:r>
        <w:rPr>
          <w:lang w:val="en-GB"/>
        </w:rPr>
        <w:t xml:space="preserve">global economic </w:t>
      </w:r>
      <w:r w:rsidRPr="0073318C">
        <w:rPr>
          <w:lang w:val="en-GB"/>
        </w:rPr>
        <w:t xml:space="preserve">crisis and the ensuing slow recovery, make the question of convergence among the economic performance of </w:t>
      </w:r>
      <w:r>
        <w:rPr>
          <w:lang w:val="en-GB"/>
        </w:rPr>
        <w:t>Member States</w:t>
      </w:r>
      <w:r w:rsidRPr="0073318C">
        <w:rPr>
          <w:lang w:val="en-GB"/>
        </w:rPr>
        <w:t xml:space="preserve"> especially compelling.</w:t>
      </w:r>
      <w:r w:rsidRPr="00184430">
        <w:rPr>
          <w:lang w:val="en-GB"/>
        </w:rPr>
        <w:t xml:space="preserve"> Has the community managed to reduce differences </w:t>
      </w:r>
      <w:r>
        <w:rPr>
          <w:lang w:val="en-GB"/>
        </w:rPr>
        <w:t xml:space="preserve">in terms of national income and </w:t>
      </w:r>
      <w:r w:rsidRPr="00184430">
        <w:rPr>
          <w:lang w:val="en-GB"/>
        </w:rPr>
        <w:t>development in the decade-long period of time?</w:t>
      </w:r>
      <w:r>
        <w:rPr>
          <w:lang w:val="en-GB"/>
        </w:rPr>
        <w:t xml:space="preserve"> </w:t>
      </w:r>
      <w:r w:rsidR="002152E0" w:rsidRPr="00184430">
        <w:rPr>
          <w:lang w:val="en-GB"/>
        </w:rPr>
        <w:t>Neoclassical growth theory, going back to the work</w:t>
      </w:r>
      <w:r w:rsidR="00997FF5" w:rsidRPr="00184430">
        <w:rPr>
          <w:lang w:val="en-GB"/>
        </w:rPr>
        <w:t>s</w:t>
      </w:r>
      <w:r w:rsidR="002152E0" w:rsidRPr="00184430">
        <w:rPr>
          <w:lang w:val="en-GB"/>
        </w:rPr>
        <w:t xml:space="preserve"> of Solow (1956)</w:t>
      </w:r>
      <w:r w:rsidR="00EF7F76">
        <w:rPr>
          <w:lang w:val="en-GB"/>
        </w:rPr>
        <w:t>,</w:t>
      </w:r>
      <w:r w:rsidR="007A6D9E" w:rsidRPr="00184430">
        <w:rPr>
          <w:lang w:val="en-GB"/>
        </w:rPr>
        <w:t xml:space="preserve"> </w:t>
      </w:r>
      <w:r w:rsidR="002152E0" w:rsidRPr="00184430">
        <w:rPr>
          <w:lang w:val="en-GB"/>
        </w:rPr>
        <w:t xml:space="preserve">predicts that countries with lower levels of income will </w:t>
      </w:r>
      <w:r w:rsidR="00997FF5" w:rsidRPr="00184430">
        <w:rPr>
          <w:lang w:val="en-GB"/>
        </w:rPr>
        <w:t xml:space="preserve">tend to </w:t>
      </w:r>
      <w:r w:rsidR="002152E0" w:rsidRPr="00184430">
        <w:rPr>
          <w:lang w:val="en-GB"/>
        </w:rPr>
        <w:t>grow faster than richer countries</w:t>
      </w:r>
      <w:r w:rsidR="007A6D9E" w:rsidRPr="00184430">
        <w:rPr>
          <w:lang w:val="en-GB"/>
        </w:rPr>
        <w:t xml:space="preserve"> due to differences in </w:t>
      </w:r>
      <w:r w:rsidR="00CE72A9">
        <w:rPr>
          <w:lang w:val="en-GB"/>
        </w:rPr>
        <w:t>the capital/labour ratio and</w:t>
      </w:r>
      <w:r w:rsidR="00D10E96">
        <w:rPr>
          <w:lang w:val="en-GB"/>
        </w:rPr>
        <w:t>,</w:t>
      </w:r>
      <w:r w:rsidR="00CE72A9">
        <w:rPr>
          <w:lang w:val="en-GB"/>
        </w:rPr>
        <w:t xml:space="preserve"> in turn, </w:t>
      </w:r>
      <w:r w:rsidR="00D10E96">
        <w:rPr>
          <w:lang w:val="en-GB"/>
        </w:rPr>
        <w:t xml:space="preserve">with regard to </w:t>
      </w:r>
      <w:r w:rsidR="00F47690" w:rsidRPr="00184430">
        <w:rPr>
          <w:lang w:val="en-GB"/>
        </w:rPr>
        <w:t xml:space="preserve">the </w:t>
      </w:r>
      <w:r w:rsidR="007A6D9E" w:rsidRPr="00184430">
        <w:rPr>
          <w:lang w:val="en-GB"/>
        </w:rPr>
        <w:t>marginal product of</w:t>
      </w:r>
      <w:r w:rsidR="00B35B79">
        <w:rPr>
          <w:lang w:val="en-GB"/>
        </w:rPr>
        <w:t xml:space="preserve"> </w:t>
      </w:r>
      <w:r w:rsidR="007A6D9E" w:rsidRPr="00184430">
        <w:rPr>
          <w:lang w:val="en-GB"/>
        </w:rPr>
        <w:t xml:space="preserve">capital. Assuming constant returns to scale and </w:t>
      </w:r>
      <w:r w:rsidR="0055429F">
        <w:rPr>
          <w:lang w:val="en-GB"/>
        </w:rPr>
        <w:t xml:space="preserve">structural similarities, including </w:t>
      </w:r>
      <w:r w:rsidR="00256E77">
        <w:rPr>
          <w:lang w:val="en-GB"/>
        </w:rPr>
        <w:t xml:space="preserve">applied </w:t>
      </w:r>
      <w:r w:rsidR="007A6D9E" w:rsidRPr="00184430">
        <w:rPr>
          <w:lang w:val="en-GB"/>
        </w:rPr>
        <w:t xml:space="preserve">technology, </w:t>
      </w:r>
      <w:r w:rsidR="00542059">
        <w:rPr>
          <w:lang w:val="en-GB"/>
        </w:rPr>
        <w:t xml:space="preserve">the </w:t>
      </w:r>
      <w:r w:rsidR="00F47690" w:rsidRPr="00184430">
        <w:rPr>
          <w:lang w:val="en-GB"/>
        </w:rPr>
        <w:t xml:space="preserve">neoclassical </w:t>
      </w:r>
      <w:r w:rsidR="00D97650">
        <w:rPr>
          <w:lang w:val="en-GB"/>
        </w:rPr>
        <w:t xml:space="preserve">growth </w:t>
      </w:r>
      <w:r w:rsidR="00F47690" w:rsidRPr="00184430">
        <w:rPr>
          <w:lang w:val="en-GB"/>
        </w:rPr>
        <w:t>model predict</w:t>
      </w:r>
      <w:r w:rsidR="00542059">
        <w:rPr>
          <w:lang w:val="en-GB"/>
        </w:rPr>
        <w:t>s</w:t>
      </w:r>
      <w:r w:rsidR="00F47690" w:rsidRPr="00184430">
        <w:rPr>
          <w:lang w:val="en-GB"/>
        </w:rPr>
        <w:t xml:space="preserve"> an </w:t>
      </w:r>
      <w:r w:rsidR="00CA036B" w:rsidRPr="00184430">
        <w:rPr>
          <w:lang w:val="en-GB"/>
        </w:rPr>
        <w:t xml:space="preserve">(absolute) </w:t>
      </w:r>
      <w:r w:rsidR="007A6D9E" w:rsidRPr="00184430">
        <w:rPr>
          <w:lang w:val="en-GB"/>
        </w:rPr>
        <w:t xml:space="preserve">convergence </w:t>
      </w:r>
      <w:r w:rsidR="00F47690" w:rsidRPr="00184430">
        <w:rPr>
          <w:lang w:val="en-GB"/>
        </w:rPr>
        <w:t>in income (and economic development)</w:t>
      </w:r>
      <w:r w:rsidR="007A6D9E" w:rsidRPr="00184430">
        <w:rPr>
          <w:lang w:val="en-GB"/>
        </w:rPr>
        <w:t xml:space="preserve">, making it only a matter of time </w:t>
      </w:r>
      <w:r w:rsidR="00542059">
        <w:rPr>
          <w:lang w:val="en-GB"/>
        </w:rPr>
        <w:t xml:space="preserve">for </w:t>
      </w:r>
      <w:r w:rsidR="007A6D9E" w:rsidRPr="00184430">
        <w:rPr>
          <w:lang w:val="en-GB"/>
        </w:rPr>
        <w:t xml:space="preserve">a less developed country </w:t>
      </w:r>
      <w:r w:rsidR="00542059">
        <w:rPr>
          <w:lang w:val="en-GB"/>
        </w:rPr>
        <w:t xml:space="preserve">to </w:t>
      </w:r>
      <w:r w:rsidR="007A6D9E" w:rsidRPr="00184430">
        <w:rPr>
          <w:lang w:val="en-GB"/>
        </w:rPr>
        <w:t>catch up with the more developed one</w:t>
      </w:r>
      <w:r w:rsidR="00F47690" w:rsidRPr="00184430">
        <w:rPr>
          <w:lang w:val="en-GB"/>
        </w:rPr>
        <w:t>s</w:t>
      </w:r>
      <w:r w:rsidR="007A6D9E" w:rsidRPr="00184430">
        <w:rPr>
          <w:lang w:val="en-GB"/>
        </w:rPr>
        <w:t>.</w:t>
      </w:r>
      <w:r w:rsidR="00F07EED" w:rsidRPr="00184430">
        <w:rPr>
          <w:lang w:val="en-GB"/>
        </w:rPr>
        <w:t xml:space="preserve"> </w:t>
      </w:r>
      <w:r w:rsidR="00CE72A9">
        <w:rPr>
          <w:rFonts w:eastAsia="Calibri"/>
        </w:rPr>
        <w:t>Based on the neoclassical growth model, Martin et al. (2001) argued that economic</w:t>
      </w:r>
      <w:r w:rsidR="00CE72A9" w:rsidRPr="00383180">
        <w:rPr>
          <w:rFonts w:eastAsia="Calibri"/>
        </w:rPr>
        <w:t xml:space="preserve"> integration </w:t>
      </w:r>
      <w:r w:rsidR="00CE72A9">
        <w:rPr>
          <w:rFonts w:eastAsia="Calibri"/>
        </w:rPr>
        <w:t>can hugely bolster this</w:t>
      </w:r>
      <w:r w:rsidR="00CE72A9" w:rsidRPr="00383180">
        <w:rPr>
          <w:rFonts w:eastAsia="Calibri"/>
        </w:rPr>
        <w:t xml:space="preserve"> convergence process</w:t>
      </w:r>
      <w:r w:rsidR="00CE72A9">
        <w:rPr>
          <w:rFonts w:eastAsia="Calibri"/>
        </w:rPr>
        <w:t xml:space="preserve"> amongst countries</w:t>
      </w:r>
      <w:r w:rsidR="008C3802">
        <w:rPr>
          <w:rFonts w:eastAsia="Calibri"/>
        </w:rPr>
        <w:t xml:space="preserve"> through t</w:t>
      </w:r>
      <w:r w:rsidR="00CE72A9">
        <w:rPr>
          <w:rFonts w:eastAsia="Calibri"/>
        </w:rPr>
        <w:t>he elimination of transaction costs</w:t>
      </w:r>
      <w:r w:rsidR="008C3802">
        <w:rPr>
          <w:rFonts w:eastAsia="Calibri"/>
        </w:rPr>
        <w:t>,</w:t>
      </w:r>
      <w:r w:rsidR="00CE72A9">
        <w:rPr>
          <w:rFonts w:eastAsia="Calibri"/>
        </w:rPr>
        <w:t xml:space="preserve"> the increased efficiency of capital</w:t>
      </w:r>
      <w:r w:rsidR="008C3802">
        <w:rPr>
          <w:rFonts w:eastAsia="Calibri"/>
        </w:rPr>
        <w:t>, and t</w:t>
      </w:r>
      <w:r w:rsidR="00CE72A9">
        <w:rPr>
          <w:rFonts w:eastAsia="Calibri"/>
        </w:rPr>
        <w:t>he free flow of goods</w:t>
      </w:r>
      <w:r w:rsidR="008C3802">
        <w:rPr>
          <w:rFonts w:eastAsia="Calibri"/>
        </w:rPr>
        <w:t xml:space="preserve"> and</w:t>
      </w:r>
      <w:r w:rsidR="00CE72A9">
        <w:rPr>
          <w:rFonts w:eastAsia="Calibri"/>
        </w:rPr>
        <w:t xml:space="preserve"> services.</w:t>
      </w:r>
      <w:r w:rsidR="00901E5E">
        <w:rPr>
          <w:rFonts w:eastAsia="Calibri"/>
        </w:rPr>
        <w:t xml:space="preserve"> In contrast </w:t>
      </w:r>
      <w:r w:rsidR="008C3802">
        <w:rPr>
          <w:rFonts w:eastAsia="Calibri"/>
        </w:rPr>
        <w:t>however</w:t>
      </w:r>
      <w:r w:rsidR="00901E5E">
        <w:rPr>
          <w:rFonts w:eastAsia="Calibri"/>
        </w:rPr>
        <w:t xml:space="preserve">, Krugman (1991) argued that </w:t>
      </w:r>
      <w:r w:rsidR="00901E5E">
        <w:rPr>
          <w:rFonts w:eastAsia="Calibri"/>
          <w:color w:val="000000"/>
        </w:rPr>
        <w:t xml:space="preserve">due to scale economies and </w:t>
      </w:r>
      <w:r w:rsidR="00901E5E" w:rsidRPr="00383180">
        <w:rPr>
          <w:rFonts w:eastAsia="Calibri"/>
          <w:color w:val="000000"/>
        </w:rPr>
        <w:t xml:space="preserve">agglomeration </w:t>
      </w:r>
      <w:r w:rsidR="00901E5E">
        <w:rPr>
          <w:rFonts w:eastAsia="Calibri"/>
          <w:color w:val="000000"/>
        </w:rPr>
        <w:t>effects</w:t>
      </w:r>
      <w:r w:rsidR="008C3802">
        <w:rPr>
          <w:rFonts w:eastAsia="Calibri"/>
          <w:color w:val="000000"/>
        </w:rPr>
        <w:t>,</w:t>
      </w:r>
      <w:r w:rsidR="00901E5E">
        <w:rPr>
          <w:rFonts w:eastAsia="Calibri"/>
          <w:color w:val="000000"/>
        </w:rPr>
        <w:t xml:space="preserve"> </w:t>
      </w:r>
      <w:r w:rsidR="00901E5E" w:rsidRPr="00383180">
        <w:rPr>
          <w:rFonts w:eastAsia="Calibri"/>
          <w:color w:val="000000"/>
        </w:rPr>
        <w:t xml:space="preserve">economic integration </w:t>
      </w:r>
      <w:r w:rsidR="00901E5E">
        <w:rPr>
          <w:rFonts w:eastAsia="Calibri"/>
          <w:color w:val="000000"/>
        </w:rPr>
        <w:t xml:space="preserve">can </w:t>
      </w:r>
      <w:r w:rsidR="00D10E96">
        <w:rPr>
          <w:rFonts w:eastAsia="Calibri"/>
          <w:color w:val="000000"/>
        </w:rPr>
        <w:t>instead foster</w:t>
      </w:r>
      <w:r w:rsidR="00901E5E">
        <w:rPr>
          <w:rFonts w:eastAsia="Calibri"/>
          <w:color w:val="000000"/>
        </w:rPr>
        <w:t xml:space="preserve"> divergence. </w:t>
      </w:r>
    </w:p>
    <w:p w:rsidR="00F07EED" w:rsidRPr="00B23640" w:rsidRDefault="00F07EED" w:rsidP="00116DEB">
      <w:pPr>
        <w:spacing w:line="276" w:lineRule="auto"/>
        <w:jc w:val="both"/>
        <w:rPr>
          <w:lang w:val="en-GB"/>
        </w:rPr>
      </w:pPr>
    </w:p>
    <w:p w:rsidR="00A76FA2" w:rsidRPr="00B23640" w:rsidRDefault="00CA036B" w:rsidP="00FD1D46">
      <w:pPr>
        <w:spacing w:line="276" w:lineRule="auto"/>
        <w:jc w:val="both"/>
        <w:rPr>
          <w:lang w:val="en-GB"/>
        </w:rPr>
      </w:pPr>
      <w:r w:rsidRPr="00B23640">
        <w:rPr>
          <w:lang w:val="en-GB"/>
        </w:rPr>
        <w:t>Reviewing th</w:t>
      </w:r>
      <w:r w:rsidR="00B56BB5" w:rsidRPr="00B23640">
        <w:rPr>
          <w:lang w:val="en-GB"/>
        </w:rPr>
        <w:t>e</w:t>
      </w:r>
      <w:r w:rsidRPr="00B23640">
        <w:rPr>
          <w:lang w:val="en-GB"/>
        </w:rPr>
        <w:t xml:space="preserve"> literature </w:t>
      </w:r>
      <w:r w:rsidR="00B56BB5" w:rsidRPr="00B23640">
        <w:rPr>
          <w:lang w:val="en-GB"/>
        </w:rPr>
        <w:t xml:space="preserve">on empirical verification attempts of the neoclassical convergence hypothesis </w:t>
      </w:r>
      <w:r w:rsidRPr="00B23640">
        <w:rPr>
          <w:lang w:val="en-GB"/>
        </w:rPr>
        <w:t xml:space="preserve">is beyond the scope of </w:t>
      </w:r>
      <w:r w:rsidR="007B256C" w:rsidRPr="00B23640">
        <w:rPr>
          <w:lang w:val="en-GB"/>
        </w:rPr>
        <w:t>this contribution</w:t>
      </w:r>
      <w:r w:rsidRPr="00B23640">
        <w:rPr>
          <w:lang w:val="en-GB"/>
        </w:rPr>
        <w:t xml:space="preserve">, but </w:t>
      </w:r>
      <w:r w:rsidR="00B35B79" w:rsidRPr="00B23640">
        <w:rPr>
          <w:lang w:val="en-GB"/>
        </w:rPr>
        <w:t xml:space="preserve">it is worth highlighting </w:t>
      </w:r>
      <w:r w:rsidRPr="00B23640">
        <w:rPr>
          <w:lang w:val="en-GB"/>
        </w:rPr>
        <w:t xml:space="preserve">key findings </w:t>
      </w:r>
      <w:r w:rsidR="00256E77" w:rsidRPr="00B23640">
        <w:rPr>
          <w:lang w:val="en-GB"/>
        </w:rPr>
        <w:t xml:space="preserve">on </w:t>
      </w:r>
      <w:r w:rsidRPr="00B23640">
        <w:rPr>
          <w:lang w:val="en-GB"/>
        </w:rPr>
        <w:t>Europe.</w:t>
      </w:r>
      <w:r w:rsidR="00F07EED" w:rsidRPr="00B23640">
        <w:rPr>
          <w:lang w:val="en-GB"/>
        </w:rPr>
        <w:t xml:space="preserve"> EU-wide studies focus on the performance of </w:t>
      </w:r>
      <w:r w:rsidR="00B35B79" w:rsidRPr="00B23640">
        <w:rPr>
          <w:lang w:val="en-GB"/>
        </w:rPr>
        <w:t xml:space="preserve">either </w:t>
      </w:r>
      <w:r w:rsidR="00F07EED" w:rsidRPr="00B23640">
        <w:rPr>
          <w:lang w:val="en-GB"/>
        </w:rPr>
        <w:t xml:space="preserve">countries or sub-national regions. </w:t>
      </w:r>
      <w:r w:rsidR="007B256C" w:rsidRPr="00B23640">
        <w:rPr>
          <w:lang w:val="en-GB"/>
        </w:rPr>
        <w:t xml:space="preserve">At </w:t>
      </w:r>
      <w:r w:rsidR="00F07EED" w:rsidRPr="00B23640">
        <w:rPr>
          <w:lang w:val="en-GB"/>
        </w:rPr>
        <w:t xml:space="preserve">the country level, the empirical evidence overwhelmingly points to the </w:t>
      </w:r>
      <w:r w:rsidR="00B35B79" w:rsidRPr="00B23640">
        <w:rPr>
          <w:lang w:val="en-GB"/>
        </w:rPr>
        <w:t>relevance of the c</w:t>
      </w:r>
      <w:r w:rsidR="00F07EED" w:rsidRPr="00B23640">
        <w:rPr>
          <w:lang w:val="en-GB"/>
        </w:rPr>
        <w:t>onvergence</w:t>
      </w:r>
      <w:r w:rsidR="00B35B79" w:rsidRPr="00B23640">
        <w:rPr>
          <w:lang w:val="en-GB"/>
        </w:rPr>
        <w:t xml:space="preserve"> hypothesis</w:t>
      </w:r>
      <w:r w:rsidR="00F07EED" w:rsidRPr="00B23640">
        <w:rPr>
          <w:lang w:val="en-GB"/>
        </w:rPr>
        <w:t xml:space="preserve">, </w:t>
      </w:r>
      <w:r w:rsidR="00B35B79" w:rsidRPr="00B23640">
        <w:rPr>
          <w:lang w:val="en-GB"/>
        </w:rPr>
        <w:t xml:space="preserve">at </w:t>
      </w:r>
      <w:r w:rsidR="00F07EED" w:rsidRPr="00B23640">
        <w:rPr>
          <w:lang w:val="en-GB"/>
        </w:rPr>
        <w:t xml:space="preserve">least </w:t>
      </w:r>
      <w:r w:rsidR="00B35B79" w:rsidRPr="00B23640">
        <w:rPr>
          <w:lang w:val="en-GB"/>
        </w:rPr>
        <w:t>for</w:t>
      </w:r>
      <w:r w:rsidR="00F07EED" w:rsidRPr="00B23640">
        <w:rPr>
          <w:lang w:val="en-GB"/>
        </w:rPr>
        <w:t xml:space="preserve"> the EU-15. </w:t>
      </w:r>
      <w:proofErr w:type="spellStart"/>
      <w:r w:rsidR="00F07EED" w:rsidRPr="00B23640">
        <w:rPr>
          <w:lang w:val="en-GB"/>
        </w:rPr>
        <w:t>Cuaresma</w:t>
      </w:r>
      <w:proofErr w:type="spellEnd"/>
      <w:r w:rsidR="00F07EED" w:rsidRPr="00B23640">
        <w:rPr>
          <w:vertAlign w:val="superscript"/>
          <w:lang w:val="en-GB"/>
        </w:rPr>
        <w:t xml:space="preserve"> </w:t>
      </w:r>
      <w:r w:rsidR="00F07EED" w:rsidRPr="00B23640">
        <w:rPr>
          <w:i/>
          <w:lang w:val="en-GB"/>
        </w:rPr>
        <w:t>et al.</w:t>
      </w:r>
      <w:r w:rsidR="00F07EED" w:rsidRPr="00B23640">
        <w:rPr>
          <w:lang w:val="en-GB"/>
        </w:rPr>
        <w:t xml:space="preserve"> (2008)</w:t>
      </w:r>
      <w:r w:rsidR="007B256C" w:rsidRPr="00B23640">
        <w:rPr>
          <w:lang w:val="en-GB"/>
        </w:rPr>
        <w:t>,</w:t>
      </w:r>
      <w:r w:rsidR="00F07EED" w:rsidRPr="00B23640">
        <w:rPr>
          <w:lang w:val="en-GB"/>
        </w:rPr>
        <w:t xml:space="preserve"> for example</w:t>
      </w:r>
      <w:r w:rsidR="007B256C" w:rsidRPr="00B23640">
        <w:rPr>
          <w:lang w:val="en-GB"/>
        </w:rPr>
        <w:t>,</w:t>
      </w:r>
      <w:r w:rsidR="00F07EED" w:rsidRPr="00B23640">
        <w:rPr>
          <w:lang w:val="en-GB"/>
        </w:rPr>
        <w:t xml:space="preserve"> found that in case of the </w:t>
      </w:r>
      <w:r w:rsidR="005B53F6" w:rsidRPr="00B23640">
        <w:rPr>
          <w:lang w:val="en-GB"/>
        </w:rPr>
        <w:t>pre-2004</w:t>
      </w:r>
      <w:r w:rsidR="00F47690" w:rsidRPr="00B23640">
        <w:rPr>
          <w:lang w:val="en-GB"/>
        </w:rPr>
        <w:t xml:space="preserve"> </w:t>
      </w:r>
      <w:r w:rsidR="00B72E3F" w:rsidRPr="00B23640">
        <w:rPr>
          <w:lang w:val="en-GB"/>
        </w:rPr>
        <w:t>Member State</w:t>
      </w:r>
      <w:r w:rsidR="00374EE8" w:rsidRPr="00B23640">
        <w:rPr>
          <w:lang w:val="en-GB"/>
        </w:rPr>
        <w:t>s</w:t>
      </w:r>
      <w:r w:rsidR="00F47690" w:rsidRPr="00B23640">
        <w:rPr>
          <w:lang w:val="en-GB"/>
        </w:rPr>
        <w:t xml:space="preserve">, </w:t>
      </w:r>
      <w:r w:rsidR="00F07EED" w:rsidRPr="00B23640">
        <w:rPr>
          <w:lang w:val="en-GB"/>
        </w:rPr>
        <w:t>EU membership had a convergence-stimulating impact on long-term growth: relatively poor countries benefitted more from membership</w:t>
      </w:r>
      <w:r w:rsidR="00F47690" w:rsidRPr="00B23640">
        <w:rPr>
          <w:lang w:val="en-GB"/>
        </w:rPr>
        <w:t xml:space="preserve"> tha</w:t>
      </w:r>
      <w:r w:rsidR="00B35B79" w:rsidRPr="00B23640">
        <w:rPr>
          <w:lang w:val="en-GB"/>
        </w:rPr>
        <w:t>n</w:t>
      </w:r>
      <w:r w:rsidR="00F47690" w:rsidRPr="00B23640">
        <w:rPr>
          <w:lang w:val="en-GB"/>
        </w:rPr>
        <w:t xml:space="preserve"> rich ones</w:t>
      </w:r>
      <w:r w:rsidR="00F07EED" w:rsidRPr="00B23640">
        <w:rPr>
          <w:lang w:val="en-GB"/>
        </w:rPr>
        <w:t>.</w:t>
      </w:r>
      <w:r w:rsidR="002C6E7D" w:rsidRPr="00B23640">
        <w:rPr>
          <w:lang w:val="en-GB"/>
        </w:rPr>
        <w:t xml:space="preserve"> Petrakos </w:t>
      </w:r>
      <w:r w:rsidR="002C6E7D" w:rsidRPr="00B23640">
        <w:rPr>
          <w:i/>
          <w:lang w:val="en-GB"/>
        </w:rPr>
        <w:t>et al.</w:t>
      </w:r>
      <w:r w:rsidR="002C6E7D" w:rsidRPr="00B23640">
        <w:rPr>
          <w:lang w:val="en-GB"/>
        </w:rPr>
        <w:t xml:space="preserve"> (2011)</w:t>
      </w:r>
      <w:r w:rsidR="00F47690" w:rsidRPr="00B23640">
        <w:rPr>
          <w:lang w:val="en-GB"/>
        </w:rPr>
        <w:t>,</w:t>
      </w:r>
      <w:r w:rsidR="002C6E7D" w:rsidRPr="00B23640">
        <w:rPr>
          <w:lang w:val="en-GB"/>
        </w:rPr>
        <w:t xml:space="preserve"> however</w:t>
      </w:r>
      <w:r w:rsidR="00256E77" w:rsidRPr="00B23640">
        <w:rPr>
          <w:lang w:val="en-GB"/>
        </w:rPr>
        <w:t>,</w:t>
      </w:r>
      <w:r w:rsidR="002C6E7D" w:rsidRPr="00B23640">
        <w:rPr>
          <w:lang w:val="en-GB"/>
        </w:rPr>
        <w:t xml:space="preserve"> show</w:t>
      </w:r>
      <w:r w:rsidR="006B58B7" w:rsidRPr="00B23640">
        <w:rPr>
          <w:lang w:val="en-GB"/>
        </w:rPr>
        <w:t>ed</w:t>
      </w:r>
      <w:r w:rsidR="002C6E7D" w:rsidRPr="00B23640">
        <w:rPr>
          <w:lang w:val="en-GB"/>
        </w:rPr>
        <w:t xml:space="preserve"> that while convergence is clearly present on the country level, the picture </w:t>
      </w:r>
      <w:r w:rsidR="00B35B79" w:rsidRPr="00B23640">
        <w:rPr>
          <w:lang w:val="en-GB"/>
        </w:rPr>
        <w:t xml:space="preserve">is </w:t>
      </w:r>
      <w:r w:rsidR="002C6E7D" w:rsidRPr="00B23640">
        <w:rPr>
          <w:lang w:val="en-GB"/>
        </w:rPr>
        <w:t xml:space="preserve">less </w:t>
      </w:r>
      <w:r w:rsidR="00B35B79" w:rsidRPr="00B23640">
        <w:rPr>
          <w:lang w:val="en-GB"/>
        </w:rPr>
        <w:t>evident</w:t>
      </w:r>
      <w:r w:rsidR="002C6E7D" w:rsidRPr="00B23640">
        <w:rPr>
          <w:lang w:val="en-GB"/>
        </w:rPr>
        <w:t xml:space="preserve"> on the </w:t>
      </w:r>
      <w:r w:rsidR="00542059" w:rsidRPr="00B23640">
        <w:rPr>
          <w:lang w:val="en-GB"/>
        </w:rPr>
        <w:t xml:space="preserve">level of </w:t>
      </w:r>
      <w:r w:rsidR="002C6E7D" w:rsidRPr="00B23640">
        <w:rPr>
          <w:lang w:val="en-GB"/>
        </w:rPr>
        <w:t>region</w:t>
      </w:r>
      <w:r w:rsidR="00542059" w:rsidRPr="00B23640">
        <w:rPr>
          <w:lang w:val="en-GB"/>
        </w:rPr>
        <w:t>s</w:t>
      </w:r>
      <w:r w:rsidR="002C6E7D" w:rsidRPr="00B23640">
        <w:rPr>
          <w:lang w:val="en-GB"/>
        </w:rPr>
        <w:t xml:space="preserve">. </w:t>
      </w:r>
      <w:r w:rsidR="00DB0B20" w:rsidRPr="00B23640">
        <w:rPr>
          <w:lang w:val="en-GB"/>
        </w:rPr>
        <w:t>A</w:t>
      </w:r>
      <w:r w:rsidR="00B35B79" w:rsidRPr="00B23640">
        <w:rPr>
          <w:lang w:val="en-GB"/>
        </w:rPr>
        <w:t>nalysing</w:t>
      </w:r>
      <w:r w:rsidR="002C6E7D" w:rsidRPr="00B23640">
        <w:rPr>
          <w:lang w:val="en-GB"/>
        </w:rPr>
        <w:t xml:space="preserve"> 70 regions </w:t>
      </w:r>
      <w:r w:rsidR="0055429F" w:rsidRPr="00B23640">
        <w:rPr>
          <w:lang w:val="en-GB"/>
        </w:rPr>
        <w:t>from</w:t>
      </w:r>
      <w:r w:rsidR="00DB0B20" w:rsidRPr="00B23640">
        <w:rPr>
          <w:lang w:val="en-GB"/>
        </w:rPr>
        <w:t xml:space="preserve"> </w:t>
      </w:r>
      <w:r w:rsidR="002C6E7D" w:rsidRPr="00B23640">
        <w:rPr>
          <w:lang w:val="en-GB"/>
        </w:rPr>
        <w:t xml:space="preserve">6 EU members, </w:t>
      </w:r>
      <w:proofErr w:type="spellStart"/>
      <w:r w:rsidR="002C6E7D" w:rsidRPr="00B23640">
        <w:rPr>
          <w:lang w:val="en-GB"/>
        </w:rPr>
        <w:t>Fagerberg</w:t>
      </w:r>
      <w:proofErr w:type="spellEnd"/>
      <w:r w:rsidR="002C6E7D" w:rsidRPr="00B23640">
        <w:rPr>
          <w:lang w:val="en-GB"/>
        </w:rPr>
        <w:t xml:space="preserve"> and </w:t>
      </w:r>
      <w:proofErr w:type="spellStart"/>
      <w:r w:rsidR="002C6E7D" w:rsidRPr="00B23640">
        <w:rPr>
          <w:lang w:val="en-GB"/>
        </w:rPr>
        <w:t>Verspagen</w:t>
      </w:r>
      <w:proofErr w:type="spellEnd"/>
      <w:r w:rsidR="002C6E7D" w:rsidRPr="00B23640">
        <w:rPr>
          <w:lang w:val="en-GB"/>
        </w:rPr>
        <w:t xml:space="preserve"> (1996) concluded that convergence was present during the post-war decades, but there have been signs of reversal </w:t>
      </w:r>
      <w:r w:rsidR="002C6E7D" w:rsidRPr="00B23640">
        <w:rPr>
          <w:lang w:val="en-GB"/>
        </w:rPr>
        <w:lastRenderedPageBreak/>
        <w:t>after the 1980s. They also argue</w:t>
      </w:r>
      <w:r w:rsidR="00542059" w:rsidRPr="00B23640">
        <w:rPr>
          <w:lang w:val="en-GB"/>
        </w:rPr>
        <w:t>d</w:t>
      </w:r>
      <w:r w:rsidR="002C6E7D" w:rsidRPr="00B23640">
        <w:rPr>
          <w:lang w:val="en-GB"/>
        </w:rPr>
        <w:t xml:space="preserve"> that after </w:t>
      </w:r>
      <w:r w:rsidR="007207D8" w:rsidRPr="00B23640">
        <w:rPr>
          <w:lang w:val="en-GB"/>
        </w:rPr>
        <w:t xml:space="preserve">the </w:t>
      </w:r>
      <w:r w:rsidR="002C6E7D" w:rsidRPr="00B23640">
        <w:rPr>
          <w:lang w:val="en-GB"/>
        </w:rPr>
        <w:t>1980s ‘club convergence’ became dominant, i</w:t>
      </w:r>
      <w:r w:rsidR="008C6284" w:rsidRPr="00B23640">
        <w:rPr>
          <w:lang w:val="en-GB"/>
        </w:rPr>
        <w:t>.</w:t>
      </w:r>
      <w:r w:rsidR="002C6E7D" w:rsidRPr="00B23640">
        <w:rPr>
          <w:lang w:val="en-GB"/>
        </w:rPr>
        <w:t>e.</w:t>
      </w:r>
      <w:r w:rsidR="008C6284" w:rsidRPr="00B23640">
        <w:rPr>
          <w:lang w:val="en-GB"/>
        </w:rPr>
        <w:t>,</w:t>
      </w:r>
      <w:r w:rsidR="002C6E7D" w:rsidRPr="00B23640">
        <w:rPr>
          <w:lang w:val="en-GB"/>
        </w:rPr>
        <w:t xml:space="preserve"> one could identify convergence within certain groups </w:t>
      </w:r>
      <w:r w:rsidR="001974AF" w:rsidRPr="00B23640">
        <w:rPr>
          <w:lang w:val="en-GB"/>
        </w:rPr>
        <w:t xml:space="preserve">(‘clubs’) </w:t>
      </w:r>
      <w:r w:rsidR="002C6E7D" w:rsidRPr="00B23640">
        <w:rPr>
          <w:lang w:val="en-GB"/>
        </w:rPr>
        <w:t xml:space="preserve">of regions, but no convergence between these groups. These conclusions were echoed by Fischer and </w:t>
      </w:r>
      <w:proofErr w:type="spellStart"/>
      <w:r w:rsidR="002C6E7D" w:rsidRPr="00B23640">
        <w:rPr>
          <w:lang w:val="en-GB"/>
        </w:rPr>
        <w:t>Stirböck</w:t>
      </w:r>
      <w:proofErr w:type="spellEnd"/>
      <w:r w:rsidR="002C6E7D" w:rsidRPr="00B23640">
        <w:rPr>
          <w:lang w:val="en-GB"/>
        </w:rPr>
        <w:t xml:space="preserve"> (2006), who </w:t>
      </w:r>
      <w:r w:rsidR="00DB0B20" w:rsidRPr="00B23640">
        <w:rPr>
          <w:lang w:val="en-GB"/>
        </w:rPr>
        <w:t xml:space="preserve">identified </w:t>
      </w:r>
      <w:r w:rsidR="002C6E7D" w:rsidRPr="00B23640">
        <w:rPr>
          <w:lang w:val="en-GB"/>
        </w:rPr>
        <w:t xml:space="preserve">two growth clubs: much of Western Europe, including most of Spain, Northern Italy and Slovenia, versus the Eastern </w:t>
      </w:r>
      <w:r w:rsidR="00B72E3F" w:rsidRPr="00B23640">
        <w:rPr>
          <w:lang w:val="en-GB"/>
        </w:rPr>
        <w:t>Member State</w:t>
      </w:r>
      <w:r w:rsidR="00374EE8" w:rsidRPr="00B23640">
        <w:rPr>
          <w:lang w:val="en-GB"/>
        </w:rPr>
        <w:t>s</w:t>
      </w:r>
      <w:r w:rsidR="002C6E7D" w:rsidRPr="00B23640">
        <w:rPr>
          <w:lang w:val="en-GB"/>
        </w:rPr>
        <w:t xml:space="preserve">, parts of </w:t>
      </w:r>
      <w:r w:rsidR="005B53F6" w:rsidRPr="00B23640">
        <w:rPr>
          <w:lang w:val="en-GB"/>
        </w:rPr>
        <w:t>East Germany</w:t>
      </w:r>
      <w:r w:rsidR="002C6E7D" w:rsidRPr="00B23640">
        <w:rPr>
          <w:lang w:val="en-GB"/>
        </w:rPr>
        <w:t xml:space="preserve"> and Austria, </w:t>
      </w:r>
      <w:r w:rsidR="00DB0B20" w:rsidRPr="00B23640">
        <w:rPr>
          <w:lang w:val="en-GB"/>
        </w:rPr>
        <w:t xml:space="preserve">plus </w:t>
      </w:r>
      <w:r w:rsidR="007207D8" w:rsidRPr="00B23640">
        <w:rPr>
          <w:lang w:val="en-GB"/>
        </w:rPr>
        <w:t>the</w:t>
      </w:r>
      <w:r w:rsidR="002C6E7D" w:rsidRPr="00B23640">
        <w:rPr>
          <w:lang w:val="en-GB"/>
        </w:rPr>
        <w:t xml:space="preserve"> Southern regions including Portugal</w:t>
      </w:r>
      <w:r w:rsidR="00DB0B20" w:rsidRPr="00B23640">
        <w:rPr>
          <w:lang w:val="en-GB"/>
        </w:rPr>
        <w:t xml:space="preserve">, </w:t>
      </w:r>
      <w:r w:rsidR="002C6E7D" w:rsidRPr="00B23640">
        <w:rPr>
          <w:lang w:val="en-GB"/>
        </w:rPr>
        <w:t>Greece</w:t>
      </w:r>
      <w:r w:rsidR="00DB0B20" w:rsidRPr="00B23640">
        <w:rPr>
          <w:lang w:val="en-GB"/>
        </w:rPr>
        <w:t xml:space="preserve"> and </w:t>
      </w:r>
      <w:r w:rsidR="005B53F6" w:rsidRPr="00B23640">
        <w:rPr>
          <w:lang w:val="en-GB"/>
        </w:rPr>
        <w:t>some regions of Italy and Spain</w:t>
      </w:r>
      <w:r w:rsidR="002C6E7D" w:rsidRPr="00B23640">
        <w:rPr>
          <w:lang w:val="en-GB"/>
        </w:rPr>
        <w:t xml:space="preserve">. The conflicting results between the national and the regional level </w:t>
      </w:r>
      <w:r w:rsidR="00DB0B20" w:rsidRPr="00B23640">
        <w:rPr>
          <w:lang w:val="en-GB"/>
        </w:rPr>
        <w:t xml:space="preserve">can be traced back to </w:t>
      </w:r>
      <w:r w:rsidR="002C6E7D" w:rsidRPr="00B23640">
        <w:rPr>
          <w:lang w:val="en-GB"/>
        </w:rPr>
        <w:t xml:space="preserve">the fact that growth in </w:t>
      </w:r>
      <w:r w:rsidR="00B72E3F" w:rsidRPr="00B23640">
        <w:rPr>
          <w:lang w:val="en-GB"/>
        </w:rPr>
        <w:t>Member State</w:t>
      </w:r>
      <w:r w:rsidR="002C6E7D" w:rsidRPr="00B23640">
        <w:rPr>
          <w:lang w:val="en-GB"/>
        </w:rPr>
        <w:t>s is often driven by dynamic metropolitan centres, lea</w:t>
      </w:r>
      <w:r w:rsidR="00DB0B20" w:rsidRPr="00B23640">
        <w:rPr>
          <w:lang w:val="en-GB"/>
        </w:rPr>
        <w:t>ving the rest of the country untouched</w:t>
      </w:r>
      <w:r w:rsidR="002C6E7D" w:rsidRPr="00B23640">
        <w:rPr>
          <w:lang w:val="en-GB"/>
        </w:rPr>
        <w:t xml:space="preserve"> (Petrakos </w:t>
      </w:r>
      <w:r w:rsidR="002C6E7D" w:rsidRPr="00F718A1">
        <w:rPr>
          <w:i/>
          <w:lang w:val="en-GB"/>
        </w:rPr>
        <w:t>et al.</w:t>
      </w:r>
      <w:r w:rsidR="00641E52">
        <w:rPr>
          <w:lang w:val="en-GB"/>
        </w:rPr>
        <w:t>,</w:t>
      </w:r>
      <w:r w:rsidR="002C6E7D" w:rsidRPr="00B23640">
        <w:rPr>
          <w:lang w:val="en-GB"/>
        </w:rPr>
        <w:t xml:space="preserve"> 2011). </w:t>
      </w:r>
    </w:p>
    <w:p w:rsidR="00A76FA2" w:rsidRPr="00B23640" w:rsidRDefault="00A76FA2" w:rsidP="00FD1D46">
      <w:pPr>
        <w:spacing w:line="276" w:lineRule="auto"/>
        <w:jc w:val="both"/>
        <w:rPr>
          <w:lang w:val="en-GB"/>
        </w:rPr>
      </w:pPr>
    </w:p>
    <w:p w:rsidR="00E712A3" w:rsidRDefault="00F759AE">
      <w:pPr>
        <w:spacing w:line="276" w:lineRule="auto"/>
        <w:jc w:val="both"/>
        <w:rPr>
          <w:lang w:val="en-GB"/>
        </w:rPr>
      </w:pPr>
      <w:r w:rsidRPr="00B23640">
        <w:rPr>
          <w:lang w:val="en-GB"/>
        </w:rPr>
        <w:t>So</w:t>
      </w:r>
      <w:r w:rsidR="00C61F10" w:rsidRPr="00B23640">
        <w:rPr>
          <w:lang w:val="en-GB"/>
        </w:rPr>
        <w:t>,</w:t>
      </w:r>
      <w:r w:rsidR="003B4B0D" w:rsidRPr="00B23640">
        <w:rPr>
          <w:lang w:val="en-GB"/>
        </w:rPr>
        <w:t xml:space="preserve"> h</w:t>
      </w:r>
      <w:r w:rsidR="00BD4A39" w:rsidRPr="00B23640">
        <w:rPr>
          <w:lang w:val="en-GB"/>
        </w:rPr>
        <w:t>ave the less developed Eastern and Southern member</w:t>
      </w:r>
      <w:r w:rsidR="005B53F6" w:rsidRPr="00B23640">
        <w:rPr>
          <w:lang w:val="en-GB"/>
        </w:rPr>
        <w:t>s</w:t>
      </w:r>
      <w:r w:rsidR="00BD4A39" w:rsidRPr="00B23640">
        <w:rPr>
          <w:lang w:val="en-GB"/>
        </w:rPr>
        <w:t xml:space="preserve"> grown faster in the past decade than the Western and Northern countries</w:t>
      </w:r>
      <w:r w:rsidR="0055429F" w:rsidRPr="00B23640">
        <w:rPr>
          <w:lang w:val="en-GB"/>
        </w:rPr>
        <w:t>, th</w:t>
      </w:r>
      <w:r w:rsidR="00542059" w:rsidRPr="00B23640">
        <w:rPr>
          <w:lang w:val="en-GB"/>
        </w:rPr>
        <w:t>ereby</w:t>
      </w:r>
      <w:r w:rsidR="0055429F" w:rsidRPr="00B23640">
        <w:rPr>
          <w:lang w:val="en-GB"/>
        </w:rPr>
        <w:t xml:space="preserve"> narrowing the gap</w:t>
      </w:r>
      <w:r w:rsidR="00256E77" w:rsidRPr="00B23640">
        <w:rPr>
          <w:lang w:val="en-GB"/>
        </w:rPr>
        <w:t xml:space="preserve"> between the two groups</w:t>
      </w:r>
      <w:r w:rsidR="00BD4A39" w:rsidRPr="00B23640">
        <w:rPr>
          <w:lang w:val="en-GB"/>
        </w:rPr>
        <w:t xml:space="preserve">? </w:t>
      </w:r>
      <w:r w:rsidR="003B4B0D" w:rsidRPr="00184430">
        <w:rPr>
          <w:lang w:val="en-GB"/>
        </w:rPr>
        <w:t xml:space="preserve">The </w:t>
      </w:r>
      <w:r w:rsidR="00DB0B20">
        <w:rPr>
          <w:lang w:val="en-GB"/>
        </w:rPr>
        <w:t xml:space="preserve">cross-country </w:t>
      </w:r>
      <w:r w:rsidR="00B84029" w:rsidRPr="00184430">
        <w:rPr>
          <w:lang w:val="en-GB"/>
        </w:rPr>
        <w:t>scatterplot</w:t>
      </w:r>
      <w:r w:rsidR="003B4B0D" w:rsidRPr="00184430">
        <w:rPr>
          <w:lang w:val="en-GB"/>
        </w:rPr>
        <w:t xml:space="preserve"> diagram </w:t>
      </w:r>
      <w:r w:rsidR="00DB0B20">
        <w:rPr>
          <w:lang w:val="en-GB"/>
        </w:rPr>
        <w:t>of</w:t>
      </w:r>
      <w:r w:rsidR="00DB0B20" w:rsidRPr="00184430">
        <w:rPr>
          <w:lang w:val="en-GB"/>
        </w:rPr>
        <w:t xml:space="preserve"> </w:t>
      </w:r>
      <w:r w:rsidR="003819F0" w:rsidRPr="00184430">
        <w:rPr>
          <w:lang w:val="en-GB"/>
        </w:rPr>
        <w:t>Figure 1</w:t>
      </w:r>
      <w:r w:rsidR="00DB0B20">
        <w:rPr>
          <w:lang w:val="en-GB"/>
        </w:rPr>
        <w:t xml:space="preserve"> </w:t>
      </w:r>
      <w:r w:rsidR="00182126">
        <w:rPr>
          <w:lang w:val="en-GB"/>
        </w:rPr>
        <w:t>seem</w:t>
      </w:r>
      <w:r w:rsidR="007A0020">
        <w:rPr>
          <w:lang w:val="en-GB"/>
        </w:rPr>
        <w:t>s</w:t>
      </w:r>
      <w:r w:rsidR="00182126">
        <w:rPr>
          <w:lang w:val="en-GB"/>
        </w:rPr>
        <w:t xml:space="preserve"> to reinforce the</w:t>
      </w:r>
      <w:r w:rsidR="00DB0B20">
        <w:rPr>
          <w:lang w:val="en-GB"/>
        </w:rPr>
        <w:t xml:space="preserve"> </w:t>
      </w:r>
      <w:r w:rsidR="00256E77">
        <w:rPr>
          <w:lang w:val="en-GB"/>
        </w:rPr>
        <w:t xml:space="preserve">income </w:t>
      </w:r>
      <w:r w:rsidR="00DB0B20">
        <w:rPr>
          <w:lang w:val="en-GB"/>
        </w:rPr>
        <w:t>convergence hypothesis</w:t>
      </w:r>
      <w:r w:rsidR="00182126">
        <w:rPr>
          <w:lang w:val="en-GB"/>
        </w:rPr>
        <w:t xml:space="preserve">, showing a moderate negative relationship between the </w:t>
      </w:r>
      <w:proofErr w:type="gramStart"/>
      <w:r w:rsidR="00182126">
        <w:rPr>
          <w:lang w:val="en-GB"/>
        </w:rPr>
        <w:t>level</w:t>
      </w:r>
      <w:proofErr w:type="gramEnd"/>
      <w:r w:rsidR="00182126">
        <w:rPr>
          <w:lang w:val="en-GB"/>
        </w:rPr>
        <w:t xml:space="preserve"> of development </w:t>
      </w:r>
      <w:r w:rsidR="00B84029">
        <w:rPr>
          <w:lang w:val="en-GB"/>
        </w:rPr>
        <w:t>(</w:t>
      </w:r>
      <w:r w:rsidR="003B4B0D" w:rsidRPr="00184430">
        <w:rPr>
          <w:lang w:val="en-GB"/>
        </w:rPr>
        <w:t xml:space="preserve">measured </w:t>
      </w:r>
      <w:r w:rsidR="00B84029">
        <w:rPr>
          <w:lang w:val="en-GB"/>
        </w:rPr>
        <w:t xml:space="preserve">as a percentage of the </w:t>
      </w:r>
      <w:r w:rsidR="003B4B0D" w:rsidRPr="00184430">
        <w:rPr>
          <w:lang w:val="en-GB"/>
        </w:rPr>
        <w:t>EU15</w:t>
      </w:r>
      <w:r w:rsidR="00B84029">
        <w:rPr>
          <w:lang w:val="en-GB"/>
        </w:rPr>
        <w:t>’s average income)</w:t>
      </w:r>
      <w:r w:rsidR="008C6284" w:rsidRPr="00184430">
        <w:rPr>
          <w:lang w:val="en-GB"/>
        </w:rPr>
        <w:t xml:space="preserve"> </w:t>
      </w:r>
      <w:r w:rsidR="003819F0" w:rsidRPr="00184430">
        <w:rPr>
          <w:lang w:val="en-GB"/>
        </w:rPr>
        <w:t xml:space="preserve">in </w:t>
      </w:r>
      <w:r w:rsidR="008C6284" w:rsidRPr="00184430">
        <w:rPr>
          <w:lang w:val="en-GB"/>
        </w:rPr>
        <w:t xml:space="preserve">the year of the </w:t>
      </w:r>
      <w:r w:rsidR="003B4B0D" w:rsidRPr="00184430">
        <w:rPr>
          <w:lang w:val="en-GB"/>
        </w:rPr>
        <w:t>big bang enlargement on the one hand</w:t>
      </w:r>
      <w:r w:rsidR="00B84029">
        <w:rPr>
          <w:lang w:val="en-GB"/>
        </w:rPr>
        <w:t>,</w:t>
      </w:r>
      <w:r w:rsidR="003B4B0D" w:rsidRPr="00184430">
        <w:rPr>
          <w:lang w:val="en-GB"/>
        </w:rPr>
        <w:t xml:space="preserve"> </w:t>
      </w:r>
      <w:r w:rsidR="008C6284" w:rsidRPr="00184430">
        <w:rPr>
          <w:lang w:val="en-GB"/>
        </w:rPr>
        <w:t xml:space="preserve">and the </w:t>
      </w:r>
      <w:r w:rsidR="003819F0" w:rsidRPr="00184430">
        <w:rPr>
          <w:lang w:val="en-GB"/>
        </w:rPr>
        <w:t xml:space="preserve">mean </w:t>
      </w:r>
      <w:r w:rsidR="00A064C2" w:rsidRPr="00184430">
        <w:rPr>
          <w:lang w:val="en-GB"/>
        </w:rPr>
        <w:t xml:space="preserve">annual </w:t>
      </w:r>
      <w:r w:rsidR="003B4B0D" w:rsidRPr="00184430">
        <w:rPr>
          <w:lang w:val="en-GB"/>
        </w:rPr>
        <w:t xml:space="preserve">economic </w:t>
      </w:r>
      <w:r w:rsidR="00A064C2" w:rsidRPr="00184430">
        <w:rPr>
          <w:lang w:val="en-GB"/>
        </w:rPr>
        <w:t>growth rate between</w:t>
      </w:r>
      <w:r w:rsidR="001D7F55" w:rsidRPr="00184430">
        <w:rPr>
          <w:lang w:val="en-GB"/>
        </w:rPr>
        <w:t xml:space="preserve"> 2004 and 2014</w:t>
      </w:r>
      <w:r w:rsidR="003B4B0D" w:rsidRPr="00184430">
        <w:rPr>
          <w:lang w:val="en-GB"/>
        </w:rPr>
        <w:t xml:space="preserve"> on the other</w:t>
      </w:r>
      <w:r w:rsidR="00182126">
        <w:rPr>
          <w:lang w:val="en-GB"/>
        </w:rPr>
        <w:t xml:space="preserve"> hand</w:t>
      </w:r>
      <w:r w:rsidR="001D7F55" w:rsidRPr="00184430">
        <w:rPr>
          <w:lang w:val="en-GB"/>
        </w:rPr>
        <w:t>.</w:t>
      </w:r>
      <w:r w:rsidR="00182126" w:rsidRPr="00184430">
        <w:rPr>
          <w:rStyle w:val="Lbjegyzet-hivatkozs"/>
          <w:lang w:val="en-GB"/>
        </w:rPr>
        <w:footnoteReference w:id="4"/>
      </w:r>
      <w:r w:rsidR="001D7F55" w:rsidRPr="00184430">
        <w:rPr>
          <w:lang w:val="en-GB"/>
        </w:rPr>
        <w:t xml:space="preserve"> </w:t>
      </w:r>
      <w:r w:rsidR="00E712A3">
        <w:rPr>
          <w:lang w:val="en-GB"/>
        </w:rPr>
        <w:t xml:space="preserve">By and large, </w:t>
      </w:r>
      <w:r w:rsidR="00D10E96">
        <w:rPr>
          <w:lang w:val="en-GB"/>
        </w:rPr>
        <w:t>EU</w:t>
      </w:r>
      <w:r w:rsidR="00E712A3">
        <w:rPr>
          <w:lang w:val="en-GB"/>
        </w:rPr>
        <w:t xml:space="preserve"> </w:t>
      </w:r>
      <w:r w:rsidR="00D10E96">
        <w:rPr>
          <w:lang w:val="en-GB"/>
        </w:rPr>
        <w:t>countries</w:t>
      </w:r>
      <w:r w:rsidR="00E712A3">
        <w:rPr>
          <w:lang w:val="en-GB"/>
        </w:rPr>
        <w:t xml:space="preserve"> can be split into two main clusters</w:t>
      </w:r>
      <w:r w:rsidR="00D10E96">
        <w:rPr>
          <w:lang w:val="en-GB"/>
        </w:rPr>
        <w:t>:</w:t>
      </w:r>
      <w:r w:rsidR="00E712A3">
        <w:rPr>
          <w:lang w:val="en-GB"/>
        </w:rPr>
        <w:t xml:space="preserve"> the group of new </w:t>
      </w:r>
      <w:r w:rsidR="00D10E96">
        <w:rPr>
          <w:lang w:val="en-GB"/>
        </w:rPr>
        <w:t>M</w:t>
      </w:r>
      <w:r w:rsidR="00E712A3">
        <w:rPr>
          <w:lang w:val="en-GB"/>
        </w:rPr>
        <w:t xml:space="preserve">ember </w:t>
      </w:r>
      <w:r w:rsidR="00D10E96">
        <w:rPr>
          <w:lang w:val="en-GB"/>
        </w:rPr>
        <w:t>S</w:t>
      </w:r>
      <w:r w:rsidR="00E712A3">
        <w:rPr>
          <w:lang w:val="en-GB"/>
        </w:rPr>
        <w:t xml:space="preserve">tates and the old </w:t>
      </w:r>
      <w:r w:rsidR="00D10E96">
        <w:rPr>
          <w:lang w:val="en-GB"/>
        </w:rPr>
        <w:t>M</w:t>
      </w:r>
      <w:r w:rsidR="00E712A3">
        <w:rPr>
          <w:lang w:val="en-GB"/>
        </w:rPr>
        <w:t xml:space="preserve">ember </w:t>
      </w:r>
      <w:r w:rsidR="00D10E96">
        <w:rPr>
          <w:lang w:val="en-GB"/>
        </w:rPr>
        <w:t>S</w:t>
      </w:r>
      <w:r w:rsidR="00E712A3">
        <w:rPr>
          <w:lang w:val="en-GB"/>
        </w:rPr>
        <w:t xml:space="preserve">tates. Nevertheless, </w:t>
      </w:r>
      <w:r w:rsidR="0068520E">
        <w:rPr>
          <w:lang w:val="en-GB"/>
        </w:rPr>
        <w:t xml:space="preserve">a </w:t>
      </w:r>
      <w:r w:rsidR="000A6854">
        <w:rPr>
          <w:lang w:val="en-GB"/>
        </w:rPr>
        <w:t xml:space="preserve">handful </w:t>
      </w:r>
      <w:r w:rsidR="0068520E">
        <w:rPr>
          <w:lang w:val="en-GB"/>
        </w:rPr>
        <w:t xml:space="preserve">of </w:t>
      </w:r>
      <w:r w:rsidR="00E712A3">
        <w:rPr>
          <w:lang w:val="en-GB"/>
        </w:rPr>
        <w:t>countries are somewhere mid-way in-between the two major clu</w:t>
      </w:r>
      <w:r w:rsidR="000A6854">
        <w:rPr>
          <w:lang w:val="en-GB"/>
        </w:rPr>
        <w:t>ster</w:t>
      </w:r>
      <w:r w:rsidR="00E712A3">
        <w:rPr>
          <w:lang w:val="en-GB"/>
        </w:rPr>
        <w:t>s</w:t>
      </w:r>
      <w:r w:rsidR="0068520E">
        <w:rPr>
          <w:lang w:val="en-GB"/>
        </w:rPr>
        <w:t xml:space="preserve">, often </w:t>
      </w:r>
      <w:r w:rsidR="00B56BB5">
        <w:rPr>
          <w:lang w:val="en-GB"/>
        </w:rPr>
        <w:t xml:space="preserve">rather </w:t>
      </w:r>
      <w:r w:rsidR="0068520E">
        <w:rPr>
          <w:lang w:val="en-GB"/>
        </w:rPr>
        <w:t xml:space="preserve">far </w:t>
      </w:r>
      <w:r w:rsidR="000A6854">
        <w:rPr>
          <w:lang w:val="en-GB"/>
        </w:rPr>
        <w:t xml:space="preserve">from </w:t>
      </w:r>
      <w:r w:rsidR="0068520E">
        <w:rPr>
          <w:lang w:val="en-GB"/>
        </w:rPr>
        <w:t>the trend line</w:t>
      </w:r>
      <w:r w:rsidR="00E712A3">
        <w:rPr>
          <w:lang w:val="en-GB"/>
        </w:rPr>
        <w:t xml:space="preserve">. </w:t>
      </w:r>
    </w:p>
    <w:p w:rsidR="00B56BB5" w:rsidRDefault="00B56BB5">
      <w:pPr>
        <w:spacing w:line="276" w:lineRule="auto"/>
        <w:jc w:val="both"/>
        <w:rPr>
          <w:lang w:val="en-GB"/>
        </w:rPr>
      </w:pPr>
    </w:p>
    <w:p w:rsidR="00B56BB5" w:rsidRPr="00184430" w:rsidRDefault="00B56BB5" w:rsidP="00B56BB5">
      <w:pPr>
        <w:spacing w:line="276" w:lineRule="auto"/>
        <w:jc w:val="both"/>
        <w:rPr>
          <w:lang w:val="en-GB"/>
        </w:rPr>
      </w:pPr>
      <w:r w:rsidRPr="00184430">
        <w:rPr>
          <w:noProof/>
          <w:lang w:val="hu-HU" w:eastAsia="hu-HU"/>
        </w:rPr>
        <w:drawing>
          <wp:inline distT="0" distB="0" distL="0" distR="0">
            <wp:extent cx="5551170" cy="3854450"/>
            <wp:effectExtent l="1905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56BB5" w:rsidRPr="00184430" w:rsidRDefault="00B56BB5" w:rsidP="00B56BB5">
      <w:pPr>
        <w:spacing w:line="276" w:lineRule="auto"/>
        <w:jc w:val="both"/>
        <w:rPr>
          <w:lang w:val="en-GB"/>
        </w:rPr>
      </w:pPr>
    </w:p>
    <w:p w:rsidR="00B56BB5" w:rsidRPr="00184430" w:rsidRDefault="00B56BB5" w:rsidP="00B56BB5">
      <w:pPr>
        <w:spacing w:line="276" w:lineRule="auto"/>
        <w:jc w:val="both"/>
        <w:rPr>
          <w:lang w:val="en-GB"/>
        </w:rPr>
      </w:pPr>
      <w:r w:rsidRPr="00184430">
        <w:rPr>
          <w:lang w:val="en-GB"/>
        </w:rPr>
        <w:lastRenderedPageBreak/>
        <w:t>Figure 1. Incomes in 2004 and subsequent economic performance</w:t>
      </w:r>
    </w:p>
    <w:p w:rsidR="00B56BB5" w:rsidRPr="00184430" w:rsidRDefault="00B56BB5" w:rsidP="00B56BB5">
      <w:pPr>
        <w:spacing w:line="276" w:lineRule="auto"/>
        <w:jc w:val="both"/>
        <w:rPr>
          <w:sz w:val="20"/>
          <w:szCs w:val="20"/>
          <w:lang w:val="en-GB"/>
        </w:rPr>
      </w:pPr>
      <w:r w:rsidRPr="00184430">
        <w:rPr>
          <w:sz w:val="20"/>
          <w:szCs w:val="20"/>
          <w:lang w:val="en-GB"/>
        </w:rPr>
        <w:t>Source: authors, based on data from AMECO.</w:t>
      </w:r>
    </w:p>
    <w:p w:rsidR="00B56BB5" w:rsidRPr="00184430" w:rsidRDefault="00B56BB5" w:rsidP="00B56BB5">
      <w:pPr>
        <w:spacing w:line="276" w:lineRule="auto"/>
        <w:jc w:val="both"/>
        <w:rPr>
          <w:sz w:val="20"/>
          <w:szCs w:val="20"/>
          <w:lang w:val="en-GB"/>
        </w:rPr>
      </w:pPr>
      <w:r w:rsidRPr="00184430">
        <w:rPr>
          <w:sz w:val="20"/>
          <w:szCs w:val="20"/>
          <w:lang w:val="en-GB"/>
        </w:rPr>
        <w:t xml:space="preserve">Note: </w:t>
      </w:r>
      <w:r>
        <w:rPr>
          <w:sz w:val="20"/>
          <w:szCs w:val="20"/>
          <w:lang w:val="en-GB"/>
        </w:rPr>
        <w:t>per capita GDP in purchasing power parity</w:t>
      </w:r>
    </w:p>
    <w:p w:rsidR="00B56BB5" w:rsidRDefault="00B56BB5">
      <w:pPr>
        <w:spacing w:line="276" w:lineRule="auto"/>
        <w:jc w:val="both"/>
        <w:rPr>
          <w:lang w:val="en-GB"/>
        </w:rPr>
      </w:pPr>
    </w:p>
    <w:p w:rsidR="00E712A3" w:rsidRDefault="00E712A3">
      <w:pPr>
        <w:spacing w:line="276" w:lineRule="auto"/>
        <w:jc w:val="both"/>
        <w:rPr>
          <w:lang w:val="en-GB"/>
        </w:rPr>
      </w:pPr>
    </w:p>
    <w:p w:rsidR="000A6854" w:rsidRDefault="003D108C">
      <w:pPr>
        <w:spacing w:line="276" w:lineRule="auto"/>
        <w:jc w:val="both"/>
        <w:rPr>
          <w:lang w:val="en-GB"/>
        </w:rPr>
      </w:pPr>
      <w:r>
        <w:rPr>
          <w:lang w:val="en-GB"/>
        </w:rPr>
        <w:t>The Czech Republic, Estonia, Hungary, Latvia, Lithuania, Poland, Slovakia and Slovenia</w:t>
      </w:r>
      <w:r w:rsidR="0011381C">
        <w:rPr>
          <w:lang w:val="en-GB"/>
        </w:rPr>
        <w:t xml:space="preserve"> (CEE8)</w:t>
      </w:r>
      <w:r>
        <w:rPr>
          <w:lang w:val="en-GB"/>
        </w:rPr>
        <w:t xml:space="preserve"> </w:t>
      </w:r>
      <w:r w:rsidR="004639E7">
        <w:rPr>
          <w:lang w:val="en-GB"/>
        </w:rPr>
        <w:t>were at 53 per cent of the EU15 average in</w:t>
      </w:r>
      <w:r w:rsidR="00E712A3">
        <w:rPr>
          <w:lang w:val="en-GB"/>
        </w:rPr>
        <w:t xml:space="preserve"> 2004. </w:t>
      </w:r>
      <w:r w:rsidR="004639E7" w:rsidRPr="00BB344E">
        <w:rPr>
          <w:lang w:val="en-GB"/>
        </w:rPr>
        <w:t xml:space="preserve">Ten years later the average score </w:t>
      </w:r>
      <w:r w:rsidR="00E712A3">
        <w:rPr>
          <w:lang w:val="en-GB"/>
        </w:rPr>
        <w:t xml:space="preserve">of the CEE8 </w:t>
      </w:r>
      <w:r w:rsidR="004639E7" w:rsidRPr="00BB344E">
        <w:rPr>
          <w:lang w:val="en-GB"/>
        </w:rPr>
        <w:t>was 68</w:t>
      </w:r>
      <w:r w:rsidR="004639E7">
        <w:rPr>
          <w:lang w:val="en-GB"/>
        </w:rPr>
        <w:t xml:space="preserve"> per cent, demonstrating a massive wealth accumulation</w:t>
      </w:r>
      <w:r w:rsidR="0094279E">
        <w:rPr>
          <w:lang w:val="en-GB"/>
        </w:rPr>
        <w:t>.</w:t>
      </w:r>
      <w:r w:rsidR="004639E7">
        <w:rPr>
          <w:lang w:val="en-GB"/>
        </w:rPr>
        <w:t xml:space="preserve"> </w:t>
      </w:r>
      <w:r w:rsidR="005C5DBE">
        <w:rPr>
          <w:lang w:val="en-GB"/>
        </w:rPr>
        <w:t>M</w:t>
      </w:r>
      <w:r w:rsidR="00182126">
        <w:rPr>
          <w:lang w:val="en-GB"/>
        </w:rPr>
        <w:t>o</w:t>
      </w:r>
      <w:r w:rsidR="004006CD" w:rsidRPr="00184430">
        <w:rPr>
          <w:lang w:val="en-GB"/>
        </w:rPr>
        <w:t xml:space="preserve">st of the Eastern </w:t>
      </w:r>
      <w:r w:rsidR="001974AF" w:rsidRPr="00184430">
        <w:rPr>
          <w:lang w:val="en-GB"/>
        </w:rPr>
        <w:t>accession countries</w:t>
      </w:r>
      <w:r>
        <w:rPr>
          <w:lang w:val="en-GB"/>
        </w:rPr>
        <w:t xml:space="preserve"> such as</w:t>
      </w:r>
      <w:r w:rsidR="00D97C27" w:rsidRPr="00184430">
        <w:rPr>
          <w:lang w:val="en-GB"/>
        </w:rPr>
        <w:t xml:space="preserve"> Poland, Slovakia</w:t>
      </w:r>
      <w:r w:rsidR="008C6284" w:rsidRPr="00184430">
        <w:rPr>
          <w:lang w:val="en-GB"/>
        </w:rPr>
        <w:t>, the Czech Republic</w:t>
      </w:r>
      <w:r w:rsidR="00D97C27" w:rsidRPr="00184430">
        <w:rPr>
          <w:lang w:val="en-GB"/>
        </w:rPr>
        <w:t xml:space="preserve"> and the Baltic </w:t>
      </w:r>
      <w:r w:rsidR="00B84029">
        <w:rPr>
          <w:lang w:val="en-GB"/>
        </w:rPr>
        <w:t>States</w:t>
      </w:r>
      <w:r w:rsidR="00D97C27" w:rsidRPr="00184430">
        <w:rPr>
          <w:lang w:val="en-GB"/>
        </w:rPr>
        <w:t xml:space="preserve"> </w:t>
      </w:r>
      <w:r w:rsidR="0094279E" w:rsidRPr="00184430">
        <w:rPr>
          <w:lang w:val="en-GB"/>
        </w:rPr>
        <w:t>show</w:t>
      </w:r>
      <w:r w:rsidR="0094279E">
        <w:rPr>
          <w:lang w:val="en-GB"/>
        </w:rPr>
        <w:t>ed</w:t>
      </w:r>
      <w:r w:rsidR="0094279E" w:rsidRPr="00184430">
        <w:rPr>
          <w:lang w:val="en-GB"/>
        </w:rPr>
        <w:t xml:space="preserve"> </w:t>
      </w:r>
      <w:r w:rsidR="00D97C27" w:rsidRPr="00184430">
        <w:rPr>
          <w:lang w:val="en-GB"/>
        </w:rPr>
        <w:t xml:space="preserve">spectacular growth </w:t>
      </w:r>
      <w:r w:rsidR="008C6284" w:rsidRPr="00184430">
        <w:rPr>
          <w:lang w:val="en-GB"/>
        </w:rPr>
        <w:t>performance</w:t>
      </w:r>
      <w:r w:rsidR="004006CD" w:rsidRPr="00184430">
        <w:rPr>
          <w:lang w:val="en-GB"/>
        </w:rPr>
        <w:t>s during the</w:t>
      </w:r>
      <w:r w:rsidR="003B4B0D" w:rsidRPr="00184430">
        <w:rPr>
          <w:lang w:val="en-GB"/>
        </w:rPr>
        <w:t xml:space="preserve"> last ten</w:t>
      </w:r>
      <w:r w:rsidR="004006CD" w:rsidRPr="00184430">
        <w:rPr>
          <w:lang w:val="en-GB"/>
        </w:rPr>
        <w:t xml:space="preserve"> years</w:t>
      </w:r>
      <w:r w:rsidR="003B4B0D" w:rsidRPr="00184430">
        <w:rPr>
          <w:lang w:val="en-GB"/>
        </w:rPr>
        <w:t>.</w:t>
      </w:r>
      <w:r w:rsidR="004006CD" w:rsidRPr="00184430">
        <w:rPr>
          <w:lang w:val="en-GB"/>
        </w:rPr>
        <w:t xml:space="preserve"> </w:t>
      </w:r>
      <w:r w:rsidR="003E07C6" w:rsidRPr="00184430">
        <w:rPr>
          <w:lang w:val="en-GB"/>
        </w:rPr>
        <w:t xml:space="preserve">For example, Poland’s </w:t>
      </w:r>
      <w:r w:rsidR="00E712A3">
        <w:rPr>
          <w:lang w:val="en-GB"/>
        </w:rPr>
        <w:t xml:space="preserve">per capita </w:t>
      </w:r>
      <w:r w:rsidR="003E07C6" w:rsidRPr="00184430">
        <w:rPr>
          <w:lang w:val="en-GB"/>
        </w:rPr>
        <w:t xml:space="preserve">income, </w:t>
      </w:r>
      <w:r w:rsidR="00E712A3">
        <w:rPr>
          <w:lang w:val="en-GB"/>
        </w:rPr>
        <w:t xml:space="preserve">measured </w:t>
      </w:r>
      <w:r w:rsidR="003E07C6" w:rsidRPr="00184430">
        <w:rPr>
          <w:lang w:val="en-GB"/>
        </w:rPr>
        <w:t xml:space="preserve">in purchasing power parity, was </w:t>
      </w:r>
      <w:r w:rsidR="008C6284" w:rsidRPr="00184430">
        <w:rPr>
          <w:lang w:val="en-GB"/>
        </w:rPr>
        <w:t xml:space="preserve">only </w:t>
      </w:r>
      <w:r w:rsidR="003E07C6" w:rsidRPr="00184430">
        <w:rPr>
          <w:lang w:val="en-GB"/>
        </w:rPr>
        <w:t>43</w:t>
      </w:r>
      <w:r w:rsidR="001D3B9C">
        <w:rPr>
          <w:lang w:val="en-GB"/>
        </w:rPr>
        <w:t xml:space="preserve"> per cent</w:t>
      </w:r>
      <w:r w:rsidR="003E07C6" w:rsidRPr="00184430">
        <w:rPr>
          <w:lang w:val="en-GB"/>
        </w:rPr>
        <w:t xml:space="preserve"> of </w:t>
      </w:r>
      <w:r w:rsidR="00E712A3">
        <w:rPr>
          <w:lang w:val="en-GB"/>
        </w:rPr>
        <w:t xml:space="preserve">that of the </w:t>
      </w:r>
      <w:r w:rsidR="003E07C6" w:rsidRPr="00184430">
        <w:rPr>
          <w:lang w:val="en-GB"/>
        </w:rPr>
        <w:t>EU15</w:t>
      </w:r>
      <w:r w:rsidR="00E712A3">
        <w:rPr>
          <w:lang w:val="en-GB"/>
        </w:rPr>
        <w:t>’s</w:t>
      </w:r>
      <w:r w:rsidR="003E07C6" w:rsidRPr="00184430">
        <w:rPr>
          <w:lang w:val="en-GB"/>
        </w:rPr>
        <w:t xml:space="preserve"> in 2004, </w:t>
      </w:r>
      <w:r w:rsidR="0073202F">
        <w:rPr>
          <w:lang w:val="en-GB"/>
        </w:rPr>
        <w:t>but</w:t>
      </w:r>
      <w:r w:rsidR="000A6854">
        <w:rPr>
          <w:lang w:val="en-GB"/>
        </w:rPr>
        <w:t xml:space="preserve"> the </w:t>
      </w:r>
      <w:r w:rsidR="008C6284" w:rsidRPr="00184430">
        <w:rPr>
          <w:lang w:val="en-GB"/>
        </w:rPr>
        <w:t xml:space="preserve">ratio </w:t>
      </w:r>
      <w:r w:rsidR="0073202F">
        <w:rPr>
          <w:lang w:val="en-GB"/>
        </w:rPr>
        <w:t xml:space="preserve">had </w:t>
      </w:r>
      <w:r w:rsidR="003E07C6" w:rsidRPr="00184430">
        <w:rPr>
          <w:lang w:val="en-GB"/>
        </w:rPr>
        <w:t xml:space="preserve">increased </w:t>
      </w:r>
      <w:r w:rsidR="008C6284" w:rsidRPr="00184430">
        <w:rPr>
          <w:lang w:val="en-GB"/>
        </w:rPr>
        <w:t>by 20</w:t>
      </w:r>
      <w:r w:rsidR="008F0D71">
        <w:rPr>
          <w:lang w:val="en-GB"/>
        </w:rPr>
        <w:t xml:space="preserve"> percentage points</w:t>
      </w:r>
      <w:r w:rsidR="00757BF9">
        <w:rPr>
          <w:lang w:val="en-GB"/>
        </w:rPr>
        <w:t xml:space="preserve"> </w:t>
      </w:r>
      <w:r w:rsidR="003E07C6" w:rsidRPr="00184430">
        <w:rPr>
          <w:lang w:val="en-GB"/>
        </w:rPr>
        <w:t>to 63</w:t>
      </w:r>
      <w:r w:rsidR="001D3B9C">
        <w:rPr>
          <w:lang w:val="en-GB"/>
        </w:rPr>
        <w:t xml:space="preserve"> per cent</w:t>
      </w:r>
      <w:r w:rsidR="003E07C6" w:rsidRPr="00184430">
        <w:rPr>
          <w:lang w:val="en-GB"/>
        </w:rPr>
        <w:t xml:space="preserve"> </w:t>
      </w:r>
      <w:r w:rsidR="0094279E">
        <w:rPr>
          <w:lang w:val="en-GB"/>
        </w:rPr>
        <w:t>by</w:t>
      </w:r>
      <w:r w:rsidR="0094279E" w:rsidRPr="00184430">
        <w:rPr>
          <w:lang w:val="en-GB"/>
        </w:rPr>
        <w:t xml:space="preserve"> </w:t>
      </w:r>
      <w:r w:rsidR="003E07C6" w:rsidRPr="00184430">
        <w:rPr>
          <w:lang w:val="en-GB"/>
        </w:rPr>
        <w:t xml:space="preserve">2014. </w:t>
      </w:r>
      <w:r w:rsidR="009C1915">
        <w:rPr>
          <w:lang w:val="en-GB"/>
        </w:rPr>
        <w:t>The Baltic countries, on the other hand, were amongst the biggest losers of the crisis suffering from an incredibly deep recession</w:t>
      </w:r>
      <w:r w:rsidR="00FF78CD">
        <w:rPr>
          <w:lang w:val="en-GB"/>
        </w:rPr>
        <w:t xml:space="preserve"> and losing </w:t>
      </w:r>
      <w:r w:rsidR="0073202F">
        <w:rPr>
          <w:lang w:val="en-GB"/>
        </w:rPr>
        <w:t xml:space="preserve">about </w:t>
      </w:r>
      <w:r w:rsidR="00FF78CD">
        <w:rPr>
          <w:lang w:val="en-GB"/>
        </w:rPr>
        <w:t>one-fifth of their national income</w:t>
      </w:r>
      <w:r w:rsidR="009C1915">
        <w:rPr>
          <w:lang w:val="en-GB"/>
        </w:rPr>
        <w:t xml:space="preserve">. </w:t>
      </w:r>
      <w:r w:rsidR="000A6854">
        <w:rPr>
          <w:lang w:val="en-GB"/>
        </w:rPr>
        <w:t xml:space="preserve">Yet, as Figure 1 </w:t>
      </w:r>
      <w:r w:rsidR="0073202F">
        <w:rPr>
          <w:lang w:val="en-GB"/>
        </w:rPr>
        <w:t>demonstrates</w:t>
      </w:r>
      <w:r w:rsidR="000A6854">
        <w:rPr>
          <w:lang w:val="en-GB"/>
        </w:rPr>
        <w:t>, the</w:t>
      </w:r>
      <w:r w:rsidR="005F0D7C">
        <w:rPr>
          <w:lang w:val="en-GB"/>
        </w:rPr>
        <w:t>y</w:t>
      </w:r>
      <w:r w:rsidR="000A6854">
        <w:rPr>
          <w:lang w:val="en-GB"/>
        </w:rPr>
        <w:t xml:space="preserve"> </w:t>
      </w:r>
      <w:r w:rsidR="0073202F">
        <w:rPr>
          <w:lang w:val="en-GB"/>
        </w:rPr>
        <w:t xml:space="preserve">still </w:t>
      </w:r>
      <w:r w:rsidR="000A6854">
        <w:rPr>
          <w:lang w:val="en-GB"/>
        </w:rPr>
        <w:t xml:space="preserve">managed to perform well above the trend line. </w:t>
      </w:r>
      <w:r w:rsidR="009C1915">
        <w:rPr>
          <w:lang w:val="en-GB"/>
        </w:rPr>
        <w:t xml:space="preserve">With quick and </w:t>
      </w:r>
      <w:r w:rsidR="00ED0293">
        <w:rPr>
          <w:lang w:val="en-GB"/>
        </w:rPr>
        <w:t xml:space="preserve">unusually severe </w:t>
      </w:r>
      <w:r w:rsidR="009C1915">
        <w:rPr>
          <w:lang w:val="en-GB"/>
        </w:rPr>
        <w:t xml:space="preserve">policy </w:t>
      </w:r>
      <w:r w:rsidR="00ED0293">
        <w:rPr>
          <w:lang w:val="en-GB"/>
        </w:rPr>
        <w:t>responses</w:t>
      </w:r>
      <w:r w:rsidR="009C1915">
        <w:rPr>
          <w:lang w:val="en-GB"/>
        </w:rPr>
        <w:t xml:space="preserve"> each </w:t>
      </w:r>
      <w:r w:rsidR="00ED0293">
        <w:rPr>
          <w:lang w:val="en-GB"/>
        </w:rPr>
        <w:t xml:space="preserve">of them </w:t>
      </w:r>
      <w:r w:rsidR="009C1915">
        <w:rPr>
          <w:lang w:val="en-GB"/>
        </w:rPr>
        <w:t xml:space="preserve">managed to bounce back and continued their </w:t>
      </w:r>
      <w:r w:rsidR="0073202F">
        <w:rPr>
          <w:lang w:val="en-GB"/>
        </w:rPr>
        <w:t xml:space="preserve">convergence </w:t>
      </w:r>
      <w:r w:rsidR="009C1915">
        <w:rPr>
          <w:lang w:val="en-GB"/>
        </w:rPr>
        <w:t>towards the core</w:t>
      </w:r>
      <w:r w:rsidR="00ED0293">
        <w:rPr>
          <w:lang w:val="en-GB"/>
        </w:rPr>
        <w:t xml:space="preserve"> </w:t>
      </w:r>
      <w:r w:rsidR="000A6854">
        <w:rPr>
          <w:lang w:val="en-GB"/>
        </w:rPr>
        <w:t xml:space="preserve">by 2011 </w:t>
      </w:r>
      <w:r w:rsidR="00ED0293">
        <w:rPr>
          <w:lang w:val="en-GB"/>
        </w:rPr>
        <w:t xml:space="preserve">(see </w:t>
      </w:r>
      <w:r w:rsidR="00084CD8">
        <w:rPr>
          <w:lang w:val="en-GB"/>
        </w:rPr>
        <w:t>Staehr 2013</w:t>
      </w:r>
      <w:r w:rsidR="00ED0293">
        <w:rPr>
          <w:lang w:val="en-GB"/>
        </w:rPr>
        <w:t>)</w:t>
      </w:r>
      <w:r w:rsidR="00E712A3">
        <w:rPr>
          <w:lang w:val="en-GB"/>
        </w:rPr>
        <w:t>.</w:t>
      </w:r>
    </w:p>
    <w:p w:rsidR="00B34485" w:rsidRDefault="00B34485">
      <w:pPr>
        <w:spacing w:line="276" w:lineRule="auto"/>
        <w:jc w:val="both"/>
        <w:rPr>
          <w:lang w:val="en-GB"/>
        </w:rPr>
      </w:pPr>
    </w:p>
    <w:p w:rsidR="00F65AEA" w:rsidRDefault="000A6854" w:rsidP="00B34485">
      <w:pPr>
        <w:spacing w:line="276" w:lineRule="auto"/>
        <w:jc w:val="both"/>
        <w:rPr>
          <w:lang w:val="en-GB"/>
        </w:rPr>
      </w:pPr>
      <w:r>
        <w:rPr>
          <w:lang w:val="en-GB"/>
        </w:rPr>
        <w:t>T</w:t>
      </w:r>
      <w:r w:rsidR="0068520E">
        <w:rPr>
          <w:lang w:val="en-GB"/>
        </w:rPr>
        <w:t xml:space="preserve">he most surprising success story was achieved by Slovakia. </w:t>
      </w:r>
      <w:r w:rsidR="00A93E5D">
        <w:rPr>
          <w:lang w:val="en-GB"/>
        </w:rPr>
        <w:t xml:space="preserve">After years of semi-isolation and a slow start to the EU accession process caused by the anti-democratic </w:t>
      </w:r>
      <w:proofErr w:type="spellStart"/>
      <w:r w:rsidR="00A93E5D">
        <w:rPr>
          <w:lang w:val="en-GB"/>
        </w:rPr>
        <w:t>Meciar</w:t>
      </w:r>
      <w:proofErr w:type="spellEnd"/>
      <w:r w:rsidR="00A93E5D">
        <w:rPr>
          <w:lang w:val="en-GB"/>
        </w:rPr>
        <w:t>-regime in the second half of the 1990s, t</w:t>
      </w:r>
      <w:r w:rsidR="006C7670">
        <w:rPr>
          <w:lang w:val="en-GB"/>
        </w:rPr>
        <w:t xml:space="preserve">he pro-market reforms of the </w:t>
      </w:r>
      <w:proofErr w:type="spellStart"/>
      <w:r w:rsidR="006C7670">
        <w:rPr>
          <w:lang w:val="en-GB"/>
        </w:rPr>
        <w:t>Dzurinda</w:t>
      </w:r>
      <w:proofErr w:type="spellEnd"/>
      <w:r w:rsidR="006C7670">
        <w:rPr>
          <w:lang w:val="en-GB"/>
        </w:rPr>
        <w:t xml:space="preserve"> cabinet</w:t>
      </w:r>
      <w:r w:rsidR="00A93E5D">
        <w:rPr>
          <w:lang w:val="en-GB"/>
        </w:rPr>
        <w:t xml:space="preserve"> after 2001</w:t>
      </w:r>
      <w:r w:rsidR="006C7670">
        <w:rPr>
          <w:lang w:val="en-GB"/>
        </w:rPr>
        <w:t xml:space="preserve"> unequivocally made Slovakia the most successful </w:t>
      </w:r>
      <w:proofErr w:type="spellStart"/>
      <w:r w:rsidR="006C7670">
        <w:rPr>
          <w:lang w:val="en-GB"/>
        </w:rPr>
        <w:t>converger</w:t>
      </w:r>
      <w:proofErr w:type="spellEnd"/>
      <w:r w:rsidR="006C7670">
        <w:rPr>
          <w:lang w:val="en-GB"/>
        </w:rPr>
        <w:t xml:space="preserve"> amongst the new EU Member States</w:t>
      </w:r>
      <w:r w:rsidR="008562A0">
        <w:rPr>
          <w:lang w:val="en-GB"/>
        </w:rPr>
        <w:t xml:space="preserve"> (</w:t>
      </w:r>
      <w:r w:rsidR="008562A0">
        <w:t>Fisher</w:t>
      </w:r>
      <w:r w:rsidR="00A93E5D">
        <w:t xml:space="preserve"> </w:t>
      </w:r>
      <w:r w:rsidR="00A93E5D" w:rsidRPr="005F0D7C">
        <w:rPr>
          <w:i/>
        </w:rPr>
        <w:t>et al</w:t>
      </w:r>
      <w:r w:rsidR="00A93E5D">
        <w:t>.</w:t>
      </w:r>
      <w:r w:rsidR="0085611E">
        <w:t>,</w:t>
      </w:r>
      <w:r w:rsidR="00A93E5D">
        <w:t xml:space="preserve"> </w:t>
      </w:r>
      <w:r w:rsidR="008562A0">
        <w:t>2007; Győrffy</w:t>
      </w:r>
      <w:r w:rsidR="0085611E">
        <w:t>,</w:t>
      </w:r>
      <w:r w:rsidR="008562A0">
        <w:t xml:space="preserve"> 2009</w:t>
      </w:r>
      <w:r w:rsidR="008562A0">
        <w:rPr>
          <w:lang w:val="en-GB"/>
        </w:rPr>
        <w:t>)</w:t>
      </w:r>
      <w:r w:rsidR="00A93E5D">
        <w:rPr>
          <w:lang w:val="en-GB"/>
        </w:rPr>
        <w:t>.</w:t>
      </w:r>
    </w:p>
    <w:p w:rsidR="002F1695" w:rsidRDefault="002F1695" w:rsidP="002F1695">
      <w:pPr>
        <w:spacing w:line="276" w:lineRule="auto"/>
        <w:jc w:val="both"/>
        <w:rPr>
          <w:lang w:val="en-GB"/>
        </w:rPr>
      </w:pPr>
    </w:p>
    <w:p w:rsidR="00CF1B72" w:rsidRDefault="004006CD" w:rsidP="00FD1D46">
      <w:pPr>
        <w:spacing w:line="276" w:lineRule="auto"/>
        <w:jc w:val="both"/>
        <w:rPr>
          <w:lang w:val="en-GB"/>
        </w:rPr>
      </w:pPr>
      <w:r w:rsidRPr="00184430">
        <w:rPr>
          <w:lang w:val="en-GB"/>
        </w:rPr>
        <w:t xml:space="preserve">Romania and Bulgaria, countries which </w:t>
      </w:r>
      <w:r w:rsidR="002F1695">
        <w:rPr>
          <w:lang w:val="en-GB"/>
        </w:rPr>
        <w:t>joined</w:t>
      </w:r>
      <w:r w:rsidR="003B4B0D" w:rsidRPr="00184430">
        <w:rPr>
          <w:lang w:val="en-GB"/>
        </w:rPr>
        <w:t xml:space="preserve"> the EU </w:t>
      </w:r>
      <w:r w:rsidRPr="00184430">
        <w:rPr>
          <w:lang w:val="en-GB"/>
        </w:rPr>
        <w:t xml:space="preserve">in 2007, also </w:t>
      </w:r>
      <w:r w:rsidR="002F1695">
        <w:rPr>
          <w:lang w:val="en-GB"/>
        </w:rPr>
        <w:t>showed good convergence performance</w:t>
      </w:r>
      <w:r w:rsidR="004639E7">
        <w:rPr>
          <w:lang w:val="en-GB"/>
        </w:rPr>
        <w:t xml:space="preserve">: </w:t>
      </w:r>
      <w:r w:rsidR="0030676E">
        <w:rPr>
          <w:lang w:val="en-GB"/>
        </w:rPr>
        <w:t xml:space="preserve">both of them had incomes around a third </w:t>
      </w:r>
      <w:r w:rsidR="004639E7">
        <w:rPr>
          <w:lang w:val="en-GB"/>
        </w:rPr>
        <w:t>of the EU15</w:t>
      </w:r>
      <w:r w:rsidR="00E712A3">
        <w:rPr>
          <w:lang w:val="en-GB"/>
        </w:rPr>
        <w:t>’s</w:t>
      </w:r>
      <w:r w:rsidR="004639E7">
        <w:rPr>
          <w:lang w:val="en-GB"/>
        </w:rPr>
        <w:t xml:space="preserve"> </w:t>
      </w:r>
      <w:r w:rsidR="00E712A3">
        <w:rPr>
          <w:lang w:val="en-GB"/>
        </w:rPr>
        <w:t xml:space="preserve">average </w:t>
      </w:r>
      <w:r w:rsidR="004639E7">
        <w:rPr>
          <w:lang w:val="en-GB"/>
        </w:rPr>
        <w:t xml:space="preserve">GDP </w:t>
      </w:r>
      <w:r w:rsidR="002F1695">
        <w:rPr>
          <w:lang w:val="en-GB"/>
        </w:rPr>
        <w:t xml:space="preserve">per capita </w:t>
      </w:r>
      <w:r w:rsidR="004639E7">
        <w:rPr>
          <w:lang w:val="en-GB"/>
        </w:rPr>
        <w:t xml:space="preserve">in 2004, </w:t>
      </w:r>
      <w:r w:rsidR="0030676E">
        <w:rPr>
          <w:lang w:val="en-GB"/>
        </w:rPr>
        <w:t xml:space="preserve">but by 2014 </w:t>
      </w:r>
      <w:r w:rsidR="00C722F7">
        <w:rPr>
          <w:lang w:val="en-GB"/>
        </w:rPr>
        <w:t xml:space="preserve">they </w:t>
      </w:r>
      <w:r w:rsidR="004639E7">
        <w:rPr>
          <w:lang w:val="en-GB"/>
        </w:rPr>
        <w:t xml:space="preserve">managed to </w:t>
      </w:r>
      <w:r w:rsidR="0030676E">
        <w:rPr>
          <w:lang w:val="en-GB"/>
        </w:rPr>
        <w:t>reach</w:t>
      </w:r>
      <w:r w:rsidR="00E712A3">
        <w:rPr>
          <w:lang w:val="en-GB"/>
        </w:rPr>
        <w:t xml:space="preserve"> </w:t>
      </w:r>
      <w:r w:rsidR="004639E7">
        <w:rPr>
          <w:lang w:val="en-GB"/>
        </w:rPr>
        <w:t>49 and 43 per cent, respectivel</w:t>
      </w:r>
      <w:r w:rsidR="00CC0CFF">
        <w:rPr>
          <w:lang w:val="en-GB"/>
        </w:rPr>
        <w:t>y</w:t>
      </w:r>
      <w:r w:rsidR="004639E7">
        <w:rPr>
          <w:lang w:val="en-GB"/>
        </w:rPr>
        <w:t xml:space="preserve">. In fact, </w:t>
      </w:r>
      <w:r w:rsidR="003D108C">
        <w:rPr>
          <w:lang w:val="en-GB"/>
        </w:rPr>
        <w:t>the</w:t>
      </w:r>
      <w:r w:rsidR="004639E7">
        <w:rPr>
          <w:lang w:val="en-GB"/>
        </w:rPr>
        <w:t>se</w:t>
      </w:r>
      <w:r w:rsidR="003D108C">
        <w:rPr>
          <w:lang w:val="en-GB"/>
        </w:rPr>
        <w:t xml:space="preserve"> two countries lie almost perfectly on the fitted line of Figure 1</w:t>
      </w:r>
      <w:r w:rsidR="004639E7">
        <w:rPr>
          <w:lang w:val="en-GB"/>
        </w:rPr>
        <w:t xml:space="preserve">, just like Malta, which started </w:t>
      </w:r>
      <w:r w:rsidR="00F86E13">
        <w:rPr>
          <w:lang w:val="en-GB"/>
        </w:rPr>
        <w:t>the</w:t>
      </w:r>
      <w:r w:rsidR="004639E7">
        <w:rPr>
          <w:lang w:val="en-GB"/>
        </w:rPr>
        <w:t xml:space="preserve"> convergence process at 71 per cent in 2004 and reached 82 per cent 10 year later</w:t>
      </w:r>
      <w:r w:rsidRPr="00184430">
        <w:rPr>
          <w:lang w:val="en-GB"/>
        </w:rPr>
        <w:t xml:space="preserve">. </w:t>
      </w:r>
      <w:r w:rsidR="002637A1">
        <w:rPr>
          <w:lang w:val="en-GB"/>
        </w:rPr>
        <w:t xml:space="preserve">Malta </w:t>
      </w:r>
      <w:r w:rsidR="003E055C">
        <w:rPr>
          <w:lang w:val="en-GB"/>
        </w:rPr>
        <w:t xml:space="preserve">managed to </w:t>
      </w:r>
      <w:r w:rsidR="002637A1">
        <w:rPr>
          <w:lang w:val="en-GB"/>
        </w:rPr>
        <w:t xml:space="preserve">outperform Slovenia, which was the most developed country of the 10 states </w:t>
      </w:r>
      <w:r w:rsidR="002F1695">
        <w:rPr>
          <w:lang w:val="en-GB"/>
        </w:rPr>
        <w:t>acceding in 2004</w:t>
      </w:r>
      <w:r w:rsidR="002637A1">
        <w:rPr>
          <w:lang w:val="en-GB"/>
        </w:rPr>
        <w:t>. Slovenia</w:t>
      </w:r>
      <w:r w:rsidR="003E055C">
        <w:rPr>
          <w:lang w:val="en-GB"/>
        </w:rPr>
        <w:t>,</w:t>
      </w:r>
      <w:r w:rsidR="002637A1">
        <w:rPr>
          <w:lang w:val="en-GB"/>
        </w:rPr>
        <w:t xml:space="preserve"> in relative terms</w:t>
      </w:r>
      <w:r w:rsidR="003E055C">
        <w:rPr>
          <w:lang w:val="en-GB"/>
        </w:rPr>
        <w:t>,</w:t>
      </w:r>
      <w:r w:rsidR="002637A1">
        <w:rPr>
          <w:lang w:val="en-GB"/>
        </w:rPr>
        <w:t xml:space="preserve"> did not manage to approximate the EU15 average</w:t>
      </w:r>
      <w:r w:rsidR="00C3013B">
        <w:rPr>
          <w:lang w:val="en-GB"/>
        </w:rPr>
        <w:t>; it stayed where it was at the time of accession, at 75</w:t>
      </w:r>
      <w:r w:rsidR="00F86E13">
        <w:rPr>
          <w:lang w:val="en-GB"/>
        </w:rPr>
        <w:t xml:space="preserve"> per cent</w:t>
      </w:r>
      <w:r w:rsidR="002637A1">
        <w:rPr>
          <w:lang w:val="en-GB"/>
        </w:rPr>
        <w:t>. Comment</w:t>
      </w:r>
      <w:r w:rsidR="00901E5E">
        <w:rPr>
          <w:lang w:val="en-GB"/>
        </w:rPr>
        <w:t>a</w:t>
      </w:r>
      <w:r w:rsidR="002637A1">
        <w:rPr>
          <w:lang w:val="en-GB"/>
        </w:rPr>
        <w:t xml:space="preserve">tors on the Slovenian failure </w:t>
      </w:r>
      <w:r w:rsidR="003E055C">
        <w:rPr>
          <w:lang w:val="en-GB"/>
        </w:rPr>
        <w:t xml:space="preserve">name </w:t>
      </w:r>
      <w:r w:rsidR="002637A1">
        <w:rPr>
          <w:lang w:val="en-GB"/>
        </w:rPr>
        <w:t xml:space="preserve">the lack of structural and institutional reforms, </w:t>
      </w:r>
      <w:r w:rsidR="00893A9D">
        <w:rPr>
          <w:lang w:val="en-GB"/>
        </w:rPr>
        <w:t xml:space="preserve">oversized state-controlled enterprises, </w:t>
      </w:r>
      <w:r w:rsidR="002637A1">
        <w:rPr>
          <w:lang w:val="en-GB"/>
        </w:rPr>
        <w:t xml:space="preserve">the overregulated </w:t>
      </w:r>
      <w:r w:rsidR="00893A9D">
        <w:rPr>
          <w:lang w:val="en-GB"/>
        </w:rPr>
        <w:t>and unfavourable business environment</w:t>
      </w:r>
      <w:r w:rsidR="002637A1">
        <w:rPr>
          <w:lang w:val="en-GB"/>
        </w:rPr>
        <w:t xml:space="preserve">, </w:t>
      </w:r>
      <w:r w:rsidR="00901E5E">
        <w:rPr>
          <w:lang w:val="en-GB"/>
        </w:rPr>
        <w:t xml:space="preserve">and </w:t>
      </w:r>
      <w:r w:rsidR="00893A9D">
        <w:rPr>
          <w:lang w:val="en-GB"/>
        </w:rPr>
        <w:t xml:space="preserve">especially </w:t>
      </w:r>
      <w:r w:rsidR="00901E5E">
        <w:rPr>
          <w:lang w:val="en-GB"/>
        </w:rPr>
        <w:t xml:space="preserve">the deterioration of </w:t>
      </w:r>
      <w:r w:rsidR="00893A9D">
        <w:rPr>
          <w:lang w:val="en-GB"/>
        </w:rPr>
        <w:t>the country’s</w:t>
      </w:r>
      <w:r w:rsidR="00901E5E">
        <w:rPr>
          <w:lang w:val="en-GB"/>
        </w:rPr>
        <w:t xml:space="preserve"> </w:t>
      </w:r>
      <w:r w:rsidR="00893A9D">
        <w:rPr>
          <w:lang w:val="en-GB"/>
        </w:rPr>
        <w:t xml:space="preserve">export </w:t>
      </w:r>
      <w:r w:rsidR="00901E5E">
        <w:rPr>
          <w:lang w:val="en-GB"/>
        </w:rPr>
        <w:t xml:space="preserve">competitiveness </w:t>
      </w:r>
      <w:r w:rsidR="003E055C">
        <w:rPr>
          <w:lang w:val="en-GB"/>
        </w:rPr>
        <w:t xml:space="preserve">as the main detrimental factors to growth </w:t>
      </w:r>
      <w:r w:rsidR="00901E5E">
        <w:rPr>
          <w:lang w:val="en-GB"/>
        </w:rPr>
        <w:t xml:space="preserve">(see especially </w:t>
      </w:r>
      <w:r w:rsidR="00893A9D">
        <w:rPr>
          <w:lang w:val="en-GB"/>
        </w:rPr>
        <w:t>E</w:t>
      </w:r>
      <w:r w:rsidR="00C3013B">
        <w:rPr>
          <w:lang w:val="en-GB"/>
        </w:rPr>
        <w:t xml:space="preserve">uropean </w:t>
      </w:r>
      <w:r w:rsidR="00893A9D">
        <w:rPr>
          <w:lang w:val="en-GB"/>
        </w:rPr>
        <w:t>C</w:t>
      </w:r>
      <w:r w:rsidR="00C3013B">
        <w:rPr>
          <w:lang w:val="en-GB"/>
        </w:rPr>
        <w:t>ommission</w:t>
      </w:r>
      <w:r w:rsidR="00893A9D">
        <w:rPr>
          <w:lang w:val="en-GB"/>
        </w:rPr>
        <w:t xml:space="preserve"> 2014</w:t>
      </w:r>
      <w:r w:rsidR="00EE038B">
        <w:rPr>
          <w:lang w:val="en-GB"/>
        </w:rPr>
        <w:t>b</w:t>
      </w:r>
      <w:r w:rsidR="00893A9D">
        <w:rPr>
          <w:lang w:val="en-GB"/>
        </w:rPr>
        <w:t xml:space="preserve">). </w:t>
      </w:r>
      <w:r w:rsidR="003D108C">
        <w:rPr>
          <w:lang w:val="en-GB"/>
        </w:rPr>
        <w:t>T</w:t>
      </w:r>
      <w:r w:rsidRPr="00184430">
        <w:rPr>
          <w:lang w:val="en-GB"/>
        </w:rPr>
        <w:t xml:space="preserve">he </w:t>
      </w:r>
      <w:r w:rsidR="004D4D21">
        <w:rPr>
          <w:lang w:val="en-GB"/>
        </w:rPr>
        <w:t xml:space="preserve">other CEE </w:t>
      </w:r>
      <w:r w:rsidRPr="00184430">
        <w:rPr>
          <w:lang w:val="en-GB"/>
        </w:rPr>
        <w:t>country which did not manage to capitalise on EU accession was Hungary</w:t>
      </w:r>
      <w:r w:rsidR="00C3013B">
        <w:rPr>
          <w:lang w:val="en-GB"/>
        </w:rPr>
        <w:t xml:space="preserve">. </w:t>
      </w:r>
      <w:r w:rsidR="0068520E">
        <w:rPr>
          <w:lang w:val="en-GB"/>
        </w:rPr>
        <w:t>A</w:t>
      </w:r>
      <w:r w:rsidR="00F86E13">
        <w:rPr>
          <w:lang w:val="en-GB"/>
        </w:rPr>
        <w:t>t the time of accession i</w:t>
      </w:r>
      <w:r w:rsidR="00C3013B">
        <w:rPr>
          <w:lang w:val="en-GB"/>
        </w:rPr>
        <w:t xml:space="preserve">t had </w:t>
      </w:r>
      <w:r w:rsidRPr="00184430">
        <w:rPr>
          <w:lang w:val="en-GB"/>
        </w:rPr>
        <w:t xml:space="preserve">the </w:t>
      </w:r>
      <w:r w:rsidR="00704393" w:rsidRPr="00184430">
        <w:rPr>
          <w:lang w:val="en-GB"/>
        </w:rPr>
        <w:t>third</w:t>
      </w:r>
      <w:r w:rsidRPr="00184430">
        <w:rPr>
          <w:lang w:val="en-GB"/>
        </w:rPr>
        <w:t xml:space="preserve"> highest </w:t>
      </w:r>
      <w:r w:rsidR="00F86E13" w:rsidRPr="00184430">
        <w:rPr>
          <w:lang w:val="en-GB"/>
        </w:rPr>
        <w:t xml:space="preserve">per capita </w:t>
      </w:r>
      <w:r w:rsidRPr="00184430">
        <w:rPr>
          <w:lang w:val="en-GB"/>
        </w:rPr>
        <w:t>income among</w:t>
      </w:r>
      <w:r w:rsidR="002F1695">
        <w:rPr>
          <w:lang w:val="en-GB"/>
        </w:rPr>
        <w:t xml:space="preserve"> </w:t>
      </w:r>
      <w:r w:rsidRPr="00184430">
        <w:rPr>
          <w:lang w:val="en-GB"/>
        </w:rPr>
        <w:t xml:space="preserve">the </w:t>
      </w:r>
      <w:r w:rsidR="002F1695">
        <w:rPr>
          <w:lang w:val="en-GB"/>
        </w:rPr>
        <w:t>CEE8</w:t>
      </w:r>
      <w:r w:rsidRPr="00184430">
        <w:rPr>
          <w:lang w:val="en-GB"/>
        </w:rPr>
        <w:t xml:space="preserve"> countries</w:t>
      </w:r>
      <w:r w:rsidR="00704393" w:rsidRPr="00184430">
        <w:rPr>
          <w:lang w:val="en-GB"/>
        </w:rPr>
        <w:t>, right behind Slovenia and the Czech Republic</w:t>
      </w:r>
      <w:r w:rsidRPr="00184430">
        <w:rPr>
          <w:lang w:val="en-GB"/>
        </w:rPr>
        <w:t xml:space="preserve">. Although </w:t>
      </w:r>
      <w:r w:rsidR="00580104" w:rsidRPr="00184430">
        <w:rPr>
          <w:lang w:val="en-GB"/>
        </w:rPr>
        <w:t>Hungary</w:t>
      </w:r>
      <w:r w:rsidR="004D4D21">
        <w:rPr>
          <w:lang w:val="en-GB"/>
        </w:rPr>
        <w:t>, in sharp contrast to Slovenia,</w:t>
      </w:r>
      <w:r w:rsidR="00580104" w:rsidRPr="00184430">
        <w:rPr>
          <w:lang w:val="en-GB"/>
        </w:rPr>
        <w:t xml:space="preserve"> experienced </w:t>
      </w:r>
      <w:r w:rsidR="00C3013B">
        <w:rPr>
          <w:lang w:val="en-GB"/>
        </w:rPr>
        <w:t>some advances</w:t>
      </w:r>
      <w:r w:rsidR="003E07C6" w:rsidRPr="00184430">
        <w:rPr>
          <w:lang w:val="en-GB"/>
        </w:rPr>
        <w:t xml:space="preserve"> </w:t>
      </w:r>
      <w:r w:rsidR="00580104" w:rsidRPr="00184430">
        <w:rPr>
          <w:lang w:val="en-GB"/>
        </w:rPr>
        <w:t xml:space="preserve">in </w:t>
      </w:r>
      <w:r w:rsidR="003E07C6" w:rsidRPr="00184430">
        <w:rPr>
          <w:lang w:val="en-GB"/>
        </w:rPr>
        <w:t xml:space="preserve">its relative income </w:t>
      </w:r>
      <w:r w:rsidR="00C3013B">
        <w:rPr>
          <w:lang w:val="en-GB"/>
        </w:rPr>
        <w:t xml:space="preserve">position </w:t>
      </w:r>
      <w:r w:rsidR="00F86E13">
        <w:rPr>
          <w:lang w:val="en-GB"/>
        </w:rPr>
        <w:t xml:space="preserve">(it rose </w:t>
      </w:r>
      <w:r w:rsidR="003E07C6" w:rsidRPr="00184430">
        <w:rPr>
          <w:lang w:val="en-GB"/>
        </w:rPr>
        <w:t>from 54</w:t>
      </w:r>
      <w:r w:rsidR="001D3B9C">
        <w:rPr>
          <w:lang w:val="en-GB"/>
        </w:rPr>
        <w:t xml:space="preserve"> per cent</w:t>
      </w:r>
      <w:r w:rsidR="003E07C6" w:rsidRPr="00184430">
        <w:rPr>
          <w:lang w:val="en-GB"/>
        </w:rPr>
        <w:t xml:space="preserve"> to 62</w:t>
      </w:r>
      <w:r w:rsidR="001D3B9C">
        <w:rPr>
          <w:lang w:val="en-GB"/>
        </w:rPr>
        <w:t xml:space="preserve"> per cent</w:t>
      </w:r>
      <w:r w:rsidR="00F86E13">
        <w:rPr>
          <w:lang w:val="en-GB"/>
        </w:rPr>
        <w:t>)</w:t>
      </w:r>
      <w:r w:rsidR="00580104" w:rsidRPr="00184430">
        <w:rPr>
          <w:lang w:val="en-GB"/>
        </w:rPr>
        <w:t xml:space="preserve">, </w:t>
      </w:r>
      <w:r w:rsidR="0039778D">
        <w:rPr>
          <w:lang w:val="en-GB"/>
        </w:rPr>
        <w:t>it</w:t>
      </w:r>
      <w:r w:rsidR="00704393" w:rsidRPr="00184430">
        <w:rPr>
          <w:lang w:val="en-GB"/>
        </w:rPr>
        <w:t xml:space="preserve"> ha</w:t>
      </w:r>
      <w:r w:rsidR="008F0D71">
        <w:rPr>
          <w:lang w:val="en-GB"/>
        </w:rPr>
        <w:t>d</w:t>
      </w:r>
      <w:r w:rsidR="00704393" w:rsidRPr="00184430">
        <w:rPr>
          <w:lang w:val="en-GB"/>
        </w:rPr>
        <w:t xml:space="preserve"> been </w:t>
      </w:r>
      <w:r w:rsidR="00C3013B">
        <w:rPr>
          <w:lang w:val="en-GB"/>
        </w:rPr>
        <w:t xml:space="preserve">seriously </w:t>
      </w:r>
      <w:r w:rsidR="00704393" w:rsidRPr="00184430">
        <w:rPr>
          <w:lang w:val="en-GB"/>
        </w:rPr>
        <w:t xml:space="preserve">outperformed by </w:t>
      </w:r>
      <w:r w:rsidR="00C3013B">
        <w:rPr>
          <w:lang w:val="en-GB"/>
        </w:rPr>
        <w:t>all the others</w:t>
      </w:r>
      <w:r w:rsidR="005674AB">
        <w:rPr>
          <w:lang w:val="en-GB"/>
        </w:rPr>
        <w:t xml:space="preserve"> by </w:t>
      </w:r>
      <w:r w:rsidR="00C3013B">
        <w:rPr>
          <w:lang w:val="en-GB"/>
        </w:rPr>
        <w:t>2014</w:t>
      </w:r>
      <w:r w:rsidR="00704393" w:rsidRPr="00184430">
        <w:rPr>
          <w:lang w:val="en-GB"/>
        </w:rPr>
        <w:t xml:space="preserve">. </w:t>
      </w:r>
      <w:r w:rsidR="002F1695">
        <w:rPr>
          <w:lang w:val="en-GB"/>
        </w:rPr>
        <w:t xml:space="preserve">This conclusion is hardly moderated by </w:t>
      </w:r>
      <w:r w:rsidR="004D4D21">
        <w:rPr>
          <w:lang w:val="en-GB"/>
        </w:rPr>
        <w:t>the country</w:t>
      </w:r>
      <w:r w:rsidR="002F1695">
        <w:rPr>
          <w:lang w:val="en-GB"/>
        </w:rPr>
        <w:t xml:space="preserve">’s good economic performance in 2014, the </w:t>
      </w:r>
      <w:r w:rsidR="00F86E13">
        <w:rPr>
          <w:lang w:val="en-GB"/>
        </w:rPr>
        <w:t xml:space="preserve">long run sustainability of </w:t>
      </w:r>
      <w:r w:rsidR="002F1695">
        <w:rPr>
          <w:lang w:val="en-GB"/>
        </w:rPr>
        <w:t>which</w:t>
      </w:r>
      <w:r w:rsidR="00F86E13">
        <w:rPr>
          <w:lang w:val="en-GB"/>
        </w:rPr>
        <w:t xml:space="preserve"> is</w:t>
      </w:r>
      <w:r w:rsidR="002F1695">
        <w:rPr>
          <w:lang w:val="en-GB"/>
        </w:rPr>
        <w:t xml:space="preserve"> seen as</w:t>
      </w:r>
      <w:r w:rsidR="00F86E13">
        <w:rPr>
          <w:lang w:val="en-GB"/>
        </w:rPr>
        <w:t xml:space="preserve"> </w:t>
      </w:r>
      <w:r w:rsidR="00C3013B">
        <w:rPr>
          <w:lang w:val="en-GB"/>
        </w:rPr>
        <w:t xml:space="preserve">highly questionable. </w:t>
      </w:r>
      <w:r w:rsidR="005674AB">
        <w:rPr>
          <w:lang w:val="en-GB"/>
        </w:rPr>
        <w:t xml:space="preserve">It is important to note, however, that both Slovenia and Hungary </w:t>
      </w:r>
      <w:r w:rsidR="003157CD">
        <w:rPr>
          <w:lang w:val="en-GB"/>
        </w:rPr>
        <w:t xml:space="preserve">faced these </w:t>
      </w:r>
      <w:r w:rsidR="005674AB">
        <w:rPr>
          <w:lang w:val="en-GB"/>
        </w:rPr>
        <w:t>deteriorati</w:t>
      </w:r>
      <w:r w:rsidR="00F86E13">
        <w:rPr>
          <w:lang w:val="en-GB"/>
        </w:rPr>
        <w:t>ng</w:t>
      </w:r>
      <w:r w:rsidR="005674AB">
        <w:rPr>
          <w:lang w:val="en-GB"/>
        </w:rPr>
        <w:t xml:space="preserve"> </w:t>
      </w:r>
      <w:r w:rsidR="003157CD">
        <w:rPr>
          <w:lang w:val="en-GB"/>
        </w:rPr>
        <w:t xml:space="preserve">tendencies </w:t>
      </w:r>
      <w:r w:rsidR="005674AB">
        <w:rPr>
          <w:lang w:val="en-GB"/>
        </w:rPr>
        <w:t xml:space="preserve">well </w:t>
      </w:r>
      <w:r w:rsidR="005674AB" w:rsidRPr="0094279E">
        <w:rPr>
          <w:i/>
          <w:lang w:val="en-GB"/>
        </w:rPr>
        <w:t>before</w:t>
      </w:r>
      <w:r w:rsidR="005674AB">
        <w:rPr>
          <w:lang w:val="en-GB"/>
        </w:rPr>
        <w:t xml:space="preserve"> </w:t>
      </w:r>
      <w:r w:rsidR="003157CD">
        <w:rPr>
          <w:lang w:val="en-GB"/>
        </w:rPr>
        <w:t xml:space="preserve">EU </w:t>
      </w:r>
      <w:r w:rsidR="005674AB">
        <w:rPr>
          <w:lang w:val="en-GB"/>
        </w:rPr>
        <w:t xml:space="preserve">accession. As </w:t>
      </w:r>
      <w:r w:rsidR="004311BD">
        <w:rPr>
          <w:lang w:val="en-GB"/>
        </w:rPr>
        <w:t xml:space="preserve">pointed out by </w:t>
      </w:r>
      <w:proofErr w:type="spellStart"/>
      <w:r w:rsidR="005674AB">
        <w:rPr>
          <w:lang w:val="en-GB"/>
        </w:rPr>
        <w:t>Murn</w:t>
      </w:r>
      <w:proofErr w:type="spellEnd"/>
      <w:r w:rsidR="005674AB">
        <w:rPr>
          <w:lang w:val="en-GB"/>
        </w:rPr>
        <w:t xml:space="preserve"> et al</w:t>
      </w:r>
      <w:r w:rsidR="002F1695">
        <w:rPr>
          <w:lang w:val="en-GB"/>
        </w:rPr>
        <w:t>.</w:t>
      </w:r>
      <w:r w:rsidR="005674AB">
        <w:rPr>
          <w:lang w:val="en-GB"/>
        </w:rPr>
        <w:t xml:space="preserve"> (2002)</w:t>
      </w:r>
      <w:r w:rsidR="00F86E13">
        <w:rPr>
          <w:lang w:val="en-GB"/>
        </w:rPr>
        <w:t>,</w:t>
      </w:r>
      <w:r w:rsidR="005674AB">
        <w:rPr>
          <w:lang w:val="en-GB"/>
        </w:rPr>
        <w:t xml:space="preserve"> </w:t>
      </w:r>
      <w:r w:rsidR="005674AB">
        <w:rPr>
          <w:lang w:val="en-GB"/>
        </w:rPr>
        <w:lastRenderedPageBreak/>
        <w:t xml:space="preserve">Slovenia </w:t>
      </w:r>
      <w:r w:rsidR="003157CD">
        <w:rPr>
          <w:lang w:val="en-GB"/>
        </w:rPr>
        <w:t xml:space="preserve">experienced </w:t>
      </w:r>
      <w:r w:rsidR="00430952">
        <w:rPr>
          <w:lang w:val="en-GB"/>
        </w:rPr>
        <w:t xml:space="preserve">worsening </w:t>
      </w:r>
      <w:r w:rsidR="005674AB">
        <w:rPr>
          <w:lang w:val="en-GB"/>
        </w:rPr>
        <w:t>conditions</w:t>
      </w:r>
      <w:r w:rsidR="0030676E">
        <w:rPr>
          <w:lang w:val="en-GB"/>
        </w:rPr>
        <w:t>,</w:t>
      </w:r>
      <w:r w:rsidR="005674AB">
        <w:rPr>
          <w:lang w:val="en-GB"/>
        </w:rPr>
        <w:t xml:space="preserve"> </w:t>
      </w:r>
      <w:r w:rsidR="004311BD">
        <w:rPr>
          <w:lang w:val="en-GB"/>
        </w:rPr>
        <w:t>including low levels of</w:t>
      </w:r>
      <w:r w:rsidR="005674AB">
        <w:rPr>
          <w:lang w:val="en-GB"/>
        </w:rPr>
        <w:t xml:space="preserve"> </w:t>
      </w:r>
      <w:r w:rsidR="00C722F7">
        <w:rPr>
          <w:lang w:val="en-GB"/>
        </w:rPr>
        <w:t>foreign direct investment</w:t>
      </w:r>
      <w:r w:rsidR="005674AB">
        <w:rPr>
          <w:lang w:val="en-GB"/>
        </w:rPr>
        <w:t xml:space="preserve"> inflow</w:t>
      </w:r>
      <w:r w:rsidR="004311BD">
        <w:rPr>
          <w:lang w:val="en-GB"/>
        </w:rPr>
        <w:t>s</w:t>
      </w:r>
      <w:r w:rsidR="005674AB">
        <w:rPr>
          <w:lang w:val="en-GB"/>
        </w:rPr>
        <w:t xml:space="preserve">, high unit labour costs, </w:t>
      </w:r>
      <w:r w:rsidR="004311BD">
        <w:rPr>
          <w:lang w:val="en-GB"/>
        </w:rPr>
        <w:t xml:space="preserve">and </w:t>
      </w:r>
      <w:r w:rsidR="00C722F7">
        <w:rPr>
          <w:lang w:val="en-GB"/>
        </w:rPr>
        <w:t>an excessive</w:t>
      </w:r>
      <w:r w:rsidR="005674AB">
        <w:rPr>
          <w:lang w:val="en-GB"/>
        </w:rPr>
        <w:t xml:space="preserve"> emphasis on labour-intensive production</w:t>
      </w:r>
      <w:r w:rsidR="004311BD">
        <w:rPr>
          <w:lang w:val="en-GB"/>
        </w:rPr>
        <w:t xml:space="preserve"> at </w:t>
      </w:r>
      <w:r w:rsidR="005674AB">
        <w:rPr>
          <w:lang w:val="en-GB"/>
        </w:rPr>
        <w:t>the turn of the millennium</w:t>
      </w:r>
      <w:r w:rsidR="00430952">
        <w:rPr>
          <w:lang w:val="en-GB"/>
        </w:rPr>
        <w:t xml:space="preserve"> already</w:t>
      </w:r>
      <w:r w:rsidR="005674AB">
        <w:rPr>
          <w:lang w:val="en-GB"/>
        </w:rPr>
        <w:t xml:space="preserve">. </w:t>
      </w:r>
      <w:r w:rsidR="00AD57C3">
        <w:rPr>
          <w:lang w:val="en-GB"/>
        </w:rPr>
        <w:t>T</w:t>
      </w:r>
      <w:r w:rsidR="005674AB">
        <w:rPr>
          <w:lang w:val="en-GB"/>
        </w:rPr>
        <w:t xml:space="preserve">he major blow to </w:t>
      </w:r>
      <w:r w:rsidR="00AD57C3">
        <w:rPr>
          <w:lang w:val="en-GB"/>
        </w:rPr>
        <w:t>Hungary’s</w:t>
      </w:r>
      <w:r w:rsidR="005674AB">
        <w:rPr>
          <w:lang w:val="en-GB"/>
        </w:rPr>
        <w:t xml:space="preserve"> </w:t>
      </w:r>
      <w:r w:rsidR="003157CD">
        <w:rPr>
          <w:lang w:val="en-GB"/>
        </w:rPr>
        <w:t xml:space="preserve">economic </w:t>
      </w:r>
      <w:r w:rsidR="00430952">
        <w:rPr>
          <w:lang w:val="en-GB"/>
        </w:rPr>
        <w:t>development</w:t>
      </w:r>
      <w:r w:rsidR="005674AB">
        <w:rPr>
          <w:lang w:val="en-GB"/>
        </w:rPr>
        <w:t xml:space="preserve"> </w:t>
      </w:r>
      <w:r w:rsidR="003157CD">
        <w:rPr>
          <w:lang w:val="en-GB"/>
        </w:rPr>
        <w:t>came around 2001 and 2002</w:t>
      </w:r>
      <w:r w:rsidR="004311BD">
        <w:rPr>
          <w:lang w:val="en-GB"/>
        </w:rPr>
        <w:t>,</w:t>
      </w:r>
      <w:r w:rsidR="003157CD">
        <w:rPr>
          <w:lang w:val="en-GB"/>
        </w:rPr>
        <w:t xml:space="preserve"> when </w:t>
      </w:r>
      <w:r w:rsidR="005674AB">
        <w:rPr>
          <w:lang w:val="en-GB"/>
        </w:rPr>
        <w:t>the public sector</w:t>
      </w:r>
      <w:r w:rsidR="003157CD">
        <w:rPr>
          <w:lang w:val="en-GB"/>
        </w:rPr>
        <w:t xml:space="preserve"> turned into the playground of short-sighted politicians</w:t>
      </w:r>
      <w:r w:rsidR="00F86E13">
        <w:rPr>
          <w:lang w:val="en-GB"/>
        </w:rPr>
        <w:t xml:space="preserve"> (</w:t>
      </w:r>
      <w:r w:rsidR="005674AB">
        <w:rPr>
          <w:lang w:val="en-GB"/>
        </w:rPr>
        <w:t>Benczes</w:t>
      </w:r>
      <w:r w:rsidR="00C65F9C">
        <w:rPr>
          <w:lang w:val="en-GB"/>
        </w:rPr>
        <w:t xml:space="preserve"> and Takács</w:t>
      </w:r>
      <w:r w:rsidR="0027742B">
        <w:rPr>
          <w:lang w:val="en-GB"/>
        </w:rPr>
        <w:t>,</w:t>
      </w:r>
      <w:r w:rsidR="005674AB">
        <w:rPr>
          <w:lang w:val="en-GB"/>
        </w:rPr>
        <w:t xml:space="preserve"> 2014</w:t>
      </w:r>
      <w:r w:rsidR="0027742B">
        <w:rPr>
          <w:lang w:val="en-GB"/>
        </w:rPr>
        <w:t>;</w:t>
      </w:r>
      <w:r w:rsidR="005674AB">
        <w:rPr>
          <w:lang w:val="en-GB"/>
        </w:rPr>
        <w:t xml:space="preserve"> Csaba</w:t>
      </w:r>
      <w:r w:rsidR="0027742B">
        <w:rPr>
          <w:lang w:val="en-GB"/>
        </w:rPr>
        <w:t>,</w:t>
      </w:r>
      <w:r w:rsidR="005674AB">
        <w:rPr>
          <w:lang w:val="en-GB"/>
        </w:rPr>
        <w:t xml:space="preserve"> 2011).</w:t>
      </w:r>
      <w:r w:rsidR="003157CD">
        <w:rPr>
          <w:lang w:val="en-GB"/>
        </w:rPr>
        <w:t xml:space="preserve"> </w:t>
      </w:r>
    </w:p>
    <w:p w:rsidR="00C722F7" w:rsidRPr="00184430" w:rsidRDefault="00C722F7" w:rsidP="00FD1D46">
      <w:pPr>
        <w:spacing w:line="276" w:lineRule="auto"/>
        <w:jc w:val="both"/>
        <w:rPr>
          <w:lang w:val="en-GB"/>
        </w:rPr>
      </w:pPr>
    </w:p>
    <w:p w:rsidR="005076A0" w:rsidRDefault="00F86E13">
      <w:pPr>
        <w:spacing w:line="276" w:lineRule="auto"/>
        <w:jc w:val="both"/>
        <w:rPr>
          <w:lang w:val="en-GB"/>
        </w:rPr>
      </w:pPr>
      <w:r>
        <w:rPr>
          <w:lang w:val="en-GB"/>
        </w:rPr>
        <w:t xml:space="preserve">At the other end of the trend line, old </w:t>
      </w:r>
      <w:r w:rsidR="0085611E">
        <w:rPr>
          <w:lang w:val="en-GB"/>
        </w:rPr>
        <w:t>M</w:t>
      </w:r>
      <w:r>
        <w:rPr>
          <w:lang w:val="en-GB"/>
        </w:rPr>
        <w:t xml:space="preserve">ember </w:t>
      </w:r>
      <w:r w:rsidR="0085611E">
        <w:rPr>
          <w:lang w:val="en-GB"/>
        </w:rPr>
        <w:t>S</w:t>
      </w:r>
      <w:r>
        <w:rPr>
          <w:lang w:val="en-GB"/>
        </w:rPr>
        <w:t>tates displayed high starting per capita incomes and relatively low annual growth rates</w:t>
      </w:r>
      <w:r w:rsidR="008D0C70">
        <w:rPr>
          <w:lang w:val="en-GB"/>
        </w:rPr>
        <w:t xml:space="preserve"> as the income convergence hypothesis would predict it</w:t>
      </w:r>
      <w:r>
        <w:rPr>
          <w:lang w:val="en-GB"/>
        </w:rPr>
        <w:t xml:space="preserve">. </w:t>
      </w:r>
      <w:r w:rsidR="00883421">
        <w:rPr>
          <w:lang w:val="en-GB"/>
        </w:rPr>
        <w:t>By and large, a</w:t>
      </w:r>
      <w:r w:rsidR="00883421" w:rsidRPr="00184430">
        <w:rPr>
          <w:lang w:val="en-GB"/>
        </w:rPr>
        <w:t xml:space="preserve">ll the </w:t>
      </w:r>
      <w:r w:rsidR="00883421">
        <w:rPr>
          <w:lang w:val="en-GB"/>
        </w:rPr>
        <w:t>‘</w:t>
      </w:r>
      <w:r w:rsidR="00883421" w:rsidRPr="00184430">
        <w:rPr>
          <w:lang w:val="en-GB"/>
        </w:rPr>
        <w:t>core</w:t>
      </w:r>
      <w:r w:rsidR="00883421">
        <w:rPr>
          <w:lang w:val="en-GB"/>
        </w:rPr>
        <w:t>’</w:t>
      </w:r>
      <w:r w:rsidR="00883421" w:rsidRPr="00184430">
        <w:rPr>
          <w:lang w:val="en-GB"/>
        </w:rPr>
        <w:t xml:space="preserve"> countries managed to slightly increase their relative income position</w:t>
      </w:r>
      <w:r w:rsidR="00883421">
        <w:rPr>
          <w:lang w:val="en-GB"/>
        </w:rPr>
        <w:t>s</w:t>
      </w:r>
      <w:r w:rsidR="00883421" w:rsidRPr="00184430">
        <w:rPr>
          <w:lang w:val="en-GB"/>
        </w:rPr>
        <w:t xml:space="preserve"> between 2004 and 2014</w:t>
      </w:r>
      <w:r w:rsidR="00AD57C3">
        <w:rPr>
          <w:lang w:val="en-GB"/>
        </w:rPr>
        <w:t>, but there is ample evidence for spread around the trend here too</w:t>
      </w:r>
      <w:r w:rsidR="00883421" w:rsidRPr="00184430">
        <w:rPr>
          <w:lang w:val="en-GB"/>
        </w:rPr>
        <w:t>.</w:t>
      </w:r>
      <w:r w:rsidR="004F63C7" w:rsidRPr="00184430">
        <w:rPr>
          <w:lang w:val="en-GB"/>
        </w:rPr>
        <w:t xml:space="preserve"> </w:t>
      </w:r>
      <w:r w:rsidR="008F0D71">
        <w:rPr>
          <w:lang w:val="en-GB"/>
        </w:rPr>
        <w:t xml:space="preserve">The United Kingdom </w:t>
      </w:r>
      <w:r w:rsidR="004F63C7" w:rsidRPr="00184430">
        <w:rPr>
          <w:lang w:val="en-GB"/>
        </w:rPr>
        <w:t xml:space="preserve">and Sweden </w:t>
      </w:r>
      <w:r w:rsidR="008562A0">
        <w:rPr>
          <w:lang w:val="en-GB"/>
        </w:rPr>
        <w:t>excel</w:t>
      </w:r>
      <w:r w:rsidR="008D0C70">
        <w:rPr>
          <w:lang w:val="en-GB"/>
        </w:rPr>
        <w:t>ed</w:t>
      </w:r>
      <w:r w:rsidR="00D03D28">
        <w:rPr>
          <w:lang w:val="en-GB"/>
        </w:rPr>
        <w:t xml:space="preserve"> with an annual av</w:t>
      </w:r>
      <w:r w:rsidR="008D10E0">
        <w:rPr>
          <w:lang w:val="en-GB"/>
        </w:rPr>
        <w:t xml:space="preserve">erage </w:t>
      </w:r>
      <w:r w:rsidR="008562A0">
        <w:rPr>
          <w:lang w:val="en-GB"/>
        </w:rPr>
        <w:t xml:space="preserve">growth </w:t>
      </w:r>
      <w:r w:rsidR="00D50CD0" w:rsidRPr="00184430">
        <w:rPr>
          <w:lang w:val="en-GB"/>
        </w:rPr>
        <w:t xml:space="preserve">rate of </w:t>
      </w:r>
      <w:r w:rsidR="001C4B53" w:rsidRPr="00184430">
        <w:rPr>
          <w:lang w:val="en-GB"/>
        </w:rPr>
        <w:t>2</w:t>
      </w:r>
      <w:r w:rsidR="001D3B9C">
        <w:rPr>
          <w:lang w:val="en-GB"/>
        </w:rPr>
        <w:t xml:space="preserve"> per cent</w:t>
      </w:r>
      <w:r w:rsidR="001C4B53" w:rsidRPr="00184430">
        <w:rPr>
          <w:lang w:val="en-GB"/>
        </w:rPr>
        <w:t xml:space="preserve">. </w:t>
      </w:r>
      <w:r w:rsidR="004914BE">
        <w:rPr>
          <w:lang w:val="en-GB"/>
        </w:rPr>
        <w:t xml:space="preserve">Although </w:t>
      </w:r>
      <w:r w:rsidR="00AD57C3">
        <w:rPr>
          <w:lang w:val="en-GB"/>
        </w:rPr>
        <w:t xml:space="preserve">neither </w:t>
      </w:r>
      <w:r w:rsidR="004914BE">
        <w:rPr>
          <w:lang w:val="en-GB"/>
        </w:rPr>
        <w:t>of the</w:t>
      </w:r>
      <w:r w:rsidR="008D0C70">
        <w:rPr>
          <w:lang w:val="en-GB"/>
        </w:rPr>
        <w:t>m</w:t>
      </w:r>
      <w:r w:rsidR="008562A0">
        <w:rPr>
          <w:lang w:val="en-GB"/>
        </w:rPr>
        <w:t xml:space="preserve"> </w:t>
      </w:r>
      <w:r w:rsidR="004914BE">
        <w:rPr>
          <w:lang w:val="en-GB"/>
        </w:rPr>
        <w:t xml:space="preserve">avoided </w:t>
      </w:r>
      <w:r w:rsidR="005076A0">
        <w:rPr>
          <w:lang w:val="en-GB"/>
        </w:rPr>
        <w:t>the hit of the financial crisis, but a swift and robust recovery helped the</w:t>
      </w:r>
      <w:r w:rsidR="00BE0890">
        <w:rPr>
          <w:lang w:val="en-GB"/>
        </w:rPr>
        <w:t xml:space="preserve"> two economies</w:t>
      </w:r>
      <w:r w:rsidR="005076A0">
        <w:rPr>
          <w:lang w:val="en-GB"/>
        </w:rPr>
        <w:t xml:space="preserve"> attain a far better performance than other old Member States. </w:t>
      </w:r>
      <w:r w:rsidR="00A03E08">
        <w:rPr>
          <w:lang w:val="en-GB"/>
        </w:rPr>
        <w:t xml:space="preserve">The UK </w:t>
      </w:r>
      <w:r w:rsidR="005076A0">
        <w:rPr>
          <w:lang w:val="en-GB"/>
        </w:rPr>
        <w:t xml:space="preserve">experienced </w:t>
      </w:r>
      <w:r w:rsidR="00A03E08">
        <w:rPr>
          <w:lang w:val="en-GB"/>
        </w:rPr>
        <w:t xml:space="preserve">strong employment growth, </w:t>
      </w:r>
      <w:r w:rsidR="005076A0">
        <w:rPr>
          <w:lang w:val="en-GB"/>
        </w:rPr>
        <w:t xml:space="preserve">along with a </w:t>
      </w:r>
      <w:r w:rsidR="00A03E08">
        <w:rPr>
          <w:lang w:val="en-GB"/>
        </w:rPr>
        <w:t>massive inflow of workers</w:t>
      </w:r>
      <w:r w:rsidR="005076A0">
        <w:rPr>
          <w:lang w:val="en-GB"/>
        </w:rPr>
        <w:t xml:space="preserve"> in the last ten years</w:t>
      </w:r>
      <w:r w:rsidR="00BE0890">
        <w:rPr>
          <w:lang w:val="en-GB"/>
        </w:rPr>
        <w:t>, hugely benefiting from the Eastern enlargement of the EU</w:t>
      </w:r>
      <w:r w:rsidR="005076A0">
        <w:rPr>
          <w:lang w:val="en-GB"/>
        </w:rPr>
        <w:t xml:space="preserve">. Additionally, from 2010 onwards, the country has been undertaking a series of </w:t>
      </w:r>
      <w:r w:rsidR="00A03E08">
        <w:rPr>
          <w:lang w:val="en-GB"/>
        </w:rPr>
        <w:t xml:space="preserve">austerity </w:t>
      </w:r>
      <w:r w:rsidR="005076A0">
        <w:rPr>
          <w:lang w:val="en-GB"/>
        </w:rPr>
        <w:t xml:space="preserve">measures, mostly in the form of </w:t>
      </w:r>
      <w:r w:rsidR="00A03E08">
        <w:rPr>
          <w:lang w:val="en-GB"/>
        </w:rPr>
        <w:t xml:space="preserve">expenditure </w:t>
      </w:r>
      <w:r w:rsidR="005076A0">
        <w:rPr>
          <w:lang w:val="en-GB"/>
        </w:rPr>
        <w:t xml:space="preserve">cuts – although </w:t>
      </w:r>
      <w:r w:rsidR="0085611E">
        <w:rPr>
          <w:lang w:val="en-GB"/>
        </w:rPr>
        <w:t xml:space="preserve">the </w:t>
      </w:r>
      <w:r w:rsidR="005076A0">
        <w:rPr>
          <w:lang w:val="en-GB"/>
        </w:rPr>
        <w:t xml:space="preserve">public </w:t>
      </w:r>
      <w:r w:rsidR="00A03E08">
        <w:rPr>
          <w:lang w:val="en-GB"/>
        </w:rPr>
        <w:t>deficit is still above the 3 per cent limit</w:t>
      </w:r>
      <w:r w:rsidR="005076A0">
        <w:rPr>
          <w:lang w:val="en-GB"/>
        </w:rPr>
        <w:t>. The European Commis</w:t>
      </w:r>
      <w:r w:rsidR="00B10D22">
        <w:rPr>
          <w:lang w:val="en-GB"/>
        </w:rPr>
        <w:t>s</w:t>
      </w:r>
      <w:r w:rsidR="005076A0">
        <w:rPr>
          <w:lang w:val="en-GB"/>
        </w:rPr>
        <w:t>ion (2015</w:t>
      </w:r>
      <w:r w:rsidR="00B10D22">
        <w:rPr>
          <w:lang w:val="en-GB"/>
        </w:rPr>
        <w:t>a</w:t>
      </w:r>
      <w:r w:rsidR="005076A0">
        <w:rPr>
          <w:lang w:val="en-GB"/>
        </w:rPr>
        <w:t xml:space="preserve">), however, points to </w:t>
      </w:r>
      <w:r w:rsidR="00A03E08">
        <w:rPr>
          <w:lang w:val="en-GB"/>
        </w:rPr>
        <w:t>sluggish productivity</w:t>
      </w:r>
      <w:r w:rsidR="005076A0">
        <w:rPr>
          <w:lang w:val="en-GB"/>
        </w:rPr>
        <w:t xml:space="preserve"> which undermine</w:t>
      </w:r>
      <w:r w:rsidR="00085BFC">
        <w:rPr>
          <w:lang w:val="en-GB"/>
        </w:rPr>
        <w:t>s</w:t>
      </w:r>
      <w:r w:rsidR="005076A0">
        <w:rPr>
          <w:lang w:val="en-GB"/>
        </w:rPr>
        <w:t xml:space="preserve"> the sustainability of British performance. Sweden, on the other hand, avoid</w:t>
      </w:r>
      <w:r w:rsidR="00883421">
        <w:rPr>
          <w:lang w:val="en-GB"/>
        </w:rPr>
        <w:t>ed</w:t>
      </w:r>
      <w:r w:rsidR="005076A0">
        <w:rPr>
          <w:lang w:val="en-GB"/>
        </w:rPr>
        <w:t xml:space="preserve"> austerity</w:t>
      </w:r>
      <w:r w:rsidR="00BE0890">
        <w:rPr>
          <w:lang w:val="en-GB"/>
        </w:rPr>
        <w:t xml:space="preserve">. It managed </w:t>
      </w:r>
      <w:r w:rsidR="00883421">
        <w:rPr>
          <w:lang w:val="en-GB"/>
        </w:rPr>
        <w:t xml:space="preserve">to hold </w:t>
      </w:r>
      <w:r w:rsidR="00B10D22">
        <w:rPr>
          <w:lang w:val="en-GB"/>
        </w:rPr>
        <w:t>public debt at low levels and</w:t>
      </w:r>
      <w:r w:rsidR="005076A0">
        <w:rPr>
          <w:lang w:val="en-GB"/>
        </w:rPr>
        <w:t xml:space="preserve"> ran a balanced budget before</w:t>
      </w:r>
      <w:r w:rsidR="00B10D22">
        <w:rPr>
          <w:lang w:val="en-GB"/>
        </w:rPr>
        <w:t xml:space="preserve">, </w:t>
      </w:r>
      <w:r w:rsidR="005076A0">
        <w:rPr>
          <w:lang w:val="en-GB"/>
        </w:rPr>
        <w:t xml:space="preserve">during </w:t>
      </w:r>
      <w:r w:rsidR="00B10D22">
        <w:rPr>
          <w:lang w:val="en-GB"/>
        </w:rPr>
        <w:t xml:space="preserve">and after </w:t>
      </w:r>
      <w:r w:rsidR="005076A0">
        <w:rPr>
          <w:lang w:val="en-GB"/>
        </w:rPr>
        <w:t xml:space="preserve">the financial crisis. </w:t>
      </w:r>
      <w:r w:rsidR="00B10D22">
        <w:rPr>
          <w:lang w:val="en-GB"/>
        </w:rPr>
        <w:t xml:space="preserve">In fact, </w:t>
      </w:r>
      <w:r w:rsidR="005076A0">
        <w:rPr>
          <w:lang w:val="en-GB"/>
        </w:rPr>
        <w:t xml:space="preserve">Sweden </w:t>
      </w:r>
      <w:r w:rsidR="00883421">
        <w:rPr>
          <w:lang w:val="en-GB"/>
        </w:rPr>
        <w:t xml:space="preserve">was even able to </w:t>
      </w:r>
      <w:r w:rsidR="005076A0">
        <w:rPr>
          <w:lang w:val="en-GB"/>
        </w:rPr>
        <w:t>reduce taxes,</w:t>
      </w:r>
      <w:r w:rsidR="00085BFC">
        <w:rPr>
          <w:lang w:val="en-GB"/>
        </w:rPr>
        <w:t xml:space="preserve"> and increase spending on research, education and public investment,</w:t>
      </w:r>
      <w:r w:rsidR="005076A0">
        <w:rPr>
          <w:lang w:val="en-GB"/>
        </w:rPr>
        <w:t xml:space="preserve"> thereby boosting economic activity </w:t>
      </w:r>
      <w:r w:rsidR="00B10D22">
        <w:rPr>
          <w:lang w:val="en-GB"/>
        </w:rPr>
        <w:t>(European Commission</w:t>
      </w:r>
      <w:r w:rsidR="0085611E">
        <w:rPr>
          <w:lang w:val="en-GB"/>
        </w:rPr>
        <w:t>,</w:t>
      </w:r>
      <w:r w:rsidR="00B10D22">
        <w:rPr>
          <w:lang w:val="en-GB"/>
        </w:rPr>
        <w:t xml:space="preserve"> 2015b)</w:t>
      </w:r>
      <w:r w:rsidR="00085BFC">
        <w:rPr>
          <w:lang w:val="en-GB"/>
        </w:rPr>
        <w:t>.</w:t>
      </w:r>
    </w:p>
    <w:p w:rsidR="00E459A0" w:rsidRDefault="00E459A0" w:rsidP="00E459A0">
      <w:pPr>
        <w:spacing w:line="276" w:lineRule="auto"/>
        <w:jc w:val="both"/>
        <w:rPr>
          <w:lang w:val="en-GB"/>
        </w:rPr>
      </w:pPr>
    </w:p>
    <w:p w:rsidR="005076A0" w:rsidRDefault="00783E15" w:rsidP="00E459A0">
      <w:pPr>
        <w:spacing w:line="276" w:lineRule="auto"/>
        <w:jc w:val="both"/>
        <w:rPr>
          <w:lang w:val="en-GB"/>
        </w:rPr>
      </w:pPr>
      <w:r>
        <w:rPr>
          <w:lang w:val="en-GB"/>
        </w:rPr>
        <w:t xml:space="preserve">According to Figure 1, the third outlier on the positive side was, somewhat surprisingly, one of the ‘programme countries’, Ireland. </w:t>
      </w:r>
      <w:r w:rsidR="00E94BB6">
        <w:rPr>
          <w:lang w:val="en-GB"/>
        </w:rPr>
        <w:t xml:space="preserve">Aside from Luxembourg, </w:t>
      </w:r>
      <w:r>
        <w:rPr>
          <w:lang w:val="en-GB"/>
        </w:rPr>
        <w:t xml:space="preserve">Ireland </w:t>
      </w:r>
      <w:r w:rsidR="00410687">
        <w:rPr>
          <w:lang w:val="en-GB"/>
        </w:rPr>
        <w:t xml:space="preserve">was the </w:t>
      </w:r>
      <w:r w:rsidR="005174E0">
        <w:rPr>
          <w:lang w:val="en-GB"/>
        </w:rPr>
        <w:t xml:space="preserve">EU’s </w:t>
      </w:r>
      <w:r w:rsidR="00410687">
        <w:rPr>
          <w:lang w:val="en-GB"/>
        </w:rPr>
        <w:t>richest country</w:t>
      </w:r>
      <w:r>
        <w:rPr>
          <w:lang w:val="en-GB"/>
        </w:rPr>
        <w:t xml:space="preserve"> in 2004</w:t>
      </w:r>
      <w:r w:rsidR="00E94BB6">
        <w:rPr>
          <w:lang w:val="en-GB"/>
        </w:rPr>
        <w:t>, yet it</w:t>
      </w:r>
      <w:r>
        <w:rPr>
          <w:lang w:val="en-GB"/>
        </w:rPr>
        <w:t xml:space="preserve"> attained an impressive 1.5 per cent growth rate, rank</w:t>
      </w:r>
      <w:r w:rsidR="00E94BB6">
        <w:rPr>
          <w:lang w:val="en-GB"/>
        </w:rPr>
        <w:t xml:space="preserve">ing it in the top </w:t>
      </w:r>
      <w:r w:rsidR="0085611E">
        <w:rPr>
          <w:lang w:val="en-GB"/>
        </w:rPr>
        <w:t xml:space="preserve">four </w:t>
      </w:r>
      <w:r w:rsidR="00E94BB6">
        <w:rPr>
          <w:lang w:val="en-GB"/>
        </w:rPr>
        <w:t>among the</w:t>
      </w:r>
      <w:r w:rsidR="00410687" w:rsidRPr="00A10FDE">
        <w:rPr>
          <w:lang w:val="en-GB"/>
        </w:rPr>
        <w:t xml:space="preserve"> </w:t>
      </w:r>
      <w:r w:rsidR="00410687">
        <w:rPr>
          <w:lang w:val="en-GB"/>
        </w:rPr>
        <w:t xml:space="preserve">old Member States. </w:t>
      </w:r>
      <w:r w:rsidR="00E94BB6">
        <w:rPr>
          <w:lang w:val="en-GB"/>
        </w:rPr>
        <w:t xml:space="preserve">Compared to Ireland’s </w:t>
      </w:r>
      <w:r>
        <w:rPr>
          <w:lang w:val="en-GB"/>
        </w:rPr>
        <w:t xml:space="preserve">staggering performance of </w:t>
      </w:r>
      <w:r w:rsidR="00410687">
        <w:rPr>
          <w:lang w:val="en-GB"/>
        </w:rPr>
        <w:t xml:space="preserve">the </w:t>
      </w:r>
      <w:r>
        <w:rPr>
          <w:lang w:val="en-GB"/>
        </w:rPr>
        <w:t>nineties (with often two-digit growth rates)</w:t>
      </w:r>
      <w:r w:rsidR="00410687">
        <w:rPr>
          <w:lang w:val="en-GB"/>
        </w:rPr>
        <w:t>, the</w:t>
      </w:r>
      <w:r>
        <w:rPr>
          <w:lang w:val="en-GB"/>
        </w:rPr>
        <w:t xml:space="preserve"> 1.5 per cent </w:t>
      </w:r>
      <w:r w:rsidR="00410687">
        <w:rPr>
          <w:lang w:val="en-GB"/>
        </w:rPr>
        <w:t xml:space="preserve">rate might </w:t>
      </w:r>
      <w:r w:rsidR="00E94BB6">
        <w:rPr>
          <w:lang w:val="en-GB"/>
        </w:rPr>
        <w:t xml:space="preserve">seem </w:t>
      </w:r>
      <w:r w:rsidR="00085BFC">
        <w:rPr>
          <w:lang w:val="en-GB"/>
        </w:rPr>
        <w:t>rather modest</w:t>
      </w:r>
      <w:r w:rsidR="001D6746">
        <w:rPr>
          <w:lang w:val="en-GB"/>
        </w:rPr>
        <w:t xml:space="preserve">. Yet, if the </w:t>
      </w:r>
      <w:r w:rsidR="00410687">
        <w:rPr>
          <w:lang w:val="en-GB"/>
        </w:rPr>
        <w:t>mo</w:t>
      </w:r>
      <w:r w:rsidR="00E94BB6">
        <w:rPr>
          <w:lang w:val="en-GB"/>
        </w:rPr>
        <w:t>re</w:t>
      </w:r>
      <w:r w:rsidR="00410687">
        <w:rPr>
          <w:lang w:val="en-GB"/>
        </w:rPr>
        <w:t xml:space="preserve"> recent events such as the</w:t>
      </w:r>
      <w:r w:rsidR="00E94BB6">
        <w:rPr>
          <w:lang w:val="en-GB"/>
        </w:rPr>
        <w:t xml:space="preserve"> burst of the</w:t>
      </w:r>
      <w:r w:rsidR="00410687">
        <w:rPr>
          <w:lang w:val="en-GB"/>
        </w:rPr>
        <w:t xml:space="preserve"> mortgage bubble and the consequent </w:t>
      </w:r>
      <w:r w:rsidR="00F759EE">
        <w:rPr>
          <w:lang w:val="en-GB"/>
        </w:rPr>
        <w:t>banking</w:t>
      </w:r>
      <w:r w:rsidR="00410687">
        <w:rPr>
          <w:lang w:val="en-GB"/>
        </w:rPr>
        <w:t xml:space="preserve"> and fiscal crises</w:t>
      </w:r>
      <w:r w:rsidR="001D6746">
        <w:rPr>
          <w:lang w:val="en-GB"/>
        </w:rPr>
        <w:t xml:space="preserve"> </w:t>
      </w:r>
      <w:r w:rsidR="00410687">
        <w:rPr>
          <w:lang w:val="en-GB"/>
        </w:rPr>
        <w:t xml:space="preserve">are taken into account, </w:t>
      </w:r>
      <w:r w:rsidR="00F759EE">
        <w:rPr>
          <w:lang w:val="en-GB"/>
        </w:rPr>
        <w:t>even such a ‘moderate’ rate is worth acknowledging</w:t>
      </w:r>
      <w:r w:rsidR="00E94BB6">
        <w:rPr>
          <w:lang w:val="en-GB"/>
        </w:rPr>
        <w:t xml:space="preserve"> (see </w:t>
      </w:r>
      <w:r w:rsidR="00E94BB6">
        <w:rPr>
          <w:lang w:val="hu-HU"/>
        </w:rPr>
        <w:t>Donovan and Murphy</w:t>
      </w:r>
      <w:r w:rsidR="00CA6D54">
        <w:rPr>
          <w:lang w:val="hu-HU"/>
        </w:rPr>
        <w:t>,</w:t>
      </w:r>
      <w:r w:rsidR="00E94BB6">
        <w:rPr>
          <w:lang w:val="hu-HU"/>
        </w:rPr>
        <w:t xml:space="preserve"> 2013).</w:t>
      </w:r>
    </w:p>
    <w:p w:rsidR="00E94BB6" w:rsidRDefault="00E94BB6" w:rsidP="00E94BB6">
      <w:pPr>
        <w:spacing w:line="276" w:lineRule="auto"/>
        <w:jc w:val="both"/>
        <w:rPr>
          <w:lang w:val="en-GB"/>
        </w:rPr>
      </w:pPr>
    </w:p>
    <w:p w:rsidR="005174E0" w:rsidRDefault="001C4B53" w:rsidP="00E94BB6">
      <w:pPr>
        <w:spacing w:line="276" w:lineRule="auto"/>
        <w:jc w:val="both"/>
        <w:rPr>
          <w:lang w:val="en-GB"/>
        </w:rPr>
      </w:pPr>
      <w:r w:rsidRPr="00184430">
        <w:rPr>
          <w:lang w:val="en-GB"/>
        </w:rPr>
        <w:t>On the other</w:t>
      </w:r>
      <w:r w:rsidR="00D50CD0" w:rsidRPr="00184430">
        <w:rPr>
          <w:lang w:val="en-GB"/>
        </w:rPr>
        <w:t xml:space="preserve"> hand</w:t>
      </w:r>
      <w:r w:rsidRPr="00184430">
        <w:rPr>
          <w:lang w:val="en-GB"/>
        </w:rPr>
        <w:t xml:space="preserve">, in line with </w:t>
      </w:r>
      <w:r w:rsidR="00D50CD0" w:rsidRPr="00184430">
        <w:rPr>
          <w:lang w:val="en-GB"/>
        </w:rPr>
        <w:t xml:space="preserve">the empirical </w:t>
      </w:r>
      <w:r w:rsidRPr="00184430">
        <w:rPr>
          <w:lang w:val="en-GB"/>
        </w:rPr>
        <w:t>literature</w:t>
      </w:r>
      <w:r w:rsidR="008F0D71">
        <w:rPr>
          <w:lang w:val="en-GB"/>
        </w:rPr>
        <w:t xml:space="preserve"> cited above</w:t>
      </w:r>
      <w:r w:rsidRPr="00184430">
        <w:rPr>
          <w:lang w:val="en-GB"/>
        </w:rPr>
        <w:t>, Southern countries suffered from further fall</w:t>
      </w:r>
      <w:r w:rsidR="00D16C89">
        <w:rPr>
          <w:lang w:val="en-GB"/>
        </w:rPr>
        <w:t>-</w:t>
      </w:r>
      <w:r w:rsidRPr="00184430">
        <w:rPr>
          <w:lang w:val="en-GB"/>
        </w:rPr>
        <w:t>back</w:t>
      </w:r>
      <w:r w:rsidR="008F0D71">
        <w:rPr>
          <w:lang w:val="en-GB"/>
        </w:rPr>
        <w:t>s</w:t>
      </w:r>
      <w:r w:rsidRPr="00184430">
        <w:rPr>
          <w:lang w:val="en-GB"/>
        </w:rPr>
        <w:t xml:space="preserve">. </w:t>
      </w:r>
      <w:r w:rsidR="00CF1B72" w:rsidRPr="00184430">
        <w:rPr>
          <w:lang w:val="en-GB"/>
        </w:rPr>
        <w:t>Clearly</w:t>
      </w:r>
      <w:r w:rsidRPr="00184430">
        <w:rPr>
          <w:lang w:val="en-GB"/>
        </w:rPr>
        <w:t>,</w:t>
      </w:r>
      <w:r w:rsidR="00CF1B72" w:rsidRPr="00184430">
        <w:rPr>
          <w:lang w:val="en-GB"/>
        </w:rPr>
        <w:t xml:space="preserve"> Greece </w:t>
      </w:r>
      <w:r w:rsidR="00256E77">
        <w:rPr>
          <w:lang w:val="en-GB"/>
        </w:rPr>
        <w:t>saw</w:t>
      </w:r>
      <w:r w:rsidR="00CF1B72" w:rsidRPr="00184430">
        <w:rPr>
          <w:lang w:val="en-GB"/>
        </w:rPr>
        <w:t xml:space="preserve"> the most </w:t>
      </w:r>
      <w:r w:rsidRPr="00184430">
        <w:rPr>
          <w:lang w:val="en-GB"/>
        </w:rPr>
        <w:t xml:space="preserve">dramatic </w:t>
      </w:r>
      <w:r w:rsidR="00CF1B72" w:rsidRPr="00184430">
        <w:rPr>
          <w:lang w:val="en-GB"/>
        </w:rPr>
        <w:t>fall in its relative income (from 83</w:t>
      </w:r>
      <w:r w:rsidR="001D3B9C">
        <w:rPr>
          <w:lang w:val="en-GB"/>
        </w:rPr>
        <w:t xml:space="preserve"> per cent</w:t>
      </w:r>
      <w:r w:rsidR="00CF1B72" w:rsidRPr="00184430">
        <w:rPr>
          <w:lang w:val="en-GB"/>
        </w:rPr>
        <w:t xml:space="preserve"> of the EU15</w:t>
      </w:r>
      <w:r w:rsidR="00535BB8">
        <w:rPr>
          <w:lang w:val="en-GB"/>
        </w:rPr>
        <w:t>’s</w:t>
      </w:r>
      <w:r w:rsidR="00CF1B72" w:rsidRPr="00184430">
        <w:rPr>
          <w:lang w:val="en-GB"/>
        </w:rPr>
        <w:t xml:space="preserve"> average in 2004 to 66</w:t>
      </w:r>
      <w:r w:rsidR="001D3B9C">
        <w:rPr>
          <w:lang w:val="en-GB"/>
        </w:rPr>
        <w:t xml:space="preserve"> per cent</w:t>
      </w:r>
      <w:r w:rsidR="00CF1B72" w:rsidRPr="00184430">
        <w:rPr>
          <w:lang w:val="en-GB"/>
        </w:rPr>
        <w:t xml:space="preserve"> in 2014</w:t>
      </w:r>
      <w:r w:rsidR="00405602">
        <w:rPr>
          <w:lang w:val="en-GB"/>
        </w:rPr>
        <w:t>)</w:t>
      </w:r>
      <w:r w:rsidRPr="00184430">
        <w:rPr>
          <w:lang w:val="en-GB"/>
        </w:rPr>
        <w:t>. B</w:t>
      </w:r>
      <w:r w:rsidR="00CF1B72" w:rsidRPr="00184430">
        <w:rPr>
          <w:lang w:val="en-GB"/>
        </w:rPr>
        <w:t>ut others</w:t>
      </w:r>
      <w:r w:rsidR="008F0D71">
        <w:rPr>
          <w:lang w:val="en-GB"/>
        </w:rPr>
        <w:t>,</w:t>
      </w:r>
      <w:r w:rsidR="00CF1B72" w:rsidRPr="00184430">
        <w:rPr>
          <w:lang w:val="en-GB"/>
        </w:rPr>
        <w:t xml:space="preserve"> such as Italy</w:t>
      </w:r>
      <w:r w:rsidRPr="00184430">
        <w:rPr>
          <w:lang w:val="en-GB"/>
        </w:rPr>
        <w:t xml:space="preserve"> and Portugal</w:t>
      </w:r>
      <w:r w:rsidR="008D10E0">
        <w:rPr>
          <w:lang w:val="en-GB"/>
        </w:rPr>
        <w:t>,</w:t>
      </w:r>
      <w:r w:rsidRPr="00184430">
        <w:rPr>
          <w:lang w:val="en-GB"/>
        </w:rPr>
        <w:t xml:space="preserve"> and to a lesser extent </w:t>
      </w:r>
      <w:r w:rsidR="00CF1B72" w:rsidRPr="00184430">
        <w:rPr>
          <w:lang w:val="en-GB"/>
        </w:rPr>
        <w:t>Cyprus and Spain also f</w:t>
      </w:r>
      <w:r w:rsidR="00256E77">
        <w:rPr>
          <w:lang w:val="en-GB"/>
        </w:rPr>
        <w:t>ell</w:t>
      </w:r>
      <w:r w:rsidR="00CF1B72" w:rsidRPr="00184430">
        <w:rPr>
          <w:lang w:val="en-GB"/>
        </w:rPr>
        <w:t xml:space="preserve"> behind. </w:t>
      </w:r>
      <w:r w:rsidR="00E94BB6">
        <w:rPr>
          <w:lang w:val="en-GB"/>
        </w:rPr>
        <w:t>T</w:t>
      </w:r>
      <w:r w:rsidR="00DD0127" w:rsidRPr="00184430">
        <w:rPr>
          <w:lang w:val="en-GB"/>
        </w:rPr>
        <w:t>he global financial and economic crisis and the ensuing European sovereign debt crisis</w:t>
      </w:r>
      <w:r w:rsidR="00DD0127" w:rsidRPr="00184430" w:rsidDel="002B6E3F">
        <w:rPr>
          <w:lang w:val="en-GB"/>
        </w:rPr>
        <w:t xml:space="preserve"> </w:t>
      </w:r>
      <w:r w:rsidR="00DD0127">
        <w:rPr>
          <w:lang w:val="en-GB"/>
        </w:rPr>
        <w:t xml:space="preserve">have seriously halted the convergence </w:t>
      </w:r>
      <w:r w:rsidR="00535BB8">
        <w:rPr>
          <w:lang w:val="en-GB"/>
        </w:rPr>
        <w:t xml:space="preserve">process </w:t>
      </w:r>
      <w:r w:rsidR="00DD0127">
        <w:rPr>
          <w:lang w:val="en-GB"/>
        </w:rPr>
        <w:t xml:space="preserve">of these economies. </w:t>
      </w:r>
      <w:r w:rsidR="00E94BB6">
        <w:rPr>
          <w:lang w:val="en-GB"/>
        </w:rPr>
        <w:t>In contrast with Slovenia’s and Hungary’s performance, w</w:t>
      </w:r>
      <w:r w:rsidR="00BE5064">
        <w:rPr>
          <w:lang w:val="en-GB"/>
        </w:rPr>
        <w:t>h</w:t>
      </w:r>
      <w:r w:rsidR="00E94BB6">
        <w:rPr>
          <w:lang w:val="en-GB"/>
        </w:rPr>
        <w:t xml:space="preserve">ere problems began well before the crisis, some of the Southern members did not do badly before 2007. In fact, </w:t>
      </w:r>
      <w:r w:rsidR="0028396A">
        <w:rPr>
          <w:lang w:val="en-GB"/>
        </w:rPr>
        <w:t xml:space="preserve">Greece and Spain highly outperformed most of the old </w:t>
      </w:r>
      <w:r w:rsidR="00CA6D54">
        <w:rPr>
          <w:lang w:val="en-GB"/>
        </w:rPr>
        <w:t>M</w:t>
      </w:r>
      <w:r w:rsidR="0028396A">
        <w:rPr>
          <w:lang w:val="en-GB"/>
        </w:rPr>
        <w:t xml:space="preserve">ember </w:t>
      </w:r>
      <w:r w:rsidR="00CA6D54">
        <w:rPr>
          <w:lang w:val="en-GB"/>
        </w:rPr>
        <w:t>S</w:t>
      </w:r>
      <w:r w:rsidR="0028396A">
        <w:rPr>
          <w:lang w:val="en-GB"/>
        </w:rPr>
        <w:t>tates between 2004 and 2007 (</w:t>
      </w:r>
      <w:r w:rsidR="00E94BB6">
        <w:rPr>
          <w:lang w:val="en-GB"/>
        </w:rPr>
        <w:t xml:space="preserve">with </w:t>
      </w:r>
      <w:r w:rsidR="00FA04A7">
        <w:rPr>
          <w:lang w:val="en-GB"/>
        </w:rPr>
        <w:t xml:space="preserve">annual average </w:t>
      </w:r>
      <w:r w:rsidR="0028396A">
        <w:rPr>
          <w:lang w:val="en-GB"/>
        </w:rPr>
        <w:t xml:space="preserve">growth </w:t>
      </w:r>
      <w:r w:rsidR="00883421">
        <w:rPr>
          <w:lang w:val="en-GB"/>
        </w:rPr>
        <w:t>rate</w:t>
      </w:r>
      <w:r w:rsidR="00E94BB6">
        <w:rPr>
          <w:lang w:val="en-GB"/>
        </w:rPr>
        <w:t>s</w:t>
      </w:r>
      <w:r w:rsidR="00883421">
        <w:rPr>
          <w:lang w:val="en-GB"/>
        </w:rPr>
        <w:t xml:space="preserve"> </w:t>
      </w:r>
      <w:r w:rsidR="00BE5064">
        <w:rPr>
          <w:lang w:val="en-GB"/>
        </w:rPr>
        <w:t>around</w:t>
      </w:r>
      <w:r w:rsidR="00FA04A7">
        <w:rPr>
          <w:lang w:val="en-GB"/>
        </w:rPr>
        <w:t xml:space="preserve"> 4.3 and 3.6 per cent, respectively</w:t>
      </w:r>
      <w:r w:rsidR="0081442F">
        <w:rPr>
          <w:lang w:val="en-GB"/>
        </w:rPr>
        <w:t>, see Table 8.</w:t>
      </w:r>
      <w:r w:rsidR="00FA04A7">
        <w:rPr>
          <w:lang w:val="en-GB"/>
        </w:rPr>
        <w:t>)</w:t>
      </w:r>
      <w:r w:rsidR="0028396A">
        <w:rPr>
          <w:lang w:val="en-GB"/>
        </w:rPr>
        <w:t xml:space="preserve">. </w:t>
      </w:r>
      <w:r w:rsidR="00FA04A7">
        <w:rPr>
          <w:lang w:val="en-GB"/>
        </w:rPr>
        <w:t>The</w:t>
      </w:r>
      <w:r w:rsidR="00883421">
        <w:rPr>
          <w:lang w:val="en-GB"/>
        </w:rPr>
        <w:t xml:space="preserve"> two </w:t>
      </w:r>
      <w:r w:rsidR="00FA04A7">
        <w:rPr>
          <w:lang w:val="en-GB"/>
        </w:rPr>
        <w:t>countries’ performance was</w:t>
      </w:r>
      <w:r w:rsidR="00883421">
        <w:rPr>
          <w:lang w:val="en-GB"/>
        </w:rPr>
        <w:t>,</w:t>
      </w:r>
      <w:r w:rsidR="00FA04A7">
        <w:rPr>
          <w:lang w:val="en-GB"/>
        </w:rPr>
        <w:t xml:space="preserve"> in fact</w:t>
      </w:r>
      <w:r w:rsidR="00883421">
        <w:rPr>
          <w:lang w:val="en-GB"/>
        </w:rPr>
        <w:t>,</w:t>
      </w:r>
      <w:r w:rsidR="00FA04A7">
        <w:rPr>
          <w:lang w:val="en-GB"/>
        </w:rPr>
        <w:t xml:space="preserve"> in </w:t>
      </w:r>
      <w:r w:rsidR="005174E0">
        <w:rPr>
          <w:lang w:val="en-GB"/>
        </w:rPr>
        <w:t xml:space="preserve">full </w:t>
      </w:r>
      <w:r w:rsidR="00FA04A7">
        <w:rPr>
          <w:lang w:val="en-GB"/>
        </w:rPr>
        <w:t xml:space="preserve">harmony with the prediction of the income convergence hypothesis: they did not fare as </w:t>
      </w:r>
      <w:r w:rsidR="00FA04A7">
        <w:rPr>
          <w:lang w:val="en-GB"/>
        </w:rPr>
        <w:lastRenderedPageBreak/>
        <w:t xml:space="preserve">outstandingly as the new </w:t>
      </w:r>
      <w:r w:rsidR="00CA6D54">
        <w:rPr>
          <w:lang w:val="en-GB"/>
        </w:rPr>
        <w:t>M</w:t>
      </w:r>
      <w:r w:rsidR="00FA04A7">
        <w:rPr>
          <w:lang w:val="en-GB"/>
        </w:rPr>
        <w:t xml:space="preserve">ember </w:t>
      </w:r>
      <w:r w:rsidR="00CA6D54">
        <w:rPr>
          <w:lang w:val="en-GB"/>
        </w:rPr>
        <w:t>S</w:t>
      </w:r>
      <w:r w:rsidR="00FA04A7">
        <w:rPr>
          <w:lang w:val="en-GB"/>
        </w:rPr>
        <w:t>tates</w:t>
      </w:r>
      <w:r w:rsidR="00BE5064">
        <w:rPr>
          <w:lang w:val="en-GB"/>
        </w:rPr>
        <w:t>,</w:t>
      </w:r>
      <w:r w:rsidR="00FA04A7">
        <w:rPr>
          <w:lang w:val="en-GB"/>
        </w:rPr>
        <w:t xml:space="preserve"> but </w:t>
      </w:r>
      <w:r w:rsidR="00BE5064">
        <w:rPr>
          <w:lang w:val="en-GB"/>
        </w:rPr>
        <w:t>showed</w:t>
      </w:r>
      <w:r w:rsidR="00FA04A7">
        <w:rPr>
          <w:lang w:val="en-GB"/>
        </w:rPr>
        <w:t xml:space="preserve"> much better </w:t>
      </w:r>
      <w:r w:rsidR="00BE5064">
        <w:rPr>
          <w:lang w:val="en-GB"/>
        </w:rPr>
        <w:t>performance</w:t>
      </w:r>
      <w:r w:rsidR="00FA04A7">
        <w:rPr>
          <w:lang w:val="en-GB"/>
        </w:rPr>
        <w:t xml:space="preserve"> than</w:t>
      </w:r>
      <w:r w:rsidR="00E94BB6">
        <w:rPr>
          <w:lang w:val="en-GB"/>
        </w:rPr>
        <w:t xml:space="preserve">, </w:t>
      </w:r>
      <w:r w:rsidR="00FA04A7">
        <w:rPr>
          <w:lang w:val="en-GB"/>
        </w:rPr>
        <w:t>say</w:t>
      </w:r>
      <w:r w:rsidR="00E94BB6">
        <w:rPr>
          <w:lang w:val="en-GB"/>
        </w:rPr>
        <w:t>,</w:t>
      </w:r>
      <w:r w:rsidR="00FA04A7">
        <w:rPr>
          <w:lang w:val="en-GB"/>
        </w:rPr>
        <w:t xml:space="preserve"> Germany which achieved only 2.1 per cent. </w:t>
      </w:r>
      <w:r w:rsidR="005174E0">
        <w:rPr>
          <w:lang w:val="en-GB"/>
        </w:rPr>
        <w:t>With a benefit of hindsight, Greece managed to maintain its relative position by protracted fiscal profligacy and accumulation of public debt</w:t>
      </w:r>
      <w:r w:rsidR="00E43E3F">
        <w:rPr>
          <w:lang w:val="en-GB"/>
        </w:rPr>
        <w:t xml:space="preserve"> (Visvizi</w:t>
      </w:r>
      <w:r w:rsidR="00CA6D54">
        <w:rPr>
          <w:lang w:val="en-GB"/>
        </w:rPr>
        <w:t>,</w:t>
      </w:r>
      <w:r w:rsidR="00E43E3F">
        <w:rPr>
          <w:lang w:val="en-GB"/>
        </w:rPr>
        <w:t xml:space="preserve"> 2012)</w:t>
      </w:r>
      <w:r w:rsidR="005174E0">
        <w:rPr>
          <w:lang w:val="en-GB"/>
        </w:rPr>
        <w:t>; whereas Spain</w:t>
      </w:r>
      <w:r w:rsidR="00BE5064">
        <w:rPr>
          <w:lang w:val="en-GB"/>
        </w:rPr>
        <w:t>’s GDP growth was fuelled by</w:t>
      </w:r>
      <w:r w:rsidR="005174E0">
        <w:rPr>
          <w:lang w:val="en-GB"/>
        </w:rPr>
        <w:t xml:space="preserve"> a </w:t>
      </w:r>
      <w:r w:rsidR="00BE5064">
        <w:rPr>
          <w:lang w:val="en-GB"/>
        </w:rPr>
        <w:t xml:space="preserve">large </w:t>
      </w:r>
      <w:r w:rsidR="005174E0">
        <w:rPr>
          <w:lang w:val="en-GB"/>
        </w:rPr>
        <w:t xml:space="preserve">mortgage bubble. </w:t>
      </w:r>
    </w:p>
    <w:p w:rsidR="00E94BB6" w:rsidRDefault="00E94BB6" w:rsidP="00E94BB6">
      <w:pPr>
        <w:spacing w:line="276" w:lineRule="auto"/>
        <w:jc w:val="both"/>
        <w:rPr>
          <w:lang w:val="en-GB"/>
        </w:rPr>
      </w:pPr>
    </w:p>
    <w:p w:rsidR="00116DEB" w:rsidRDefault="00FA04A7" w:rsidP="00E94BB6">
      <w:pPr>
        <w:spacing w:line="276" w:lineRule="auto"/>
        <w:jc w:val="both"/>
        <w:rPr>
          <w:lang w:val="en-GB"/>
        </w:rPr>
      </w:pPr>
      <w:r>
        <w:rPr>
          <w:lang w:val="en-GB"/>
        </w:rPr>
        <w:t xml:space="preserve">Portugal and Italy, on the other hand, were the laggards of the </w:t>
      </w:r>
      <w:r w:rsidR="00D71908">
        <w:rPr>
          <w:lang w:val="en-GB"/>
        </w:rPr>
        <w:t xml:space="preserve">entire </w:t>
      </w:r>
      <w:r>
        <w:rPr>
          <w:lang w:val="en-GB"/>
        </w:rPr>
        <w:t>EU</w:t>
      </w:r>
      <w:r w:rsidR="00D71908">
        <w:rPr>
          <w:lang w:val="en-GB"/>
        </w:rPr>
        <w:t>,</w:t>
      </w:r>
      <w:r>
        <w:rPr>
          <w:lang w:val="en-GB"/>
        </w:rPr>
        <w:t xml:space="preserve"> with 1.4 and 1.2 per cent growth rates between 2004 and 2007</w:t>
      </w:r>
      <w:r w:rsidR="00116DEB">
        <w:rPr>
          <w:lang w:val="en-GB"/>
        </w:rPr>
        <w:t xml:space="preserve"> already</w:t>
      </w:r>
      <w:r>
        <w:rPr>
          <w:lang w:val="en-GB"/>
        </w:rPr>
        <w:t>. The</w:t>
      </w:r>
      <w:r w:rsidR="004A121D">
        <w:rPr>
          <w:lang w:val="en-GB"/>
        </w:rPr>
        <w:t>refore, the</w:t>
      </w:r>
      <w:r>
        <w:rPr>
          <w:lang w:val="en-GB"/>
        </w:rPr>
        <w:t xml:space="preserve"> deterioration of their economic performance could hardly be accounted for</w:t>
      </w:r>
      <w:r w:rsidR="00D71908">
        <w:rPr>
          <w:lang w:val="en-GB"/>
        </w:rPr>
        <w:t xml:space="preserve"> by</w:t>
      </w:r>
      <w:r>
        <w:rPr>
          <w:lang w:val="en-GB"/>
        </w:rPr>
        <w:t xml:space="preserve"> the crisis itself. </w:t>
      </w:r>
      <w:r w:rsidR="0058575E">
        <w:rPr>
          <w:lang w:val="en-GB"/>
        </w:rPr>
        <w:t xml:space="preserve">For Portugal, the </w:t>
      </w:r>
      <w:r w:rsidR="00116DEB">
        <w:rPr>
          <w:lang w:val="en-GB"/>
        </w:rPr>
        <w:t xml:space="preserve">divergence </w:t>
      </w:r>
      <w:r w:rsidR="0058575E">
        <w:rPr>
          <w:lang w:val="en-GB"/>
        </w:rPr>
        <w:t>and the consequent decade-long stagnation coincided with the adoption of the single currency</w:t>
      </w:r>
      <w:r w:rsidR="00237E6D">
        <w:rPr>
          <w:lang w:val="en-GB"/>
        </w:rPr>
        <w:t xml:space="preserve"> (Alves</w:t>
      </w:r>
      <w:r w:rsidR="00CA6D54">
        <w:rPr>
          <w:lang w:val="en-GB"/>
        </w:rPr>
        <w:t>,</w:t>
      </w:r>
      <w:r w:rsidR="00397D7D">
        <w:rPr>
          <w:lang w:val="en-GB"/>
        </w:rPr>
        <w:t xml:space="preserve"> 2014</w:t>
      </w:r>
      <w:r w:rsidR="00237E6D">
        <w:rPr>
          <w:lang w:val="en-GB"/>
        </w:rPr>
        <w:t>)</w:t>
      </w:r>
      <w:r w:rsidR="0058575E">
        <w:rPr>
          <w:lang w:val="en-GB"/>
        </w:rPr>
        <w:t xml:space="preserve">. </w:t>
      </w:r>
      <w:r w:rsidR="002A5CE1">
        <w:rPr>
          <w:lang w:val="en-GB"/>
        </w:rPr>
        <w:t>In case of</w:t>
      </w:r>
      <w:r w:rsidR="00116DEB">
        <w:rPr>
          <w:lang w:val="en-GB"/>
        </w:rPr>
        <w:t xml:space="preserve"> </w:t>
      </w:r>
      <w:r w:rsidR="004A121D">
        <w:rPr>
          <w:lang w:val="en-GB"/>
        </w:rPr>
        <w:t xml:space="preserve">Italy, the situation </w:t>
      </w:r>
      <w:r w:rsidR="002A5CE1">
        <w:rPr>
          <w:lang w:val="en-GB"/>
        </w:rPr>
        <w:t>wa</w:t>
      </w:r>
      <w:r w:rsidR="004A121D">
        <w:rPr>
          <w:lang w:val="en-GB"/>
        </w:rPr>
        <w:t>s even worse; the country was one of the worst perform</w:t>
      </w:r>
      <w:r w:rsidR="00BE5064">
        <w:rPr>
          <w:lang w:val="en-GB"/>
        </w:rPr>
        <w:t>ers</w:t>
      </w:r>
      <w:r w:rsidR="004A121D">
        <w:rPr>
          <w:lang w:val="en-GB"/>
        </w:rPr>
        <w:t xml:space="preserve"> in the nineties already</w:t>
      </w:r>
      <w:r w:rsidR="00334AC6">
        <w:rPr>
          <w:lang w:val="en-GB"/>
        </w:rPr>
        <w:t xml:space="preserve"> (European Commission</w:t>
      </w:r>
      <w:r w:rsidR="00CA6D54">
        <w:rPr>
          <w:lang w:val="en-GB"/>
        </w:rPr>
        <w:t>,</w:t>
      </w:r>
      <w:r w:rsidR="00334AC6">
        <w:rPr>
          <w:lang w:val="en-GB"/>
        </w:rPr>
        <w:t xml:space="preserve"> 2014a) and the adoption of the euro did not make things any better</w:t>
      </w:r>
      <w:r w:rsidR="004A121D">
        <w:rPr>
          <w:lang w:val="en-GB"/>
        </w:rPr>
        <w:t>.</w:t>
      </w:r>
      <w:r w:rsidR="00D50CD0" w:rsidRPr="00184430">
        <w:rPr>
          <w:lang w:val="en-GB"/>
        </w:rPr>
        <w:t xml:space="preserve"> </w:t>
      </w:r>
    </w:p>
    <w:p w:rsidR="000A2B06" w:rsidRPr="00184430" w:rsidRDefault="000A2B06">
      <w:pPr>
        <w:spacing w:line="276" w:lineRule="auto"/>
        <w:jc w:val="both"/>
        <w:rPr>
          <w:lang w:val="en-GB"/>
        </w:rPr>
      </w:pPr>
    </w:p>
    <w:p w:rsidR="000A2B06" w:rsidRPr="00184430" w:rsidRDefault="000A2B06" w:rsidP="0081442F">
      <w:pPr>
        <w:spacing w:line="276" w:lineRule="auto"/>
        <w:jc w:val="center"/>
        <w:rPr>
          <w:lang w:val="en-GB"/>
        </w:rPr>
      </w:pPr>
      <w:r w:rsidRPr="00184430">
        <w:rPr>
          <w:lang w:val="en-GB"/>
        </w:rPr>
        <w:t xml:space="preserve">Table </w:t>
      </w:r>
      <w:r w:rsidR="008D10E0">
        <w:rPr>
          <w:lang w:val="en-GB"/>
        </w:rPr>
        <w:t>8</w:t>
      </w:r>
      <w:r w:rsidR="008A3B8B">
        <w:rPr>
          <w:lang w:val="en-GB"/>
        </w:rPr>
        <w:t xml:space="preserve">. </w:t>
      </w:r>
      <w:r w:rsidR="00535BB8">
        <w:rPr>
          <w:lang w:val="en-GB"/>
        </w:rPr>
        <w:t xml:space="preserve">Economic growth </w:t>
      </w:r>
      <w:r w:rsidR="0081442F">
        <w:rPr>
          <w:lang w:val="en-GB"/>
        </w:rPr>
        <w:t xml:space="preserve">in EU Member States </w:t>
      </w:r>
      <w:r w:rsidR="00535BB8">
        <w:rPr>
          <w:lang w:val="en-GB"/>
        </w:rPr>
        <w:t>in 2004-7 and 2008-14.</w:t>
      </w:r>
    </w:p>
    <w:p w:rsidR="000A2B06" w:rsidRPr="00184430" w:rsidRDefault="000A2B06" w:rsidP="00A10FDE">
      <w:pPr>
        <w:spacing w:line="276" w:lineRule="auto"/>
        <w:ind w:left="567" w:hanging="567"/>
        <w:jc w:val="both"/>
        <w:rPr>
          <w:lang w:val="en-GB"/>
        </w:rPr>
      </w:pPr>
    </w:p>
    <w:tbl>
      <w:tblPr>
        <w:tblStyle w:val="Rcsostblzat"/>
        <w:tblW w:w="0" w:type="auto"/>
        <w:jc w:val="center"/>
        <w:shd w:val="clear" w:color="auto" w:fill="FFFFFF" w:themeFill="background1"/>
        <w:tblLook w:val="04A0"/>
      </w:tblPr>
      <w:tblGrid>
        <w:gridCol w:w="2235"/>
        <w:gridCol w:w="1789"/>
        <w:gridCol w:w="1843"/>
      </w:tblGrid>
      <w:tr w:rsidR="004570B7" w:rsidRPr="004E42B8" w:rsidTr="004E42B8">
        <w:trPr>
          <w:jc w:val="center"/>
        </w:trPr>
        <w:tc>
          <w:tcPr>
            <w:tcW w:w="2235" w:type="dxa"/>
            <w:shd w:val="clear" w:color="auto" w:fill="FFFFFF" w:themeFill="background1"/>
          </w:tcPr>
          <w:p w:rsidR="004570B7" w:rsidRPr="00184430" w:rsidRDefault="004570B7" w:rsidP="00A10FDE">
            <w:pPr>
              <w:spacing w:line="276" w:lineRule="auto"/>
              <w:jc w:val="both"/>
              <w:rPr>
                <w:sz w:val="20"/>
                <w:szCs w:val="20"/>
                <w:lang w:val="en-GB"/>
              </w:rPr>
            </w:pPr>
          </w:p>
        </w:tc>
        <w:tc>
          <w:tcPr>
            <w:tcW w:w="1789" w:type="dxa"/>
            <w:shd w:val="clear" w:color="auto" w:fill="FFFFFF" w:themeFill="background1"/>
          </w:tcPr>
          <w:p w:rsidR="004570B7" w:rsidRPr="004E42B8" w:rsidRDefault="004570B7" w:rsidP="0081442F">
            <w:pPr>
              <w:spacing w:line="276" w:lineRule="auto"/>
              <w:jc w:val="center"/>
              <w:rPr>
                <w:b/>
                <w:sz w:val="20"/>
                <w:szCs w:val="20"/>
                <w:lang w:val="en-GB"/>
              </w:rPr>
            </w:pPr>
            <w:r w:rsidRPr="004E42B8">
              <w:rPr>
                <w:b/>
                <w:sz w:val="20"/>
                <w:szCs w:val="20"/>
                <w:lang w:val="en-GB"/>
              </w:rPr>
              <w:t>2004-2007</w:t>
            </w:r>
          </w:p>
        </w:tc>
        <w:tc>
          <w:tcPr>
            <w:tcW w:w="1843" w:type="dxa"/>
            <w:shd w:val="clear" w:color="auto" w:fill="FFFFFF" w:themeFill="background1"/>
          </w:tcPr>
          <w:p w:rsidR="004570B7" w:rsidRPr="004E42B8" w:rsidRDefault="004570B7" w:rsidP="0081442F">
            <w:pPr>
              <w:spacing w:line="276" w:lineRule="auto"/>
              <w:jc w:val="center"/>
              <w:rPr>
                <w:b/>
                <w:sz w:val="20"/>
                <w:szCs w:val="20"/>
                <w:lang w:val="en-GB"/>
              </w:rPr>
            </w:pPr>
            <w:r w:rsidRPr="004E42B8">
              <w:rPr>
                <w:b/>
                <w:sz w:val="20"/>
                <w:szCs w:val="20"/>
                <w:lang w:val="en-GB"/>
              </w:rPr>
              <w:t>2008-201</w:t>
            </w:r>
            <w:r>
              <w:rPr>
                <w:b/>
                <w:sz w:val="20"/>
                <w:szCs w:val="20"/>
                <w:lang w:val="en-GB"/>
              </w:rPr>
              <w:t>4</w:t>
            </w:r>
          </w:p>
        </w:tc>
      </w:tr>
      <w:tr w:rsidR="004570B7" w:rsidRPr="00184430" w:rsidTr="004E42B8">
        <w:trPr>
          <w:jc w:val="center"/>
        </w:trPr>
        <w:tc>
          <w:tcPr>
            <w:tcW w:w="2235" w:type="dxa"/>
            <w:shd w:val="clear" w:color="auto" w:fill="FFFFFF" w:themeFill="background1"/>
            <w:vAlign w:val="center"/>
          </w:tcPr>
          <w:p w:rsidR="004570B7" w:rsidRPr="004E42B8" w:rsidRDefault="004570B7" w:rsidP="004570B7">
            <w:pPr>
              <w:spacing w:line="276" w:lineRule="auto"/>
              <w:jc w:val="both"/>
              <w:rPr>
                <w:b/>
                <w:sz w:val="20"/>
                <w:szCs w:val="20"/>
                <w:lang w:val="en-GB"/>
              </w:rPr>
            </w:pPr>
            <w:r w:rsidRPr="004E42B8">
              <w:rPr>
                <w:b/>
                <w:sz w:val="20"/>
                <w:szCs w:val="20"/>
                <w:lang w:val="en-GB"/>
              </w:rPr>
              <w:t>EU average</w:t>
            </w:r>
          </w:p>
        </w:tc>
        <w:tc>
          <w:tcPr>
            <w:tcW w:w="1789" w:type="dxa"/>
            <w:shd w:val="clear" w:color="auto" w:fill="FFFFFF" w:themeFill="background1"/>
            <w:vAlign w:val="bottom"/>
          </w:tcPr>
          <w:p w:rsidR="004570B7" w:rsidRPr="008A3B8B" w:rsidRDefault="004570B7" w:rsidP="0081442F">
            <w:pPr>
              <w:spacing w:line="276" w:lineRule="auto"/>
              <w:jc w:val="right"/>
              <w:rPr>
                <w:sz w:val="20"/>
                <w:szCs w:val="20"/>
                <w:lang w:val="en-GB"/>
              </w:rPr>
            </w:pPr>
            <w:r w:rsidRPr="008A3B8B">
              <w:rPr>
                <w:sz w:val="20"/>
                <w:szCs w:val="20"/>
                <w:lang w:val="en-GB"/>
              </w:rPr>
              <w:t>4.4</w:t>
            </w:r>
          </w:p>
        </w:tc>
        <w:tc>
          <w:tcPr>
            <w:tcW w:w="1843" w:type="dxa"/>
            <w:shd w:val="clear" w:color="auto" w:fill="FFFFFF" w:themeFill="background1"/>
            <w:vAlign w:val="bottom"/>
          </w:tcPr>
          <w:p w:rsidR="004570B7" w:rsidRPr="008A3B8B" w:rsidRDefault="004570B7" w:rsidP="0081442F">
            <w:pPr>
              <w:spacing w:line="276" w:lineRule="auto"/>
              <w:jc w:val="right"/>
              <w:rPr>
                <w:sz w:val="20"/>
                <w:szCs w:val="20"/>
                <w:lang w:val="en-GB"/>
              </w:rPr>
            </w:pPr>
            <w:r>
              <w:rPr>
                <w:sz w:val="20"/>
                <w:szCs w:val="20"/>
                <w:lang w:val="en-GB"/>
              </w:rPr>
              <w:t>0.2</w:t>
            </w:r>
          </w:p>
        </w:tc>
      </w:tr>
      <w:tr w:rsidR="00842F84" w:rsidRPr="00184430" w:rsidTr="004E42B8">
        <w:trPr>
          <w:jc w:val="center"/>
        </w:trPr>
        <w:tc>
          <w:tcPr>
            <w:tcW w:w="2235" w:type="dxa"/>
            <w:shd w:val="clear" w:color="auto" w:fill="FFFFFF" w:themeFill="background1"/>
            <w:vAlign w:val="center"/>
          </w:tcPr>
          <w:p w:rsidR="00842F84" w:rsidRPr="004E42B8" w:rsidRDefault="00842F84" w:rsidP="004570B7">
            <w:pPr>
              <w:spacing w:line="276" w:lineRule="auto"/>
              <w:jc w:val="both"/>
              <w:rPr>
                <w:b/>
                <w:sz w:val="20"/>
                <w:szCs w:val="20"/>
                <w:lang w:val="en-GB"/>
              </w:rPr>
            </w:pPr>
            <w:r>
              <w:rPr>
                <w:b/>
                <w:sz w:val="20"/>
                <w:szCs w:val="20"/>
                <w:lang w:val="en-GB"/>
              </w:rPr>
              <w:t>St</w:t>
            </w:r>
            <w:r w:rsidR="00213FF3">
              <w:rPr>
                <w:b/>
                <w:sz w:val="20"/>
                <w:szCs w:val="20"/>
                <w:lang w:val="en-GB"/>
              </w:rPr>
              <w:t>andard</w:t>
            </w:r>
            <w:r>
              <w:rPr>
                <w:b/>
                <w:sz w:val="20"/>
                <w:szCs w:val="20"/>
                <w:lang w:val="en-GB"/>
              </w:rPr>
              <w:t xml:space="preserve"> deviation</w:t>
            </w:r>
          </w:p>
        </w:tc>
        <w:tc>
          <w:tcPr>
            <w:tcW w:w="1789" w:type="dxa"/>
            <w:shd w:val="clear" w:color="auto" w:fill="FFFFFF" w:themeFill="background1"/>
            <w:vAlign w:val="bottom"/>
          </w:tcPr>
          <w:p w:rsidR="00842F84" w:rsidRPr="008A3B8B" w:rsidRDefault="00842F84" w:rsidP="0081442F">
            <w:pPr>
              <w:spacing w:line="276" w:lineRule="auto"/>
              <w:jc w:val="right"/>
              <w:rPr>
                <w:sz w:val="20"/>
                <w:szCs w:val="20"/>
                <w:lang w:val="en-GB"/>
              </w:rPr>
            </w:pPr>
            <w:r>
              <w:rPr>
                <w:sz w:val="20"/>
                <w:szCs w:val="20"/>
                <w:lang w:val="en-GB"/>
              </w:rPr>
              <w:t>2.3</w:t>
            </w:r>
          </w:p>
        </w:tc>
        <w:tc>
          <w:tcPr>
            <w:tcW w:w="1843" w:type="dxa"/>
            <w:shd w:val="clear" w:color="auto" w:fill="FFFFFF" w:themeFill="background1"/>
            <w:vAlign w:val="bottom"/>
          </w:tcPr>
          <w:p w:rsidR="00842F84" w:rsidRDefault="00842F84" w:rsidP="0081442F">
            <w:pPr>
              <w:spacing w:line="276" w:lineRule="auto"/>
              <w:jc w:val="right"/>
              <w:rPr>
                <w:sz w:val="20"/>
                <w:szCs w:val="20"/>
                <w:lang w:val="en-GB"/>
              </w:rPr>
            </w:pPr>
            <w:r>
              <w:rPr>
                <w:sz w:val="20"/>
                <w:szCs w:val="20"/>
                <w:lang w:val="en-GB"/>
              </w:rPr>
              <w:t>1.3</w:t>
            </w:r>
          </w:p>
        </w:tc>
      </w:tr>
      <w:tr w:rsidR="004570B7" w:rsidRPr="00184430" w:rsidTr="004E42B8">
        <w:trPr>
          <w:jc w:val="center"/>
        </w:trPr>
        <w:tc>
          <w:tcPr>
            <w:tcW w:w="2235" w:type="dxa"/>
            <w:shd w:val="clear" w:color="auto" w:fill="FFFFFF" w:themeFill="background1"/>
            <w:vAlign w:val="center"/>
          </w:tcPr>
          <w:p w:rsidR="004570B7" w:rsidRPr="004E42B8" w:rsidRDefault="004570B7" w:rsidP="004570B7">
            <w:pPr>
              <w:spacing w:line="276" w:lineRule="auto"/>
              <w:jc w:val="both"/>
              <w:rPr>
                <w:b/>
                <w:sz w:val="20"/>
                <w:szCs w:val="20"/>
                <w:lang w:val="en-GB"/>
              </w:rPr>
            </w:pPr>
            <w:r>
              <w:rPr>
                <w:b/>
                <w:sz w:val="20"/>
                <w:szCs w:val="20"/>
                <w:lang w:val="en-GB"/>
              </w:rPr>
              <w:t>Countries above the EU average</w:t>
            </w:r>
          </w:p>
        </w:tc>
        <w:tc>
          <w:tcPr>
            <w:tcW w:w="1789" w:type="dxa"/>
            <w:shd w:val="clear" w:color="auto" w:fill="FFFFFF" w:themeFill="background1"/>
          </w:tcPr>
          <w:p w:rsidR="004570B7" w:rsidRPr="00184430" w:rsidRDefault="004570B7" w:rsidP="004570B7">
            <w:pPr>
              <w:spacing w:line="276" w:lineRule="auto"/>
              <w:jc w:val="both"/>
              <w:rPr>
                <w:sz w:val="20"/>
                <w:szCs w:val="20"/>
                <w:lang w:val="en-GB"/>
              </w:rPr>
            </w:pPr>
            <w:r w:rsidRPr="00184430">
              <w:rPr>
                <w:sz w:val="20"/>
                <w:szCs w:val="20"/>
                <w:lang w:val="en-GB"/>
              </w:rPr>
              <w:t>Latvia (10.3)</w:t>
            </w:r>
          </w:p>
          <w:p w:rsidR="004570B7" w:rsidRDefault="004570B7" w:rsidP="004570B7">
            <w:pPr>
              <w:spacing w:line="276" w:lineRule="auto"/>
              <w:jc w:val="both"/>
              <w:rPr>
                <w:sz w:val="20"/>
                <w:szCs w:val="20"/>
                <w:lang w:val="en-GB"/>
              </w:rPr>
            </w:pPr>
            <w:r w:rsidRPr="00184430">
              <w:rPr>
                <w:sz w:val="20"/>
                <w:szCs w:val="20"/>
                <w:lang w:val="en-GB"/>
              </w:rPr>
              <w:t>Estonia (9.0)</w:t>
            </w:r>
          </w:p>
          <w:p w:rsidR="004570B7" w:rsidRPr="00184430" w:rsidRDefault="004570B7" w:rsidP="004570B7">
            <w:pPr>
              <w:spacing w:line="276" w:lineRule="auto"/>
              <w:jc w:val="both"/>
              <w:rPr>
                <w:sz w:val="20"/>
                <w:szCs w:val="20"/>
                <w:lang w:val="en-GB"/>
              </w:rPr>
            </w:pPr>
            <w:r w:rsidRPr="00184430">
              <w:rPr>
                <w:sz w:val="20"/>
                <w:szCs w:val="20"/>
                <w:lang w:val="en-GB"/>
              </w:rPr>
              <w:t>Lithuania (</w:t>
            </w:r>
            <w:r>
              <w:rPr>
                <w:sz w:val="20"/>
                <w:szCs w:val="20"/>
                <w:lang w:val="en-GB"/>
              </w:rPr>
              <w:t>8.1)</w:t>
            </w:r>
          </w:p>
          <w:p w:rsidR="004570B7" w:rsidRPr="00184430" w:rsidRDefault="004570B7" w:rsidP="004570B7">
            <w:pPr>
              <w:spacing w:line="276" w:lineRule="auto"/>
              <w:jc w:val="both"/>
              <w:rPr>
                <w:sz w:val="20"/>
                <w:szCs w:val="20"/>
                <w:lang w:val="en-GB"/>
              </w:rPr>
            </w:pPr>
            <w:r w:rsidRPr="00184430">
              <w:rPr>
                <w:sz w:val="20"/>
                <w:szCs w:val="20"/>
                <w:lang w:val="en-GB"/>
              </w:rPr>
              <w:t>Slovakia (7.6)</w:t>
            </w:r>
          </w:p>
          <w:p w:rsidR="004570B7" w:rsidRDefault="004570B7" w:rsidP="004570B7">
            <w:pPr>
              <w:spacing w:line="276" w:lineRule="auto"/>
              <w:jc w:val="both"/>
              <w:rPr>
                <w:sz w:val="20"/>
                <w:szCs w:val="20"/>
                <w:lang w:val="en-GB"/>
              </w:rPr>
            </w:pPr>
            <w:r w:rsidRPr="00184430">
              <w:rPr>
                <w:sz w:val="20"/>
                <w:szCs w:val="20"/>
                <w:lang w:val="en-GB"/>
              </w:rPr>
              <w:t>Romania (6.7)</w:t>
            </w:r>
          </w:p>
          <w:p w:rsidR="004570B7" w:rsidRDefault="004570B7" w:rsidP="004570B7">
            <w:pPr>
              <w:spacing w:line="276" w:lineRule="auto"/>
              <w:jc w:val="both"/>
              <w:rPr>
                <w:sz w:val="20"/>
                <w:szCs w:val="20"/>
                <w:lang w:val="en-GB"/>
              </w:rPr>
            </w:pPr>
            <w:r>
              <w:rPr>
                <w:sz w:val="20"/>
                <w:szCs w:val="20"/>
                <w:lang w:val="en-GB"/>
              </w:rPr>
              <w:t>Bulgaria (6.0)</w:t>
            </w:r>
          </w:p>
          <w:p w:rsidR="004570B7" w:rsidRDefault="004570B7" w:rsidP="004570B7">
            <w:pPr>
              <w:spacing w:line="276" w:lineRule="auto"/>
              <w:jc w:val="both"/>
              <w:rPr>
                <w:sz w:val="20"/>
                <w:szCs w:val="20"/>
                <w:lang w:val="en-GB"/>
              </w:rPr>
            </w:pPr>
            <w:r>
              <w:rPr>
                <w:sz w:val="20"/>
                <w:szCs w:val="20"/>
                <w:lang w:val="en-GB"/>
              </w:rPr>
              <w:t>Poland (5.4)</w:t>
            </w:r>
          </w:p>
          <w:p w:rsidR="004570B7" w:rsidRDefault="004570B7" w:rsidP="004570B7">
            <w:pPr>
              <w:spacing w:line="276" w:lineRule="auto"/>
              <w:jc w:val="both"/>
              <w:rPr>
                <w:sz w:val="20"/>
                <w:szCs w:val="20"/>
                <w:lang w:val="en-GB"/>
              </w:rPr>
            </w:pPr>
            <w:r>
              <w:rPr>
                <w:sz w:val="20"/>
                <w:szCs w:val="20"/>
                <w:lang w:val="en-GB"/>
              </w:rPr>
              <w:t>Slovenia (5.3)</w:t>
            </w:r>
          </w:p>
          <w:p w:rsidR="004570B7" w:rsidRDefault="004570B7" w:rsidP="004570B7">
            <w:pPr>
              <w:spacing w:line="276" w:lineRule="auto"/>
              <w:jc w:val="both"/>
              <w:rPr>
                <w:sz w:val="20"/>
                <w:szCs w:val="20"/>
                <w:lang w:val="en-GB"/>
              </w:rPr>
            </w:pPr>
            <w:r>
              <w:rPr>
                <w:sz w:val="20"/>
                <w:szCs w:val="20"/>
                <w:lang w:val="en-GB"/>
              </w:rPr>
              <w:t>Ireland (5.2)</w:t>
            </w:r>
          </w:p>
          <w:p w:rsidR="004570B7" w:rsidRDefault="004570B7" w:rsidP="004570B7">
            <w:pPr>
              <w:spacing w:line="276" w:lineRule="auto"/>
              <w:jc w:val="both"/>
              <w:rPr>
                <w:sz w:val="20"/>
                <w:szCs w:val="20"/>
                <w:lang w:val="en-GB"/>
              </w:rPr>
            </w:pPr>
            <w:r>
              <w:rPr>
                <w:sz w:val="20"/>
                <w:szCs w:val="20"/>
                <w:lang w:val="en-GB"/>
              </w:rPr>
              <w:t>Czech Rep (4.8)</w:t>
            </w:r>
          </w:p>
          <w:p w:rsidR="004570B7" w:rsidRPr="00184430" w:rsidRDefault="004570B7" w:rsidP="004570B7">
            <w:pPr>
              <w:spacing w:line="276" w:lineRule="auto"/>
              <w:jc w:val="both"/>
              <w:rPr>
                <w:sz w:val="20"/>
                <w:szCs w:val="20"/>
                <w:lang w:val="en-GB"/>
              </w:rPr>
            </w:pPr>
          </w:p>
        </w:tc>
        <w:tc>
          <w:tcPr>
            <w:tcW w:w="1843" w:type="dxa"/>
            <w:shd w:val="clear" w:color="auto" w:fill="FFFFFF" w:themeFill="background1"/>
          </w:tcPr>
          <w:p w:rsidR="004570B7" w:rsidRDefault="004570B7" w:rsidP="004570B7">
            <w:pPr>
              <w:spacing w:line="276" w:lineRule="auto"/>
              <w:jc w:val="both"/>
              <w:rPr>
                <w:sz w:val="20"/>
                <w:szCs w:val="20"/>
                <w:lang w:val="en-GB"/>
              </w:rPr>
            </w:pPr>
            <w:r w:rsidRPr="00184430">
              <w:rPr>
                <w:sz w:val="20"/>
                <w:szCs w:val="20"/>
                <w:lang w:val="en-GB"/>
              </w:rPr>
              <w:t>Poland (3.</w:t>
            </w:r>
            <w:r>
              <w:rPr>
                <w:sz w:val="20"/>
                <w:szCs w:val="20"/>
                <w:lang w:val="en-GB"/>
              </w:rPr>
              <w:t>1</w:t>
            </w:r>
            <w:r w:rsidRPr="00184430">
              <w:rPr>
                <w:sz w:val="20"/>
                <w:szCs w:val="20"/>
                <w:lang w:val="en-GB"/>
              </w:rPr>
              <w:t>)</w:t>
            </w:r>
          </w:p>
          <w:p w:rsidR="004570B7" w:rsidRPr="00184430" w:rsidRDefault="004570B7" w:rsidP="004570B7">
            <w:pPr>
              <w:spacing w:line="276" w:lineRule="auto"/>
              <w:jc w:val="both"/>
              <w:rPr>
                <w:sz w:val="20"/>
                <w:szCs w:val="20"/>
                <w:lang w:val="en-GB"/>
              </w:rPr>
            </w:pPr>
            <w:r w:rsidRPr="00184430">
              <w:rPr>
                <w:sz w:val="20"/>
                <w:szCs w:val="20"/>
                <w:lang w:val="en-GB"/>
              </w:rPr>
              <w:t>Czech Rep (</w:t>
            </w:r>
            <w:r>
              <w:rPr>
                <w:sz w:val="20"/>
                <w:szCs w:val="20"/>
                <w:lang w:val="en-GB"/>
              </w:rPr>
              <w:t>2.0</w:t>
            </w:r>
            <w:r w:rsidRPr="00184430">
              <w:rPr>
                <w:sz w:val="20"/>
                <w:szCs w:val="20"/>
                <w:lang w:val="en-GB"/>
              </w:rPr>
              <w:t>)</w:t>
            </w:r>
          </w:p>
          <w:p w:rsidR="004570B7" w:rsidRDefault="004570B7" w:rsidP="004570B7">
            <w:pPr>
              <w:spacing w:line="276" w:lineRule="auto"/>
              <w:jc w:val="both"/>
              <w:rPr>
                <w:sz w:val="20"/>
                <w:szCs w:val="20"/>
                <w:lang w:val="en-GB"/>
              </w:rPr>
            </w:pPr>
            <w:r>
              <w:rPr>
                <w:sz w:val="20"/>
                <w:szCs w:val="20"/>
                <w:lang w:val="en-GB"/>
              </w:rPr>
              <w:t>Malta (2.0)</w:t>
            </w:r>
          </w:p>
          <w:p w:rsidR="004570B7" w:rsidRDefault="004570B7" w:rsidP="004570B7">
            <w:pPr>
              <w:spacing w:line="276" w:lineRule="auto"/>
              <w:jc w:val="both"/>
              <w:rPr>
                <w:sz w:val="20"/>
                <w:szCs w:val="20"/>
                <w:lang w:val="en-GB"/>
              </w:rPr>
            </w:pPr>
            <w:r w:rsidRPr="00184430">
              <w:rPr>
                <w:sz w:val="20"/>
                <w:szCs w:val="20"/>
                <w:lang w:val="en-GB"/>
              </w:rPr>
              <w:t>Slovakia (</w:t>
            </w:r>
            <w:r>
              <w:rPr>
                <w:sz w:val="20"/>
                <w:szCs w:val="20"/>
                <w:lang w:val="en-GB"/>
              </w:rPr>
              <w:t>2.0</w:t>
            </w:r>
            <w:r w:rsidRPr="00184430">
              <w:rPr>
                <w:sz w:val="20"/>
                <w:szCs w:val="20"/>
                <w:lang w:val="en-GB"/>
              </w:rPr>
              <w:t>)</w:t>
            </w:r>
          </w:p>
          <w:p w:rsidR="004570B7" w:rsidRDefault="004570B7" w:rsidP="004570B7">
            <w:pPr>
              <w:spacing w:line="276" w:lineRule="auto"/>
              <w:jc w:val="both"/>
              <w:rPr>
                <w:sz w:val="20"/>
                <w:szCs w:val="20"/>
                <w:lang w:val="en-GB"/>
              </w:rPr>
            </w:pPr>
            <w:r>
              <w:rPr>
                <w:sz w:val="20"/>
                <w:szCs w:val="20"/>
                <w:lang w:val="en-GB"/>
              </w:rPr>
              <w:t>UK (1.7)</w:t>
            </w:r>
          </w:p>
          <w:p w:rsidR="004570B7" w:rsidRDefault="004570B7" w:rsidP="004570B7">
            <w:pPr>
              <w:spacing w:line="276" w:lineRule="auto"/>
              <w:jc w:val="both"/>
              <w:rPr>
                <w:sz w:val="20"/>
                <w:szCs w:val="20"/>
                <w:lang w:val="en-GB"/>
              </w:rPr>
            </w:pPr>
            <w:r>
              <w:rPr>
                <w:sz w:val="20"/>
                <w:szCs w:val="20"/>
                <w:lang w:val="en-GB"/>
              </w:rPr>
              <w:t>Bulgaria (1.0)</w:t>
            </w:r>
          </w:p>
          <w:p w:rsidR="004570B7" w:rsidRDefault="004570B7" w:rsidP="004570B7">
            <w:pPr>
              <w:spacing w:line="276" w:lineRule="auto"/>
              <w:jc w:val="both"/>
              <w:rPr>
                <w:sz w:val="20"/>
                <w:szCs w:val="20"/>
                <w:lang w:val="en-GB"/>
              </w:rPr>
            </w:pPr>
            <w:r>
              <w:rPr>
                <w:sz w:val="20"/>
                <w:szCs w:val="20"/>
                <w:lang w:val="en-GB"/>
              </w:rPr>
              <w:t>Romania (0.9)</w:t>
            </w:r>
          </w:p>
          <w:p w:rsidR="004570B7" w:rsidRDefault="004570B7" w:rsidP="004570B7">
            <w:pPr>
              <w:spacing w:line="276" w:lineRule="auto"/>
              <w:jc w:val="both"/>
              <w:rPr>
                <w:sz w:val="20"/>
                <w:szCs w:val="20"/>
                <w:lang w:val="en-GB"/>
              </w:rPr>
            </w:pPr>
            <w:r>
              <w:rPr>
                <w:sz w:val="20"/>
                <w:szCs w:val="20"/>
                <w:lang w:val="en-GB"/>
              </w:rPr>
              <w:t>Sweden (0.9)</w:t>
            </w:r>
          </w:p>
          <w:p w:rsidR="004570B7" w:rsidRDefault="004570B7" w:rsidP="00805E8D">
            <w:pPr>
              <w:spacing w:line="276" w:lineRule="auto"/>
              <w:jc w:val="both"/>
              <w:rPr>
                <w:sz w:val="20"/>
                <w:szCs w:val="20"/>
                <w:lang w:val="en-GB"/>
              </w:rPr>
            </w:pPr>
            <w:r>
              <w:rPr>
                <w:sz w:val="20"/>
                <w:szCs w:val="20"/>
                <w:lang w:val="en-GB"/>
              </w:rPr>
              <w:t>Germany (0.8)</w:t>
            </w:r>
          </w:p>
          <w:p w:rsidR="004570B7" w:rsidRDefault="004570B7" w:rsidP="00805E8D">
            <w:pPr>
              <w:spacing w:line="276" w:lineRule="auto"/>
              <w:jc w:val="both"/>
              <w:rPr>
                <w:sz w:val="20"/>
                <w:szCs w:val="20"/>
                <w:lang w:val="en-GB"/>
              </w:rPr>
            </w:pPr>
            <w:r>
              <w:rPr>
                <w:sz w:val="20"/>
                <w:szCs w:val="20"/>
                <w:lang w:val="en-GB"/>
              </w:rPr>
              <w:t>Lithuania (0.8)</w:t>
            </w:r>
          </w:p>
          <w:p w:rsidR="004570B7" w:rsidRDefault="004570B7" w:rsidP="00805E8D">
            <w:pPr>
              <w:spacing w:line="276" w:lineRule="auto"/>
              <w:jc w:val="both"/>
              <w:rPr>
                <w:sz w:val="20"/>
                <w:szCs w:val="20"/>
                <w:lang w:val="en-GB"/>
              </w:rPr>
            </w:pPr>
            <w:r>
              <w:rPr>
                <w:sz w:val="20"/>
                <w:szCs w:val="20"/>
                <w:lang w:val="en-GB"/>
              </w:rPr>
              <w:t>Austria (0.7)</w:t>
            </w:r>
          </w:p>
          <w:p w:rsidR="004570B7" w:rsidRDefault="004570B7" w:rsidP="004570B7">
            <w:pPr>
              <w:spacing w:line="276" w:lineRule="auto"/>
              <w:jc w:val="both"/>
              <w:rPr>
                <w:sz w:val="20"/>
                <w:szCs w:val="20"/>
                <w:lang w:val="en-GB"/>
              </w:rPr>
            </w:pPr>
            <w:r>
              <w:rPr>
                <w:sz w:val="20"/>
                <w:szCs w:val="20"/>
                <w:lang w:val="en-GB"/>
              </w:rPr>
              <w:t>Belgium (0.5)</w:t>
            </w:r>
          </w:p>
          <w:p w:rsidR="004570B7" w:rsidRPr="00184430" w:rsidRDefault="004570B7" w:rsidP="00BE5064">
            <w:pPr>
              <w:spacing w:line="276" w:lineRule="auto"/>
              <w:jc w:val="both"/>
              <w:rPr>
                <w:sz w:val="20"/>
                <w:szCs w:val="20"/>
                <w:lang w:val="en-GB"/>
              </w:rPr>
            </w:pPr>
            <w:r>
              <w:rPr>
                <w:sz w:val="20"/>
                <w:szCs w:val="20"/>
                <w:lang w:val="en-GB"/>
              </w:rPr>
              <w:t>France (0.4)</w:t>
            </w:r>
          </w:p>
        </w:tc>
      </w:tr>
      <w:tr w:rsidR="004570B7" w:rsidRPr="00184430" w:rsidTr="004E42B8">
        <w:trPr>
          <w:jc w:val="center"/>
        </w:trPr>
        <w:tc>
          <w:tcPr>
            <w:tcW w:w="2235" w:type="dxa"/>
            <w:shd w:val="clear" w:color="auto" w:fill="FFFFFF" w:themeFill="background1"/>
            <w:vAlign w:val="center"/>
          </w:tcPr>
          <w:p w:rsidR="004570B7" w:rsidRPr="004E42B8" w:rsidRDefault="004570B7" w:rsidP="00026ECF">
            <w:pPr>
              <w:spacing w:line="276" w:lineRule="auto"/>
              <w:jc w:val="both"/>
              <w:rPr>
                <w:b/>
                <w:sz w:val="20"/>
                <w:szCs w:val="20"/>
                <w:lang w:val="en-GB"/>
              </w:rPr>
            </w:pPr>
            <w:r>
              <w:rPr>
                <w:b/>
                <w:sz w:val="20"/>
                <w:szCs w:val="20"/>
                <w:lang w:val="en-GB"/>
              </w:rPr>
              <w:t>Countries below the EU average</w:t>
            </w:r>
          </w:p>
        </w:tc>
        <w:tc>
          <w:tcPr>
            <w:tcW w:w="1789" w:type="dxa"/>
            <w:shd w:val="clear" w:color="auto" w:fill="FFFFFF" w:themeFill="background1"/>
          </w:tcPr>
          <w:p w:rsidR="004570B7" w:rsidRDefault="004570B7" w:rsidP="004570B7">
            <w:pPr>
              <w:spacing w:line="276" w:lineRule="auto"/>
              <w:jc w:val="both"/>
              <w:rPr>
                <w:sz w:val="20"/>
                <w:szCs w:val="20"/>
                <w:lang w:val="en-GB"/>
              </w:rPr>
            </w:pPr>
            <w:r>
              <w:rPr>
                <w:sz w:val="20"/>
                <w:szCs w:val="20"/>
                <w:lang w:val="en-GB"/>
              </w:rPr>
              <w:t>Greece (4.3)</w:t>
            </w:r>
          </w:p>
          <w:p w:rsidR="004570B7" w:rsidRDefault="004570B7" w:rsidP="004570B7">
            <w:pPr>
              <w:spacing w:line="276" w:lineRule="auto"/>
              <w:jc w:val="both"/>
              <w:rPr>
                <w:sz w:val="20"/>
                <w:szCs w:val="20"/>
                <w:lang w:val="en-GB"/>
              </w:rPr>
            </w:pPr>
            <w:r>
              <w:rPr>
                <w:sz w:val="20"/>
                <w:szCs w:val="20"/>
                <w:lang w:val="en-GB"/>
              </w:rPr>
              <w:t>Cyprus (4.2)</w:t>
            </w:r>
          </w:p>
          <w:p w:rsidR="004570B7" w:rsidRDefault="004570B7" w:rsidP="004570B7">
            <w:pPr>
              <w:spacing w:line="276" w:lineRule="auto"/>
              <w:jc w:val="both"/>
              <w:rPr>
                <w:sz w:val="20"/>
                <w:szCs w:val="20"/>
                <w:lang w:val="en-GB"/>
              </w:rPr>
            </w:pPr>
            <w:r>
              <w:rPr>
                <w:sz w:val="20"/>
                <w:szCs w:val="20"/>
                <w:lang w:val="en-GB"/>
              </w:rPr>
              <w:t>Finland (4.0)</w:t>
            </w:r>
          </w:p>
          <w:p w:rsidR="004570B7" w:rsidRDefault="004570B7" w:rsidP="004570B7">
            <w:pPr>
              <w:spacing w:line="276" w:lineRule="auto"/>
              <w:jc w:val="both"/>
              <w:rPr>
                <w:sz w:val="20"/>
                <w:szCs w:val="20"/>
                <w:lang w:val="en-GB"/>
              </w:rPr>
            </w:pPr>
            <w:r>
              <w:rPr>
                <w:sz w:val="20"/>
                <w:szCs w:val="20"/>
                <w:lang w:val="en-GB"/>
              </w:rPr>
              <w:t>Spain (3.6)</w:t>
            </w:r>
          </w:p>
          <w:p w:rsidR="004570B7" w:rsidRDefault="004570B7" w:rsidP="004570B7">
            <w:pPr>
              <w:spacing w:line="276" w:lineRule="auto"/>
              <w:jc w:val="both"/>
              <w:rPr>
                <w:sz w:val="20"/>
                <w:szCs w:val="20"/>
                <w:lang w:val="en-GB"/>
              </w:rPr>
            </w:pPr>
            <w:r>
              <w:rPr>
                <w:sz w:val="20"/>
                <w:szCs w:val="20"/>
                <w:lang w:val="en-GB"/>
              </w:rPr>
              <w:t>Sweden (3.5)</w:t>
            </w:r>
          </w:p>
          <w:p w:rsidR="004570B7" w:rsidRDefault="004570B7" w:rsidP="004570B7">
            <w:pPr>
              <w:spacing w:line="276" w:lineRule="auto"/>
              <w:jc w:val="both"/>
              <w:rPr>
                <w:sz w:val="20"/>
                <w:szCs w:val="20"/>
                <w:lang w:val="en-GB"/>
              </w:rPr>
            </w:pPr>
            <w:r>
              <w:rPr>
                <w:sz w:val="20"/>
                <w:szCs w:val="20"/>
                <w:lang w:val="en-GB"/>
              </w:rPr>
              <w:t>Hungary (3.4)</w:t>
            </w:r>
          </w:p>
          <w:p w:rsidR="004570B7" w:rsidRDefault="004570B7" w:rsidP="004570B7">
            <w:pPr>
              <w:spacing w:line="276" w:lineRule="auto"/>
              <w:jc w:val="both"/>
              <w:rPr>
                <w:sz w:val="20"/>
                <w:szCs w:val="20"/>
                <w:lang w:val="en-GB"/>
              </w:rPr>
            </w:pPr>
            <w:r>
              <w:rPr>
                <w:sz w:val="20"/>
                <w:szCs w:val="20"/>
                <w:lang w:val="en-GB"/>
              </w:rPr>
              <w:t>Austria (2.9)</w:t>
            </w:r>
          </w:p>
          <w:p w:rsidR="004570B7" w:rsidRDefault="004570B7" w:rsidP="004570B7">
            <w:pPr>
              <w:spacing w:line="276" w:lineRule="auto"/>
              <w:jc w:val="both"/>
              <w:rPr>
                <w:sz w:val="20"/>
                <w:szCs w:val="20"/>
                <w:lang w:val="en-GB"/>
              </w:rPr>
            </w:pPr>
            <w:r>
              <w:rPr>
                <w:sz w:val="20"/>
                <w:szCs w:val="20"/>
                <w:lang w:val="en-GB"/>
              </w:rPr>
              <w:t xml:space="preserve">UK (2.9) </w:t>
            </w:r>
          </w:p>
          <w:p w:rsidR="004570B7" w:rsidRDefault="004570B7" w:rsidP="004570B7">
            <w:pPr>
              <w:spacing w:line="276" w:lineRule="auto"/>
              <w:jc w:val="both"/>
              <w:rPr>
                <w:sz w:val="20"/>
                <w:szCs w:val="20"/>
                <w:lang w:val="en-GB"/>
              </w:rPr>
            </w:pPr>
            <w:r>
              <w:rPr>
                <w:sz w:val="20"/>
                <w:szCs w:val="20"/>
                <w:lang w:val="en-GB"/>
              </w:rPr>
              <w:t>Netherlands (2.7)</w:t>
            </w:r>
          </w:p>
          <w:p w:rsidR="004570B7" w:rsidRDefault="004570B7" w:rsidP="004570B7">
            <w:pPr>
              <w:spacing w:line="276" w:lineRule="auto"/>
              <w:jc w:val="both"/>
              <w:rPr>
                <w:sz w:val="20"/>
                <w:szCs w:val="20"/>
                <w:lang w:val="en-GB"/>
              </w:rPr>
            </w:pPr>
            <w:r>
              <w:rPr>
                <w:sz w:val="20"/>
                <w:szCs w:val="20"/>
                <w:lang w:val="en-GB"/>
              </w:rPr>
              <w:t>Denmark (2.5)</w:t>
            </w:r>
          </w:p>
          <w:p w:rsidR="004570B7" w:rsidRDefault="004570B7" w:rsidP="004570B7">
            <w:pPr>
              <w:spacing w:line="276" w:lineRule="auto"/>
              <w:jc w:val="both"/>
              <w:rPr>
                <w:sz w:val="20"/>
                <w:szCs w:val="20"/>
                <w:lang w:val="en-GB"/>
              </w:rPr>
            </w:pPr>
            <w:r>
              <w:rPr>
                <w:sz w:val="20"/>
                <w:szCs w:val="20"/>
                <w:lang w:val="en-GB"/>
              </w:rPr>
              <w:t>Belgium (2.4)</w:t>
            </w:r>
          </w:p>
          <w:p w:rsidR="004570B7" w:rsidRDefault="004570B7" w:rsidP="004570B7">
            <w:pPr>
              <w:spacing w:line="276" w:lineRule="auto"/>
              <w:jc w:val="both"/>
              <w:rPr>
                <w:sz w:val="20"/>
                <w:szCs w:val="20"/>
                <w:lang w:val="en-GB"/>
              </w:rPr>
            </w:pPr>
            <w:r>
              <w:rPr>
                <w:sz w:val="20"/>
                <w:szCs w:val="20"/>
                <w:lang w:val="en-GB"/>
              </w:rPr>
              <w:t>Malta (2.4)</w:t>
            </w:r>
          </w:p>
          <w:p w:rsidR="004570B7" w:rsidRPr="00184430" w:rsidRDefault="004570B7" w:rsidP="004570B7">
            <w:pPr>
              <w:spacing w:line="276" w:lineRule="auto"/>
              <w:jc w:val="both"/>
              <w:rPr>
                <w:sz w:val="20"/>
                <w:szCs w:val="20"/>
                <w:lang w:val="en-GB"/>
              </w:rPr>
            </w:pPr>
            <w:r w:rsidRPr="00184430">
              <w:rPr>
                <w:sz w:val="20"/>
                <w:szCs w:val="20"/>
                <w:lang w:val="en-GB"/>
              </w:rPr>
              <w:t>Germany (2.1)</w:t>
            </w:r>
          </w:p>
          <w:p w:rsidR="004570B7" w:rsidRPr="00184430" w:rsidRDefault="004570B7" w:rsidP="004570B7">
            <w:pPr>
              <w:spacing w:line="276" w:lineRule="auto"/>
              <w:jc w:val="both"/>
              <w:rPr>
                <w:sz w:val="20"/>
                <w:szCs w:val="20"/>
                <w:lang w:val="en-GB"/>
              </w:rPr>
            </w:pPr>
            <w:r w:rsidRPr="00184430">
              <w:rPr>
                <w:sz w:val="20"/>
                <w:szCs w:val="20"/>
                <w:lang w:val="en-GB"/>
              </w:rPr>
              <w:t>France (2.0)</w:t>
            </w:r>
          </w:p>
          <w:p w:rsidR="004570B7" w:rsidRDefault="004570B7" w:rsidP="004570B7">
            <w:pPr>
              <w:spacing w:line="276" w:lineRule="auto"/>
              <w:jc w:val="both"/>
              <w:rPr>
                <w:sz w:val="20"/>
                <w:szCs w:val="20"/>
                <w:lang w:val="en-GB"/>
              </w:rPr>
            </w:pPr>
            <w:r w:rsidRPr="00184430">
              <w:rPr>
                <w:sz w:val="20"/>
                <w:szCs w:val="20"/>
                <w:lang w:val="en-GB"/>
              </w:rPr>
              <w:t>Portugal (1.4)</w:t>
            </w:r>
          </w:p>
          <w:p w:rsidR="004570B7" w:rsidRPr="00184430" w:rsidRDefault="004570B7" w:rsidP="004570B7">
            <w:pPr>
              <w:spacing w:line="276" w:lineRule="auto"/>
              <w:jc w:val="both"/>
              <w:rPr>
                <w:sz w:val="20"/>
                <w:szCs w:val="20"/>
                <w:lang w:val="en-GB"/>
              </w:rPr>
            </w:pPr>
            <w:r w:rsidRPr="00184430">
              <w:rPr>
                <w:sz w:val="20"/>
                <w:szCs w:val="20"/>
                <w:lang w:val="en-GB"/>
              </w:rPr>
              <w:t>Italy (1.2)</w:t>
            </w:r>
          </w:p>
        </w:tc>
        <w:tc>
          <w:tcPr>
            <w:tcW w:w="1843" w:type="dxa"/>
            <w:shd w:val="clear" w:color="auto" w:fill="FFFFFF" w:themeFill="background1"/>
          </w:tcPr>
          <w:p w:rsidR="004570B7" w:rsidRPr="00184430" w:rsidRDefault="004570B7" w:rsidP="004570B7">
            <w:pPr>
              <w:spacing w:line="276" w:lineRule="auto"/>
              <w:jc w:val="both"/>
              <w:rPr>
                <w:sz w:val="20"/>
                <w:szCs w:val="20"/>
                <w:lang w:val="en-GB"/>
              </w:rPr>
            </w:pPr>
            <w:r w:rsidRPr="00184430">
              <w:rPr>
                <w:sz w:val="20"/>
                <w:szCs w:val="20"/>
                <w:lang w:val="en-GB"/>
              </w:rPr>
              <w:t>Ireland (-</w:t>
            </w:r>
            <w:r>
              <w:rPr>
                <w:sz w:val="20"/>
                <w:szCs w:val="20"/>
                <w:lang w:val="en-GB"/>
              </w:rPr>
              <w:t>0.6</w:t>
            </w:r>
            <w:r w:rsidRPr="00184430">
              <w:rPr>
                <w:sz w:val="20"/>
                <w:szCs w:val="20"/>
                <w:lang w:val="en-GB"/>
              </w:rPr>
              <w:t>)</w:t>
            </w:r>
          </w:p>
          <w:p w:rsidR="004570B7" w:rsidRDefault="004570B7" w:rsidP="004570B7">
            <w:pPr>
              <w:spacing w:line="276" w:lineRule="auto"/>
              <w:jc w:val="both"/>
              <w:rPr>
                <w:sz w:val="20"/>
                <w:szCs w:val="20"/>
                <w:lang w:val="en-GB"/>
              </w:rPr>
            </w:pPr>
            <w:r w:rsidRPr="00184430">
              <w:rPr>
                <w:sz w:val="20"/>
                <w:szCs w:val="20"/>
                <w:lang w:val="en-GB"/>
              </w:rPr>
              <w:t>Estonia (</w:t>
            </w:r>
            <w:r>
              <w:rPr>
                <w:sz w:val="20"/>
                <w:szCs w:val="20"/>
                <w:lang w:val="en-GB"/>
              </w:rPr>
              <w:t>0.0</w:t>
            </w:r>
            <w:r w:rsidRPr="00184430">
              <w:rPr>
                <w:sz w:val="20"/>
                <w:szCs w:val="20"/>
                <w:lang w:val="en-GB"/>
              </w:rPr>
              <w:t>)</w:t>
            </w:r>
          </w:p>
          <w:p w:rsidR="004570B7" w:rsidRDefault="004570B7" w:rsidP="00805E8D">
            <w:pPr>
              <w:spacing w:line="276" w:lineRule="auto"/>
              <w:jc w:val="both"/>
              <w:rPr>
                <w:sz w:val="20"/>
                <w:szCs w:val="20"/>
                <w:lang w:val="en-GB"/>
              </w:rPr>
            </w:pPr>
            <w:r>
              <w:rPr>
                <w:sz w:val="20"/>
                <w:szCs w:val="20"/>
                <w:lang w:val="en-GB"/>
              </w:rPr>
              <w:t>Hungary (0.0)</w:t>
            </w:r>
          </w:p>
          <w:p w:rsidR="004570B7" w:rsidRDefault="004570B7" w:rsidP="00805E8D">
            <w:pPr>
              <w:spacing w:line="276" w:lineRule="auto"/>
              <w:jc w:val="both"/>
              <w:rPr>
                <w:sz w:val="20"/>
                <w:szCs w:val="20"/>
                <w:lang w:val="en-GB"/>
              </w:rPr>
            </w:pPr>
            <w:r>
              <w:rPr>
                <w:sz w:val="20"/>
                <w:szCs w:val="20"/>
                <w:lang w:val="en-GB"/>
              </w:rPr>
              <w:t>Netherlands (-0.1)</w:t>
            </w:r>
          </w:p>
          <w:p w:rsidR="004570B7" w:rsidRDefault="004570B7" w:rsidP="00805E8D">
            <w:pPr>
              <w:spacing w:line="276" w:lineRule="auto"/>
              <w:jc w:val="both"/>
              <w:rPr>
                <w:sz w:val="20"/>
                <w:szCs w:val="20"/>
                <w:lang w:val="en-GB"/>
              </w:rPr>
            </w:pPr>
            <w:r>
              <w:rPr>
                <w:sz w:val="20"/>
                <w:szCs w:val="20"/>
                <w:lang w:val="en-GB"/>
              </w:rPr>
              <w:t>Denmark (-0.5)</w:t>
            </w:r>
          </w:p>
          <w:p w:rsidR="004570B7" w:rsidRDefault="004570B7" w:rsidP="00805E8D">
            <w:pPr>
              <w:spacing w:line="276" w:lineRule="auto"/>
              <w:jc w:val="both"/>
              <w:rPr>
                <w:sz w:val="20"/>
                <w:szCs w:val="20"/>
                <w:lang w:val="en-GB"/>
              </w:rPr>
            </w:pPr>
            <w:r>
              <w:rPr>
                <w:sz w:val="20"/>
                <w:szCs w:val="20"/>
                <w:lang w:val="en-GB"/>
              </w:rPr>
              <w:t>Slovenia (-0.5)</w:t>
            </w:r>
          </w:p>
          <w:p w:rsidR="004570B7" w:rsidRDefault="004570B7" w:rsidP="00805E8D">
            <w:pPr>
              <w:spacing w:line="276" w:lineRule="auto"/>
              <w:jc w:val="both"/>
              <w:rPr>
                <w:sz w:val="20"/>
                <w:szCs w:val="20"/>
                <w:lang w:val="en-GB"/>
              </w:rPr>
            </w:pPr>
            <w:r>
              <w:rPr>
                <w:sz w:val="20"/>
                <w:szCs w:val="20"/>
                <w:lang w:val="en-GB"/>
              </w:rPr>
              <w:t>Finland (-0.7)</w:t>
            </w:r>
          </w:p>
          <w:p w:rsidR="004570B7" w:rsidRDefault="004570B7" w:rsidP="00805E8D">
            <w:pPr>
              <w:spacing w:line="276" w:lineRule="auto"/>
              <w:jc w:val="both"/>
              <w:rPr>
                <w:sz w:val="20"/>
                <w:szCs w:val="20"/>
                <w:lang w:val="en-GB"/>
              </w:rPr>
            </w:pPr>
            <w:r>
              <w:rPr>
                <w:sz w:val="20"/>
                <w:szCs w:val="20"/>
                <w:lang w:val="en-GB"/>
              </w:rPr>
              <w:t>Spain (-0.8)</w:t>
            </w:r>
            <w:r w:rsidRPr="00184430">
              <w:rPr>
                <w:sz w:val="20"/>
                <w:szCs w:val="20"/>
                <w:lang w:val="en-GB"/>
              </w:rPr>
              <w:t xml:space="preserve"> </w:t>
            </w:r>
          </w:p>
          <w:p w:rsidR="004570B7" w:rsidRDefault="004570B7" w:rsidP="00805E8D">
            <w:pPr>
              <w:spacing w:line="276" w:lineRule="auto"/>
              <w:jc w:val="both"/>
              <w:rPr>
                <w:sz w:val="20"/>
                <w:szCs w:val="20"/>
                <w:lang w:val="en-GB"/>
              </w:rPr>
            </w:pPr>
            <w:r>
              <w:rPr>
                <w:sz w:val="20"/>
                <w:szCs w:val="20"/>
                <w:lang w:val="en-GB"/>
              </w:rPr>
              <w:t>Portugal (-0.9)</w:t>
            </w:r>
          </w:p>
          <w:p w:rsidR="004570B7" w:rsidRPr="00184430" w:rsidRDefault="004570B7" w:rsidP="00805E8D">
            <w:pPr>
              <w:spacing w:line="276" w:lineRule="auto"/>
              <w:jc w:val="both"/>
              <w:rPr>
                <w:sz w:val="20"/>
                <w:szCs w:val="20"/>
                <w:lang w:val="en-GB"/>
              </w:rPr>
            </w:pPr>
            <w:r w:rsidRPr="00184430">
              <w:rPr>
                <w:sz w:val="20"/>
                <w:szCs w:val="20"/>
                <w:lang w:val="en-GB"/>
              </w:rPr>
              <w:t>Cyprus (-</w:t>
            </w:r>
            <w:r>
              <w:rPr>
                <w:sz w:val="20"/>
                <w:szCs w:val="20"/>
                <w:lang w:val="en-GB"/>
              </w:rPr>
              <w:t>1</w:t>
            </w:r>
            <w:r w:rsidRPr="00184430">
              <w:rPr>
                <w:sz w:val="20"/>
                <w:szCs w:val="20"/>
                <w:lang w:val="en-GB"/>
              </w:rPr>
              <w:t>.</w:t>
            </w:r>
            <w:r>
              <w:rPr>
                <w:sz w:val="20"/>
                <w:szCs w:val="20"/>
                <w:lang w:val="en-GB"/>
              </w:rPr>
              <w:t>0</w:t>
            </w:r>
            <w:r w:rsidRPr="00184430">
              <w:rPr>
                <w:sz w:val="20"/>
                <w:szCs w:val="20"/>
                <w:lang w:val="en-GB"/>
              </w:rPr>
              <w:t>)</w:t>
            </w:r>
          </w:p>
          <w:p w:rsidR="004570B7" w:rsidRPr="00184430" w:rsidRDefault="004570B7" w:rsidP="00805E8D">
            <w:pPr>
              <w:spacing w:line="276" w:lineRule="auto"/>
              <w:jc w:val="both"/>
              <w:rPr>
                <w:sz w:val="20"/>
                <w:szCs w:val="20"/>
                <w:lang w:val="en-GB"/>
              </w:rPr>
            </w:pPr>
            <w:r w:rsidRPr="00184430">
              <w:rPr>
                <w:sz w:val="20"/>
                <w:szCs w:val="20"/>
                <w:lang w:val="en-GB"/>
              </w:rPr>
              <w:t>Italy (-1.</w:t>
            </w:r>
            <w:r>
              <w:rPr>
                <w:sz w:val="20"/>
                <w:szCs w:val="20"/>
                <w:lang w:val="en-GB"/>
              </w:rPr>
              <w:t>2</w:t>
            </w:r>
            <w:r w:rsidRPr="00184430">
              <w:rPr>
                <w:sz w:val="20"/>
                <w:szCs w:val="20"/>
                <w:lang w:val="en-GB"/>
              </w:rPr>
              <w:t>)</w:t>
            </w:r>
          </w:p>
          <w:p w:rsidR="004570B7" w:rsidRDefault="004570B7" w:rsidP="003C2C7E">
            <w:pPr>
              <w:spacing w:line="276" w:lineRule="auto"/>
              <w:jc w:val="both"/>
              <w:rPr>
                <w:sz w:val="20"/>
                <w:szCs w:val="20"/>
                <w:lang w:val="en-GB"/>
              </w:rPr>
            </w:pPr>
            <w:r w:rsidRPr="00184430">
              <w:rPr>
                <w:sz w:val="20"/>
                <w:szCs w:val="20"/>
                <w:lang w:val="en-GB"/>
              </w:rPr>
              <w:t>Latvia (-</w:t>
            </w:r>
            <w:r>
              <w:rPr>
                <w:sz w:val="20"/>
                <w:szCs w:val="20"/>
                <w:lang w:val="en-GB"/>
              </w:rPr>
              <w:t>1</w:t>
            </w:r>
            <w:r w:rsidRPr="00184430">
              <w:rPr>
                <w:sz w:val="20"/>
                <w:szCs w:val="20"/>
                <w:lang w:val="en-GB"/>
              </w:rPr>
              <w:t>.</w:t>
            </w:r>
            <w:r>
              <w:rPr>
                <w:sz w:val="20"/>
                <w:szCs w:val="20"/>
                <w:lang w:val="en-GB"/>
              </w:rPr>
              <w:t>2</w:t>
            </w:r>
            <w:r w:rsidRPr="00184430">
              <w:rPr>
                <w:sz w:val="20"/>
                <w:szCs w:val="20"/>
                <w:lang w:val="en-GB"/>
              </w:rPr>
              <w:t xml:space="preserve">) </w:t>
            </w:r>
          </w:p>
          <w:p w:rsidR="004570B7" w:rsidRDefault="004570B7" w:rsidP="00805E8D">
            <w:pPr>
              <w:spacing w:line="276" w:lineRule="auto"/>
              <w:jc w:val="both"/>
              <w:rPr>
                <w:sz w:val="20"/>
                <w:szCs w:val="20"/>
                <w:lang w:val="en-GB"/>
              </w:rPr>
            </w:pPr>
            <w:r w:rsidRPr="00184430">
              <w:rPr>
                <w:sz w:val="20"/>
                <w:szCs w:val="20"/>
                <w:lang w:val="en-GB"/>
              </w:rPr>
              <w:t>Lithuania (-3.4)</w:t>
            </w:r>
          </w:p>
          <w:p w:rsidR="004570B7" w:rsidRDefault="004570B7" w:rsidP="004570B7">
            <w:pPr>
              <w:spacing w:line="276" w:lineRule="auto"/>
              <w:jc w:val="both"/>
              <w:rPr>
                <w:sz w:val="20"/>
                <w:szCs w:val="20"/>
                <w:lang w:val="en-GB"/>
              </w:rPr>
            </w:pPr>
            <w:r w:rsidRPr="00184430">
              <w:rPr>
                <w:sz w:val="20"/>
                <w:szCs w:val="20"/>
                <w:lang w:val="en-GB"/>
              </w:rPr>
              <w:t>Greece (-</w:t>
            </w:r>
            <w:r>
              <w:rPr>
                <w:sz w:val="20"/>
                <w:szCs w:val="20"/>
                <w:lang w:val="en-GB"/>
              </w:rPr>
              <w:t>3</w:t>
            </w:r>
            <w:r w:rsidRPr="00184430">
              <w:rPr>
                <w:sz w:val="20"/>
                <w:szCs w:val="20"/>
                <w:lang w:val="en-GB"/>
              </w:rPr>
              <w:t>.</w:t>
            </w:r>
            <w:r>
              <w:rPr>
                <w:sz w:val="20"/>
                <w:szCs w:val="20"/>
                <w:lang w:val="en-GB"/>
              </w:rPr>
              <w:t>5</w:t>
            </w:r>
            <w:r w:rsidRPr="00184430">
              <w:rPr>
                <w:sz w:val="20"/>
                <w:szCs w:val="20"/>
                <w:lang w:val="en-GB"/>
              </w:rPr>
              <w:t>)</w:t>
            </w:r>
          </w:p>
          <w:p w:rsidR="004570B7" w:rsidRPr="00184430" w:rsidRDefault="004570B7" w:rsidP="004570B7">
            <w:pPr>
              <w:spacing w:line="276" w:lineRule="auto"/>
              <w:jc w:val="both"/>
              <w:rPr>
                <w:sz w:val="20"/>
                <w:szCs w:val="20"/>
                <w:lang w:val="en-GB"/>
              </w:rPr>
            </w:pPr>
          </w:p>
        </w:tc>
      </w:tr>
    </w:tbl>
    <w:p w:rsidR="000A2B06" w:rsidRDefault="000A2B06" w:rsidP="00C222FA">
      <w:pPr>
        <w:spacing w:line="276" w:lineRule="auto"/>
        <w:ind w:left="567" w:hanging="567"/>
        <w:jc w:val="both"/>
        <w:rPr>
          <w:lang w:val="en-GB"/>
        </w:rPr>
      </w:pPr>
    </w:p>
    <w:p w:rsidR="008A3B8B" w:rsidRPr="00184430" w:rsidRDefault="008A3B8B" w:rsidP="00C222FA">
      <w:pPr>
        <w:spacing w:line="276" w:lineRule="auto"/>
        <w:jc w:val="both"/>
        <w:rPr>
          <w:sz w:val="20"/>
          <w:szCs w:val="20"/>
          <w:lang w:val="en-GB"/>
        </w:rPr>
      </w:pPr>
      <w:r w:rsidRPr="00184430">
        <w:rPr>
          <w:sz w:val="20"/>
          <w:szCs w:val="20"/>
          <w:lang w:val="en-GB"/>
        </w:rPr>
        <w:t>Source:</w:t>
      </w:r>
      <w:r w:rsidR="0039778D">
        <w:rPr>
          <w:sz w:val="20"/>
          <w:szCs w:val="20"/>
          <w:lang w:val="en-GB"/>
        </w:rPr>
        <w:t xml:space="preserve"> authors</w:t>
      </w:r>
      <w:r w:rsidR="00405602">
        <w:rPr>
          <w:sz w:val="20"/>
          <w:szCs w:val="20"/>
          <w:lang w:val="en-GB"/>
        </w:rPr>
        <w:t>,</w:t>
      </w:r>
      <w:r w:rsidR="0039778D">
        <w:rPr>
          <w:sz w:val="20"/>
          <w:szCs w:val="20"/>
          <w:lang w:val="en-GB"/>
        </w:rPr>
        <w:t xml:space="preserve"> based on</w:t>
      </w:r>
      <w:r w:rsidRPr="00184430">
        <w:rPr>
          <w:sz w:val="20"/>
          <w:szCs w:val="20"/>
          <w:lang w:val="en-GB"/>
        </w:rPr>
        <w:t xml:space="preserve"> European Commission (2014</w:t>
      </w:r>
      <w:r w:rsidR="00D16C89">
        <w:rPr>
          <w:sz w:val="20"/>
          <w:szCs w:val="20"/>
          <w:lang w:val="en-GB"/>
        </w:rPr>
        <w:t>a</w:t>
      </w:r>
      <w:r w:rsidRPr="00184430">
        <w:rPr>
          <w:sz w:val="20"/>
          <w:szCs w:val="20"/>
          <w:lang w:val="en-GB"/>
        </w:rPr>
        <w:t>)</w:t>
      </w:r>
      <w:r w:rsidR="004E42B8">
        <w:rPr>
          <w:sz w:val="20"/>
          <w:szCs w:val="20"/>
          <w:lang w:val="en-GB"/>
        </w:rPr>
        <w:t xml:space="preserve"> and AMECO</w:t>
      </w:r>
      <w:r w:rsidRPr="00184430">
        <w:rPr>
          <w:sz w:val="20"/>
          <w:szCs w:val="20"/>
          <w:lang w:val="en-GB"/>
        </w:rPr>
        <w:t>.</w:t>
      </w:r>
    </w:p>
    <w:p w:rsidR="008A3B8B" w:rsidRPr="00184430" w:rsidRDefault="008A3B8B" w:rsidP="00C222FA">
      <w:pPr>
        <w:spacing w:line="276" w:lineRule="auto"/>
        <w:ind w:left="567" w:hanging="567"/>
        <w:jc w:val="both"/>
        <w:rPr>
          <w:lang w:val="en-GB"/>
        </w:rPr>
      </w:pPr>
    </w:p>
    <w:p w:rsidR="0055429F" w:rsidRDefault="00116DEB">
      <w:pPr>
        <w:spacing w:line="276" w:lineRule="auto"/>
        <w:jc w:val="both"/>
        <w:rPr>
          <w:lang w:val="en-GB"/>
        </w:rPr>
      </w:pPr>
      <w:r>
        <w:rPr>
          <w:lang w:val="en-GB"/>
        </w:rPr>
        <w:t>I</w:t>
      </w:r>
      <w:r w:rsidR="00E5023C" w:rsidRPr="002838DF">
        <w:rPr>
          <w:lang w:val="en-GB"/>
        </w:rPr>
        <w:t xml:space="preserve">t is </w:t>
      </w:r>
      <w:r>
        <w:rPr>
          <w:lang w:val="en-GB"/>
        </w:rPr>
        <w:t xml:space="preserve">also </w:t>
      </w:r>
      <w:r w:rsidR="00E5023C" w:rsidRPr="002838DF">
        <w:rPr>
          <w:lang w:val="en-GB"/>
        </w:rPr>
        <w:t xml:space="preserve">reasonable to </w:t>
      </w:r>
      <w:r>
        <w:rPr>
          <w:lang w:val="en-GB"/>
        </w:rPr>
        <w:t>ask</w:t>
      </w:r>
      <w:r w:rsidR="007B256C">
        <w:rPr>
          <w:lang w:val="en-GB"/>
        </w:rPr>
        <w:t xml:space="preserve"> </w:t>
      </w:r>
      <w:r w:rsidR="00E5023C" w:rsidRPr="002838DF">
        <w:rPr>
          <w:lang w:val="en-GB"/>
        </w:rPr>
        <w:t xml:space="preserve">whether the EU </w:t>
      </w:r>
      <w:r w:rsidR="00E5023C">
        <w:rPr>
          <w:lang w:val="en-GB"/>
        </w:rPr>
        <w:t>as a whole was</w:t>
      </w:r>
      <w:r w:rsidR="00E5023C" w:rsidRPr="002838DF">
        <w:rPr>
          <w:lang w:val="en-GB"/>
        </w:rPr>
        <w:t xml:space="preserve"> able to keep pace with the </w:t>
      </w:r>
      <w:r w:rsidR="00E5023C">
        <w:rPr>
          <w:lang w:val="en-GB"/>
        </w:rPr>
        <w:t xml:space="preserve">world’s largest economy, the </w:t>
      </w:r>
      <w:r w:rsidR="00E5023C" w:rsidRPr="002838DF">
        <w:rPr>
          <w:lang w:val="en-GB"/>
        </w:rPr>
        <w:t>US</w:t>
      </w:r>
      <w:r w:rsidR="00E5023C">
        <w:rPr>
          <w:lang w:val="en-GB"/>
        </w:rPr>
        <w:t>,</w:t>
      </w:r>
      <w:r w:rsidR="00E5023C" w:rsidRPr="002838DF">
        <w:rPr>
          <w:lang w:val="en-GB"/>
        </w:rPr>
        <w:t xml:space="preserve"> in</w:t>
      </w:r>
      <w:r w:rsidR="00E5023C">
        <w:rPr>
          <w:lang w:val="en-GB"/>
        </w:rPr>
        <w:t xml:space="preserve"> </w:t>
      </w:r>
      <w:r w:rsidR="00E5023C" w:rsidRPr="002838DF">
        <w:rPr>
          <w:lang w:val="en-GB"/>
        </w:rPr>
        <w:t xml:space="preserve">the last ten years. </w:t>
      </w:r>
      <w:r w:rsidR="00E5023C">
        <w:rPr>
          <w:lang w:val="en-GB"/>
        </w:rPr>
        <w:t>US growth rates turned negative in 2007, but the country managed to slowly leave behind the crisis from 2009 onwards</w:t>
      </w:r>
      <w:r w:rsidR="00340AE6">
        <w:rPr>
          <w:lang w:val="en-GB"/>
        </w:rPr>
        <w:t xml:space="preserve">, and </w:t>
      </w:r>
      <w:r w:rsidR="00E5023C" w:rsidRPr="002838DF">
        <w:rPr>
          <w:lang w:val="en-GB"/>
        </w:rPr>
        <w:t>it was able to maintain steady growth in</w:t>
      </w:r>
      <w:r w:rsidR="00E5023C">
        <w:rPr>
          <w:lang w:val="en-GB"/>
        </w:rPr>
        <w:t xml:space="preserve"> </w:t>
      </w:r>
      <w:r w:rsidR="00E5023C" w:rsidRPr="002838DF">
        <w:rPr>
          <w:lang w:val="en-GB"/>
        </w:rPr>
        <w:t xml:space="preserve">the </w:t>
      </w:r>
      <w:r w:rsidR="00E5023C">
        <w:rPr>
          <w:lang w:val="en-GB"/>
        </w:rPr>
        <w:t>years afterwards</w:t>
      </w:r>
      <w:r w:rsidR="00E5023C" w:rsidRPr="002838DF">
        <w:rPr>
          <w:lang w:val="en-GB"/>
        </w:rPr>
        <w:t xml:space="preserve">. Surprisingly, the development gap between the EU average and the US did not change at all between 2004 and 2014. </w:t>
      </w:r>
      <w:r w:rsidR="003966E4">
        <w:rPr>
          <w:lang w:val="en-GB"/>
        </w:rPr>
        <w:t>In terms of c</w:t>
      </w:r>
      <w:r w:rsidR="00E5023C">
        <w:rPr>
          <w:lang w:val="en-GB"/>
        </w:rPr>
        <w:t>urrent price per capita GDP, t</w:t>
      </w:r>
      <w:r w:rsidR="00E5023C" w:rsidRPr="002838DF">
        <w:rPr>
          <w:lang w:val="en-GB"/>
        </w:rPr>
        <w:t>he EU</w:t>
      </w:r>
      <w:r w:rsidR="00E72AD7">
        <w:rPr>
          <w:lang w:val="en-GB"/>
        </w:rPr>
        <w:t>-25</w:t>
      </w:r>
      <w:r w:rsidR="00E5023C" w:rsidRPr="002838DF">
        <w:rPr>
          <w:lang w:val="en-GB"/>
        </w:rPr>
        <w:t xml:space="preserve"> sto</w:t>
      </w:r>
      <w:r w:rsidR="00E5023C">
        <w:rPr>
          <w:lang w:val="en-GB"/>
        </w:rPr>
        <w:t>o</w:t>
      </w:r>
      <w:r w:rsidR="00E5023C" w:rsidRPr="002838DF">
        <w:rPr>
          <w:lang w:val="en-GB"/>
        </w:rPr>
        <w:t xml:space="preserve">d at two-thirds of US </w:t>
      </w:r>
      <w:r w:rsidR="00E5023C">
        <w:rPr>
          <w:lang w:val="en-GB"/>
        </w:rPr>
        <w:t>income</w:t>
      </w:r>
      <w:r w:rsidR="00E5023C" w:rsidRPr="002838DF">
        <w:rPr>
          <w:lang w:val="en-GB"/>
        </w:rPr>
        <w:t xml:space="preserve"> in 2004 (</w:t>
      </w:r>
      <w:r w:rsidR="00E5023C">
        <w:rPr>
          <w:lang w:val="en-GB"/>
        </w:rPr>
        <w:t>€</w:t>
      </w:r>
      <w:r w:rsidR="00E5023C" w:rsidRPr="002838DF">
        <w:rPr>
          <w:lang w:val="en-GB"/>
        </w:rPr>
        <w:t xml:space="preserve">22,444 versus </w:t>
      </w:r>
      <w:r w:rsidR="00E5023C">
        <w:rPr>
          <w:lang w:val="en-GB"/>
        </w:rPr>
        <w:t>€33,649</w:t>
      </w:r>
      <w:r w:rsidR="00E5023C" w:rsidRPr="002838DF">
        <w:rPr>
          <w:lang w:val="en-GB"/>
        </w:rPr>
        <w:t>)</w:t>
      </w:r>
      <w:r w:rsidR="00E72AD7">
        <w:rPr>
          <w:lang w:val="en-GB"/>
        </w:rPr>
        <w:t xml:space="preserve">, exactly where the EU-28 stood </w:t>
      </w:r>
      <w:r w:rsidR="00E5023C">
        <w:rPr>
          <w:lang w:val="en-GB"/>
        </w:rPr>
        <w:t>in 2014 (</w:t>
      </w:r>
      <w:r w:rsidR="00945250">
        <w:rPr>
          <w:lang w:val="en-GB"/>
        </w:rPr>
        <w:t>€</w:t>
      </w:r>
      <w:r w:rsidR="00E5023C">
        <w:rPr>
          <w:lang w:val="en-GB"/>
        </w:rPr>
        <w:t xml:space="preserve">27,470 versus </w:t>
      </w:r>
      <w:r w:rsidR="00945250">
        <w:rPr>
          <w:lang w:val="en-GB"/>
        </w:rPr>
        <w:t>€</w:t>
      </w:r>
      <w:r w:rsidR="00E5023C">
        <w:rPr>
          <w:lang w:val="en-GB"/>
        </w:rPr>
        <w:t xml:space="preserve">40,946). This performance </w:t>
      </w:r>
      <w:r w:rsidR="00340AE6">
        <w:rPr>
          <w:lang w:val="en-GB"/>
        </w:rPr>
        <w:t>is</w:t>
      </w:r>
      <w:r w:rsidR="00E5023C">
        <w:rPr>
          <w:lang w:val="en-GB"/>
        </w:rPr>
        <w:t xml:space="preserve"> </w:t>
      </w:r>
      <w:r w:rsidR="003966E4">
        <w:rPr>
          <w:lang w:val="en-GB"/>
        </w:rPr>
        <w:t xml:space="preserve">partly </w:t>
      </w:r>
      <w:r w:rsidR="00E5023C">
        <w:rPr>
          <w:lang w:val="en-GB"/>
        </w:rPr>
        <w:t xml:space="preserve">due to the stunning convergence experience of most of the Eastern members countries, but </w:t>
      </w:r>
      <w:r w:rsidR="0055429F">
        <w:rPr>
          <w:lang w:val="en-GB"/>
        </w:rPr>
        <w:t>some</w:t>
      </w:r>
      <w:r w:rsidR="00E5023C">
        <w:rPr>
          <w:lang w:val="en-GB"/>
        </w:rPr>
        <w:t xml:space="preserve"> old members were able to outperform the US in the ten-year-long-period as well, most notably</w:t>
      </w:r>
      <w:r w:rsidR="00340AE6">
        <w:rPr>
          <w:lang w:val="en-GB"/>
        </w:rPr>
        <w:t xml:space="preserve"> Austria, Germany, Luxembourg and Sweden</w:t>
      </w:r>
      <w:r w:rsidR="00E5023C">
        <w:rPr>
          <w:lang w:val="en-GB"/>
        </w:rPr>
        <w:t xml:space="preserve">. </w:t>
      </w:r>
    </w:p>
    <w:p w:rsidR="00A87EAF" w:rsidRDefault="00A87EAF">
      <w:pPr>
        <w:spacing w:line="276" w:lineRule="auto"/>
        <w:jc w:val="both"/>
        <w:rPr>
          <w:lang w:val="en-GB"/>
        </w:rPr>
      </w:pPr>
    </w:p>
    <w:p w:rsidR="00A87EAF" w:rsidRDefault="00A87EAF">
      <w:pPr>
        <w:spacing w:line="276" w:lineRule="auto"/>
        <w:jc w:val="both"/>
        <w:rPr>
          <w:lang w:val="en-GB"/>
        </w:rPr>
      </w:pPr>
    </w:p>
    <w:p w:rsidR="00A87EAF" w:rsidRDefault="004C15DE">
      <w:pPr>
        <w:spacing w:line="276" w:lineRule="auto"/>
        <w:jc w:val="both"/>
        <w:rPr>
          <w:b/>
          <w:lang w:val="en-GB"/>
        </w:rPr>
      </w:pPr>
      <w:r w:rsidRPr="00184430">
        <w:rPr>
          <w:b/>
          <w:lang w:val="en-GB"/>
        </w:rPr>
        <w:t>Conclusions</w:t>
      </w:r>
    </w:p>
    <w:p w:rsidR="00A87EAF" w:rsidRDefault="00A87EAF">
      <w:pPr>
        <w:spacing w:line="276" w:lineRule="auto"/>
        <w:jc w:val="both"/>
        <w:rPr>
          <w:lang w:val="en-GB"/>
        </w:rPr>
      </w:pPr>
    </w:p>
    <w:p w:rsidR="009442C4" w:rsidRPr="009442C4" w:rsidRDefault="00945250" w:rsidP="00FD1D46">
      <w:pPr>
        <w:spacing w:line="276" w:lineRule="auto"/>
        <w:jc w:val="both"/>
        <w:rPr>
          <w:lang w:val="en-GB"/>
        </w:rPr>
      </w:pPr>
      <w:r>
        <w:rPr>
          <w:lang w:val="en-GB"/>
        </w:rPr>
        <w:t xml:space="preserve">The long awaited recovery of the European economy did not </w:t>
      </w:r>
      <w:r w:rsidR="007A0020">
        <w:rPr>
          <w:lang w:val="en-GB"/>
        </w:rPr>
        <w:t xml:space="preserve">arrive </w:t>
      </w:r>
      <w:r>
        <w:rPr>
          <w:lang w:val="en-GB"/>
        </w:rPr>
        <w:t xml:space="preserve">in 2014. Despite a generally accommodative global context, </w:t>
      </w:r>
      <w:r w:rsidR="007C455C">
        <w:rPr>
          <w:lang w:val="en-GB"/>
        </w:rPr>
        <w:t xml:space="preserve">economic </w:t>
      </w:r>
      <w:r>
        <w:rPr>
          <w:lang w:val="en-GB"/>
        </w:rPr>
        <w:t>growth, while modestly accelerating after 2013, remained sluggish.</w:t>
      </w:r>
      <w:r w:rsidR="00091B00">
        <w:rPr>
          <w:lang w:val="en-GB"/>
        </w:rPr>
        <w:t xml:space="preserve"> Unresolved </w:t>
      </w:r>
      <w:r>
        <w:rPr>
          <w:lang w:val="en-GB"/>
        </w:rPr>
        <w:t>structural</w:t>
      </w:r>
      <w:r w:rsidR="00091B00">
        <w:rPr>
          <w:lang w:val="en-GB"/>
        </w:rPr>
        <w:t xml:space="preserve"> problems may be seen as the main reason </w:t>
      </w:r>
      <w:r w:rsidR="00842F84">
        <w:rPr>
          <w:lang w:val="en-GB"/>
        </w:rPr>
        <w:t xml:space="preserve">for </w:t>
      </w:r>
      <w:r w:rsidR="00A7679B">
        <w:rPr>
          <w:lang w:val="en-GB"/>
        </w:rPr>
        <w:t xml:space="preserve">this </w:t>
      </w:r>
      <w:r w:rsidR="00091B00">
        <w:rPr>
          <w:lang w:val="en-GB"/>
        </w:rPr>
        <w:t xml:space="preserve">continued euro-sclerosis. While there </w:t>
      </w:r>
      <w:r w:rsidR="007C455C">
        <w:rPr>
          <w:lang w:val="en-GB"/>
        </w:rPr>
        <w:t>were</w:t>
      </w:r>
      <w:r w:rsidR="00091B00">
        <w:rPr>
          <w:lang w:val="en-GB"/>
        </w:rPr>
        <w:t xml:space="preserve"> some initiative</w:t>
      </w:r>
      <w:r w:rsidR="009442C4">
        <w:rPr>
          <w:lang w:val="en-GB"/>
        </w:rPr>
        <w:t xml:space="preserve">s </w:t>
      </w:r>
      <w:r w:rsidR="00091B00">
        <w:rPr>
          <w:lang w:val="en-GB"/>
        </w:rPr>
        <w:t xml:space="preserve">to </w:t>
      </w:r>
      <w:r w:rsidR="00A7679B">
        <w:rPr>
          <w:lang w:val="en-GB"/>
        </w:rPr>
        <w:t>re</w:t>
      </w:r>
      <w:r w:rsidR="00091B00">
        <w:rPr>
          <w:lang w:val="en-GB"/>
        </w:rPr>
        <w:t xml:space="preserve">solve some of these </w:t>
      </w:r>
      <w:r w:rsidR="00842F84">
        <w:rPr>
          <w:lang w:val="en-GB"/>
        </w:rPr>
        <w:t xml:space="preserve">problems </w:t>
      </w:r>
      <w:r w:rsidR="00091B00">
        <w:rPr>
          <w:lang w:val="en-GB"/>
        </w:rPr>
        <w:t xml:space="preserve">(such as </w:t>
      </w:r>
      <w:r w:rsidR="009442C4">
        <w:rPr>
          <w:lang w:val="en-GB"/>
        </w:rPr>
        <w:t xml:space="preserve">the labour market reforms by Matteo </w:t>
      </w:r>
      <w:r w:rsidR="00091B00">
        <w:rPr>
          <w:lang w:val="en-GB"/>
        </w:rPr>
        <w:t>Renzi’s govern</w:t>
      </w:r>
      <w:r w:rsidR="00A7679B">
        <w:rPr>
          <w:lang w:val="en-GB"/>
        </w:rPr>
        <w:t>ment in Italy</w:t>
      </w:r>
      <w:r w:rsidR="00465D70">
        <w:rPr>
          <w:lang w:val="en-GB"/>
        </w:rPr>
        <w:t xml:space="preserve"> or Manuel Walls’ pro-business and pro-employment initiates</w:t>
      </w:r>
      <w:r w:rsidR="00806310">
        <w:rPr>
          <w:lang w:val="en-GB"/>
        </w:rPr>
        <w:t xml:space="preserve"> in France</w:t>
      </w:r>
      <w:r w:rsidR="00465D70">
        <w:rPr>
          <w:lang w:val="en-GB"/>
        </w:rPr>
        <w:t xml:space="preserve">, along with Jean-Claude </w:t>
      </w:r>
      <w:proofErr w:type="spellStart"/>
      <w:r w:rsidR="00465D70">
        <w:rPr>
          <w:lang w:val="en-GB"/>
        </w:rPr>
        <w:t>Juncker’s</w:t>
      </w:r>
      <w:proofErr w:type="spellEnd"/>
      <w:r w:rsidR="00465D70">
        <w:rPr>
          <w:lang w:val="en-GB"/>
        </w:rPr>
        <w:t xml:space="preserve"> Investment Plan for Europe</w:t>
      </w:r>
      <w:r w:rsidR="00A7679B">
        <w:rPr>
          <w:lang w:val="en-GB"/>
        </w:rPr>
        <w:t>), political will wa</w:t>
      </w:r>
      <w:r w:rsidR="00091B00">
        <w:rPr>
          <w:lang w:val="en-GB"/>
        </w:rPr>
        <w:t xml:space="preserve">s </w:t>
      </w:r>
      <w:r w:rsidR="007B7B23">
        <w:rPr>
          <w:lang w:val="en-GB"/>
        </w:rPr>
        <w:t xml:space="preserve">just as evidently </w:t>
      </w:r>
      <w:r w:rsidR="00091B00">
        <w:rPr>
          <w:lang w:val="en-GB"/>
        </w:rPr>
        <w:t>missing</w:t>
      </w:r>
      <w:r w:rsidR="007B7B23">
        <w:rPr>
          <w:lang w:val="en-GB"/>
        </w:rPr>
        <w:t xml:space="preserve"> in 2014 as it had been the case in previous years (Copsey and Haughton</w:t>
      </w:r>
      <w:r w:rsidR="00CA6D54">
        <w:rPr>
          <w:lang w:val="en-GB"/>
        </w:rPr>
        <w:t>,</w:t>
      </w:r>
      <w:r w:rsidR="007B7B23">
        <w:rPr>
          <w:lang w:val="en-GB"/>
        </w:rPr>
        <w:t xml:space="preserve"> 2012)</w:t>
      </w:r>
      <w:r w:rsidR="00091B00">
        <w:rPr>
          <w:lang w:val="en-GB"/>
        </w:rPr>
        <w:t xml:space="preserve">. </w:t>
      </w:r>
      <w:r w:rsidR="009442C4">
        <w:rPr>
          <w:lang w:val="en-GB"/>
        </w:rPr>
        <w:t xml:space="preserve">The consequences of persistently slow growth are several. Government debt is </w:t>
      </w:r>
      <w:r w:rsidR="00842F84">
        <w:rPr>
          <w:lang w:val="en-GB"/>
        </w:rPr>
        <w:t xml:space="preserve">already at record high levels, </w:t>
      </w:r>
      <w:r w:rsidR="009442C4">
        <w:rPr>
          <w:lang w:val="en-GB"/>
        </w:rPr>
        <w:t xml:space="preserve">making </w:t>
      </w:r>
      <w:r w:rsidR="00842F84">
        <w:rPr>
          <w:lang w:val="en-GB"/>
        </w:rPr>
        <w:t xml:space="preserve">any </w:t>
      </w:r>
      <w:r w:rsidR="009442C4">
        <w:rPr>
          <w:lang w:val="en-GB"/>
        </w:rPr>
        <w:t xml:space="preserve">further fiscal stimulus </w:t>
      </w:r>
      <w:r w:rsidR="00842F84">
        <w:rPr>
          <w:lang w:val="en-GB"/>
        </w:rPr>
        <w:t xml:space="preserve">rather </w:t>
      </w:r>
      <w:r w:rsidR="009442C4">
        <w:rPr>
          <w:lang w:val="en-GB"/>
        </w:rPr>
        <w:t xml:space="preserve">difficult. </w:t>
      </w:r>
      <w:r w:rsidR="00842F84">
        <w:rPr>
          <w:lang w:val="en-GB"/>
        </w:rPr>
        <w:t xml:space="preserve">It is clear that </w:t>
      </w:r>
      <w:r w:rsidR="00767FE4">
        <w:rPr>
          <w:lang w:val="en-GB"/>
        </w:rPr>
        <w:t xml:space="preserve">any attempt to bolster fiscal consolidation </w:t>
      </w:r>
      <w:r w:rsidR="0081442F">
        <w:rPr>
          <w:lang w:val="en-GB"/>
        </w:rPr>
        <w:t>would</w:t>
      </w:r>
      <w:r w:rsidR="00767FE4">
        <w:rPr>
          <w:lang w:val="en-GB"/>
        </w:rPr>
        <w:t xml:space="preserve"> surely evoke serious opposition and even social unrest in many of the </w:t>
      </w:r>
      <w:r w:rsidR="00B72E3F">
        <w:rPr>
          <w:lang w:val="en-GB"/>
        </w:rPr>
        <w:t>Member State</w:t>
      </w:r>
      <w:r w:rsidR="00767FE4">
        <w:rPr>
          <w:lang w:val="en-GB"/>
        </w:rPr>
        <w:t>s (</w:t>
      </w:r>
      <w:r w:rsidR="00806310">
        <w:rPr>
          <w:lang w:val="en-GB"/>
        </w:rPr>
        <w:t xml:space="preserve">it is </w:t>
      </w:r>
      <w:r w:rsidR="00767FE4">
        <w:rPr>
          <w:lang w:val="en-GB"/>
        </w:rPr>
        <w:t xml:space="preserve">enough </w:t>
      </w:r>
      <w:r w:rsidR="00806310">
        <w:rPr>
          <w:lang w:val="en-GB"/>
        </w:rPr>
        <w:t xml:space="preserve">to mention </w:t>
      </w:r>
      <w:r w:rsidR="00767FE4">
        <w:rPr>
          <w:lang w:val="en-GB"/>
        </w:rPr>
        <w:t xml:space="preserve">the </w:t>
      </w:r>
      <w:r w:rsidR="00806310">
        <w:rPr>
          <w:lang w:val="en-GB"/>
        </w:rPr>
        <w:t xml:space="preserve">election </w:t>
      </w:r>
      <w:r w:rsidR="00767FE4">
        <w:rPr>
          <w:lang w:val="en-GB"/>
        </w:rPr>
        <w:t xml:space="preserve">victory of </w:t>
      </w:r>
      <w:proofErr w:type="spellStart"/>
      <w:r w:rsidR="00767FE4">
        <w:rPr>
          <w:lang w:val="en-GB"/>
        </w:rPr>
        <w:t>S</w:t>
      </w:r>
      <w:r w:rsidR="00465D70">
        <w:rPr>
          <w:lang w:val="en-GB"/>
        </w:rPr>
        <w:t>y</w:t>
      </w:r>
      <w:r w:rsidR="00767FE4">
        <w:rPr>
          <w:lang w:val="en-GB"/>
        </w:rPr>
        <w:t>riza</w:t>
      </w:r>
      <w:proofErr w:type="spellEnd"/>
      <w:r w:rsidR="00767FE4">
        <w:rPr>
          <w:lang w:val="en-GB"/>
        </w:rPr>
        <w:t xml:space="preserve"> in Greece</w:t>
      </w:r>
      <w:r w:rsidR="00B032BF">
        <w:rPr>
          <w:lang w:val="en-GB"/>
        </w:rPr>
        <w:t xml:space="preserve"> in January 2015</w:t>
      </w:r>
      <w:r w:rsidR="00767FE4">
        <w:rPr>
          <w:lang w:val="en-GB"/>
        </w:rPr>
        <w:t>). U</w:t>
      </w:r>
      <w:r w:rsidR="009442C4">
        <w:rPr>
          <w:lang w:val="en-GB"/>
        </w:rPr>
        <w:t>nemployment</w:t>
      </w:r>
      <w:r w:rsidR="007C455C">
        <w:rPr>
          <w:lang w:val="en-GB"/>
        </w:rPr>
        <w:t xml:space="preserve"> </w:t>
      </w:r>
      <w:r w:rsidR="00767FE4">
        <w:rPr>
          <w:lang w:val="en-GB"/>
        </w:rPr>
        <w:t xml:space="preserve">did </w:t>
      </w:r>
      <w:r w:rsidR="009442C4">
        <w:rPr>
          <w:lang w:val="en-GB"/>
        </w:rPr>
        <w:t xml:space="preserve">decrease in 2014, </w:t>
      </w:r>
      <w:r w:rsidR="00767FE4">
        <w:rPr>
          <w:lang w:val="en-GB"/>
        </w:rPr>
        <w:t xml:space="preserve">but </w:t>
      </w:r>
      <w:r w:rsidR="000E24FB">
        <w:rPr>
          <w:lang w:val="en-GB"/>
        </w:rPr>
        <w:t xml:space="preserve">this </w:t>
      </w:r>
      <w:r w:rsidR="00063EA7">
        <w:rPr>
          <w:lang w:val="en-GB"/>
        </w:rPr>
        <w:t xml:space="preserve">is not much consolation </w:t>
      </w:r>
      <w:r w:rsidR="00767FE4">
        <w:rPr>
          <w:lang w:val="en-GB"/>
        </w:rPr>
        <w:t xml:space="preserve">for the 26 million </w:t>
      </w:r>
      <w:r w:rsidR="00806310">
        <w:rPr>
          <w:lang w:val="en-GB"/>
        </w:rPr>
        <w:t xml:space="preserve">people </w:t>
      </w:r>
      <w:r w:rsidR="00767FE4">
        <w:rPr>
          <w:lang w:val="en-GB"/>
        </w:rPr>
        <w:t>without job</w:t>
      </w:r>
      <w:r w:rsidR="00806310">
        <w:rPr>
          <w:lang w:val="en-GB"/>
        </w:rPr>
        <w:t>s</w:t>
      </w:r>
      <w:r w:rsidR="00842F84">
        <w:rPr>
          <w:lang w:val="en-GB"/>
        </w:rPr>
        <w:t xml:space="preserve"> Europe-wide</w:t>
      </w:r>
      <w:r w:rsidR="00767FE4">
        <w:rPr>
          <w:lang w:val="en-GB"/>
        </w:rPr>
        <w:t>. Y</w:t>
      </w:r>
      <w:r w:rsidR="009442C4" w:rsidRPr="009442C4">
        <w:rPr>
          <w:lang w:val="en-GB"/>
        </w:rPr>
        <w:t>outh unemployment</w:t>
      </w:r>
      <w:r w:rsidR="00767FE4">
        <w:rPr>
          <w:lang w:val="en-GB"/>
        </w:rPr>
        <w:t xml:space="preserve"> is especially worrisome; it can</w:t>
      </w:r>
      <w:r w:rsidR="00557B6E">
        <w:rPr>
          <w:lang w:val="en-GB"/>
        </w:rPr>
        <w:t xml:space="preserve"> easily</w:t>
      </w:r>
      <w:r w:rsidR="00767FE4">
        <w:rPr>
          <w:lang w:val="en-GB"/>
        </w:rPr>
        <w:t xml:space="preserve"> </w:t>
      </w:r>
      <w:r w:rsidR="00557B6E">
        <w:rPr>
          <w:lang w:val="en-GB"/>
        </w:rPr>
        <w:t xml:space="preserve">result in the </w:t>
      </w:r>
      <w:r w:rsidR="00767FE4">
        <w:rPr>
          <w:lang w:val="en-GB"/>
        </w:rPr>
        <w:t>creat</w:t>
      </w:r>
      <w:r w:rsidR="00557B6E">
        <w:rPr>
          <w:lang w:val="en-GB"/>
        </w:rPr>
        <w:t>ion of</w:t>
      </w:r>
      <w:r w:rsidR="00767FE4">
        <w:rPr>
          <w:lang w:val="en-GB"/>
        </w:rPr>
        <w:t xml:space="preserve"> </w:t>
      </w:r>
      <w:r w:rsidR="009442C4">
        <w:rPr>
          <w:lang w:val="en-GB"/>
        </w:rPr>
        <w:t xml:space="preserve">a ‘lost generation’. </w:t>
      </w:r>
      <w:r w:rsidR="00465D70">
        <w:rPr>
          <w:lang w:val="en-GB"/>
        </w:rPr>
        <w:t xml:space="preserve">The opposing positions between Germany and France on the need for further austerity and </w:t>
      </w:r>
      <w:r w:rsidR="00842F84">
        <w:rPr>
          <w:lang w:val="en-GB"/>
        </w:rPr>
        <w:t xml:space="preserve">especially </w:t>
      </w:r>
      <w:r w:rsidR="00465D70">
        <w:rPr>
          <w:lang w:val="en-GB"/>
        </w:rPr>
        <w:t xml:space="preserve">on the rightness of the </w:t>
      </w:r>
      <w:r w:rsidR="00063EA7">
        <w:rPr>
          <w:lang w:val="en-GB"/>
        </w:rPr>
        <w:t xml:space="preserve">EU’s </w:t>
      </w:r>
      <w:r w:rsidR="00465D70">
        <w:rPr>
          <w:lang w:val="en-GB"/>
        </w:rPr>
        <w:t xml:space="preserve">fiscal rule-book do not help the community to </w:t>
      </w:r>
      <w:r w:rsidR="00842F84">
        <w:rPr>
          <w:lang w:val="en-GB"/>
        </w:rPr>
        <w:t xml:space="preserve">hammer out the proper </w:t>
      </w:r>
      <w:r w:rsidR="00465D70">
        <w:rPr>
          <w:lang w:val="en-GB"/>
        </w:rPr>
        <w:t>future methods of governance</w:t>
      </w:r>
      <w:r w:rsidR="00842F84">
        <w:rPr>
          <w:lang w:val="en-GB"/>
        </w:rPr>
        <w:t xml:space="preserve">, including </w:t>
      </w:r>
      <w:r w:rsidR="00465D70">
        <w:rPr>
          <w:lang w:val="en-GB"/>
        </w:rPr>
        <w:t xml:space="preserve">the sequencing and </w:t>
      </w:r>
      <w:r w:rsidR="00842F84">
        <w:rPr>
          <w:lang w:val="en-GB"/>
        </w:rPr>
        <w:t xml:space="preserve">the </w:t>
      </w:r>
      <w:r w:rsidR="00465D70">
        <w:rPr>
          <w:lang w:val="en-GB"/>
        </w:rPr>
        <w:t xml:space="preserve">depth of structural reforms. </w:t>
      </w:r>
      <w:r w:rsidR="009442C4">
        <w:rPr>
          <w:lang w:val="en-GB"/>
        </w:rPr>
        <w:t>T</w:t>
      </w:r>
      <w:r w:rsidR="009442C4" w:rsidRPr="009442C4">
        <w:rPr>
          <w:lang w:val="en-GB"/>
        </w:rPr>
        <w:t>he lack of demand, coupled with decreasing global oil prices</w:t>
      </w:r>
      <w:r w:rsidR="009442C4">
        <w:rPr>
          <w:lang w:val="en-GB"/>
        </w:rPr>
        <w:t>,</w:t>
      </w:r>
      <w:r w:rsidR="009442C4" w:rsidRPr="009442C4">
        <w:rPr>
          <w:lang w:val="en-GB"/>
        </w:rPr>
        <w:t xml:space="preserve"> have </w:t>
      </w:r>
      <w:r w:rsidR="009442C4">
        <w:rPr>
          <w:lang w:val="en-GB"/>
        </w:rPr>
        <w:t xml:space="preserve">practically </w:t>
      </w:r>
      <w:r w:rsidR="009442C4" w:rsidRPr="009442C4">
        <w:rPr>
          <w:lang w:val="en-GB"/>
        </w:rPr>
        <w:t xml:space="preserve">annihilated inflation </w:t>
      </w:r>
      <w:r w:rsidR="009442C4">
        <w:rPr>
          <w:lang w:val="en-GB"/>
        </w:rPr>
        <w:t xml:space="preserve">in Europe </w:t>
      </w:r>
      <w:r w:rsidR="009442C4" w:rsidRPr="009442C4">
        <w:rPr>
          <w:lang w:val="en-GB"/>
        </w:rPr>
        <w:t>and have led to a very real threat of deflation, which, if sustained, could paralyze Europe’s growth for the foreseeable future, as it has paralyzed Japan since the 1990s.</w:t>
      </w:r>
      <w:r w:rsidR="00465D70">
        <w:rPr>
          <w:lang w:val="en-GB"/>
        </w:rPr>
        <w:t xml:space="preserve"> </w:t>
      </w:r>
      <w:r w:rsidR="00B032BF">
        <w:rPr>
          <w:lang w:val="en-GB"/>
        </w:rPr>
        <w:t>As we entered 2015, t</w:t>
      </w:r>
      <w:r w:rsidR="00465D70">
        <w:rPr>
          <w:lang w:val="en-GB"/>
        </w:rPr>
        <w:t xml:space="preserve">he basic question </w:t>
      </w:r>
      <w:r w:rsidR="00B032BF">
        <w:rPr>
          <w:lang w:val="en-GB"/>
        </w:rPr>
        <w:t xml:space="preserve">was </w:t>
      </w:r>
      <w:r w:rsidR="00465D70">
        <w:rPr>
          <w:lang w:val="en-GB"/>
        </w:rPr>
        <w:t xml:space="preserve">whether the European Central Bank </w:t>
      </w:r>
      <w:r w:rsidR="00B032BF">
        <w:rPr>
          <w:lang w:val="en-GB"/>
        </w:rPr>
        <w:t xml:space="preserve">would </w:t>
      </w:r>
      <w:r w:rsidR="00465D70">
        <w:rPr>
          <w:lang w:val="en-GB"/>
        </w:rPr>
        <w:t>be willing to take a more relaxed position on growth</w:t>
      </w:r>
      <w:r w:rsidR="00063EA7">
        <w:rPr>
          <w:lang w:val="en-GB"/>
        </w:rPr>
        <w:t xml:space="preserve"> supporting measures</w:t>
      </w:r>
      <w:r w:rsidR="00465D70">
        <w:rPr>
          <w:lang w:val="en-GB"/>
        </w:rPr>
        <w:t>.</w:t>
      </w:r>
      <w:r w:rsidR="00465D70">
        <w:rPr>
          <w:rStyle w:val="Lbjegyzet-hivatkozs"/>
          <w:lang w:val="en-GB"/>
        </w:rPr>
        <w:footnoteReference w:id="5"/>
      </w:r>
    </w:p>
    <w:p w:rsidR="00A87EAF" w:rsidRDefault="00A87EAF">
      <w:pPr>
        <w:spacing w:line="276" w:lineRule="auto"/>
        <w:jc w:val="both"/>
        <w:rPr>
          <w:lang w:val="en-GB"/>
        </w:rPr>
      </w:pPr>
    </w:p>
    <w:p w:rsidR="00D3787B" w:rsidRDefault="00E72AD7" w:rsidP="00D3787B">
      <w:pPr>
        <w:spacing w:line="276" w:lineRule="auto"/>
        <w:jc w:val="both"/>
        <w:rPr>
          <w:lang w:val="en-GB"/>
        </w:rPr>
      </w:pPr>
      <w:r>
        <w:rPr>
          <w:lang w:val="en-GB"/>
        </w:rPr>
        <w:t xml:space="preserve">The contribution has also examined the issue of convergence among EU </w:t>
      </w:r>
      <w:r w:rsidR="00842F84">
        <w:rPr>
          <w:lang w:val="en-GB"/>
        </w:rPr>
        <w:t>Member States</w:t>
      </w:r>
      <w:r>
        <w:rPr>
          <w:lang w:val="en-GB"/>
        </w:rPr>
        <w:t xml:space="preserve">. By and large, </w:t>
      </w:r>
      <w:r w:rsidR="00842F84">
        <w:rPr>
          <w:lang w:val="en-GB"/>
        </w:rPr>
        <w:t>the income</w:t>
      </w:r>
      <w:r>
        <w:rPr>
          <w:lang w:val="en-GB"/>
        </w:rPr>
        <w:t xml:space="preserve"> convergence</w:t>
      </w:r>
      <w:r w:rsidR="00842F84">
        <w:rPr>
          <w:lang w:val="en-GB"/>
        </w:rPr>
        <w:t xml:space="preserve"> hypothesis has been verified</w:t>
      </w:r>
      <w:r>
        <w:rPr>
          <w:lang w:val="en-GB"/>
        </w:rPr>
        <w:t xml:space="preserve">, as most </w:t>
      </w:r>
      <w:r w:rsidR="00842F84">
        <w:rPr>
          <w:lang w:val="en-GB"/>
        </w:rPr>
        <w:t xml:space="preserve">of the new </w:t>
      </w:r>
      <w:r>
        <w:rPr>
          <w:lang w:val="en-GB"/>
        </w:rPr>
        <w:t xml:space="preserve">Member </w:t>
      </w:r>
      <w:r>
        <w:rPr>
          <w:lang w:val="en-GB"/>
        </w:rPr>
        <w:lastRenderedPageBreak/>
        <w:t>States</w:t>
      </w:r>
      <w:r w:rsidR="00842F84">
        <w:rPr>
          <w:lang w:val="en-GB"/>
        </w:rPr>
        <w:t xml:space="preserve">, which were all </w:t>
      </w:r>
      <w:r w:rsidR="00707E6A">
        <w:rPr>
          <w:lang w:val="en-GB"/>
        </w:rPr>
        <w:t xml:space="preserve">well </w:t>
      </w:r>
      <w:r w:rsidR="00842F84">
        <w:rPr>
          <w:lang w:val="en-GB"/>
        </w:rPr>
        <w:t xml:space="preserve">below the EU average </w:t>
      </w:r>
      <w:r w:rsidR="00707E6A">
        <w:rPr>
          <w:lang w:val="en-GB"/>
        </w:rPr>
        <w:t xml:space="preserve">in terms of GDP per capita </w:t>
      </w:r>
      <w:r w:rsidR="00842F84">
        <w:rPr>
          <w:lang w:val="en-GB"/>
        </w:rPr>
        <w:t>at the time of their accession</w:t>
      </w:r>
      <w:r w:rsidR="00771F98">
        <w:rPr>
          <w:lang w:val="en-GB"/>
        </w:rPr>
        <w:t>,</w:t>
      </w:r>
      <w:r>
        <w:rPr>
          <w:lang w:val="en-GB"/>
        </w:rPr>
        <w:t xml:space="preserve"> </w:t>
      </w:r>
      <w:r w:rsidR="00842F84">
        <w:rPr>
          <w:lang w:val="en-GB"/>
        </w:rPr>
        <w:t>have</w:t>
      </w:r>
      <w:r w:rsidR="00771F98">
        <w:rPr>
          <w:lang w:val="en-GB"/>
        </w:rPr>
        <w:t xml:space="preserve"> </w:t>
      </w:r>
      <w:r>
        <w:rPr>
          <w:lang w:val="en-GB"/>
        </w:rPr>
        <w:t xml:space="preserve">been able to grow faster than the </w:t>
      </w:r>
      <w:r w:rsidR="001A2B02">
        <w:rPr>
          <w:lang w:val="en-GB"/>
        </w:rPr>
        <w:t xml:space="preserve">core economies of the EU. Nevertheless, </w:t>
      </w:r>
      <w:r w:rsidR="00707E6A">
        <w:rPr>
          <w:lang w:val="en-GB"/>
        </w:rPr>
        <w:t>this</w:t>
      </w:r>
      <w:r w:rsidR="001A2B02">
        <w:rPr>
          <w:lang w:val="en-GB"/>
        </w:rPr>
        <w:t xml:space="preserve"> bird’s eye view </w:t>
      </w:r>
      <w:r w:rsidR="00707E6A">
        <w:rPr>
          <w:lang w:val="en-GB"/>
        </w:rPr>
        <w:t>is</w:t>
      </w:r>
      <w:r w:rsidR="001A2B02">
        <w:rPr>
          <w:lang w:val="en-GB"/>
        </w:rPr>
        <w:t xml:space="preserve"> rather biased</w:t>
      </w:r>
      <w:r w:rsidR="00707E6A">
        <w:rPr>
          <w:lang w:val="en-GB"/>
        </w:rPr>
        <w:t>,</w:t>
      </w:r>
      <w:r w:rsidR="001A2B02">
        <w:rPr>
          <w:lang w:val="en-GB"/>
        </w:rPr>
        <w:t xml:space="preserve"> </w:t>
      </w:r>
      <w:r w:rsidR="00707E6A">
        <w:rPr>
          <w:lang w:val="en-GB"/>
        </w:rPr>
        <w:t>as</w:t>
      </w:r>
      <w:r w:rsidR="001A2B02">
        <w:rPr>
          <w:lang w:val="en-GB"/>
        </w:rPr>
        <w:t xml:space="preserve"> there have been </w:t>
      </w:r>
      <w:r w:rsidR="00707E6A">
        <w:rPr>
          <w:lang w:val="en-GB"/>
        </w:rPr>
        <w:t>some outliers to this general trend</w:t>
      </w:r>
      <w:r w:rsidR="001A2B02">
        <w:rPr>
          <w:lang w:val="en-GB"/>
        </w:rPr>
        <w:t xml:space="preserve">. The very fact that some countries did not manage to capitalize on EU accession </w:t>
      </w:r>
      <w:r>
        <w:rPr>
          <w:lang w:val="en-GB"/>
        </w:rPr>
        <w:t>suggest</w:t>
      </w:r>
      <w:r w:rsidR="001A2B02">
        <w:rPr>
          <w:lang w:val="en-GB"/>
        </w:rPr>
        <w:t>s</w:t>
      </w:r>
      <w:r>
        <w:rPr>
          <w:lang w:val="en-GB"/>
        </w:rPr>
        <w:t xml:space="preserve"> that convergence is </w:t>
      </w:r>
      <w:r w:rsidR="001A2B02">
        <w:rPr>
          <w:lang w:val="en-GB"/>
        </w:rPr>
        <w:t xml:space="preserve">hardly </w:t>
      </w:r>
      <w:r>
        <w:rPr>
          <w:lang w:val="en-GB"/>
        </w:rPr>
        <w:t>an automatic</w:t>
      </w:r>
      <w:r w:rsidR="001A2B02">
        <w:rPr>
          <w:lang w:val="en-GB"/>
        </w:rPr>
        <w:t xml:space="preserve">, i.e., endogenous, </w:t>
      </w:r>
      <w:r>
        <w:rPr>
          <w:lang w:val="en-GB"/>
        </w:rPr>
        <w:t xml:space="preserve">outcome of </w:t>
      </w:r>
      <w:r w:rsidR="001A2B02">
        <w:rPr>
          <w:lang w:val="en-GB"/>
        </w:rPr>
        <w:t>EU membership</w:t>
      </w:r>
      <w:r>
        <w:rPr>
          <w:lang w:val="en-GB"/>
        </w:rPr>
        <w:t>.</w:t>
      </w:r>
      <w:r w:rsidR="000105FC">
        <w:rPr>
          <w:lang w:val="en-GB"/>
        </w:rPr>
        <w:t xml:space="preserve"> </w:t>
      </w:r>
      <w:r w:rsidR="001A2B02">
        <w:rPr>
          <w:lang w:val="en-GB"/>
        </w:rPr>
        <w:t xml:space="preserve">As </w:t>
      </w:r>
      <w:r w:rsidR="00707E6A">
        <w:rPr>
          <w:lang w:val="en-GB"/>
        </w:rPr>
        <w:t xml:space="preserve">the </w:t>
      </w:r>
      <w:r w:rsidR="001A2B02">
        <w:rPr>
          <w:lang w:val="en-GB"/>
        </w:rPr>
        <w:t xml:space="preserve">overview of country experiences </w:t>
      </w:r>
      <w:r w:rsidR="00707E6A">
        <w:rPr>
          <w:lang w:val="en-GB"/>
        </w:rPr>
        <w:t xml:space="preserve">in this contribution </w:t>
      </w:r>
      <w:r w:rsidR="001A2B02">
        <w:rPr>
          <w:lang w:val="en-GB"/>
        </w:rPr>
        <w:t xml:space="preserve">underlined it would be extremely challenging </w:t>
      </w:r>
      <w:r>
        <w:rPr>
          <w:lang w:val="en-GB"/>
        </w:rPr>
        <w:t xml:space="preserve">to pinpoint any single reason for the co-existence of </w:t>
      </w:r>
      <w:r w:rsidR="00707E6A">
        <w:rPr>
          <w:lang w:val="en-GB"/>
        </w:rPr>
        <w:t xml:space="preserve">EU-level </w:t>
      </w:r>
      <w:r>
        <w:rPr>
          <w:lang w:val="en-GB"/>
        </w:rPr>
        <w:t xml:space="preserve">convergence and divergence </w:t>
      </w:r>
      <w:r w:rsidR="00707E6A">
        <w:rPr>
          <w:lang w:val="en-GB"/>
        </w:rPr>
        <w:t xml:space="preserve">of </w:t>
      </w:r>
      <w:r w:rsidR="00707E6A">
        <w:rPr>
          <w:lang w:val="en-GB"/>
        </w:rPr>
        <w:t xml:space="preserve">some </w:t>
      </w:r>
      <w:r w:rsidR="001A2B02">
        <w:rPr>
          <w:lang w:val="en-GB"/>
        </w:rPr>
        <w:t>national economies)</w:t>
      </w:r>
      <w:r>
        <w:rPr>
          <w:lang w:val="en-GB"/>
        </w:rPr>
        <w:t xml:space="preserve"> in the past 10 years.</w:t>
      </w:r>
      <w:r w:rsidR="000105FC">
        <w:rPr>
          <w:lang w:val="en-GB"/>
        </w:rPr>
        <w:t xml:space="preserve"> </w:t>
      </w:r>
      <w:r w:rsidR="001A2B02">
        <w:rPr>
          <w:lang w:val="en-GB"/>
        </w:rPr>
        <w:t xml:space="preserve">Nevertheless, </w:t>
      </w:r>
      <w:r w:rsidR="00707E6A">
        <w:rPr>
          <w:lang w:val="en-GB"/>
        </w:rPr>
        <w:t xml:space="preserve">it would not be far off to claim </w:t>
      </w:r>
      <w:r w:rsidR="001A2B02">
        <w:rPr>
          <w:lang w:val="en-GB"/>
        </w:rPr>
        <w:t xml:space="preserve">that </w:t>
      </w:r>
      <w:r w:rsidR="000105FC">
        <w:rPr>
          <w:lang w:val="en-GB"/>
        </w:rPr>
        <w:t>divergence can be explained by individual country factors</w:t>
      </w:r>
      <w:r w:rsidR="001A2B02">
        <w:rPr>
          <w:lang w:val="en-GB"/>
        </w:rPr>
        <w:t xml:space="preserve"> in most of the cases</w:t>
      </w:r>
      <w:r w:rsidR="000105FC">
        <w:rPr>
          <w:lang w:val="en-GB"/>
        </w:rPr>
        <w:t xml:space="preserve">, </w:t>
      </w:r>
      <w:r w:rsidR="000105FC">
        <w:rPr>
          <w:lang w:val="en-GB"/>
        </w:rPr>
        <w:t xml:space="preserve">including </w:t>
      </w:r>
      <w:r w:rsidR="008D5937">
        <w:rPr>
          <w:lang w:val="en-GB"/>
        </w:rPr>
        <w:t>policy mistakes</w:t>
      </w:r>
      <w:r w:rsidR="001A2B02">
        <w:rPr>
          <w:lang w:val="en-GB"/>
        </w:rPr>
        <w:t xml:space="preserve"> and</w:t>
      </w:r>
      <w:r w:rsidR="008D5937">
        <w:rPr>
          <w:lang w:val="en-GB"/>
        </w:rPr>
        <w:t xml:space="preserve"> </w:t>
      </w:r>
      <w:r w:rsidR="000105FC">
        <w:rPr>
          <w:lang w:val="en-GB"/>
        </w:rPr>
        <w:t>economic mismanagement</w:t>
      </w:r>
      <w:r w:rsidR="001A2B02">
        <w:rPr>
          <w:lang w:val="en-GB"/>
        </w:rPr>
        <w:t xml:space="preserve"> on the one hand, and structural deficiencies and eroding</w:t>
      </w:r>
      <w:r w:rsidR="000105FC">
        <w:rPr>
          <w:lang w:val="en-GB"/>
        </w:rPr>
        <w:t xml:space="preserve"> competitiveness</w:t>
      </w:r>
      <w:r w:rsidR="001A2B02">
        <w:rPr>
          <w:lang w:val="en-GB"/>
        </w:rPr>
        <w:t xml:space="preserve"> on the other hand</w:t>
      </w:r>
      <w:r w:rsidR="000105FC">
        <w:rPr>
          <w:lang w:val="en-GB"/>
        </w:rPr>
        <w:t>.</w:t>
      </w:r>
      <w:r w:rsidR="00771F98">
        <w:rPr>
          <w:lang w:val="en-GB"/>
        </w:rPr>
        <w:t xml:space="preserve"> </w:t>
      </w:r>
      <w:r w:rsidR="00D3787B">
        <w:rPr>
          <w:lang w:val="en-GB"/>
        </w:rPr>
        <w:t>It is likely however that these countries would have fared even worse without EU membership (Jacoby, 2014, p. 67</w:t>
      </w:r>
      <w:r w:rsidR="00D3787B">
        <w:rPr>
          <w:lang w:val="en-GB"/>
        </w:rPr>
        <w:t>).</w:t>
      </w:r>
      <w:r w:rsidR="001A2B02">
        <w:rPr>
          <w:lang w:val="en-GB"/>
        </w:rPr>
        <w:t xml:space="preserve"> The European financial-cum-economic crisis in fact </w:t>
      </w:r>
      <w:r w:rsidR="00707E6A">
        <w:rPr>
          <w:lang w:val="en-GB"/>
        </w:rPr>
        <w:t xml:space="preserve">made </w:t>
      </w:r>
      <w:r w:rsidR="001A2B02">
        <w:rPr>
          <w:lang w:val="en-GB"/>
        </w:rPr>
        <w:t xml:space="preserve">the convergence process a hard run for many; nevertheless, putting the blame solely on the crisis for laggard positions would be a huge mistake. </w:t>
      </w:r>
    </w:p>
    <w:p w:rsidR="00771F98" w:rsidRDefault="00771F98">
      <w:pPr>
        <w:spacing w:line="276" w:lineRule="auto"/>
        <w:jc w:val="both"/>
        <w:rPr>
          <w:lang w:val="en-GB"/>
        </w:rPr>
      </w:pPr>
    </w:p>
    <w:p w:rsidR="008D5937" w:rsidRDefault="006261E1" w:rsidP="008D5937">
      <w:pPr>
        <w:spacing w:line="276" w:lineRule="auto"/>
        <w:jc w:val="both"/>
        <w:rPr>
          <w:lang w:val="en-GB"/>
        </w:rPr>
      </w:pPr>
      <w:r>
        <w:rPr>
          <w:lang w:val="en-GB"/>
        </w:rPr>
        <w:t xml:space="preserve">If someone, though, is looking for a European pattern, the current division of labour along with the unique variety of capitalism(s) in </w:t>
      </w:r>
      <w:r w:rsidR="008D5937">
        <w:rPr>
          <w:lang w:val="en-GB"/>
        </w:rPr>
        <w:t>Central and Eastern Europe</w:t>
      </w:r>
      <w:r>
        <w:rPr>
          <w:lang w:val="en-GB"/>
        </w:rPr>
        <w:t xml:space="preserve"> and the Mediterranean region may not help</w:t>
      </w:r>
      <w:r w:rsidR="008D5937">
        <w:rPr>
          <w:lang w:val="en-GB"/>
        </w:rPr>
        <w:t xml:space="preserve"> convergence </w:t>
      </w:r>
      <w:r>
        <w:rPr>
          <w:lang w:val="en-GB"/>
        </w:rPr>
        <w:t xml:space="preserve">become stronger </w:t>
      </w:r>
      <w:r w:rsidR="008D5937">
        <w:rPr>
          <w:lang w:val="en-GB"/>
        </w:rPr>
        <w:t>in the future (Epstein, 2014). Relying on foreign direct investment as a driver of growth and a source of knowledge needs to be supplanted by greater domestic innovation and knowledge creation</w:t>
      </w:r>
      <w:r w:rsidR="008F0177">
        <w:rPr>
          <w:lang w:val="en-GB"/>
        </w:rPr>
        <w:t xml:space="preserve"> in these countries</w:t>
      </w:r>
      <w:r w:rsidR="008D5937">
        <w:rPr>
          <w:lang w:val="en-GB"/>
        </w:rPr>
        <w:t>, if the convergence momentum of the past decade is to be sustained.</w:t>
      </w:r>
    </w:p>
    <w:p w:rsidR="00A87EAF" w:rsidRDefault="00A87EAF">
      <w:pPr>
        <w:spacing w:line="276" w:lineRule="auto"/>
        <w:jc w:val="both"/>
        <w:rPr>
          <w:lang w:val="en-GB"/>
        </w:rPr>
      </w:pPr>
    </w:p>
    <w:p w:rsidR="00A87EAF" w:rsidRDefault="00A87EAF">
      <w:pPr>
        <w:spacing w:line="276" w:lineRule="auto"/>
        <w:jc w:val="both"/>
        <w:rPr>
          <w:lang w:val="en-GB"/>
        </w:rPr>
      </w:pPr>
    </w:p>
    <w:p w:rsidR="00A87EAF" w:rsidRDefault="003624FC">
      <w:pPr>
        <w:spacing w:line="276" w:lineRule="auto"/>
        <w:jc w:val="both"/>
        <w:rPr>
          <w:b/>
          <w:lang w:val="en-GB"/>
        </w:rPr>
      </w:pPr>
      <w:r w:rsidRPr="00184430">
        <w:rPr>
          <w:b/>
          <w:lang w:val="en-GB"/>
        </w:rPr>
        <w:t>References</w:t>
      </w:r>
    </w:p>
    <w:p w:rsidR="00A87EAF" w:rsidRDefault="00237E6D">
      <w:pPr>
        <w:pStyle w:val="Lbjegyzetszveg"/>
        <w:spacing w:after="120"/>
        <w:ind w:left="567" w:hanging="567"/>
        <w:jc w:val="both"/>
        <w:rPr>
          <w:sz w:val="24"/>
          <w:szCs w:val="24"/>
          <w:lang w:val="en-GB"/>
        </w:rPr>
      </w:pPr>
      <w:r>
        <w:rPr>
          <w:sz w:val="24"/>
          <w:szCs w:val="24"/>
          <w:lang w:val="en-GB"/>
        </w:rPr>
        <w:t xml:space="preserve">Alves, A. A. (2014) ‘In the Eye of the Storm: Portugal and the European Crisis’. In: Ferreira-Pereira, L. C. (ed.) </w:t>
      </w:r>
      <w:r w:rsidR="00ED0D06" w:rsidRPr="00ED0D06">
        <w:rPr>
          <w:i/>
          <w:sz w:val="24"/>
          <w:szCs w:val="24"/>
          <w:lang w:val="en-GB"/>
        </w:rPr>
        <w:t>Portugal in the European Union: Assessing Twenty-Five Years of Integration Exp</w:t>
      </w:r>
      <w:bookmarkStart w:id="0" w:name="_GoBack"/>
      <w:bookmarkEnd w:id="0"/>
      <w:r w:rsidR="00ED0D06" w:rsidRPr="00ED0D06">
        <w:rPr>
          <w:i/>
          <w:sz w:val="24"/>
          <w:szCs w:val="24"/>
          <w:lang w:val="en-GB"/>
        </w:rPr>
        <w:t>erience</w:t>
      </w:r>
      <w:r>
        <w:rPr>
          <w:sz w:val="24"/>
          <w:szCs w:val="24"/>
          <w:lang w:val="en-GB"/>
        </w:rPr>
        <w:t xml:space="preserve">. </w:t>
      </w:r>
      <w:r w:rsidR="00CA6D54">
        <w:rPr>
          <w:sz w:val="24"/>
          <w:szCs w:val="24"/>
          <w:lang w:val="en-GB"/>
        </w:rPr>
        <w:t>(</w:t>
      </w:r>
      <w:r>
        <w:rPr>
          <w:sz w:val="24"/>
          <w:szCs w:val="24"/>
          <w:lang w:val="en-GB"/>
        </w:rPr>
        <w:t>N</w:t>
      </w:r>
      <w:r w:rsidR="00CA6D54">
        <w:rPr>
          <w:sz w:val="24"/>
          <w:szCs w:val="24"/>
          <w:lang w:val="en-GB"/>
        </w:rPr>
        <w:t xml:space="preserve">ew </w:t>
      </w:r>
      <w:r>
        <w:rPr>
          <w:sz w:val="24"/>
          <w:szCs w:val="24"/>
          <w:lang w:val="en-GB"/>
        </w:rPr>
        <w:t>Y</w:t>
      </w:r>
      <w:r w:rsidR="00CA6D54">
        <w:rPr>
          <w:sz w:val="24"/>
          <w:szCs w:val="24"/>
          <w:lang w:val="en-GB"/>
        </w:rPr>
        <w:t>ork</w:t>
      </w:r>
      <w:r>
        <w:rPr>
          <w:sz w:val="24"/>
          <w:szCs w:val="24"/>
          <w:lang w:val="en-GB"/>
        </w:rPr>
        <w:t>: Routledge</w:t>
      </w:r>
      <w:r w:rsidR="00CA6D54">
        <w:rPr>
          <w:sz w:val="24"/>
          <w:szCs w:val="24"/>
          <w:lang w:val="en-GB"/>
        </w:rPr>
        <w:t>)</w:t>
      </w:r>
    </w:p>
    <w:p w:rsidR="00A87EAF" w:rsidRDefault="00D94325">
      <w:pPr>
        <w:pStyle w:val="Lbjegyzetszveg"/>
        <w:spacing w:after="120"/>
        <w:ind w:left="567" w:hanging="567"/>
        <w:jc w:val="both"/>
        <w:rPr>
          <w:sz w:val="24"/>
          <w:szCs w:val="24"/>
          <w:lang w:val="en-GB"/>
        </w:rPr>
      </w:pPr>
      <w:r w:rsidRPr="00D94325">
        <w:rPr>
          <w:sz w:val="24"/>
          <w:szCs w:val="24"/>
          <w:lang w:val="en-GB"/>
        </w:rPr>
        <w:t>Benczes, I.</w:t>
      </w:r>
      <w:r w:rsidR="00D07777">
        <w:rPr>
          <w:sz w:val="24"/>
          <w:szCs w:val="24"/>
          <w:lang w:val="en-GB"/>
        </w:rPr>
        <w:t xml:space="preserve"> and</w:t>
      </w:r>
      <w:r w:rsidR="00C65F9C">
        <w:rPr>
          <w:sz w:val="24"/>
          <w:szCs w:val="24"/>
          <w:lang w:val="en-GB"/>
        </w:rPr>
        <w:t xml:space="preserve"> Takács, V. </w:t>
      </w:r>
      <w:r w:rsidRPr="00D94325">
        <w:rPr>
          <w:sz w:val="24"/>
          <w:szCs w:val="24"/>
          <w:lang w:val="en-GB"/>
        </w:rPr>
        <w:t>(2014) ‘</w:t>
      </w:r>
      <w:r w:rsidR="00C65F9C">
        <w:rPr>
          <w:sz w:val="24"/>
          <w:szCs w:val="24"/>
          <w:lang w:val="en-GB"/>
        </w:rPr>
        <w:t>The Strategic Use of Public Debt in Central and Eastern Europe</w:t>
      </w:r>
      <w:r w:rsidRPr="00D94325">
        <w:rPr>
          <w:sz w:val="24"/>
          <w:szCs w:val="24"/>
          <w:lang w:val="en-GB"/>
        </w:rPr>
        <w:t xml:space="preserve">’ In: Benczes, I. (ed.) </w:t>
      </w:r>
      <w:r w:rsidR="00ED0D06" w:rsidRPr="00ED0D06">
        <w:rPr>
          <w:i/>
          <w:sz w:val="24"/>
          <w:szCs w:val="24"/>
          <w:lang w:val="en-GB"/>
        </w:rPr>
        <w:t>Deficit and Debt in Transition: The Political Economy of Public Finances in Central and Eastern Europe</w:t>
      </w:r>
      <w:r w:rsidR="00CA6D54">
        <w:rPr>
          <w:sz w:val="24"/>
          <w:szCs w:val="24"/>
          <w:lang w:val="en-GB"/>
        </w:rPr>
        <w:t xml:space="preserve"> (</w:t>
      </w:r>
      <w:r>
        <w:rPr>
          <w:sz w:val="24"/>
          <w:szCs w:val="24"/>
          <w:lang w:val="en-GB"/>
        </w:rPr>
        <w:t>Budapest</w:t>
      </w:r>
      <w:r w:rsidR="00CA6D54">
        <w:rPr>
          <w:sz w:val="24"/>
          <w:szCs w:val="24"/>
          <w:lang w:val="en-GB"/>
        </w:rPr>
        <w:t xml:space="preserve"> and </w:t>
      </w:r>
      <w:r>
        <w:rPr>
          <w:sz w:val="24"/>
          <w:szCs w:val="24"/>
          <w:lang w:val="en-GB"/>
        </w:rPr>
        <w:t>New York: CEU Press</w:t>
      </w:r>
      <w:r w:rsidR="00CA6D54">
        <w:rPr>
          <w:sz w:val="24"/>
          <w:szCs w:val="24"/>
          <w:lang w:val="en-GB"/>
        </w:rPr>
        <w:t>).</w:t>
      </w:r>
    </w:p>
    <w:p w:rsidR="00A87EAF" w:rsidRDefault="00ED0D06">
      <w:pPr>
        <w:pStyle w:val="Lbjegyzetszveg"/>
        <w:spacing w:after="120"/>
        <w:ind w:left="567" w:hanging="567"/>
        <w:jc w:val="both"/>
        <w:rPr>
          <w:sz w:val="24"/>
          <w:szCs w:val="24"/>
          <w:lang w:val="en-GB"/>
        </w:rPr>
      </w:pPr>
      <w:proofErr w:type="spellStart"/>
      <w:r w:rsidRPr="00ED0D06">
        <w:rPr>
          <w:sz w:val="24"/>
          <w:szCs w:val="24"/>
          <w:lang w:val="en-GB"/>
        </w:rPr>
        <w:t>Copsey</w:t>
      </w:r>
      <w:proofErr w:type="spellEnd"/>
      <w:r w:rsidR="007B7B23">
        <w:rPr>
          <w:sz w:val="24"/>
          <w:szCs w:val="24"/>
          <w:lang w:val="en-GB"/>
        </w:rPr>
        <w:t>, N.</w:t>
      </w:r>
      <w:r w:rsidRPr="00ED0D06">
        <w:rPr>
          <w:sz w:val="24"/>
          <w:szCs w:val="24"/>
          <w:lang w:val="en-GB"/>
        </w:rPr>
        <w:t xml:space="preserve"> and Haughton</w:t>
      </w:r>
      <w:r w:rsidR="007B7B23">
        <w:rPr>
          <w:sz w:val="24"/>
          <w:szCs w:val="24"/>
          <w:lang w:val="en-GB"/>
        </w:rPr>
        <w:t>, T.</w:t>
      </w:r>
      <w:r w:rsidRPr="00ED0D06">
        <w:rPr>
          <w:sz w:val="24"/>
          <w:szCs w:val="24"/>
          <w:lang w:val="en-GB"/>
        </w:rPr>
        <w:t xml:space="preserve"> (2012)</w:t>
      </w:r>
      <w:r w:rsidR="007B7B23">
        <w:rPr>
          <w:sz w:val="24"/>
          <w:szCs w:val="24"/>
          <w:lang w:val="en-GB"/>
        </w:rPr>
        <w:t xml:space="preserve"> Editorial: Desperate but not Serious – The EU in 2011’. </w:t>
      </w:r>
      <w:r w:rsidRPr="00ED0D06">
        <w:rPr>
          <w:i/>
          <w:sz w:val="24"/>
          <w:szCs w:val="24"/>
          <w:lang w:val="en-GB"/>
        </w:rPr>
        <w:t>JCMS</w:t>
      </w:r>
      <w:r w:rsidR="007B7B23">
        <w:rPr>
          <w:sz w:val="24"/>
          <w:szCs w:val="24"/>
          <w:lang w:val="en-GB"/>
        </w:rPr>
        <w:t>, Vol. 50</w:t>
      </w:r>
      <w:r w:rsidR="00CA6D54">
        <w:rPr>
          <w:sz w:val="24"/>
          <w:szCs w:val="24"/>
          <w:lang w:val="en-GB"/>
        </w:rPr>
        <w:t xml:space="preserve"> No. s2,</w:t>
      </w:r>
      <w:r w:rsidR="007B7B23">
        <w:rPr>
          <w:sz w:val="24"/>
          <w:szCs w:val="24"/>
          <w:lang w:val="en-GB"/>
        </w:rPr>
        <w:t xml:space="preserve"> pp. 1-5.</w:t>
      </w:r>
    </w:p>
    <w:p w:rsidR="00A87EAF" w:rsidRDefault="00123B1F">
      <w:pPr>
        <w:pStyle w:val="Lbjegyzetszveg"/>
        <w:spacing w:after="120"/>
        <w:ind w:left="567" w:hanging="567"/>
        <w:jc w:val="both"/>
        <w:rPr>
          <w:sz w:val="24"/>
          <w:szCs w:val="24"/>
          <w:lang w:val="en-GB"/>
        </w:rPr>
      </w:pPr>
      <w:proofErr w:type="spellStart"/>
      <w:r w:rsidRPr="00184430">
        <w:rPr>
          <w:sz w:val="24"/>
          <w:szCs w:val="24"/>
          <w:lang w:val="en-GB"/>
        </w:rPr>
        <w:t>Cuaresma</w:t>
      </w:r>
      <w:proofErr w:type="spellEnd"/>
      <w:r w:rsidRPr="00184430">
        <w:rPr>
          <w:sz w:val="24"/>
          <w:szCs w:val="24"/>
          <w:lang w:val="en-GB"/>
        </w:rPr>
        <w:t xml:space="preserve">, J. C., </w:t>
      </w:r>
      <w:proofErr w:type="spellStart"/>
      <w:r w:rsidRPr="00184430">
        <w:rPr>
          <w:sz w:val="24"/>
          <w:szCs w:val="24"/>
          <w:lang w:val="en-GB"/>
        </w:rPr>
        <w:t>Ritzberger-Grünwald</w:t>
      </w:r>
      <w:proofErr w:type="spellEnd"/>
      <w:r w:rsidRPr="00184430">
        <w:rPr>
          <w:sz w:val="24"/>
          <w:szCs w:val="24"/>
          <w:lang w:val="en-GB"/>
        </w:rPr>
        <w:t xml:space="preserve">, D. and </w:t>
      </w:r>
      <w:proofErr w:type="spellStart"/>
      <w:r w:rsidRPr="00184430">
        <w:rPr>
          <w:sz w:val="24"/>
          <w:szCs w:val="24"/>
          <w:lang w:val="en-GB"/>
        </w:rPr>
        <w:t>Silgoner</w:t>
      </w:r>
      <w:proofErr w:type="spellEnd"/>
      <w:r w:rsidRPr="00184430">
        <w:rPr>
          <w:sz w:val="24"/>
          <w:szCs w:val="24"/>
          <w:lang w:val="en-GB"/>
        </w:rPr>
        <w:t xml:space="preserve">, M. A. </w:t>
      </w:r>
      <w:r w:rsidR="00BD4A39" w:rsidRPr="00184430">
        <w:rPr>
          <w:sz w:val="24"/>
          <w:szCs w:val="24"/>
          <w:lang w:val="en-GB"/>
        </w:rPr>
        <w:t xml:space="preserve">(2008) </w:t>
      </w:r>
      <w:r w:rsidR="00292F2C">
        <w:rPr>
          <w:sz w:val="24"/>
          <w:szCs w:val="24"/>
          <w:lang w:val="en-GB"/>
        </w:rPr>
        <w:t>‘</w:t>
      </w:r>
      <w:r w:rsidRPr="00184430">
        <w:rPr>
          <w:sz w:val="24"/>
          <w:szCs w:val="24"/>
          <w:lang w:val="en-GB"/>
        </w:rPr>
        <w:t>Growth, convergence and EU membership</w:t>
      </w:r>
      <w:r w:rsidR="00292F2C">
        <w:rPr>
          <w:sz w:val="24"/>
          <w:szCs w:val="24"/>
          <w:lang w:val="en-GB"/>
        </w:rPr>
        <w:t>’.</w:t>
      </w:r>
      <w:r w:rsidRPr="00184430">
        <w:rPr>
          <w:sz w:val="24"/>
          <w:szCs w:val="24"/>
          <w:lang w:val="en-GB"/>
        </w:rPr>
        <w:t xml:space="preserve"> </w:t>
      </w:r>
      <w:r w:rsidRPr="00184430">
        <w:rPr>
          <w:i/>
          <w:sz w:val="24"/>
          <w:szCs w:val="24"/>
          <w:lang w:val="en-GB"/>
        </w:rPr>
        <w:t>Applied Economics</w:t>
      </w:r>
      <w:r w:rsidRPr="00184430">
        <w:rPr>
          <w:sz w:val="24"/>
          <w:szCs w:val="24"/>
          <w:lang w:val="en-GB"/>
        </w:rPr>
        <w:t xml:space="preserve"> </w:t>
      </w:r>
      <w:r w:rsidR="00292F2C">
        <w:rPr>
          <w:sz w:val="24"/>
          <w:szCs w:val="24"/>
          <w:lang w:val="en-GB"/>
        </w:rPr>
        <w:t xml:space="preserve">Vol. </w:t>
      </w:r>
      <w:r w:rsidRPr="00184430">
        <w:rPr>
          <w:sz w:val="24"/>
          <w:szCs w:val="24"/>
          <w:lang w:val="en-GB"/>
        </w:rPr>
        <w:t>40</w:t>
      </w:r>
      <w:r w:rsidR="00292F2C">
        <w:rPr>
          <w:sz w:val="24"/>
          <w:szCs w:val="24"/>
          <w:lang w:val="en-GB"/>
        </w:rPr>
        <w:t xml:space="preserve">, No. </w:t>
      </w:r>
      <w:r w:rsidRPr="00184430">
        <w:rPr>
          <w:sz w:val="24"/>
          <w:szCs w:val="24"/>
          <w:lang w:val="en-GB"/>
        </w:rPr>
        <w:t>5</w:t>
      </w:r>
      <w:r w:rsidR="00292F2C">
        <w:rPr>
          <w:sz w:val="24"/>
          <w:szCs w:val="24"/>
          <w:lang w:val="en-GB"/>
        </w:rPr>
        <w:t>, pp.</w:t>
      </w:r>
      <w:r w:rsidRPr="00184430">
        <w:rPr>
          <w:sz w:val="24"/>
          <w:szCs w:val="24"/>
          <w:lang w:val="en-GB"/>
        </w:rPr>
        <w:t xml:space="preserve"> 643-56.</w:t>
      </w:r>
      <w:r w:rsidR="00D94325">
        <w:rPr>
          <w:sz w:val="24"/>
          <w:szCs w:val="24"/>
          <w:lang w:val="en-GB"/>
        </w:rPr>
        <w:t xml:space="preserve"> </w:t>
      </w:r>
    </w:p>
    <w:p w:rsidR="00A87EAF" w:rsidRDefault="00D94325">
      <w:pPr>
        <w:pStyle w:val="Lbjegyzetszveg"/>
        <w:spacing w:after="120"/>
        <w:ind w:left="567" w:hanging="567"/>
        <w:jc w:val="both"/>
        <w:rPr>
          <w:sz w:val="24"/>
          <w:szCs w:val="24"/>
          <w:lang w:val="en-GB"/>
        </w:rPr>
      </w:pPr>
      <w:r w:rsidRPr="00AA6C2B">
        <w:rPr>
          <w:sz w:val="24"/>
          <w:szCs w:val="24"/>
          <w:lang w:val="en-GB"/>
        </w:rPr>
        <w:t>Csaba, L.</w:t>
      </w:r>
      <w:r>
        <w:rPr>
          <w:sz w:val="24"/>
          <w:szCs w:val="24"/>
          <w:lang w:val="en-GB"/>
        </w:rPr>
        <w:t xml:space="preserve"> (</w:t>
      </w:r>
      <w:r w:rsidRPr="00AA6C2B">
        <w:rPr>
          <w:sz w:val="24"/>
          <w:szCs w:val="24"/>
          <w:lang w:val="en-GB"/>
        </w:rPr>
        <w:t>2011</w:t>
      </w:r>
      <w:r>
        <w:rPr>
          <w:sz w:val="24"/>
          <w:szCs w:val="24"/>
          <w:lang w:val="en-GB"/>
        </w:rPr>
        <w:t xml:space="preserve">) </w:t>
      </w:r>
      <w:r w:rsidR="00CA6D54">
        <w:rPr>
          <w:sz w:val="24"/>
          <w:szCs w:val="24"/>
          <w:lang w:val="en-GB"/>
        </w:rPr>
        <w:t>‘</w:t>
      </w:r>
      <w:r w:rsidRPr="00AA6C2B">
        <w:rPr>
          <w:sz w:val="24"/>
          <w:szCs w:val="24"/>
          <w:lang w:val="en-GB"/>
        </w:rPr>
        <w:t xml:space="preserve">And the </w:t>
      </w:r>
      <w:r>
        <w:rPr>
          <w:sz w:val="24"/>
          <w:szCs w:val="24"/>
          <w:lang w:val="en-GB"/>
        </w:rPr>
        <w:t>F</w:t>
      </w:r>
      <w:r w:rsidRPr="00AA6C2B">
        <w:rPr>
          <w:sz w:val="24"/>
          <w:szCs w:val="24"/>
          <w:lang w:val="en-GB"/>
        </w:rPr>
        <w:t xml:space="preserve">irst </w:t>
      </w:r>
      <w:r>
        <w:rPr>
          <w:sz w:val="24"/>
          <w:szCs w:val="24"/>
          <w:lang w:val="en-GB"/>
        </w:rPr>
        <w:t>S</w:t>
      </w:r>
      <w:r w:rsidRPr="00AA6C2B">
        <w:rPr>
          <w:sz w:val="24"/>
          <w:szCs w:val="24"/>
          <w:lang w:val="en-GB"/>
        </w:rPr>
        <w:t xml:space="preserve">hall be the </w:t>
      </w:r>
      <w:r>
        <w:rPr>
          <w:sz w:val="24"/>
          <w:szCs w:val="24"/>
          <w:lang w:val="en-GB"/>
        </w:rPr>
        <w:t>L</w:t>
      </w:r>
      <w:r w:rsidRPr="00AA6C2B">
        <w:rPr>
          <w:sz w:val="24"/>
          <w:szCs w:val="24"/>
          <w:lang w:val="en-GB"/>
        </w:rPr>
        <w:t>ast</w:t>
      </w:r>
      <w:r w:rsidR="00CA6D54">
        <w:rPr>
          <w:sz w:val="24"/>
          <w:szCs w:val="24"/>
          <w:lang w:val="en-GB"/>
        </w:rPr>
        <w:t>’</w:t>
      </w:r>
      <w:r>
        <w:rPr>
          <w:sz w:val="24"/>
          <w:szCs w:val="24"/>
          <w:lang w:val="en-GB"/>
        </w:rPr>
        <w:t>.</w:t>
      </w:r>
      <w:r w:rsidRPr="00AA6C2B">
        <w:rPr>
          <w:sz w:val="24"/>
          <w:szCs w:val="24"/>
          <w:lang w:val="en-GB"/>
        </w:rPr>
        <w:t xml:space="preserve"> </w:t>
      </w:r>
      <w:r w:rsidRPr="00AA6C2B">
        <w:rPr>
          <w:i/>
          <w:sz w:val="24"/>
          <w:szCs w:val="24"/>
          <w:lang w:val="en-GB"/>
        </w:rPr>
        <w:t>Hungarian Studies,</w:t>
      </w:r>
      <w:r w:rsidRPr="00AA6C2B">
        <w:rPr>
          <w:sz w:val="24"/>
          <w:szCs w:val="24"/>
          <w:lang w:val="en-GB"/>
        </w:rPr>
        <w:t xml:space="preserve"> </w:t>
      </w:r>
      <w:r>
        <w:rPr>
          <w:sz w:val="24"/>
          <w:szCs w:val="24"/>
          <w:lang w:val="en-GB"/>
        </w:rPr>
        <w:t xml:space="preserve">Vol. </w:t>
      </w:r>
      <w:r w:rsidRPr="00AA6C2B">
        <w:rPr>
          <w:sz w:val="24"/>
          <w:szCs w:val="24"/>
          <w:lang w:val="en-GB"/>
        </w:rPr>
        <w:t>25</w:t>
      </w:r>
      <w:r>
        <w:rPr>
          <w:sz w:val="24"/>
          <w:szCs w:val="24"/>
          <w:lang w:val="en-GB"/>
        </w:rPr>
        <w:t xml:space="preserve">, No. </w:t>
      </w:r>
      <w:r w:rsidRPr="00AA6C2B">
        <w:rPr>
          <w:sz w:val="24"/>
          <w:szCs w:val="24"/>
          <w:lang w:val="en-GB"/>
        </w:rPr>
        <w:t xml:space="preserve">2, </w:t>
      </w:r>
      <w:r>
        <w:rPr>
          <w:sz w:val="24"/>
          <w:szCs w:val="24"/>
          <w:lang w:val="en-GB"/>
        </w:rPr>
        <w:t xml:space="preserve">pp. </w:t>
      </w:r>
      <w:r w:rsidRPr="00AA6C2B">
        <w:rPr>
          <w:sz w:val="24"/>
          <w:szCs w:val="24"/>
          <w:lang w:val="en-GB"/>
        </w:rPr>
        <w:t>235-248.</w:t>
      </w:r>
      <w:r w:rsidR="00A03E08">
        <w:rPr>
          <w:sz w:val="24"/>
          <w:szCs w:val="24"/>
          <w:lang w:val="en-GB"/>
        </w:rPr>
        <w:t xml:space="preserve"> </w:t>
      </w:r>
    </w:p>
    <w:p w:rsidR="00A87EAF" w:rsidRDefault="00F759EE">
      <w:pPr>
        <w:pStyle w:val="Lbjegyzetszveg"/>
        <w:spacing w:after="120"/>
        <w:ind w:left="567" w:hanging="567"/>
        <w:jc w:val="both"/>
        <w:rPr>
          <w:sz w:val="24"/>
          <w:szCs w:val="24"/>
          <w:lang w:val="en-GB"/>
        </w:rPr>
      </w:pPr>
      <w:r>
        <w:rPr>
          <w:sz w:val="24"/>
          <w:szCs w:val="24"/>
          <w:lang w:val="en-GB"/>
        </w:rPr>
        <w:t xml:space="preserve">Donovan, D. and Murphy, A. E. (2013) </w:t>
      </w:r>
      <w:r w:rsidR="00ED0D06" w:rsidRPr="00ED0D06">
        <w:rPr>
          <w:i/>
          <w:sz w:val="24"/>
          <w:szCs w:val="24"/>
          <w:lang w:val="en-GB"/>
        </w:rPr>
        <w:t>The Fall of the Celtic Tiger: Ireland and the Euro Debt Crisis</w:t>
      </w:r>
      <w:r>
        <w:rPr>
          <w:sz w:val="24"/>
          <w:szCs w:val="24"/>
          <w:lang w:val="en-GB"/>
        </w:rPr>
        <w:t xml:space="preserve">. </w:t>
      </w:r>
      <w:r w:rsidR="00CA6D54">
        <w:rPr>
          <w:sz w:val="24"/>
          <w:szCs w:val="24"/>
          <w:lang w:val="en-GB"/>
        </w:rPr>
        <w:t>(</w:t>
      </w:r>
      <w:r w:rsidR="008F13C2">
        <w:rPr>
          <w:sz w:val="24"/>
          <w:szCs w:val="24"/>
          <w:lang w:val="en-GB"/>
        </w:rPr>
        <w:t>Oxford: Oxford University Press</w:t>
      </w:r>
      <w:r w:rsidR="00CA6D54">
        <w:rPr>
          <w:sz w:val="24"/>
          <w:szCs w:val="24"/>
          <w:lang w:val="en-GB"/>
        </w:rPr>
        <w:t>)</w:t>
      </w:r>
      <w:r w:rsidR="008F13C2">
        <w:rPr>
          <w:sz w:val="24"/>
          <w:szCs w:val="24"/>
          <w:lang w:val="en-GB"/>
        </w:rPr>
        <w:t>.</w:t>
      </w:r>
    </w:p>
    <w:p w:rsidR="00C55CA5" w:rsidRDefault="00C55CA5">
      <w:pPr>
        <w:pStyle w:val="Lbjegyzetszveg"/>
        <w:spacing w:after="120"/>
        <w:ind w:left="567" w:hanging="567"/>
        <w:jc w:val="both"/>
        <w:rPr>
          <w:sz w:val="24"/>
          <w:szCs w:val="24"/>
          <w:lang w:val="en-GB"/>
        </w:rPr>
      </w:pPr>
      <w:r w:rsidRPr="00C55CA5">
        <w:rPr>
          <w:sz w:val="24"/>
          <w:szCs w:val="24"/>
          <w:lang w:val="en-GB"/>
        </w:rPr>
        <w:t xml:space="preserve">Epstein, R. A. (2014) </w:t>
      </w:r>
      <w:r>
        <w:rPr>
          <w:sz w:val="24"/>
          <w:szCs w:val="24"/>
          <w:lang w:val="en-GB"/>
        </w:rPr>
        <w:t>‘</w:t>
      </w:r>
      <w:r w:rsidRPr="00C55CA5">
        <w:rPr>
          <w:sz w:val="24"/>
          <w:szCs w:val="24"/>
          <w:lang w:val="en-GB"/>
        </w:rPr>
        <w:t>Overcoming ‘Economic Backwardness’ in the European Union</w:t>
      </w:r>
      <w:r>
        <w:rPr>
          <w:sz w:val="24"/>
          <w:szCs w:val="24"/>
          <w:lang w:val="en-GB"/>
        </w:rPr>
        <w:t>’</w:t>
      </w:r>
      <w:r w:rsidRPr="00C55CA5">
        <w:rPr>
          <w:sz w:val="24"/>
          <w:szCs w:val="24"/>
          <w:lang w:val="en-GB"/>
        </w:rPr>
        <w:t xml:space="preserve">. </w:t>
      </w:r>
      <w:r w:rsidRPr="00C55CA5">
        <w:rPr>
          <w:i/>
          <w:sz w:val="24"/>
          <w:szCs w:val="24"/>
          <w:lang w:val="en-GB"/>
        </w:rPr>
        <w:t>JCMS</w:t>
      </w:r>
      <w:r w:rsidRPr="00C55CA5">
        <w:rPr>
          <w:sz w:val="24"/>
          <w:szCs w:val="24"/>
          <w:lang w:val="en-GB"/>
        </w:rPr>
        <w:t xml:space="preserve">, </w:t>
      </w:r>
      <w:r>
        <w:rPr>
          <w:sz w:val="24"/>
          <w:szCs w:val="24"/>
          <w:lang w:val="en-GB"/>
        </w:rPr>
        <w:t xml:space="preserve">Vol. </w:t>
      </w:r>
      <w:r w:rsidRPr="00C55CA5">
        <w:rPr>
          <w:sz w:val="24"/>
          <w:szCs w:val="24"/>
          <w:lang w:val="en-GB"/>
        </w:rPr>
        <w:t>52</w:t>
      </w:r>
      <w:r>
        <w:rPr>
          <w:sz w:val="24"/>
          <w:szCs w:val="24"/>
          <w:lang w:val="en-GB"/>
        </w:rPr>
        <w:t xml:space="preserve">, No. 1, pp. </w:t>
      </w:r>
      <w:r w:rsidRPr="00C55CA5">
        <w:rPr>
          <w:sz w:val="24"/>
          <w:szCs w:val="24"/>
          <w:lang w:val="en-GB"/>
        </w:rPr>
        <w:t>17–34</w:t>
      </w:r>
      <w:r>
        <w:rPr>
          <w:sz w:val="24"/>
          <w:szCs w:val="24"/>
          <w:lang w:val="en-GB"/>
        </w:rPr>
        <w:t>.</w:t>
      </w:r>
    </w:p>
    <w:p w:rsidR="00CA6D54" w:rsidRDefault="00CA6D54" w:rsidP="00CA6D54">
      <w:pPr>
        <w:spacing w:line="276" w:lineRule="auto"/>
        <w:ind w:left="567" w:hanging="567"/>
        <w:jc w:val="both"/>
        <w:rPr>
          <w:lang w:val="en-GB"/>
        </w:rPr>
      </w:pPr>
      <w:r w:rsidRPr="00184430">
        <w:rPr>
          <w:lang w:val="en-GB"/>
        </w:rPr>
        <w:t>European Commission (2014</w:t>
      </w:r>
      <w:r>
        <w:rPr>
          <w:lang w:val="en-GB"/>
        </w:rPr>
        <w:t>a</w:t>
      </w:r>
      <w:r w:rsidRPr="00184430">
        <w:rPr>
          <w:lang w:val="en-GB"/>
        </w:rPr>
        <w:t xml:space="preserve">) </w:t>
      </w:r>
      <w:r w:rsidRPr="00184430">
        <w:rPr>
          <w:i/>
          <w:lang w:val="en-GB"/>
        </w:rPr>
        <w:t>European Economic Forecast Autumn 2014</w:t>
      </w:r>
      <w:r>
        <w:rPr>
          <w:lang w:val="en-GB"/>
        </w:rPr>
        <w:t xml:space="preserve"> (Brussels: European Commission).</w:t>
      </w:r>
    </w:p>
    <w:p w:rsidR="00CA6D54" w:rsidRDefault="00CA6D54" w:rsidP="00CA6D54">
      <w:pPr>
        <w:spacing w:line="276" w:lineRule="auto"/>
        <w:ind w:left="567" w:hanging="567"/>
        <w:jc w:val="both"/>
        <w:rPr>
          <w:lang w:val="en-GB"/>
        </w:rPr>
      </w:pPr>
      <w:r w:rsidRPr="00184430">
        <w:rPr>
          <w:lang w:val="en-GB"/>
        </w:rPr>
        <w:lastRenderedPageBreak/>
        <w:t>European Commission (2014</w:t>
      </w:r>
      <w:r>
        <w:rPr>
          <w:lang w:val="en-GB"/>
        </w:rPr>
        <w:t>b</w:t>
      </w:r>
      <w:r w:rsidRPr="00184430">
        <w:rPr>
          <w:lang w:val="en-GB"/>
        </w:rPr>
        <w:t xml:space="preserve">) </w:t>
      </w:r>
      <w:r w:rsidRPr="00017225">
        <w:rPr>
          <w:i/>
        </w:rPr>
        <w:t>An Investment Plan for Europe</w:t>
      </w:r>
      <w:r>
        <w:t xml:space="preserve">. </w:t>
      </w:r>
      <w:proofErr w:type="gramStart"/>
      <w:r w:rsidRPr="00017225">
        <w:rPr>
          <w:i/>
        </w:rPr>
        <w:t>COM(</w:t>
      </w:r>
      <w:proofErr w:type="gramEnd"/>
      <w:r w:rsidRPr="00017225">
        <w:rPr>
          <w:i/>
        </w:rPr>
        <w:t>2014) 903 final</w:t>
      </w:r>
      <w:r>
        <w:t xml:space="preserve"> (</w:t>
      </w:r>
      <w:r>
        <w:rPr>
          <w:lang w:val="en-GB"/>
        </w:rPr>
        <w:t xml:space="preserve">Brussels: European Commission). </w:t>
      </w:r>
    </w:p>
    <w:p w:rsidR="00725882" w:rsidRDefault="00725882" w:rsidP="00725882">
      <w:pPr>
        <w:spacing w:line="276" w:lineRule="auto"/>
        <w:ind w:left="567" w:hanging="567"/>
        <w:jc w:val="both"/>
        <w:rPr>
          <w:lang w:val="en-GB"/>
        </w:rPr>
      </w:pPr>
      <w:r w:rsidRPr="00184430">
        <w:rPr>
          <w:lang w:val="en-GB"/>
        </w:rPr>
        <w:t>European Commission (201</w:t>
      </w:r>
      <w:r>
        <w:rPr>
          <w:lang w:val="en-GB"/>
        </w:rPr>
        <w:t>4c</w:t>
      </w:r>
      <w:r w:rsidRPr="00184430">
        <w:rPr>
          <w:lang w:val="en-GB"/>
        </w:rPr>
        <w:t xml:space="preserve">) </w:t>
      </w:r>
      <w:r w:rsidRPr="00184430">
        <w:rPr>
          <w:i/>
          <w:lang w:val="en-GB"/>
        </w:rPr>
        <w:t xml:space="preserve">European Economic Forecast </w:t>
      </w:r>
      <w:r>
        <w:rPr>
          <w:i/>
          <w:lang w:val="en-GB"/>
        </w:rPr>
        <w:t>Spring</w:t>
      </w:r>
      <w:r w:rsidRPr="00184430">
        <w:rPr>
          <w:i/>
          <w:lang w:val="en-GB"/>
        </w:rPr>
        <w:t xml:space="preserve"> 2014</w:t>
      </w:r>
      <w:r>
        <w:rPr>
          <w:lang w:val="en-GB"/>
        </w:rPr>
        <w:t xml:space="preserve"> (Brussels: European Commission).</w:t>
      </w:r>
    </w:p>
    <w:p w:rsidR="00A87EAF" w:rsidRDefault="00ED0D06">
      <w:pPr>
        <w:pStyle w:val="Lbjegyzetszveg"/>
        <w:spacing w:after="120"/>
        <w:ind w:left="567" w:hanging="567"/>
        <w:jc w:val="both"/>
        <w:rPr>
          <w:sz w:val="24"/>
          <w:szCs w:val="24"/>
          <w:lang w:val="en-GB"/>
        </w:rPr>
      </w:pPr>
      <w:r w:rsidRPr="00ED0D06">
        <w:rPr>
          <w:sz w:val="24"/>
          <w:szCs w:val="24"/>
          <w:lang w:val="en-GB"/>
        </w:rPr>
        <w:t>European Commis</w:t>
      </w:r>
      <w:r w:rsidR="00B10D22">
        <w:rPr>
          <w:sz w:val="24"/>
          <w:szCs w:val="24"/>
          <w:lang w:val="en-GB"/>
        </w:rPr>
        <w:t>s</w:t>
      </w:r>
      <w:r w:rsidRPr="00ED0D06">
        <w:rPr>
          <w:sz w:val="24"/>
          <w:szCs w:val="24"/>
          <w:lang w:val="en-GB"/>
        </w:rPr>
        <w:t>ion (2015</w:t>
      </w:r>
      <w:r w:rsidR="00B10D22">
        <w:rPr>
          <w:sz w:val="24"/>
          <w:szCs w:val="24"/>
          <w:lang w:val="en-GB"/>
        </w:rPr>
        <w:t>a</w:t>
      </w:r>
      <w:r w:rsidRPr="00ED0D06">
        <w:rPr>
          <w:sz w:val="24"/>
          <w:szCs w:val="24"/>
          <w:lang w:val="en-GB"/>
        </w:rPr>
        <w:t xml:space="preserve">) </w:t>
      </w:r>
      <w:r w:rsidRPr="00ED0D06">
        <w:rPr>
          <w:i/>
          <w:sz w:val="24"/>
          <w:szCs w:val="24"/>
        </w:rPr>
        <w:t>Country Report United Kingdom 2015</w:t>
      </w:r>
      <w:r w:rsidR="007D5C35">
        <w:rPr>
          <w:i/>
          <w:sz w:val="24"/>
          <w:szCs w:val="24"/>
        </w:rPr>
        <w:t>.</w:t>
      </w:r>
      <w:r w:rsidRPr="00ED0D06">
        <w:rPr>
          <w:i/>
          <w:sz w:val="24"/>
          <w:szCs w:val="24"/>
        </w:rPr>
        <w:t xml:space="preserve"> </w:t>
      </w:r>
      <w:r w:rsidRPr="00ED0D06">
        <w:rPr>
          <w:sz w:val="24"/>
          <w:szCs w:val="24"/>
        </w:rPr>
        <w:t xml:space="preserve">Commission Staff Working Document SWD (2015) 47 final. (Brussels: </w:t>
      </w:r>
      <w:r w:rsidRPr="00ED0D06">
        <w:rPr>
          <w:sz w:val="24"/>
          <w:szCs w:val="24"/>
          <w:lang w:val="en-GB"/>
        </w:rPr>
        <w:t>European Commission).</w:t>
      </w:r>
    </w:p>
    <w:p w:rsidR="00B10D22" w:rsidRPr="00A03E08" w:rsidRDefault="00B10D22" w:rsidP="00B10D22">
      <w:pPr>
        <w:pStyle w:val="Lbjegyzetszveg"/>
        <w:spacing w:after="120"/>
        <w:ind w:left="567" w:hanging="567"/>
        <w:jc w:val="both"/>
        <w:rPr>
          <w:sz w:val="24"/>
          <w:szCs w:val="24"/>
          <w:lang w:val="en-GB"/>
        </w:rPr>
      </w:pPr>
      <w:r w:rsidRPr="00EB27EE">
        <w:rPr>
          <w:sz w:val="24"/>
          <w:szCs w:val="24"/>
          <w:lang w:val="en-GB"/>
        </w:rPr>
        <w:t>European Commis</w:t>
      </w:r>
      <w:r>
        <w:rPr>
          <w:sz w:val="24"/>
          <w:szCs w:val="24"/>
          <w:lang w:val="en-GB"/>
        </w:rPr>
        <w:t>s</w:t>
      </w:r>
      <w:r w:rsidRPr="00EB27EE">
        <w:rPr>
          <w:sz w:val="24"/>
          <w:szCs w:val="24"/>
          <w:lang w:val="en-GB"/>
        </w:rPr>
        <w:t>ion (2015</w:t>
      </w:r>
      <w:r>
        <w:rPr>
          <w:sz w:val="24"/>
          <w:szCs w:val="24"/>
          <w:lang w:val="en-GB"/>
        </w:rPr>
        <w:t>b</w:t>
      </w:r>
      <w:r w:rsidRPr="00EB27EE">
        <w:rPr>
          <w:sz w:val="24"/>
          <w:szCs w:val="24"/>
          <w:lang w:val="en-GB"/>
        </w:rPr>
        <w:t xml:space="preserve">) </w:t>
      </w:r>
      <w:r w:rsidRPr="00EB27EE">
        <w:rPr>
          <w:i/>
          <w:sz w:val="24"/>
          <w:szCs w:val="24"/>
        </w:rPr>
        <w:t xml:space="preserve">Country Report </w:t>
      </w:r>
      <w:r w:rsidR="00CA6C39">
        <w:rPr>
          <w:i/>
          <w:sz w:val="24"/>
          <w:szCs w:val="24"/>
        </w:rPr>
        <w:t>Sweden</w:t>
      </w:r>
      <w:r w:rsidRPr="00EB27EE">
        <w:rPr>
          <w:i/>
          <w:sz w:val="24"/>
          <w:szCs w:val="24"/>
        </w:rPr>
        <w:t xml:space="preserve"> 2015</w:t>
      </w:r>
      <w:r w:rsidR="007D5C35">
        <w:rPr>
          <w:i/>
          <w:sz w:val="24"/>
          <w:szCs w:val="24"/>
        </w:rPr>
        <w:t>.</w:t>
      </w:r>
      <w:r w:rsidRPr="00EB27EE">
        <w:rPr>
          <w:i/>
          <w:sz w:val="24"/>
          <w:szCs w:val="24"/>
        </w:rPr>
        <w:t xml:space="preserve"> </w:t>
      </w:r>
      <w:r w:rsidRPr="00EB27EE">
        <w:rPr>
          <w:sz w:val="24"/>
          <w:szCs w:val="24"/>
        </w:rPr>
        <w:t>Commission Staff Working Document SWD (2015) 4</w:t>
      </w:r>
      <w:r>
        <w:rPr>
          <w:sz w:val="24"/>
          <w:szCs w:val="24"/>
        </w:rPr>
        <w:t>6</w:t>
      </w:r>
      <w:r w:rsidRPr="00EB27EE">
        <w:rPr>
          <w:sz w:val="24"/>
          <w:szCs w:val="24"/>
        </w:rPr>
        <w:t xml:space="preserve"> final. (Brussels: </w:t>
      </w:r>
      <w:r w:rsidRPr="00EB27EE">
        <w:rPr>
          <w:sz w:val="24"/>
          <w:szCs w:val="24"/>
          <w:lang w:val="en-GB"/>
        </w:rPr>
        <w:t>European Commission).</w:t>
      </w:r>
    </w:p>
    <w:p w:rsidR="00A87EAF" w:rsidRDefault="00184430">
      <w:pPr>
        <w:spacing w:line="276" w:lineRule="auto"/>
        <w:ind w:left="567" w:hanging="567"/>
        <w:jc w:val="both"/>
        <w:rPr>
          <w:iCs/>
          <w:lang w:val="en-GB"/>
        </w:rPr>
      </w:pPr>
      <w:r w:rsidRPr="00184430">
        <w:rPr>
          <w:lang w:val="en-GB"/>
        </w:rPr>
        <w:t xml:space="preserve">Eurostat (2014a) </w:t>
      </w:r>
      <w:r w:rsidR="00543405">
        <w:rPr>
          <w:lang w:val="en-GB"/>
        </w:rPr>
        <w:t>‘</w:t>
      </w:r>
      <w:r w:rsidRPr="00543405">
        <w:rPr>
          <w:lang w:val="en-GB"/>
        </w:rPr>
        <w:t>Unemployment statistics</w:t>
      </w:r>
      <w:r w:rsidR="00543405">
        <w:rPr>
          <w:lang w:val="en-GB"/>
        </w:rPr>
        <w:t>,</w:t>
      </w:r>
      <w:r w:rsidRPr="00184430">
        <w:rPr>
          <w:lang w:val="en-GB"/>
        </w:rPr>
        <w:t xml:space="preserve"> </w:t>
      </w:r>
      <w:r w:rsidRPr="00184430">
        <w:rPr>
          <w:iCs/>
          <w:lang w:val="en-GB"/>
        </w:rPr>
        <w:t>October 2014</w:t>
      </w:r>
      <w:r w:rsidR="00543405">
        <w:rPr>
          <w:iCs/>
          <w:lang w:val="en-GB"/>
        </w:rPr>
        <w:t xml:space="preserve">’. Available at </w:t>
      </w:r>
      <w:hyperlink r:id="rId10" w:history="1">
        <w:r w:rsidRPr="00184430">
          <w:rPr>
            <w:rStyle w:val="Hiperhivatkozs"/>
            <w:iCs/>
            <w:lang w:val="en-GB"/>
          </w:rPr>
          <w:t>http://ec.europa.eu/eurostat/statistics-explained/index.php/Unemployment_statistics</w:t>
        </w:r>
      </w:hyperlink>
    </w:p>
    <w:p w:rsidR="00A87EAF" w:rsidRDefault="00184430">
      <w:pPr>
        <w:spacing w:line="276" w:lineRule="auto"/>
        <w:ind w:left="567" w:hanging="567"/>
        <w:jc w:val="both"/>
        <w:rPr>
          <w:lang w:val="en-GB"/>
        </w:rPr>
      </w:pPr>
      <w:r w:rsidRPr="00184430">
        <w:rPr>
          <w:lang w:val="en-GB"/>
        </w:rPr>
        <w:t xml:space="preserve">Eurostat </w:t>
      </w:r>
      <w:r w:rsidR="00A7679B">
        <w:rPr>
          <w:lang w:val="en-GB"/>
        </w:rPr>
        <w:t>(</w:t>
      </w:r>
      <w:r w:rsidRPr="00184430">
        <w:rPr>
          <w:lang w:val="en-GB"/>
        </w:rPr>
        <w:t xml:space="preserve">2014b) </w:t>
      </w:r>
      <w:r w:rsidR="00543405">
        <w:rPr>
          <w:lang w:val="en-GB"/>
        </w:rPr>
        <w:t>‘</w:t>
      </w:r>
      <w:r w:rsidRPr="00184430">
        <w:rPr>
          <w:lang w:val="en-GB"/>
        </w:rPr>
        <w:t>Euro area unemployment rate at 11.5</w:t>
      </w:r>
      <w:r w:rsidR="001D3B9C">
        <w:rPr>
          <w:lang w:val="en-GB"/>
        </w:rPr>
        <w:t xml:space="preserve"> per cent</w:t>
      </w:r>
      <w:r w:rsidR="00543405">
        <w:rPr>
          <w:lang w:val="en-GB"/>
        </w:rPr>
        <w:t>’</w:t>
      </w:r>
      <w:r w:rsidRPr="00184430">
        <w:rPr>
          <w:lang w:val="en-GB"/>
        </w:rPr>
        <w:t xml:space="preserve">. </w:t>
      </w:r>
      <w:proofErr w:type="spellStart"/>
      <w:r w:rsidRPr="00184430">
        <w:rPr>
          <w:i/>
          <w:lang w:val="en-GB"/>
        </w:rPr>
        <w:t>Eurostat</w:t>
      </w:r>
      <w:proofErr w:type="spellEnd"/>
      <w:r w:rsidRPr="00184430">
        <w:rPr>
          <w:i/>
          <w:lang w:val="en-GB"/>
        </w:rPr>
        <w:t xml:space="preserve"> </w:t>
      </w:r>
      <w:proofErr w:type="spellStart"/>
      <w:r w:rsidR="00543405">
        <w:rPr>
          <w:i/>
          <w:lang w:val="en-GB"/>
        </w:rPr>
        <w:t>N</w:t>
      </w:r>
      <w:r w:rsidRPr="00184430">
        <w:rPr>
          <w:i/>
          <w:lang w:val="en-GB"/>
        </w:rPr>
        <w:t>ew</w:t>
      </w:r>
      <w:r w:rsidR="00543405">
        <w:rPr>
          <w:i/>
          <w:lang w:val="en-GB"/>
        </w:rPr>
        <w:t>srelease</w:t>
      </w:r>
      <w:proofErr w:type="spellEnd"/>
      <w:r w:rsidR="00543405">
        <w:rPr>
          <w:i/>
          <w:lang w:val="en-GB"/>
        </w:rPr>
        <w:t xml:space="preserve">, </w:t>
      </w:r>
      <w:proofErr w:type="spellStart"/>
      <w:r w:rsidR="00543405">
        <w:rPr>
          <w:i/>
          <w:lang w:val="en-GB"/>
        </w:rPr>
        <w:t>E</w:t>
      </w:r>
      <w:r w:rsidRPr="00184430">
        <w:rPr>
          <w:i/>
          <w:lang w:val="en-GB"/>
        </w:rPr>
        <w:t>uroindicators</w:t>
      </w:r>
      <w:proofErr w:type="spellEnd"/>
      <w:r w:rsidRPr="00184430">
        <w:rPr>
          <w:lang w:val="en-GB"/>
        </w:rPr>
        <w:t>, October.</w:t>
      </w:r>
    </w:p>
    <w:p w:rsidR="00A87EAF" w:rsidRDefault="00123B1F">
      <w:pPr>
        <w:spacing w:line="276" w:lineRule="auto"/>
        <w:ind w:left="567" w:hanging="567"/>
        <w:jc w:val="both"/>
        <w:rPr>
          <w:lang w:val="en-GB"/>
        </w:rPr>
      </w:pPr>
      <w:proofErr w:type="spellStart"/>
      <w:r w:rsidRPr="00184430">
        <w:rPr>
          <w:lang w:val="en-GB"/>
        </w:rPr>
        <w:t>Fagerberg</w:t>
      </w:r>
      <w:proofErr w:type="spellEnd"/>
      <w:r w:rsidRPr="00184430">
        <w:rPr>
          <w:lang w:val="en-GB"/>
        </w:rPr>
        <w:t xml:space="preserve">, J. and </w:t>
      </w:r>
      <w:proofErr w:type="spellStart"/>
      <w:r w:rsidRPr="00184430">
        <w:rPr>
          <w:lang w:val="en-GB"/>
        </w:rPr>
        <w:t>Verspagen</w:t>
      </w:r>
      <w:proofErr w:type="spellEnd"/>
      <w:r w:rsidRPr="00184430">
        <w:rPr>
          <w:lang w:val="en-GB"/>
        </w:rPr>
        <w:t xml:space="preserve">, B. (1996) </w:t>
      </w:r>
      <w:r w:rsidR="00543405">
        <w:rPr>
          <w:lang w:val="en-GB"/>
        </w:rPr>
        <w:t>‘</w:t>
      </w:r>
      <w:r w:rsidRPr="00184430">
        <w:rPr>
          <w:lang w:val="en-GB"/>
        </w:rPr>
        <w:t>Heading for Divergence? Regiona</w:t>
      </w:r>
      <w:r w:rsidR="008A43F7">
        <w:rPr>
          <w:lang w:val="en-GB"/>
        </w:rPr>
        <w:t>l Growth in Europe Reconsidered</w:t>
      </w:r>
      <w:r w:rsidR="00543405">
        <w:rPr>
          <w:lang w:val="en-GB"/>
        </w:rPr>
        <w:t>’.</w:t>
      </w:r>
      <w:r w:rsidRPr="00184430">
        <w:rPr>
          <w:lang w:val="en-GB"/>
        </w:rPr>
        <w:t xml:space="preserve"> </w:t>
      </w:r>
      <w:r w:rsidRPr="00184430">
        <w:rPr>
          <w:i/>
          <w:lang w:val="en-GB"/>
        </w:rPr>
        <w:t>JCMS</w:t>
      </w:r>
      <w:r w:rsidR="00543405">
        <w:rPr>
          <w:i/>
          <w:lang w:val="en-GB"/>
        </w:rPr>
        <w:t>,</w:t>
      </w:r>
      <w:r w:rsidRPr="00184430">
        <w:rPr>
          <w:i/>
          <w:lang w:val="en-GB"/>
        </w:rPr>
        <w:t xml:space="preserve"> </w:t>
      </w:r>
      <w:r w:rsidR="00543405">
        <w:rPr>
          <w:lang w:val="en-GB"/>
        </w:rPr>
        <w:t xml:space="preserve">Vol. </w:t>
      </w:r>
      <w:r w:rsidRPr="00184430">
        <w:rPr>
          <w:lang w:val="en-GB"/>
        </w:rPr>
        <w:t>34</w:t>
      </w:r>
      <w:r w:rsidR="00543405">
        <w:rPr>
          <w:lang w:val="en-GB"/>
        </w:rPr>
        <w:t xml:space="preserve">, No. </w:t>
      </w:r>
      <w:r w:rsidRPr="00184430">
        <w:rPr>
          <w:lang w:val="en-GB"/>
        </w:rPr>
        <w:t>3</w:t>
      </w:r>
      <w:r w:rsidR="00543405">
        <w:rPr>
          <w:lang w:val="en-GB"/>
        </w:rPr>
        <w:t>, pp. 431–</w:t>
      </w:r>
      <w:r w:rsidRPr="00184430">
        <w:rPr>
          <w:lang w:val="en-GB"/>
        </w:rPr>
        <w:t xml:space="preserve">48. </w:t>
      </w:r>
    </w:p>
    <w:p w:rsidR="00A87EAF" w:rsidRDefault="001F77CC">
      <w:pPr>
        <w:spacing w:line="276" w:lineRule="auto"/>
        <w:ind w:left="567" w:hanging="567"/>
        <w:jc w:val="both"/>
        <w:rPr>
          <w:lang w:val="en-GB"/>
        </w:rPr>
      </w:pPr>
      <w:r w:rsidRPr="00184430">
        <w:rPr>
          <w:lang w:val="en-GB"/>
        </w:rPr>
        <w:t>Fischer</w:t>
      </w:r>
      <w:r w:rsidR="00123B1F" w:rsidRPr="00184430">
        <w:rPr>
          <w:lang w:val="en-GB"/>
        </w:rPr>
        <w:t>, M.</w:t>
      </w:r>
      <w:r w:rsidRPr="00184430">
        <w:rPr>
          <w:lang w:val="en-GB"/>
        </w:rPr>
        <w:t xml:space="preserve"> and </w:t>
      </w:r>
      <w:proofErr w:type="spellStart"/>
      <w:r w:rsidRPr="00184430">
        <w:rPr>
          <w:lang w:val="en-GB"/>
        </w:rPr>
        <w:t>Stirböck</w:t>
      </w:r>
      <w:proofErr w:type="spellEnd"/>
      <w:r w:rsidR="00123B1F" w:rsidRPr="00184430">
        <w:rPr>
          <w:lang w:val="en-GB"/>
        </w:rPr>
        <w:t>, C.</w:t>
      </w:r>
      <w:r w:rsidRPr="00184430">
        <w:rPr>
          <w:lang w:val="en-GB"/>
        </w:rPr>
        <w:t xml:space="preserve"> (2006)</w:t>
      </w:r>
      <w:r w:rsidR="00123B1F" w:rsidRPr="00184430">
        <w:rPr>
          <w:lang w:val="en-GB"/>
        </w:rPr>
        <w:t xml:space="preserve"> </w:t>
      </w:r>
      <w:r w:rsidR="00543405">
        <w:rPr>
          <w:lang w:val="en-GB"/>
        </w:rPr>
        <w:t>‘</w:t>
      </w:r>
      <w:r w:rsidR="00123B1F" w:rsidRPr="00184430">
        <w:rPr>
          <w:lang w:val="en-GB"/>
        </w:rPr>
        <w:t>Pan-European regional income growth and club-convergence</w:t>
      </w:r>
      <w:r w:rsidR="00543405">
        <w:rPr>
          <w:lang w:val="en-GB"/>
        </w:rPr>
        <w:t>’.</w:t>
      </w:r>
      <w:r w:rsidR="00123B1F" w:rsidRPr="00184430">
        <w:rPr>
          <w:lang w:val="en-GB"/>
        </w:rPr>
        <w:t xml:space="preserve"> </w:t>
      </w:r>
      <w:r w:rsidR="00123B1F" w:rsidRPr="00017225">
        <w:rPr>
          <w:i/>
          <w:lang w:val="en-GB"/>
        </w:rPr>
        <w:t>The Annals of Regional Science</w:t>
      </w:r>
      <w:r w:rsidR="00543405">
        <w:rPr>
          <w:i/>
          <w:lang w:val="en-GB"/>
        </w:rPr>
        <w:t>,</w:t>
      </w:r>
      <w:r w:rsidR="005F7C1E" w:rsidRPr="00184430">
        <w:rPr>
          <w:lang w:val="en-GB"/>
        </w:rPr>
        <w:t xml:space="preserve"> </w:t>
      </w:r>
      <w:r w:rsidR="00543405">
        <w:rPr>
          <w:lang w:val="en-GB"/>
        </w:rPr>
        <w:t xml:space="preserve">Vol. </w:t>
      </w:r>
      <w:r w:rsidR="005F7C1E" w:rsidRPr="00184430">
        <w:rPr>
          <w:lang w:val="en-GB"/>
        </w:rPr>
        <w:t>40</w:t>
      </w:r>
      <w:r w:rsidR="00543405">
        <w:rPr>
          <w:lang w:val="en-GB"/>
        </w:rPr>
        <w:t xml:space="preserve">, No. </w:t>
      </w:r>
      <w:r w:rsidR="005F7C1E" w:rsidRPr="00184430">
        <w:rPr>
          <w:lang w:val="en-GB"/>
        </w:rPr>
        <w:t>4</w:t>
      </w:r>
      <w:r w:rsidR="00543405">
        <w:rPr>
          <w:lang w:val="en-GB"/>
        </w:rPr>
        <w:t>, pp.</w:t>
      </w:r>
      <w:r w:rsidR="005F7C1E" w:rsidRPr="00184430">
        <w:rPr>
          <w:lang w:val="en-GB"/>
        </w:rPr>
        <w:t xml:space="preserve"> 693-721.</w:t>
      </w:r>
    </w:p>
    <w:p w:rsidR="00A87EAF" w:rsidRDefault="008562A0">
      <w:pPr>
        <w:spacing w:line="276" w:lineRule="auto"/>
        <w:ind w:left="567" w:hanging="567"/>
        <w:jc w:val="both"/>
      </w:pPr>
      <w:r>
        <w:t>Fisher, S.</w:t>
      </w:r>
      <w:r w:rsidRPr="00650AF5">
        <w:t xml:space="preserve">, Gould </w:t>
      </w:r>
      <w:r>
        <w:t xml:space="preserve">J. </w:t>
      </w:r>
      <w:r w:rsidRPr="00650AF5">
        <w:t xml:space="preserve">and </w:t>
      </w:r>
      <w:r>
        <w:t>Haughton T. (2007) ‘Slovakia’s Neoliberal Turn’.</w:t>
      </w:r>
      <w:r w:rsidRPr="00650AF5">
        <w:t xml:space="preserve"> </w:t>
      </w:r>
      <w:r w:rsidRPr="00650AF5">
        <w:rPr>
          <w:i/>
        </w:rPr>
        <w:t>Europe-Asia Studies</w:t>
      </w:r>
      <w:r>
        <w:t xml:space="preserve">, Vol. 59, No. </w:t>
      </w:r>
      <w:r w:rsidRPr="00650AF5">
        <w:t>6</w:t>
      </w:r>
      <w:r>
        <w:t>, pp.</w:t>
      </w:r>
      <w:r w:rsidRPr="00650AF5">
        <w:t xml:space="preserve"> 977-998.</w:t>
      </w:r>
    </w:p>
    <w:p w:rsidR="00A87EAF" w:rsidRDefault="008562A0">
      <w:pPr>
        <w:spacing w:line="276" w:lineRule="auto"/>
        <w:ind w:left="567" w:hanging="567"/>
        <w:jc w:val="both"/>
      </w:pPr>
      <w:r>
        <w:t>Győrffy, D. (2009)</w:t>
      </w:r>
      <w:r w:rsidRPr="00926217">
        <w:t xml:space="preserve"> </w:t>
      </w:r>
      <w:r>
        <w:t>‘</w:t>
      </w:r>
      <w:r w:rsidRPr="00926217">
        <w:t xml:space="preserve">Structural Change </w:t>
      </w:r>
      <w:proofErr w:type="gramStart"/>
      <w:r w:rsidRPr="00926217">
        <w:t>Without</w:t>
      </w:r>
      <w:proofErr w:type="gramEnd"/>
      <w:r w:rsidRPr="00926217">
        <w:t xml:space="preserve"> Trust. Reform Cycles in Hungary and Slovakia</w:t>
      </w:r>
      <w:r>
        <w:t>’</w:t>
      </w:r>
      <w:r w:rsidRPr="00926217">
        <w:t xml:space="preserve">. </w:t>
      </w:r>
      <w:proofErr w:type="spellStart"/>
      <w:r w:rsidRPr="00926217">
        <w:rPr>
          <w:i/>
        </w:rPr>
        <w:t>Acta</w:t>
      </w:r>
      <w:proofErr w:type="spellEnd"/>
      <w:r w:rsidRPr="00926217">
        <w:rPr>
          <w:i/>
        </w:rPr>
        <w:t xml:space="preserve"> </w:t>
      </w:r>
      <w:proofErr w:type="spellStart"/>
      <w:r w:rsidRPr="00926217">
        <w:rPr>
          <w:i/>
        </w:rPr>
        <w:t>Oeconomica</w:t>
      </w:r>
      <w:proofErr w:type="spellEnd"/>
      <w:r>
        <w:t xml:space="preserve">, Vol. </w:t>
      </w:r>
      <w:r w:rsidRPr="00926217">
        <w:t>59</w:t>
      </w:r>
      <w:r>
        <w:t>, No. 2, pp.</w:t>
      </w:r>
      <w:r w:rsidRPr="00926217">
        <w:t xml:space="preserve"> 147-177.</w:t>
      </w:r>
    </w:p>
    <w:p w:rsidR="00A87EAF" w:rsidRDefault="00340C79">
      <w:pPr>
        <w:spacing w:line="276" w:lineRule="auto"/>
        <w:ind w:left="567" w:hanging="567"/>
        <w:jc w:val="both"/>
        <w:rPr>
          <w:lang w:val="en-GB"/>
        </w:rPr>
      </w:pPr>
      <w:r w:rsidRPr="00184430">
        <w:rPr>
          <w:lang w:val="en-GB"/>
        </w:rPr>
        <w:t xml:space="preserve">IMF (2014a) </w:t>
      </w:r>
      <w:r w:rsidRPr="00184430">
        <w:rPr>
          <w:i/>
          <w:lang w:val="en-GB"/>
        </w:rPr>
        <w:t>World Economic Outlook. Legacies, Clouds and Uncertainties. October 2014</w:t>
      </w:r>
      <w:r w:rsidRPr="00184430">
        <w:rPr>
          <w:lang w:val="en-GB"/>
        </w:rPr>
        <w:t xml:space="preserve"> </w:t>
      </w:r>
      <w:r w:rsidR="00543405">
        <w:rPr>
          <w:lang w:val="en-GB"/>
        </w:rPr>
        <w:t>(</w:t>
      </w:r>
      <w:r w:rsidRPr="00184430">
        <w:rPr>
          <w:lang w:val="en-GB"/>
        </w:rPr>
        <w:t>Washington DC: IMF</w:t>
      </w:r>
      <w:r w:rsidR="00543405">
        <w:rPr>
          <w:lang w:val="en-GB"/>
        </w:rPr>
        <w:t>).</w:t>
      </w:r>
    </w:p>
    <w:p w:rsidR="00A87EAF" w:rsidRDefault="00340C79">
      <w:pPr>
        <w:spacing w:line="276" w:lineRule="auto"/>
        <w:ind w:left="567" w:hanging="567"/>
        <w:jc w:val="both"/>
        <w:rPr>
          <w:lang w:val="en-GB"/>
        </w:rPr>
      </w:pPr>
      <w:r w:rsidRPr="00184430">
        <w:rPr>
          <w:lang w:val="en-GB"/>
        </w:rPr>
        <w:t xml:space="preserve">IMF (2014b) </w:t>
      </w:r>
      <w:r w:rsidRPr="00017225">
        <w:rPr>
          <w:i/>
          <w:lang w:val="en-GB"/>
        </w:rPr>
        <w:t>World Economic Outlook Database</w:t>
      </w:r>
      <w:r w:rsidRPr="00184430">
        <w:rPr>
          <w:lang w:val="en-GB"/>
        </w:rPr>
        <w:t>.</w:t>
      </w:r>
      <w:r w:rsidR="00482133" w:rsidRPr="00184430">
        <w:rPr>
          <w:lang w:val="en-GB"/>
        </w:rPr>
        <w:t xml:space="preserve"> </w:t>
      </w:r>
      <w:r w:rsidR="00543405">
        <w:rPr>
          <w:lang w:val="en-GB"/>
        </w:rPr>
        <w:t xml:space="preserve">Available at </w:t>
      </w:r>
      <w:hyperlink r:id="rId11" w:history="1">
        <w:r w:rsidR="00482133" w:rsidRPr="00184430">
          <w:rPr>
            <w:rStyle w:val="Hiperhivatkozs"/>
            <w:lang w:val="en-GB"/>
          </w:rPr>
          <w:t>http://www.imf.org/external/pubs/ft/weo/2014/02/weodata/index.aspx</w:t>
        </w:r>
      </w:hyperlink>
    </w:p>
    <w:p w:rsidR="00A87EAF" w:rsidRDefault="003157CD">
      <w:pPr>
        <w:spacing w:line="276" w:lineRule="auto"/>
        <w:ind w:left="567" w:hanging="567"/>
        <w:jc w:val="both"/>
        <w:rPr>
          <w:lang w:val="en-GB"/>
        </w:rPr>
      </w:pPr>
      <w:r w:rsidRPr="00AA6C2B">
        <w:rPr>
          <w:lang w:val="en-GB"/>
        </w:rPr>
        <w:t>IMF</w:t>
      </w:r>
      <w:r>
        <w:rPr>
          <w:lang w:val="en-GB"/>
        </w:rPr>
        <w:t xml:space="preserve"> (</w:t>
      </w:r>
      <w:r w:rsidRPr="00AA6C2B">
        <w:rPr>
          <w:lang w:val="en-GB"/>
        </w:rPr>
        <w:t>2014</w:t>
      </w:r>
      <w:r>
        <w:rPr>
          <w:lang w:val="en-GB"/>
        </w:rPr>
        <w:t>c)</w:t>
      </w:r>
      <w:r w:rsidRPr="00AA6C2B">
        <w:rPr>
          <w:lang w:val="en-GB"/>
        </w:rPr>
        <w:t xml:space="preserve"> </w:t>
      </w:r>
      <w:r w:rsidRPr="008813E9">
        <w:rPr>
          <w:i/>
          <w:lang w:val="en-GB"/>
        </w:rPr>
        <w:t xml:space="preserve">Article IV </w:t>
      </w:r>
      <w:r>
        <w:rPr>
          <w:i/>
          <w:lang w:val="en-GB"/>
        </w:rPr>
        <w:t xml:space="preserve">consultations, </w:t>
      </w:r>
      <w:r w:rsidRPr="008813E9">
        <w:rPr>
          <w:i/>
          <w:lang w:val="en-GB"/>
        </w:rPr>
        <w:t>Hungary</w:t>
      </w:r>
      <w:r>
        <w:rPr>
          <w:lang w:val="en-GB"/>
        </w:rPr>
        <w:t>.</w:t>
      </w:r>
      <w:r w:rsidRPr="00AA6C2B">
        <w:rPr>
          <w:lang w:val="en-GB"/>
        </w:rPr>
        <w:t xml:space="preserve"> No. 14/155.</w:t>
      </w:r>
      <w:r>
        <w:rPr>
          <w:lang w:val="en-GB"/>
        </w:rPr>
        <w:t xml:space="preserve">, </w:t>
      </w:r>
      <w:r w:rsidRPr="008813E9">
        <w:rPr>
          <w:lang w:val="en-GB"/>
        </w:rPr>
        <w:t>Washington D.C.</w:t>
      </w:r>
      <w:r>
        <w:rPr>
          <w:lang w:val="en-GB"/>
        </w:rPr>
        <w:t>: IMF.</w:t>
      </w:r>
    </w:p>
    <w:p w:rsidR="00D3787B" w:rsidRDefault="00D3787B">
      <w:pPr>
        <w:spacing w:line="276" w:lineRule="auto"/>
        <w:ind w:left="567" w:hanging="567"/>
        <w:jc w:val="both"/>
        <w:rPr>
          <w:lang w:val="en-GB"/>
        </w:rPr>
      </w:pPr>
      <w:r>
        <w:t>Jacoby, W. (2014) ‘</w:t>
      </w:r>
      <w:proofErr w:type="gramStart"/>
      <w:r>
        <w:t>The</w:t>
      </w:r>
      <w:proofErr w:type="gramEnd"/>
      <w:r>
        <w:t xml:space="preserve"> EU Factor in Fat Times and in Lean: Did the EU Amplify the Boom and Soften the Bust?’ </w:t>
      </w:r>
      <w:r w:rsidRPr="00D3787B">
        <w:rPr>
          <w:i/>
        </w:rPr>
        <w:t>JCMS</w:t>
      </w:r>
      <w:r>
        <w:t>, Vol. 52, No. 1, pp. 52–70.</w:t>
      </w:r>
    </w:p>
    <w:p w:rsidR="00A87EAF" w:rsidRDefault="004D4D21">
      <w:pPr>
        <w:spacing w:line="276" w:lineRule="auto"/>
        <w:ind w:left="567" w:hanging="567"/>
        <w:jc w:val="both"/>
        <w:rPr>
          <w:lang w:val="en-GB"/>
        </w:rPr>
      </w:pPr>
      <w:r w:rsidRPr="00E12BA6">
        <w:t>Krugman, P</w:t>
      </w:r>
      <w:r>
        <w:t>.</w:t>
      </w:r>
      <w:r w:rsidRPr="00E12BA6">
        <w:t xml:space="preserve"> R.</w:t>
      </w:r>
      <w:r>
        <w:t xml:space="preserve"> (1991)</w:t>
      </w:r>
      <w:r w:rsidRPr="00E12BA6">
        <w:t xml:space="preserve"> </w:t>
      </w:r>
      <w:r w:rsidRPr="00E12BA6">
        <w:rPr>
          <w:i/>
          <w:iCs/>
        </w:rPr>
        <w:t>Geography and Trade</w:t>
      </w:r>
      <w:r w:rsidRPr="00E12BA6">
        <w:t xml:space="preserve">. </w:t>
      </w:r>
      <w:r w:rsidR="00CA6D54">
        <w:t>(</w:t>
      </w:r>
      <w:r>
        <w:t>Cambridge, Mass.: MIT Press</w:t>
      </w:r>
      <w:r w:rsidR="00CA6D54">
        <w:t>)</w:t>
      </w:r>
      <w:r>
        <w:t>.</w:t>
      </w:r>
    </w:p>
    <w:p w:rsidR="00A87EAF" w:rsidRDefault="00CE72A9">
      <w:pPr>
        <w:spacing w:line="276" w:lineRule="auto"/>
        <w:ind w:left="567" w:hanging="567"/>
        <w:jc w:val="both"/>
      </w:pPr>
      <w:r w:rsidRPr="00E12BA6">
        <w:t>Mart</w:t>
      </w:r>
      <w:r>
        <w:t>i</w:t>
      </w:r>
      <w:r w:rsidRPr="00E12BA6">
        <w:t>n, C</w:t>
      </w:r>
      <w:r>
        <w:t>.</w:t>
      </w:r>
      <w:r w:rsidRPr="00E12BA6">
        <w:t xml:space="preserve">, Velázquez, </w:t>
      </w:r>
      <w:r>
        <w:t xml:space="preserve">F. J. </w:t>
      </w:r>
      <w:r w:rsidRPr="00E12BA6">
        <w:t xml:space="preserve">and </w:t>
      </w:r>
      <w:proofErr w:type="spellStart"/>
      <w:r w:rsidRPr="00E12BA6">
        <w:t>Funck</w:t>
      </w:r>
      <w:proofErr w:type="spellEnd"/>
      <w:r>
        <w:t>, B. (2001)</w:t>
      </w:r>
      <w:r w:rsidRPr="00E12BA6">
        <w:t xml:space="preserve"> </w:t>
      </w:r>
      <w:r w:rsidRPr="00E12BA6">
        <w:rPr>
          <w:i/>
          <w:iCs/>
        </w:rPr>
        <w:t>European Integration and Income Convergence: Lessons for Central and Eastern European Countries</w:t>
      </w:r>
      <w:r w:rsidRPr="00E12BA6">
        <w:t xml:space="preserve">. </w:t>
      </w:r>
      <w:r>
        <w:t xml:space="preserve">World Bank Technical Papers, </w:t>
      </w:r>
      <w:r w:rsidRPr="00E12BA6">
        <w:t>Washin</w:t>
      </w:r>
      <w:r>
        <w:t>gton, DC: World Bank.</w:t>
      </w:r>
      <w:r w:rsidR="004D4D21">
        <w:t xml:space="preserve"> </w:t>
      </w:r>
    </w:p>
    <w:p w:rsidR="00A87EAF" w:rsidRDefault="004D4D21">
      <w:pPr>
        <w:spacing w:line="276" w:lineRule="auto"/>
        <w:ind w:left="567" w:hanging="567"/>
        <w:jc w:val="both"/>
        <w:rPr>
          <w:lang w:val="en-GB"/>
        </w:rPr>
      </w:pPr>
      <w:proofErr w:type="spellStart"/>
      <w:r w:rsidRPr="00E12BA6">
        <w:t>Murn</w:t>
      </w:r>
      <w:proofErr w:type="spellEnd"/>
      <w:r w:rsidRPr="00E12BA6">
        <w:t>, A</w:t>
      </w:r>
      <w:r>
        <w:t>.,</w:t>
      </w:r>
      <w:r w:rsidRPr="00E12BA6">
        <w:t xml:space="preserve"> </w:t>
      </w:r>
      <w:proofErr w:type="spellStart"/>
      <w:r w:rsidRPr="00E12BA6">
        <w:t>Zupan</w:t>
      </w:r>
      <w:r>
        <w:t>c</w:t>
      </w:r>
      <w:r w:rsidRPr="00E12BA6">
        <w:t>i</w:t>
      </w:r>
      <w:r>
        <w:t>c</w:t>
      </w:r>
      <w:proofErr w:type="spellEnd"/>
      <w:r w:rsidRPr="00E12BA6">
        <w:t xml:space="preserve">, </w:t>
      </w:r>
      <w:r>
        <w:t xml:space="preserve">R. K., </w:t>
      </w:r>
      <w:proofErr w:type="spellStart"/>
      <w:r w:rsidRPr="00E12BA6">
        <w:t>Smrke</w:t>
      </w:r>
      <w:proofErr w:type="spellEnd"/>
      <w:r w:rsidRPr="00E12BA6">
        <w:t xml:space="preserve">, </w:t>
      </w:r>
      <w:r>
        <w:t xml:space="preserve">F., </w:t>
      </w:r>
      <w:proofErr w:type="spellStart"/>
      <w:r w:rsidRPr="00E12BA6">
        <w:t>Barli</w:t>
      </w:r>
      <w:r>
        <w:t>c</w:t>
      </w:r>
      <w:proofErr w:type="spellEnd"/>
      <w:r w:rsidRPr="00E12BA6">
        <w:t xml:space="preserve">, </w:t>
      </w:r>
      <w:r>
        <w:t xml:space="preserve">N., </w:t>
      </w:r>
      <w:r w:rsidRPr="00E12BA6">
        <w:t xml:space="preserve">and </w:t>
      </w:r>
      <w:proofErr w:type="spellStart"/>
      <w:r w:rsidRPr="00E12BA6">
        <w:t>Horvat</w:t>
      </w:r>
      <w:proofErr w:type="spellEnd"/>
      <w:r>
        <w:t>, E. (2002)</w:t>
      </w:r>
      <w:r w:rsidRPr="00E12BA6">
        <w:t xml:space="preserve"> </w:t>
      </w:r>
      <w:r w:rsidRPr="00E12BA6">
        <w:rPr>
          <w:i/>
          <w:iCs/>
        </w:rPr>
        <w:t>Development Report</w:t>
      </w:r>
      <w:r w:rsidRPr="00E12BA6">
        <w:t>. Ljubljana: UMAR</w:t>
      </w:r>
      <w:r>
        <w:t xml:space="preserve"> (Institute of Macroeconomic Analysis and </w:t>
      </w:r>
      <w:r w:rsidR="005674AB">
        <w:t>D</w:t>
      </w:r>
      <w:r>
        <w:t>evelopment)</w:t>
      </w:r>
      <w:r w:rsidRPr="00E12BA6">
        <w:t>.</w:t>
      </w:r>
    </w:p>
    <w:p w:rsidR="00A87EAF" w:rsidRDefault="00E70FA1">
      <w:pPr>
        <w:spacing w:line="276" w:lineRule="auto"/>
        <w:ind w:left="567" w:hanging="567"/>
        <w:jc w:val="both"/>
        <w:rPr>
          <w:lang w:val="en-GB"/>
        </w:rPr>
      </w:pPr>
      <w:r w:rsidRPr="00184430">
        <w:rPr>
          <w:lang w:val="en-GB"/>
        </w:rPr>
        <w:t xml:space="preserve">OECD (2013) </w:t>
      </w:r>
      <w:r w:rsidRPr="00184430">
        <w:rPr>
          <w:i/>
          <w:lang w:val="en-GB"/>
        </w:rPr>
        <w:t>OECD Economic Outlook</w:t>
      </w:r>
      <w:r w:rsidRPr="00184430">
        <w:rPr>
          <w:lang w:val="en-GB"/>
        </w:rPr>
        <w:t>, Vol</w:t>
      </w:r>
      <w:r w:rsidR="00543405">
        <w:rPr>
          <w:lang w:val="en-GB"/>
        </w:rPr>
        <w:t>.</w:t>
      </w:r>
      <w:r w:rsidRPr="00184430">
        <w:rPr>
          <w:lang w:val="en-GB"/>
        </w:rPr>
        <w:t xml:space="preserve"> 2013, </w:t>
      </w:r>
      <w:r w:rsidR="00543405">
        <w:rPr>
          <w:lang w:val="en-GB"/>
        </w:rPr>
        <w:t>No. 2 (</w:t>
      </w:r>
      <w:r w:rsidRPr="00184430">
        <w:rPr>
          <w:lang w:val="en-GB"/>
        </w:rPr>
        <w:t>Paris: OECD</w:t>
      </w:r>
      <w:r w:rsidR="00543405">
        <w:rPr>
          <w:lang w:val="en-GB"/>
        </w:rPr>
        <w:t>)</w:t>
      </w:r>
      <w:r w:rsidRPr="00184430">
        <w:rPr>
          <w:lang w:val="en-GB"/>
        </w:rPr>
        <w:t>.</w:t>
      </w:r>
    </w:p>
    <w:p w:rsidR="00A87EAF" w:rsidRDefault="005F7C1E">
      <w:pPr>
        <w:spacing w:line="276" w:lineRule="auto"/>
        <w:ind w:left="567" w:hanging="567"/>
        <w:jc w:val="both"/>
        <w:rPr>
          <w:lang w:val="en-GB"/>
        </w:rPr>
      </w:pPr>
      <w:r w:rsidRPr="00184430">
        <w:rPr>
          <w:lang w:val="en-GB"/>
        </w:rPr>
        <w:t xml:space="preserve">Petrakos, G., </w:t>
      </w:r>
      <w:proofErr w:type="spellStart"/>
      <w:r w:rsidRPr="00184430">
        <w:rPr>
          <w:lang w:val="en-GB"/>
        </w:rPr>
        <w:t>Kalliora</w:t>
      </w:r>
      <w:r w:rsidR="00543405">
        <w:rPr>
          <w:lang w:val="en-GB"/>
        </w:rPr>
        <w:t>s</w:t>
      </w:r>
      <w:proofErr w:type="spellEnd"/>
      <w:r w:rsidR="00543405">
        <w:rPr>
          <w:lang w:val="en-GB"/>
        </w:rPr>
        <w:t xml:space="preserve">, D. and </w:t>
      </w:r>
      <w:proofErr w:type="spellStart"/>
      <w:r w:rsidR="00543405">
        <w:rPr>
          <w:lang w:val="en-GB"/>
        </w:rPr>
        <w:t>Anagnostou</w:t>
      </w:r>
      <w:proofErr w:type="spellEnd"/>
      <w:r w:rsidR="00543405">
        <w:rPr>
          <w:lang w:val="en-GB"/>
        </w:rPr>
        <w:t>, A. (2011)</w:t>
      </w:r>
      <w:r w:rsidRPr="00184430">
        <w:rPr>
          <w:lang w:val="en-GB"/>
        </w:rPr>
        <w:t xml:space="preserve"> </w:t>
      </w:r>
      <w:r w:rsidR="00543405">
        <w:rPr>
          <w:lang w:val="en-GB"/>
        </w:rPr>
        <w:t>‘</w:t>
      </w:r>
      <w:r w:rsidRPr="00184430">
        <w:rPr>
          <w:rStyle w:val="cit-title"/>
          <w:lang w:val="en-GB"/>
        </w:rPr>
        <w:t>Regional convergence and growth in Europe: understanding patterns and determinants</w:t>
      </w:r>
      <w:r w:rsidR="00543405">
        <w:rPr>
          <w:rStyle w:val="cit-title"/>
          <w:lang w:val="en-GB"/>
        </w:rPr>
        <w:t>.’</w:t>
      </w:r>
      <w:r w:rsidRPr="00184430">
        <w:rPr>
          <w:rStyle w:val="cit-title"/>
          <w:lang w:val="en-GB"/>
        </w:rPr>
        <w:t xml:space="preserve"> </w:t>
      </w:r>
      <w:r w:rsidRPr="00184430">
        <w:rPr>
          <w:rStyle w:val="site-title"/>
          <w:i/>
          <w:iCs/>
          <w:lang w:val="en-GB"/>
        </w:rPr>
        <w:t>European Urban and Regional Studies</w:t>
      </w:r>
      <w:r w:rsidR="00543405">
        <w:rPr>
          <w:rStyle w:val="site-title"/>
          <w:i/>
          <w:iCs/>
          <w:lang w:val="en-GB"/>
        </w:rPr>
        <w:t xml:space="preserve">, </w:t>
      </w:r>
      <w:r w:rsidR="00543405">
        <w:rPr>
          <w:rStyle w:val="site-title"/>
          <w:iCs/>
          <w:lang w:val="en-GB"/>
        </w:rPr>
        <w:t>Vol.</w:t>
      </w:r>
      <w:r w:rsidRPr="00184430">
        <w:rPr>
          <w:rStyle w:val="site-title"/>
          <w:i/>
          <w:iCs/>
          <w:lang w:val="en-GB"/>
        </w:rPr>
        <w:t xml:space="preserve"> </w:t>
      </w:r>
      <w:r w:rsidRPr="00184430">
        <w:rPr>
          <w:rStyle w:val="cit-vol"/>
          <w:iCs/>
          <w:lang w:val="en-GB"/>
        </w:rPr>
        <w:t>18</w:t>
      </w:r>
      <w:r w:rsidR="00543405">
        <w:rPr>
          <w:rStyle w:val="cit-vol"/>
          <w:iCs/>
          <w:lang w:val="en-GB"/>
        </w:rPr>
        <w:t xml:space="preserve">, No. </w:t>
      </w:r>
      <w:r w:rsidRPr="00184430">
        <w:rPr>
          <w:rStyle w:val="cit-vol"/>
          <w:iCs/>
          <w:lang w:val="en-GB"/>
        </w:rPr>
        <w:t>4</w:t>
      </w:r>
      <w:r w:rsidR="00543405">
        <w:rPr>
          <w:rStyle w:val="cit-vol"/>
          <w:iCs/>
          <w:lang w:val="en-GB"/>
        </w:rPr>
        <w:t>, pp.</w:t>
      </w:r>
      <w:r w:rsidRPr="00184430">
        <w:rPr>
          <w:rStyle w:val="cit-sep"/>
          <w:iCs/>
          <w:lang w:val="en-GB"/>
        </w:rPr>
        <w:t xml:space="preserve"> </w:t>
      </w:r>
      <w:r w:rsidRPr="00184430">
        <w:rPr>
          <w:rStyle w:val="cit-first-page"/>
          <w:iCs/>
          <w:lang w:val="en-GB"/>
        </w:rPr>
        <w:t>375</w:t>
      </w:r>
      <w:r w:rsidRPr="00184430">
        <w:rPr>
          <w:rStyle w:val="cit-sep"/>
          <w:iCs/>
          <w:lang w:val="en-GB"/>
        </w:rPr>
        <w:t>-</w:t>
      </w:r>
      <w:r w:rsidRPr="00184430">
        <w:rPr>
          <w:rStyle w:val="cit-last-page"/>
          <w:iCs/>
          <w:lang w:val="en-GB"/>
        </w:rPr>
        <w:t>91</w:t>
      </w:r>
      <w:r w:rsidR="00543405">
        <w:rPr>
          <w:rStyle w:val="cit-last-page"/>
          <w:iCs/>
          <w:lang w:val="en-GB"/>
        </w:rPr>
        <w:t>.</w:t>
      </w:r>
    </w:p>
    <w:p w:rsidR="00A87EAF" w:rsidRDefault="00543405">
      <w:pPr>
        <w:spacing w:line="276" w:lineRule="auto"/>
        <w:ind w:left="567" w:hanging="567"/>
        <w:jc w:val="both"/>
        <w:rPr>
          <w:lang w:val="en-GB"/>
        </w:rPr>
      </w:pPr>
      <w:r w:rsidRPr="00EE038B">
        <w:t xml:space="preserve">Sapir, A. (2014) ‘Still the Right Agenda for Europe? The Sapir Report Ten Years On.’ </w:t>
      </w:r>
      <w:r w:rsidRPr="00EE038B">
        <w:rPr>
          <w:i/>
        </w:rPr>
        <w:t>JCMS</w:t>
      </w:r>
      <w:r w:rsidRPr="00EE038B">
        <w:t>, Vol. 52, No. S1, pp. 57–73.</w:t>
      </w:r>
    </w:p>
    <w:p w:rsidR="00A87EAF" w:rsidRDefault="00543405">
      <w:pPr>
        <w:spacing w:line="276" w:lineRule="auto"/>
        <w:ind w:left="567" w:hanging="567"/>
        <w:jc w:val="both"/>
        <w:rPr>
          <w:lang w:val="en-GB"/>
        </w:rPr>
      </w:pPr>
      <w:r>
        <w:rPr>
          <w:lang w:val="en-GB"/>
        </w:rPr>
        <w:t>Solow, R. (1956) ‘</w:t>
      </w:r>
      <w:r w:rsidR="003052DB" w:rsidRPr="00184430">
        <w:rPr>
          <w:lang w:val="en-GB"/>
        </w:rPr>
        <w:t>A Contribution to the Theory of Economic Growth</w:t>
      </w:r>
      <w:r>
        <w:rPr>
          <w:lang w:val="en-GB"/>
        </w:rPr>
        <w:t>.’</w:t>
      </w:r>
      <w:r w:rsidR="003052DB" w:rsidRPr="00184430">
        <w:rPr>
          <w:lang w:val="en-GB"/>
        </w:rPr>
        <w:t xml:space="preserve"> </w:t>
      </w:r>
      <w:r w:rsidR="003052DB" w:rsidRPr="00184430">
        <w:rPr>
          <w:i/>
          <w:iCs/>
          <w:lang w:val="en-GB"/>
        </w:rPr>
        <w:t>Quarterly Journal of Economics</w:t>
      </w:r>
      <w:r>
        <w:rPr>
          <w:i/>
          <w:iCs/>
          <w:lang w:val="en-GB"/>
        </w:rPr>
        <w:t>,</w:t>
      </w:r>
      <w:r w:rsidR="003052DB" w:rsidRPr="00184430">
        <w:rPr>
          <w:lang w:val="en-GB"/>
        </w:rPr>
        <w:t xml:space="preserve"> </w:t>
      </w:r>
      <w:r>
        <w:rPr>
          <w:lang w:val="en-GB"/>
        </w:rPr>
        <w:t xml:space="preserve">Vol. </w:t>
      </w:r>
      <w:r w:rsidR="003052DB" w:rsidRPr="00184430">
        <w:rPr>
          <w:lang w:val="en-GB"/>
        </w:rPr>
        <w:t>70</w:t>
      </w:r>
      <w:r>
        <w:rPr>
          <w:lang w:val="en-GB"/>
        </w:rPr>
        <w:t>, pp.</w:t>
      </w:r>
      <w:r w:rsidR="005F7C1E" w:rsidRPr="00184430">
        <w:rPr>
          <w:lang w:val="en-GB"/>
        </w:rPr>
        <w:t xml:space="preserve"> 65-94.</w:t>
      </w:r>
      <w:r w:rsidR="00ED0293">
        <w:rPr>
          <w:lang w:val="en-GB"/>
        </w:rPr>
        <w:t xml:space="preserve"> </w:t>
      </w:r>
    </w:p>
    <w:p w:rsidR="00A87EAF" w:rsidRDefault="00ED0293">
      <w:pPr>
        <w:spacing w:line="276" w:lineRule="auto"/>
        <w:ind w:left="567" w:hanging="567"/>
        <w:jc w:val="both"/>
        <w:rPr>
          <w:lang w:val="en-GB"/>
        </w:rPr>
      </w:pPr>
      <w:r>
        <w:rPr>
          <w:lang w:val="en-GB"/>
        </w:rPr>
        <w:t xml:space="preserve">Staehr, K. (2013) ‘Austerity in the Baltic States during the Global Financial Crisis.’ </w:t>
      </w:r>
      <w:proofErr w:type="spellStart"/>
      <w:r w:rsidR="00ED0D06" w:rsidRPr="00ED0D06">
        <w:rPr>
          <w:i/>
          <w:lang w:val="en-GB"/>
        </w:rPr>
        <w:t>Intereconomics</w:t>
      </w:r>
      <w:proofErr w:type="spellEnd"/>
      <w:r>
        <w:rPr>
          <w:i/>
          <w:lang w:val="en-GB"/>
        </w:rPr>
        <w:t>,</w:t>
      </w:r>
      <w:r>
        <w:rPr>
          <w:lang w:val="en-GB"/>
        </w:rPr>
        <w:t xml:space="preserve"> Vol. 48, No. 5, pp. </w:t>
      </w:r>
    </w:p>
    <w:p w:rsidR="00A87EAF" w:rsidRDefault="00E43E3F">
      <w:pPr>
        <w:spacing w:line="276" w:lineRule="auto"/>
        <w:ind w:left="567" w:hanging="567"/>
        <w:jc w:val="both"/>
        <w:rPr>
          <w:lang w:val="en-GB"/>
        </w:rPr>
      </w:pPr>
      <w:r>
        <w:rPr>
          <w:lang w:val="en-GB"/>
        </w:rPr>
        <w:lastRenderedPageBreak/>
        <w:t xml:space="preserve">Visvizi, A. (2012) The Crisis in Greece and the EU-IMF Rescue Package. </w:t>
      </w:r>
      <w:proofErr w:type="spellStart"/>
      <w:r w:rsidRPr="00C722F7">
        <w:rPr>
          <w:i/>
          <w:lang w:val="en-GB"/>
        </w:rPr>
        <w:t>Acta</w:t>
      </w:r>
      <w:proofErr w:type="spellEnd"/>
      <w:r w:rsidRPr="00C722F7">
        <w:rPr>
          <w:i/>
          <w:lang w:val="en-GB"/>
        </w:rPr>
        <w:t xml:space="preserve"> </w:t>
      </w:r>
      <w:proofErr w:type="spellStart"/>
      <w:r w:rsidRPr="00C722F7">
        <w:rPr>
          <w:i/>
          <w:lang w:val="en-GB"/>
        </w:rPr>
        <w:t>Oeconomica</w:t>
      </w:r>
      <w:proofErr w:type="spellEnd"/>
      <w:r>
        <w:rPr>
          <w:lang w:val="en-GB"/>
        </w:rPr>
        <w:t xml:space="preserve"> Vol. 62, No. 1, pp. 15-39.</w:t>
      </w:r>
    </w:p>
    <w:p w:rsidR="00A87EAF" w:rsidRDefault="00A7679B">
      <w:pPr>
        <w:spacing w:line="276" w:lineRule="auto"/>
        <w:ind w:left="567" w:hanging="567"/>
        <w:jc w:val="both"/>
        <w:rPr>
          <w:lang w:val="en-GB"/>
        </w:rPr>
      </w:pPr>
      <w:r>
        <w:rPr>
          <w:lang w:val="en-GB"/>
        </w:rPr>
        <w:t xml:space="preserve">World Economic Forum (2014) </w:t>
      </w:r>
      <w:proofErr w:type="gramStart"/>
      <w:r w:rsidRPr="00EC13B8">
        <w:rPr>
          <w:i/>
          <w:lang w:val="en-GB"/>
        </w:rPr>
        <w:t>The</w:t>
      </w:r>
      <w:proofErr w:type="gramEnd"/>
      <w:r w:rsidRPr="00EC13B8">
        <w:rPr>
          <w:i/>
          <w:lang w:val="en-GB"/>
        </w:rPr>
        <w:t xml:space="preserve"> Global Competitiveness Report 2014-2015</w:t>
      </w:r>
      <w:r w:rsidR="00543405">
        <w:rPr>
          <w:i/>
          <w:lang w:val="en-GB"/>
        </w:rPr>
        <w:t xml:space="preserve"> </w:t>
      </w:r>
      <w:r w:rsidR="00543405" w:rsidRPr="00543405">
        <w:rPr>
          <w:lang w:val="en-GB"/>
        </w:rPr>
        <w:t>(</w:t>
      </w:r>
      <w:r>
        <w:rPr>
          <w:lang w:val="en-GB"/>
        </w:rPr>
        <w:t>Geneva: World Economic Forum</w:t>
      </w:r>
      <w:r w:rsidR="00543405">
        <w:rPr>
          <w:lang w:val="en-GB"/>
        </w:rPr>
        <w:t>)</w:t>
      </w:r>
      <w:r>
        <w:rPr>
          <w:lang w:val="en-GB"/>
        </w:rPr>
        <w:t>.</w:t>
      </w:r>
    </w:p>
    <w:sectPr w:rsidR="00A87EAF" w:rsidSect="008A3B8B">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FF3" w:rsidRDefault="00213FF3" w:rsidP="00174C94">
      <w:r>
        <w:separator/>
      </w:r>
    </w:p>
  </w:endnote>
  <w:endnote w:type="continuationSeparator" w:id="0">
    <w:p w:rsidR="00213FF3" w:rsidRDefault="00213FF3" w:rsidP="00174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777868"/>
      <w:docPartObj>
        <w:docPartGallery w:val="Page Numbers (Bottom of Page)"/>
        <w:docPartUnique/>
      </w:docPartObj>
    </w:sdtPr>
    <w:sdtEndPr>
      <w:rPr>
        <w:noProof/>
      </w:rPr>
    </w:sdtEndPr>
    <w:sdtContent>
      <w:p w:rsidR="00213FF3" w:rsidRDefault="00213FF3">
        <w:pPr>
          <w:pStyle w:val="llb"/>
          <w:jc w:val="center"/>
        </w:pPr>
        <w:fldSimple w:instr=" PAGE   \* MERGEFORMAT ">
          <w:r w:rsidR="00D07777">
            <w:rPr>
              <w:noProof/>
            </w:rPr>
            <w:t>18</w:t>
          </w:r>
        </w:fldSimple>
      </w:p>
    </w:sdtContent>
  </w:sdt>
  <w:p w:rsidR="00213FF3" w:rsidRDefault="00213FF3">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FF3" w:rsidRDefault="00213FF3" w:rsidP="00174C94">
      <w:r>
        <w:separator/>
      </w:r>
    </w:p>
  </w:footnote>
  <w:footnote w:type="continuationSeparator" w:id="0">
    <w:p w:rsidR="00213FF3" w:rsidRDefault="00213FF3" w:rsidP="00174C94">
      <w:r>
        <w:continuationSeparator/>
      </w:r>
    </w:p>
  </w:footnote>
  <w:footnote w:id="1">
    <w:p w:rsidR="00213FF3" w:rsidRPr="00334AC6" w:rsidRDefault="00213FF3">
      <w:pPr>
        <w:pStyle w:val="Lbjegyzetszveg"/>
        <w:rPr>
          <w:lang w:val="en-GB"/>
        </w:rPr>
      </w:pPr>
      <w:r w:rsidRPr="00ED0D06">
        <w:rPr>
          <w:rStyle w:val="Lbjegyzet-hivatkozs"/>
          <w:lang w:val="en-GB"/>
        </w:rPr>
        <w:footnoteRef/>
      </w:r>
      <w:r w:rsidRPr="00ED0D06">
        <w:rPr>
          <w:lang w:val="en-GB"/>
        </w:rPr>
        <w:t xml:space="preserve"> </w:t>
      </w:r>
      <w:r w:rsidRPr="004A121D">
        <w:rPr>
          <w:lang w:val="en-GB"/>
        </w:rPr>
        <w:t xml:space="preserve">See </w:t>
      </w:r>
      <w:proofErr w:type="spellStart"/>
      <w:r w:rsidRPr="004A121D">
        <w:rPr>
          <w:lang w:val="en-GB"/>
        </w:rPr>
        <w:t>Hodson’s</w:t>
      </w:r>
      <w:proofErr w:type="spellEnd"/>
      <w:r w:rsidRPr="004A121D">
        <w:rPr>
          <w:lang w:val="en-GB"/>
        </w:rPr>
        <w:t xml:space="preserve"> contribution to this volume.</w:t>
      </w:r>
    </w:p>
  </w:footnote>
  <w:footnote w:id="2">
    <w:p w:rsidR="00213FF3" w:rsidRPr="00334AC6" w:rsidRDefault="00213FF3" w:rsidP="006629AD">
      <w:pPr>
        <w:pStyle w:val="Lbjegyzetszveg"/>
        <w:jc w:val="both"/>
        <w:rPr>
          <w:lang w:val="en-GB"/>
        </w:rPr>
      </w:pPr>
      <w:r w:rsidRPr="00334AC6">
        <w:rPr>
          <w:rStyle w:val="Lbjegyzet-hivatkozs"/>
          <w:lang w:val="en-GB"/>
        </w:rPr>
        <w:footnoteRef/>
      </w:r>
      <w:r w:rsidRPr="00334AC6">
        <w:rPr>
          <w:lang w:val="en-GB"/>
        </w:rPr>
        <w:t xml:space="preserve"> The Commission launched an Investment Plan for Europe in November 2014, aimed at substantially raising investment activities across Europe (European Commission 2014b).</w:t>
      </w:r>
    </w:p>
  </w:footnote>
  <w:footnote w:id="3">
    <w:p w:rsidR="00213FF3" w:rsidRPr="004A121D" w:rsidRDefault="00213FF3">
      <w:pPr>
        <w:pStyle w:val="Lbjegyzetszveg"/>
        <w:jc w:val="both"/>
        <w:rPr>
          <w:lang w:val="en-GB"/>
        </w:rPr>
      </w:pPr>
      <w:r w:rsidRPr="004A121D">
        <w:rPr>
          <w:rStyle w:val="Lbjegyzet-hivatkozs"/>
          <w:lang w:val="en-GB"/>
        </w:rPr>
        <w:footnoteRef/>
      </w:r>
      <w:r w:rsidRPr="004A121D">
        <w:rPr>
          <w:lang w:val="en-GB"/>
        </w:rPr>
        <w:t xml:space="preserve"> Some other countries like Ireland, Slovenia and Hungary have also shown large surpluses in recent years, which can be seen as an indication of repressed domestic demand.</w:t>
      </w:r>
    </w:p>
  </w:footnote>
  <w:footnote w:id="4">
    <w:p w:rsidR="00213FF3" w:rsidRPr="004A121D" w:rsidRDefault="00213FF3" w:rsidP="00182126">
      <w:pPr>
        <w:pStyle w:val="Lbjegyzetszveg"/>
        <w:jc w:val="both"/>
        <w:rPr>
          <w:lang w:val="en-GB"/>
        </w:rPr>
      </w:pPr>
      <w:r w:rsidRPr="004A121D">
        <w:rPr>
          <w:rStyle w:val="Lbjegyzet-hivatkozs"/>
          <w:lang w:val="en-GB"/>
        </w:rPr>
        <w:footnoteRef/>
      </w:r>
      <w:r w:rsidRPr="004A121D">
        <w:rPr>
          <w:lang w:val="en-GB"/>
        </w:rPr>
        <w:t xml:space="preserve"> Croatia and Luxembourg have been omitted from the analysis. Luxembourg was an outlier with 216 per cent of EU15 income in 2004. No data was available for Croatia.</w:t>
      </w:r>
    </w:p>
  </w:footnote>
  <w:footnote w:id="5">
    <w:p w:rsidR="00213FF3" w:rsidRPr="00334AC6" w:rsidRDefault="00213FF3" w:rsidP="003D0085">
      <w:pPr>
        <w:pStyle w:val="Lbjegyzetszveg"/>
        <w:jc w:val="both"/>
        <w:rPr>
          <w:lang w:val="en-GB"/>
        </w:rPr>
      </w:pPr>
      <w:r w:rsidRPr="004A121D">
        <w:rPr>
          <w:rStyle w:val="Lbjegyzet-hivatkozs"/>
          <w:lang w:val="en-GB"/>
        </w:rPr>
        <w:footnoteRef/>
      </w:r>
      <w:r w:rsidRPr="004A121D">
        <w:rPr>
          <w:lang w:val="en-GB"/>
        </w:rPr>
        <w:t xml:space="preserve"> It seems that the ECB indeed wants to play a more active role, as it announced an expanded asset purchase programme in January 2015</w:t>
      </w:r>
      <w:r w:rsidRPr="00334AC6">
        <w:rPr>
          <w:lang w:val="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41B4"/>
    <w:multiLevelType w:val="hybridMultilevel"/>
    <w:tmpl w:val="0B7CD9A4"/>
    <w:lvl w:ilvl="0" w:tplc="B158F1F0">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DA3546C"/>
    <w:multiLevelType w:val="hybridMultilevel"/>
    <w:tmpl w:val="08A86962"/>
    <w:lvl w:ilvl="0" w:tplc="7346A978">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A223CB7"/>
    <w:multiLevelType w:val="multilevel"/>
    <w:tmpl w:val="1396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062828"/>
    <w:multiLevelType w:val="hybridMultilevel"/>
    <w:tmpl w:val="94589A8E"/>
    <w:lvl w:ilvl="0" w:tplc="CD107B6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57B5DD3"/>
    <w:multiLevelType w:val="hybridMultilevel"/>
    <w:tmpl w:val="3E8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0A5964"/>
    <w:multiLevelType w:val="hybridMultilevel"/>
    <w:tmpl w:val="239E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tván Benczes">
    <w15:presenceInfo w15:providerId="Windows Live" w15:userId="030c4f7bd056d77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A94073"/>
    <w:rsid w:val="0000764D"/>
    <w:rsid w:val="000105FC"/>
    <w:rsid w:val="00017225"/>
    <w:rsid w:val="00026ECF"/>
    <w:rsid w:val="0004273A"/>
    <w:rsid w:val="00050638"/>
    <w:rsid w:val="00063B53"/>
    <w:rsid w:val="00063EA7"/>
    <w:rsid w:val="000651C3"/>
    <w:rsid w:val="00077AF3"/>
    <w:rsid w:val="00084CD8"/>
    <w:rsid w:val="00085BFC"/>
    <w:rsid w:val="0009035A"/>
    <w:rsid w:val="00091B00"/>
    <w:rsid w:val="000A145E"/>
    <w:rsid w:val="000A2B06"/>
    <w:rsid w:val="000A6854"/>
    <w:rsid w:val="000A73C1"/>
    <w:rsid w:val="000B3D56"/>
    <w:rsid w:val="000B771A"/>
    <w:rsid w:val="000D63D8"/>
    <w:rsid w:val="000D7626"/>
    <w:rsid w:val="000E1F37"/>
    <w:rsid w:val="000E24FB"/>
    <w:rsid w:val="000E2916"/>
    <w:rsid w:val="000F735C"/>
    <w:rsid w:val="0011381C"/>
    <w:rsid w:val="00116DEB"/>
    <w:rsid w:val="0012176C"/>
    <w:rsid w:val="00123B1F"/>
    <w:rsid w:val="001302F2"/>
    <w:rsid w:val="00135402"/>
    <w:rsid w:val="001446DB"/>
    <w:rsid w:val="00155B1B"/>
    <w:rsid w:val="00174C94"/>
    <w:rsid w:val="00182126"/>
    <w:rsid w:val="00184430"/>
    <w:rsid w:val="001929C6"/>
    <w:rsid w:val="00192FFB"/>
    <w:rsid w:val="001974AF"/>
    <w:rsid w:val="001A2B02"/>
    <w:rsid w:val="001C3CA4"/>
    <w:rsid w:val="001C4B53"/>
    <w:rsid w:val="001C4DDC"/>
    <w:rsid w:val="001D2563"/>
    <w:rsid w:val="001D3B9C"/>
    <w:rsid w:val="001D6746"/>
    <w:rsid w:val="001D7F55"/>
    <w:rsid w:val="001E2083"/>
    <w:rsid w:val="001F77CC"/>
    <w:rsid w:val="001F791A"/>
    <w:rsid w:val="00206E67"/>
    <w:rsid w:val="00213E4B"/>
    <w:rsid w:val="00213FF3"/>
    <w:rsid w:val="002152E0"/>
    <w:rsid w:val="00231BCB"/>
    <w:rsid w:val="002365DA"/>
    <w:rsid w:val="00237E6D"/>
    <w:rsid w:val="00251B8E"/>
    <w:rsid w:val="00251D42"/>
    <w:rsid w:val="00256E77"/>
    <w:rsid w:val="0026104A"/>
    <w:rsid w:val="00261515"/>
    <w:rsid w:val="0026281C"/>
    <w:rsid w:val="002637A1"/>
    <w:rsid w:val="00266E2B"/>
    <w:rsid w:val="002713AE"/>
    <w:rsid w:val="00277315"/>
    <w:rsid w:val="0027742B"/>
    <w:rsid w:val="0028396A"/>
    <w:rsid w:val="002909D2"/>
    <w:rsid w:val="00292F2C"/>
    <w:rsid w:val="002A320B"/>
    <w:rsid w:val="002A5CE1"/>
    <w:rsid w:val="002B5186"/>
    <w:rsid w:val="002B6E3F"/>
    <w:rsid w:val="002C0BA8"/>
    <w:rsid w:val="002C6E7D"/>
    <w:rsid w:val="002E398A"/>
    <w:rsid w:val="002F1695"/>
    <w:rsid w:val="002F330D"/>
    <w:rsid w:val="002F3FE7"/>
    <w:rsid w:val="00305176"/>
    <w:rsid w:val="003052DB"/>
    <w:rsid w:val="0030676E"/>
    <w:rsid w:val="003116B7"/>
    <w:rsid w:val="003157CD"/>
    <w:rsid w:val="0031701B"/>
    <w:rsid w:val="00317E9A"/>
    <w:rsid w:val="00322953"/>
    <w:rsid w:val="00322DFB"/>
    <w:rsid w:val="00334AC6"/>
    <w:rsid w:val="00335BB1"/>
    <w:rsid w:val="00340AE6"/>
    <w:rsid w:val="00340C79"/>
    <w:rsid w:val="00341AEB"/>
    <w:rsid w:val="003437FA"/>
    <w:rsid w:val="0034774B"/>
    <w:rsid w:val="003624FC"/>
    <w:rsid w:val="0036268A"/>
    <w:rsid w:val="00362D23"/>
    <w:rsid w:val="00370D54"/>
    <w:rsid w:val="00374EE8"/>
    <w:rsid w:val="003819F0"/>
    <w:rsid w:val="00382260"/>
    <w:rsid w:val="00386CDE"/>
    <w:rsid w:val="003906E2"/>
    <w:rsid w:val="00390F6D"/>
    <w:rsid w:val="003966E4"/>
    <w:rsid w:val="0039778D"/>
    <w:rsid w:val="00397D7D"/>
    <w:rsid w:val="003B4B0D"/>
    <w:rsid w:val="003B649D"/>
    <w:rsid w:val="003C2C7E"/>
    <w:rsid w:val="003D0085"/>
    <w:rsid w:val="003D108C"/>
    <w:rsid w:val="003D5714"/>
    <w:rsid w:val="003D6357"/>
    <w:rsid w:val="003E055C"/>
    <w:rsid w:val="003E07C6"/>
    <w:rsid w:val="003E1F0C"/>
    <w:rsid w:val="003F376F"/>
    <w:rsid w:val="004006CD"/>
    <w:rsid w:val="00405602"/>
    <w:rsid w:val="00410687"/>
    <w:rsid w:val="00423B9F"/>
    <w:rsid w:val="00427248"/>
    <w:rsid w:val="00430952"/>
    <w:rsid w:val="004311BD"/>
    <w:rsid w:val="00446B17"/>
    <w:rsid w:val="00453785"/>
    <w:rsid w:val="004570B7"/>
    <w:rsid w:val="004639E7"/>
    <w:rsid w:val="00465D70"/>
    <w:rsid w:val="00470BC8"/>
    <w:rsid w:val="00482133"/>
    <w:rsid w:val="00483876"/>
    <w:rsid w:val="0048786E"/>
    <w:rsid w:val="004914BE"/>
    <w:rsid w:val="00492DE2"/>
    <w:rsid w:val="0049438B"/>
    <w:rsid w:val="004A121D"/>
    <w:rsid w:val="004A159A"/>
    <w:rsid w:val="004B1F0E"/>
    <w:rsid w:val="004B4798"/>
    <w:rsid w:val="004C15DE"/>
    <w:rsid w:val="004C77A2"/>
    <w:rsid w:val="004D4D21"/>
    <w:rsid w:val="004D63C3"/>
    <w:rsid w:val="004E42B8"/>
    <w:rsid w:val="004F63C7"/>
    <w:rsid w:val="004F6876"/>
    <w:rsid w:val="004F7F9E"/>
    <w:rsid w:val="0050675E"/>
    <w:rsid w:val="005076A0"/>
    <w:rsid w:val="00507C87"/>
    <w:rsid w:val="005161D1"/>
    <w:rsid w:val="005174E0"/>
    <w:rsid w:val="0052277E"/>
    <w:rsid w:val="0053105B"/>
    <w:rsid w:val="00535BB8"/>
    <w:rsid w:val="00542059"/>
    <w:rsid w:val="005431BA"/>
    <w:rsid w:val="00543405"/>
    <w:rsid w:val="00554217"/>
    <w:rsid w:val="0055429F"/>
    <w:rsid w:val="0055548F"/>
    <w:rsid w:val="00557B6E"/>
    <w:rsid w:val="005674AB"/>
    <w:rsid w:val="00571DBB"/>
    <w:rsid w:val="005733F5"/>
    <w:rsid w:val="00580104"/>
    <w:rsid w:val="005832C7"/>
    <w:rsid w:val="00584138"/>
    <w:rsid w:val="0058575E"/>
    <w:rsid w:val="00586EFC"/>
    <w:rsid w:val="005A0BC7"/>
    <w:rsid w:val="005A2A41"/>
    <w:rsid w:val="005A7DA1"/>
    <w:rsid w:val="005B53F6"/>
    <w:rsid w:val="005C30A4"/>
    <w:rsid w:val="005C3A8D"/>
    <w:rsid w:val="005C41BB"/>
    <w:rsid w:val="005C5DBE"/>
    <w:rsid w:val="005C65C3"/>
    <w:rsid w:val="005D22C8"/>
    <w:rsid w:val="005E2578"/>
    <w:rsid w:val="005E393A"/>
    <w:rsid w:val="005E59AA"/>
    <w:rsid w:val="005F0D7C"/>
    <w:rsid w:val="005F5B7C"/>
    <w:rsid w:val="005F6811"/>
    <w:rsid w:val="005F7C1E"/>
    <w:rsid w:val="00616A6C"/>
    <w:rsid w:val="00617EF2"/>
    <w:rsid w:val="00623DCA"/>
    <w:rsid w:val="006261E1"/>
    <w:rsid w:val="00632205"/>
    <w:rsid w:val="00635EC9"/>
    <w:rsid w:val="006363EA"/>
    <w:rsid w:val="00636842"/>
    <w:rsid w:val="00641E52"/>
    <w:rsid w:val="006629AD"/>
    <w:rsid w:val="00670689"/>
    <w:rsid w:val="0068520E"/>
    <w:rsid w:val="00690FC3"/>
    <w:rsid w:val="00692373"/>
    <w:rsid w:val="006B58B7"/>
    <w:rsid w:val="006B6003"/>
    <w:rsid w:val="006B7CC3"/>
    <w:rsid w:val="006C235C"/>
    <w:rsid w:val="006C7670"/>
    <w:rsid w:val="006D5330"/>
    <w:rsid w:val="006E7734"/>
    <w:rsid w:val="00704393"/>
    <w:rsid w:val="00707D5E"/>
    <w:rsid w:val="00707E6A"/>
    <w:rsid w:val="007159B8"/>
    <w:rsid w:val="00720655"/>
    <w:rsid w:val="007207D8"/>
    <w:rsid w:val="00722FE4"/>
    <w:rsid w:val="00725882"/>
    <w:rsid w:val="00730843"/>
    <w:rsid w:val="0073202F"/>
    <w:rsid w:val="0073318C"/>
    <w:rsid w:val="00733D08"/>
    <w:rsid w:val="007353DD"/>
    <w:rsid w:val="00754A5A"/>
    <w:rsid w:val="00757BF9"/>
    <w:rsid w:val="0076226C"/>
    <w:rsid w:val="00762B46"/>
    <w:rsid w:val="00767FE4"/>
    <w:rsid w:val="00770B62"/>
    <w:rsid w:val="007715AB"/>
    <w:rsid w:val="00771F98"/>
    <w:rsid w:val="00773615"/>
    <w:rsid w:val="00783E15"/>
    <w:rsid w:val="00787BA1"/>
    <w:rsid w:val="00792334"/>
    <w:rsid w:val="007A0020"/>
    <w:rsid w:val="007A1147"/>
    <w:rsid w:val="007A34D9"/>
    <w:rsid w:val="007A6D9E"/>
    <w:rsid w:val="007A71F8"/>
    <w:rsid w:val="007B256C"/>
    <w:rsid w:val="007B3BEC"/>
    <w:rsid w:val="007B3D01"/>
    <w:rsid w:val="007B5028"/>
    <w:rsid w:val="007B7B23"/>
    <w:rsid w:val="007C0396"/>
    <w:rsid w:val="007C0D75"/>
    <w:rsid w:val="007C164A"/>
    <w:rsid w:val="007C455C"/>
    <w:rsid w:val="007C4F88"/>
    <w:rsid w:val="007C5E00"/>
    <w:rsid w:val="007D5C35"/>
    <w:rsid w:val="007E1C71"/>
    <w:rsid w:val="007E483F"/>
    <w:rsid w:val="007E6F69"/>
    <w:rsid w:val="007F0781"/>
    <w:rsid w:val="00805E8D"/>
    <w:rsid w:val="00806310"/>
    <w:rsid w:val="00807CE2"/>
    <w:rsid w:val="0081300B"/>
    <w:rsid w:val="0081442F"/>
    <w:rsid w:val="008203B6"/>
    <w:rsid w:val="0082279D"/>
    <w:rsid w:val="0083391A"/>
    <w:rsid w:val="00842F84"/>
    <w:rsid w:val="00854BB7"/>
    <w:rsid w:val="0085556F"/>
    <w:rsid w:val="0085611E"/>
    <w:rsid w:val="008562A0"/>
    <w:rsid w:val="008614CA"/>
    <w:rsid w:val="00874453"/>
    <w:rsid w:val="00876244"/>
    <w:rsid w:val="00876A82"/>
    <w:rsid w:val="00880EF8"/>
    <w:rsid w:val="00883421"/>
    <w:rsid w:val="00887040"/>
    <w:rsid w:val="00887E0B"/>
    <w:rsid w:val="00893A9D"/>
    <w:rsid w:val="0089599B"/>
    <w:rsid w:val="008A3B8B"/>
    <w:rsid w:val="008A43F7"/>
    <w:rsid w:val="008A58CC"/>
    <w:rsid w:val="008C3802"/>
    <w:rsid w:val="008C45CE"/>
    <w:rsid w:val="008C4AB2"/>
    <w:rsid w:val="008C5A4F"/>
    <w:rsid w:val="008C6284"/>
    <w:rsid w:val="008D0C70"/>
    <w:rsid w:val="008D10E0"/>
    <w:rsid w:val="008D5937"/>
    <w:rsid w:val="008D5C10"/>
    <w:rsid w:val="008F0177"/>
    <w:rsid w:val="008F0AF1"/>
    <w:rsid w:val="008F0D71"/>
    <w:rsid w:val="008F13C2"/>
    <w:rsid w:val="008F2BF7"/>
    <w:rsid w:val="008F2D95"/>
    <w:rsid w:val="00900B78"/>
    <w:rsid w:val="00901E5E"/>
    <w:rsid w:val="0090223D"/>
    <w:rsid w:val="00911E73"/>
    <w:rsid w:val="00915715"/>
    <w:rsid w:val="0091790E"/>
    <w:rsid w:val="009221C5"/>
    <w:rsid w:val="009329A9"/>
    <w:rsid w:val="0094279E"/>
    <w:rsid w:val="009442C4"/>
    <w:rsid w:val="00945250"/>
    <w:rsid w:val="00951D89"/>
    <w:rsid w:val="00953E2B"/>
    <w:rsid w:val="00960DDD"/>
    <w:rsid w:val="0096401A"/>
    <w:rsid w:val="00991F1A"/>
    <w:rsid w:val="009921B7"/>
    <w:rsid w:val="00993A06"/>
    <w:rsid w:val="009950CF"/>
    <w:rsid w:val="00997FF5"/>
    <w:rsid w:val="009A618C"/>
    <w:rsid w:val="009A7B47"/>
    <w:rsid w:val="009C1915"/>
    <w:rsid w:val="009C66F5"/>
    <w:rsid w:val="009D22D7"/>
    <w:rsid w:val="009D4993"/>
    <w:rsid w:val="009F2647"/>
    <w:rsid w:val="009F303D"/>
    <w:rsid w:val="00A002BE"/>
    <w:rsid w:val="00A03E08"/>
    <w:rsid w:val="00A05AB0"/>
    <w:rsid w:val="00A064C2"/>
    <w:rsid w:val="00A06EF9"/>
    <w:rsid w:val="00A10FDE"/>
    <w:rsid w:val="00A1566F"/>
    <w:rsid w:val="00A25732"/>
    <w:rsid w:val="00A375B9"/>
    <w:rsid w:val="00A57ADA"/>
    <w:rsid w:val="00A60E9B"/>
    <w:rsid w:val="00A617E7"/>
    <w:rsid w:val="00A61D40"/>
    <w:rsid w:val="00A64B86"/>
    <w:rsid w:val="00A72C16"/>
    <w:rsid w:val="00A7679B"/>
    <w:rsid w:val="00A76FA2"/>
    <w:rsid w:val="00A80C9C"/>
    <w:rsid w:val="00A81FC3"/>
    <w:rsid w:val="00A87EAF"/>
    <w:rsid w:val="00A92274"/>
    <w:rsid w:val="00A93E5D"/>
    <w:rsid w:val="00A94073"/>
    <w:rsid w:val="00A94198"/>
    <w:rsid w:val="00AD4203"/>
    <w:rsid w:val="00AD42FE"/>
    <w:rsid w:val="00AD57C3"/>
    <w:rsid w:val="00AD6A67"/>
    <w:rsid w:val="00AE5F15"/>
    <w:rsid w:val="00AE78B9"/>
    <w:rsid w:val="00AF7500"/>
    <w:rsid w:val="00B028F6"/>
    <w:rsid w:val="00B032BF"/>
    <w:rsid w:val="00B053F9"/>
    <w:rsid w:val="00B10D22"/>
    <w:rsid w:val="00B12AB6"/>
    <w:rsid w:val="00B23640"/>
    <w:rsid w:val="00B31E3F"/>
    <w:rsid w:val="00B34485"/>
    <w:rsid w:val="00B35B79"/>
    <w:rsid w:val="00B56BB5"/>
    <w:rsid w:val="00B6202A"/>
    <w:rsid w:val="00B671F4"/>
    <w:rsid w:val="00B71176"/>
    <w:rsid w:val="00B7220E"/>
    <w:rsid w:val="00B72E3F"/>
    <w:rsid w:val="00B84029"/>
    <w:rsid w:val="00B91419"/>
    <w:rsid w:val="00B978E7"/>
    <w:rsid w:val="00BA170B"/>
    <w:rsid w:val="00BB2710"/>
    <w:rsid w:val="00BB344E"/>
    <w:rsid w:val="00BC7993"/>
    <w:rsid w:val="00BD1347"/>
    <w:rsid w:val="00BD1DA3"/>
    <w:rsid w:val="00BD4392"/>
    <w:rsid w:val="00BD4A39"/>
    <w:rsid w:val="00BD7FB1"/>
    <w:rsid w:val="00BE0890"/>
    <w:rsid w:val="00BE4E2C"/>
    <w:rsid w:val="00BE5064"/>
    <w:rsid w:val="00C07742"/>
    <w:rsid w:val="00C112D8"/>
    <w:rsid w:val="00C14526"/>
    <w:rsid w:val="00C222FA"/>
    <w:rsid w:val="00C23364"/>
    <w:rsid w:val="00C3013B"/>
    <w:rsid w:val="00C320BF"/>
    <w:rsid w:val="00C3286A"/>
    <w:rsid w:val="00C376A3"/>
    <w:rsid w:val="00C47CB4"/>
    <w:rsid w:val="00C47EBB"/>
    <w:rsid w:val="00C50611"/>
    <w:rsid w:val="00C537CF"/>
    <w:rsid w:val="00C55CA5"/>
    <w:rsid w:val="00C55E99"/>
    <w:rsid w:val="00C61F10"/>
    <w:rsid w:val="00C6274B"/>
    <w:rsid w:val="00C630CD"/>
    <w:rsid w:val="00C65F9C"/>
    <w:rsid w:val="00C66EB9"/>
    <w:rsid w:val="00C722F7"/>
    <w:rsid w:val="00C77BEA"/>
    <w:rsid w:val="00C8328B"/>
    <w:rsid w:val="00CA036B"/>
    <w:rsid w:val="00CA0E55"/>
    <w:rsid w:val="00CA6C39"/>
    <w:rsid w:val="00CA6D54"/>
    <w:rsid w:val="00CB24B0"/>
    <w:rsid w:val="00CB3007"/>
    <w:rsid w:val="00CC0940"/>
    <w:rsid w:val="00CC0CFF"/>
    <w:rsid w:val="00CC7D6C"/>
    <w:rsid w:val="00CD463A"/>
    <w:rsid w:val="00CD62C9"/>
    <w:rsid w:val="00CE21E2"/>
    <w:rsid w:val="00CE72A9"/>
    <w:rsid w:val="00CF1B72"/>
    <w:rsid w:val="00D02539"/>
    <w:rsid w:val="00D02DAB"/>
    <w:rsid w:val="00D032AD"/>
    <w:rsid w:val="00D03D28"/>
    <w:rsid w:val="00D07777"/>
    <w:rsid w:val="00D07907"/>
    <w:rsid w:val="00D10E96"/>
    <w:rsid w:val="00D15858"/>
    <w:rsid w:val="00D16C89"/>
    <w:rsid w:val="00D2482F"/>
    <w:rsid w:val="00D256A5"/>
    <w:rsid w:val="00D2701E"/>
    <w:rsid w:val="00D31E25"/>
    <w:rsid w:val="00D33581"/>
    <w:rsid w:val="00D3787B"/>
    <w:rsid w:val="00D50CD0"/>
    <w:rsid w:val="00D64A99"/>
    <w:rsid w:val="00D71908"/>
    <w:rsid w:val="00D71BBA"/>
    <w:rsid w:val="00D75514"/>
    <w:rsid w:val="00D77F0E"/>
    <w:rsid w:val="00D906CC"/>
    <w:rsid w:val="00D9129A"/>
    <w:rsid w:val="00D94325"/>
    <w:rsid w:val="00D97650"/>
    <w:rsid w:val="00D97C27"/>
    <w:rsid w:val="00DA399A"/>
    <w:rsid w:val="00DA7568"/>
    <w:rsid w:val="00DB0B20"/>
    <w:rsid w:val="00DC517A"/>
    <w:rsid w:val="00DC5BB3"/>
    <w:rsid w:val="00DD0127"/>
    <w:rsid w:val="00DD436E"/>
    <w:rsid w:val="00DD5E4A"/>
    <w:rsid w:val="00DE0F88"/>
    <w:rsid w:val="00DF37D3"/>
    <w:rsid w:val="00DF5622"/>
    <w:rsid w:val="00DF6815"/>
    <w:rsid w:val="00DF6D70"/>
    <w:rsid w:val="00E0001F"/>
    <w:rsid w:val="00E05BD0"/>
    <w:rsid w:val="00E10685"/>
    <w:rsid w:val="00E12C5C"/>
    <w:rsid w:val="00E149A8"/>
    <w:rsid w:val="00E23570"/>
    <w:rsid w:val="00E26771"/>
    <w:rsid w:val="00E30956"/>
    <w:rsid w:val="00E43E3F"/>
    <w:rsid w:val="00E459A0"/>
    <w:rsid w:val="00E46F6B"/>
    <w:rsid w:val="00E5023C"/>
    <w:rsid w:val="00E6234D"/>
    <w:rsid w:val="00E63F1A"/>
    <w:rsid w:val="00E70FA1"/>
    <w:rsid w:val="00E712A3"/>
    <w:rsid w:val="00E72AD7"/>
    <w:rsid w:val="00E7487D"/>
    <w:rsid w:val="00E77D88"/>
    <w:rsid w:val="00E94BB6"/>
    <w:rsid w:val="00EA33DE"/>
    <w:rsid w:val="00EC13B8"/>
    <w:rsid w:val="00ED0293"/>
    <w:rsid w:val="00ED0D06"/>
    <w:rsid w:val="00ED73A4"/>
    <w:rsid w:val="00EE038B"/>
    <w:rsid w:val="00EE2D43"/>
    <w:rsid w:val="00EE545C"/>
    <w:rsid w:val="00EF48CF"/>
    <w:rsid w:val="00EF7F76"/>
    <w:rsid w:val="00F04606"/>
    <w:rsid w:val="00F07CF8"/>
    <w:rsid w:val="00F07EED"/>
    <w:rsid w:val="00F27DC4"/>
    <w:rsid w:val="00F325C9"/>
    <w:rsid w:val="00F32F6C"/>
    <w:rsid w:val="00F371C9"/>
    <w:rsid w:val="00F42BA8"/>
    <w:rsid w:val="00F47690"/>
    <w:rsid w:val="00F4785E"/>
    <w:rsid w:val="00F65AEA"/>
    <w:rsid w:val="00F672C8"/>
    <w:rsid w:val="00F718A1"/>
    <w:rsid w:val="00F734E6"/>
    <w:rsid w:val="00F759AE"/>
    <w:rsid w:val="00F759EE"/>
    <w:rsid w:val="00F859EF"/>
    <w:rsid w:val="00F86E13"/>
    <w:rsid w:val="00F91F9C"/>
    <w:rsid w:val="00FA04A7"/>
    <w:rsid w:val="00FA1850"/>
    <w:rsid w:val="00FB3C7D"/>
    <w:rsid w:val="00FD0BE9"/>
    <w:rsid w:val="00FD1D46"/>
    <w:rsid w:val="00FF70D5"/>
    <w:rsid w:val="00FF78CD"/>
  </w:rsids>
  <m:mathPr>
    <m:mathFont m:val="Cambria Math"/>
    <m:brkBin m:val="before"/>
    <m:brkBinSub m:val="--"/>
    <m:smallFrac m:val="off"/>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70689"/>
    <w:rPr>
      <w:sz w:val="24"/>
      <w:szCs w:val="24"/>
      <w:lang w:val="en-US" w:eastAsia="en-US"/>
    </w:rPr>
  </w:style>
  <w:style w:type="paragraph" w:styleId="Cmsor1">
    <w:name w:val="heading 1"/>
    <w:basedOn w:val="Norml"/>
    <w:link w:val="Cmsor1Char"/>
    <w:uiPriority w:val="9"/>
    <w:qFormat/>
    <w:rsid w:val="00123B1F"/>
    <w:pPr>
      <w:spacing w:before="100" w:beforeAutospacing="1" w:after="100" w:afterAutospacing="1"/>
      <w:outlineLvl w:val="0"/>
    </w:pPr>
    <w:rPr>
      <w:b/>
      <w:bCs/>
      <w:kern w:val="36"/>
      <w:sz w:val="48"/>
      <w:szCs w:val="48"/>
      <w:lang w:val="hu-HU" w:eastAsia="hu-HU"/>
    </w:rPr>
  </w:style>
  <w:style w:type="paragraph" w:styleId="Cmsor2">
    <w:name w:val="heading 2"/>
    <w:basedOn w:val="Norml"/>
    <w:next w:val="Norml"/>
    <w:link w:val="Cmsor2Char"/>
    <w:unhideWhenUsed/>
    <w:qFormat/>
    <w:locked/>
    <w:rsid w:val="00123B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Kpalrs">
    <w:name w:val="caption"/>
    <w:basedOn w:val="Norml"/>
    <w:next w:val="Norml"/>
    <w:unhideWhenUsed/>
    <w:qFormat/>
    <w:rsid w:val="00670689"/>
    <w:rPr>
      <w:b/>
      <w:bCs/>
      <w:sz w:val="20"/>
      <w:szCs w:val="20"/>
    </w:rPr>
  </w:style>
  <w:style w:type="paragraph" w:customStyle="1" w:styleId="Cmsor11">
    <w:name w:val="Címsor 11"/>
    <w:qFormat/>
    <w:rsid w:val="00670689"/>
    <w:pPr>
      <w:keepNext/>
      <w:outlineLvl w:val="0"/>
    </w:pPr>
    <w:rPr>
      <w:rFonts w:ascii="Helvetica" w:eastAsia="Arial Unicode MS" w:hAnsi="Helvetica"/>
      <w:b/>
      <w:color w:val="000000"/>
      <w:sz w:val="36"/>
    </w:rPr>
  </w:style>
  <w:style w:type="paragraph" w:styleId="Listaszerbekezds">
    <w:name w:val="List Paragraph"/>
    <w:basedOn w:val="Norml"/>
    <w:uiPriority w:val="34"/>
    <w:qFormat/>
    <w:rsid w:val="00F371C9"/>
    <w:pPr>
      <w:ind w:left="720"/>
      <w:contextualSpacing/>
    </w:pPr>
  </w:style>
  <w:style w:type="table" w:styleId="Rcsostblzat">
    <w:name w:val="Table Grid"/>
    <w:basedOn w:val="Normltblzat"/>
    <w:uiPriority w:val="59"/>
    <w:rsid w:val="00DE0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basedOn w:val="Bekezdsalapbettpusa"/>
    <w:uiPriority w:val="99"/>
    <w:unhideWhenUsed/>
    <w:rsid w:val="00482133"/>
    <w:rPr>
      <w:color w:val="0000FF" w:themeColor="hyperlink"/>
      <w:u w:val="single"/>
    </w:rPr>
  </w:style>
  <w:style w:type="paragraph" w:styleId="lfej">
    <w:name w:val="header"/>
    <w:basedOn w:val="Norml"/>
    <w:link w:val="lfejChar"/>
    <w:uiPriority w:val="99"/>
    <w:unhideWhenUsed/>
    <w:rsid w:val="00174C94"/>
    <w:pPr>
      <w:tabs>
        <w:tab w:val="center" w:pos="4513"/>
        <w:tab w:val="right" w:pos="9026"/>
      </w:tabs>
    </w:pPr>
  </w:style>
  <w:style w:type="character" w:customStyle="1" w:styleId="lfejChar">
    <w:name w:val="Élőfej Char"/>
    <w:basedOn w:val="Bekezdsalapbettpusa"/>
    <w:link w:val="lfej"/>
    <w:uiPriority w:val="99"/>
    <w:rsid w:val="00174C94"/>
    <w:rPr>
      <w:sz w:val="24"/>
      <w:szCs w:val="24"/>
      <w:lang w:val="en-US" w:eastAsia="en-US"/>
    </w:rPr>
  </w:style>
  <w:style w:type="paragraph" w:styleId="llb">
    <w:name w:val="footer"/>
    <w:basedOn w:val="Norml"/>
    <w:link w:val="llbChar"/>
    <w:uiPriority w:val="99"/>
    <w:unhideWhenUsed/>
    <w:rsid w:val="00174C94"/>
    <w:pPr>
      <w:tabs>
        <w:tab w:val="center" w:pos="4513"/>
        <w:tab w:val="right" w:pos="9026"/>
      </w:tabs>
    </w:pPr>
  </w:style>
  <w:style w:type="character" w:customStyle="1" w:styleId="llbChar">
    <w:name w:val="Élőláb Char"/>
    <w:basedOn w:val="Bekezdsalapbettpusa"/>
    <w:link w:val="llb"/>
    <w:uiPriority w:val="99"/>
    <w:rsid w:val="00174C94"/>
    <w:rPr>
      <w:sz w:val="24"/>
      <w:szCs w:val="24"/>
      <w:lang w:val="en-US" w:eastAsia="en-US"/>
    </w:rPr>
  </w:style>
  <w:style w:type="character" w:styleId="Jegyzethivatkozs">
    <w:name w:val="annotation reference"/>
    <w:basedOn w:val="Bekezdsalapbettpusa"/>
    <w:uiPriority w:val="99"/>
    <w:semiHidden/>
    <w:unhideWhenUsed/>
    <w:rsid w:val="00FA1850"/>
    <w:rPr>
      <w:sz w:val="16"/>
      <w:szCs w:val="16"/>
    </w:rPr>
  </w:style>
  <w:style w:type="paragraph" w:styleId="Jegyzetszveg">
    <w:name w:val="annotation text"/>
    <w:basedOn w:val="Norml"/>
    <w:link w:val="JegyzetszvegChar"/>
    <w:uiPriority w:val="99"/>
    <w:semiHidden/>
    <w:unhideWhenUsed/>
    <w:rsid w:val="00FA1850"/>
    <w:rPr>
      <w:sz w:val="20"/>
      <w:szCs w:val="20"/>
    </w:rPr>
  </w:style>
  <w:style w:type="character" w:customStyle="1" w:styleId="JegyzetszvegChar">
    <w:name w:val="Jegyzetszöveg Char"/>
    <w:basedOn w:val="Bekezdsalapbettpusa"/>
    <w:link w:val="Jegyzetszveg"/>
    <w:uiPriority w:val="99"/>
    <w:semiHidden/>
    <w:rsid w:val="00FA1850"/>
    <w:rPr>
      <w:lang w:val="en-US" w:eastAsia="en-US"/>
    </w:rPr>
  </w:style>
  <w:style w:type="paragraph" w:styleId="Megjegyzstrgya">
    <w:name w:val="annotation subject"/>
    <w:basedOn w:val="Jegyzetszveg"/>
    <w:next w:val="Jegyzetszveg"/>
    <w:link w:val="MegjegyzstrgyaChar"/>
    <w:uiPriority w:val="99"/>
    <w:semiHidden/>
    <w:unhideWhenUsed/>
    <w:rsid w:val="00FA1850"/>
    <w:rPr>
      <w:b/>
      <w:bCs/>
    </w:rPr>
  </w:style>
  <w:style w:type="character" w:customStyle="1" w:styleId="MegjegyzstrgyaChar">
    <w:name w:val="Megjegyzés tárgya Char"/>
    <w:basedOn w:val="JegyzetszvegChar"/>
    <w:link w:val="Megjegyzstrgya"/>
    <w:uiPriority w:val="99"/>
    <w:semiHidden/>
    <w:rsid w:val="00FA1850"/>
    <w:rPr>
      <w:b/>
      <w:bCs/>
      <w:lang w:val="en-US" w:eastAsia="en-US"/>
    </w:rPr>
  </w:style>
  <w:style w:type="paragraph" w:styleId="Buborkszveg">
    <w:name w:val="Balloon Text"/>
    <w:basedOn w:val="Norml"/>
    <w:link w:val="BuborkszvegChar"/>
    <w:uiPriority w:val="99"/>
    <w:semiHidden/>
    <w:unhideWhenUsed/>
    <w:rsid w:val="00FA1850"/>
    <w:rPr>
      <w:rFonts w:ascii="Tahoma" w:hAnsi="Tahoma" w:cs="Tahoma"/>
      <w:sz w:val="16"/>
      <w:szCs w:val="16"/>
    </w:rPr>
  </w:style>
  <w:style w:type="character" w:customStyle="1" w:styleId="BuborkszvegChar">
    <w:name w:val="Buborékszöveg Char"/>
    <w:basedOn w:val="Bekezdsalapbettpusa"/>
    <w:link w:val="Buborkszveg"/>
    <w:uiPriority w:val="99"/>
    <w:semiHidden/>
    <w:rsid w:val="00FA1850"/>
    <w:rPr>
      <w:rFonts w:ascii="Tahoma" w:hAnsi="Tahoma" w:cs="Tahoma"/>
      <w:sz w:val="16"/>
      <w:szCs w:val="16"/>
      <w:lang w:val="en-US" w:eastAsia="en-US"/>
    </w:rPr>
  </w:style>
  <w:style w:type="paragraph" w:styleId="Lbjegyzetszveg">
    <w:name w:val="footnote text"/>
    <w:basedOn w:val="Norml"/>
    <w:link w:val="LbjegyzetszvegChar"/>
    <w:uiPriority w:val="99"/>
    <w:unhideWhenUsed/>
    <w:rsid w:val="00382260"/>
    <w:rPr>
      <w:sz w:val="20"/>
      <w:szCs w:val="20"/>
    </w:rPr>
  </w:style>
  <w:style w:type="character" w:customStyle="1" w:styleId="LbjegyzetszvegChar">
    <w:name w:val="Lábjegyzetszöveg Char"/>
    <w:basedOn w:val="Bekezdsalapbettpusa"/>
    <w:link w:val="Lbjegyzetszveg"/>
    <w:uiPriority w:val="99"/>
    <w:rsid w:val="00382260"/>
    <w:rPr>
      <w:lang w:val="en-US" w:eastAsia="en-US"/>
    </w:rPr>
  </w:style>
  <w:style w:type="character" w:styleId="Lbjegyzet-hivatkozs">
    <w:name w:val="footnote reference"/>
    <w:basedOn w:val="Bekezdsalapbettpusa"/>
    <w:uiPriority w:val="99"/>
    <w:semiHidden/>
    <w:unhideWhenUsed/>
    <w:rsid w:val="00382260"/>
    <w:rPr>
      <w:vertAlign w:val="superscript"/>
    </w:rPr>
  </w:style>
  <w:style w:type="paragraph" w:styleId="Szvegtrzs2">
    <w:name w:val="Body Text 2"/>
    <w:basedOn w:val="Norml"/>
    <w:link w:val="Szvegtrzs2Char"/>
    <w:rsid w:val="00997FF5"/>
    <w:pPr>
      <w:jc w:val="both"/>
    </w:pPr>
    <w:rPr>
      <w:lang w:val="hu-HU" w:eastAsia="hu-HU"/>
    </w:rPr>
  </w:style>
  <w:style w:type="character" w:customStyle="1" w:styleId="Szvegtrzs2Char">
    <w:name w:val="Szövegtörzs 2 Char"/>
    <w:basedOn w:val="Bekezdsalapbettpusa"/>
    <w:link w:val="Szvegtrzs2"/>
    <w:rsid w:val="00997FF5"/>
    <w:rPr>
      <w:sz w:val="24"/>
      <w:szCs w:val="24"/>
    </w:rPr>
  </w:style>
  <w:style w:type="paragraph" w:customStyle="1" w:styleId="biblio">
    <w:name w:val="biblio"/>
    <w:basedOn w:val="Norml"/>
    <w:rsid w:val="00997FF5"/>
    <w:pPr>
      <w:tabs>
        <w:tab w:val="left" w:pos="284"/>
        <w:tab w:val="left" w:pos="567"/>
        <w:tab w:val="left" w:pos="851"/>
        <w:tab w:val="left" w:pos="1134"/>
      </w:tabs>
    </w:pPr>
    <w:rPr>
      <w:iCs/>
      <w:szCs w:val="20"/>
      <w:lang w:val="en-GB" w:eastAsia="hu-HU"/>
    </w:rPr>
  </w:style>
  <w:style w:type="character" w:styleId="Kiemels">
    <w:name w:val="Emphasis"/>
    <w:basedOn w:val="Bekezdsalapbettpusa"/>
    <w:uiPriority w:val="20"/>
    <w:qFormat/>
    <w:locked/>
    <w:rsid w:val="003052DB"/>
    <w:rPr>
      <w:i/>
      <w:iCs/>
    </w:rPr>
  </w:style>
  <w:style w:type="character" w:styleId="Mrltotthiperhivatkozs">
    <w:name w:val="FollowedHyperlink"/>
    <w:basedOn w:val="Bekezdsalapbettpusa"/>
    <w:uiPriority w:val="99"/>
    <w:semiHidden/>
    <w:unhideWhenUsed/>
    <w:rsid w:val="00CA036B"/>
    <w:rPr>
      <w:color w:val="800080" w:themeColor="followedHyperlink"/>
      <w:u w:val="single"/>
    </w:rPr>
  </w:style>
  <w:style w:type="character" w:customStyle="1" w:styleId="Cmsor1Char">
    <w:name w:val="Címsor 1 Char"/>
    <w:basedOn w:val="Bekezdsalapbettpusa"/>
    <w:link w:val="Cmsor1"/>
    <w:uiPriority w:val="9"/>
    <w:rsid w:val="00123B1F"/>
    <w:rPr>
      <w:b/>
      <w:bCs/>
      <w:kern w:val="36"/>
      <w:sz w:val="48"/>
      <w:szCs w:val="48"/>
    </w:rPr>
  </w:style>
  <w:style w:type="character" w:customStyle="1" w:styleId="Cmsor2Char">
    <w:name w:val="Címsor 2 Char"/>
    <w:basedOn w:val="Bekezdsalapbettpusa"/>
    <w:link w:val="Cmsor2"/>
    <w:rsid w:val="00123B1F"/>
    <w:rPr>
      <w:rFonts w:asciiTheme="majorHAnsi" w:eastAsiaTheme="majorEastAsia" w:hAnsiTheme="majorHAnsi" w:cstheme="majorBidi"/>
      <w:b/>
      <w:bCs/>
      <w:color w:val="4F81BD" w:themeColor="accent1"/>
      <w:sz w:val="26"/>
      <w:szCs w:val="26"/>
      <w:lang w:val="en-US" w:eastAsia="en-US"/>
    </w:rPr>
  </w:style>
  <w:style w:type="character" w:customStyle="1" w:styleId="cit-title">
    <w:name w:val="cit-title"/>
    <w:basedOn w:val="Bekezdsalapbettpusa"/>
    <w:rsid w:val="005F7C1E"/>
  </w:style>
  <w:style w:type="character" w:customStyle="1" w:styleId="site-title">
    <w:name w:val="site-title"/>
    <w:basedOn w:val="Bekezdsalapbettpusa"/>
    <w:rsid w:val="005F7C1E"/>
  </w:style>
  <w:style w:type="character" w:customStyle="1" w:styleId="cit-print-date">
    <w:name w:val="cit-print-date"/>
    <w:basedOn w:val="Bekezdsalapbettpusa"/>
    <w:rsid w:val="005F7C1E"/>
  </w:style>
  <w:style w:type="character" w:customStyle="1" w:styleId="cit-vol">
    <w:name w:val="cit-vol"/>
    <w:basedOn w:val="Bekezdsalapbettpusa"/>
    <w:rsid w:val="005F7C1E"/>
  </w:style>
  <w:style w:type="character" w:customStyle="1" w:styleId="cit-sep">
    <w:name w:val="cit-sep"/>
    <w:basedOn w:val="Bekezdsalapbettpusa"/>
    <w:rsid w:val="005F7C1E"/>
  </w:style>
  <w:style w:type="character" w:customStyle="1" w:styleId="cit-first-page">
    <w:name w:val="cit-first-page"/>
    <w:basedOn w:val="Bekezdsalapbettpusa"/>
    <w:rsid w:val="005F7C1E"/>
  </w:style>
  <w:style w:type="character" w:customStyle="1" w:styleId="cit-last-page">
    <w:name w:val="cit-last-page"/>
    <w:basedOn w:val="Bekezdsalapbettpusa"/>
    <w:rsid w:val="005F7C1E"/>
  </w:style>
  <w:style w:type="character" w:customStyle="1" w:styleId="maintitle">
    <w:name w:val="maintitle"/>
    <w:basedOn w:val="Bekezdsalapbettpusa"/>
    <w:rsid w:val="005F7C1E"/>
  </w:style>
  <w:style w:type="character" w:styleId="HTML-idzet">
    <w:name w:val="HTML Cite"/>
    <w:basedOn w:val="Bekezdsalapbettpusa"/>
    <w:uiPriority w:val="99"/>
    <w:semiHidden/>
    <w:unhideWhenUsed/>
    <w:rsid w:val="005F7C1E"/>
    <w:rPr>
      <w:i/>
      <w:iCs/>
    </w:rPr>
  </w:style>
  <w:style w:type="character" w:customStyle="1" w:styleId="slug-pub-date">
    <w:name w:val="slug-pub-date"/>
    <w:basedOn w:val="Bekezdsalapbettpusa"/>
    <w:rsid w:val="005F7C1E"/>
  </w:style>
  <w:style w:type="character" w:customStyle="1" w:styleId="slug-vol">
    <w:name w:val="slug-vol"/>
    <w:basedOn w:val="Bekezdsalapbettpusa"/>
    <w:rsid w:val="005F7C1E"/>
  </w:style>
  <w:style w:type="character" w:customStyle="1" w:styleId="slug-issue">
    <w:name w:val="slug-issue"/>
    <w:basedOn w:val="Bekezdsalapbettpusa"/>
    <w:rsid w:val="005F7C1E"/>
  </w:style>
  <w:style w:type="character" w:customStyle="1" w:styleId="slug-pages">
    <w:name w:val="slug-pages"/>
    <w:basedOn w:val="Bekezdsalapbettpusa"/>
    <w:rsid w:val="005F7C1E"/>
  </w:style>
  <w:style w:type="character" w:customStyle="1" w:styleId="js-wrap">
    <w:name w:val="js-wrap"/>
    <w:basedOn w:val="Bekezdsalapbettpusa"/>
    <w:rsid w:val="00A7679B"/>
  </w:style>
  <w:style w:type="paragraph" w:styleId="NormlWeb">
    <w:name w:val="Normal (Web)"/>
    <w:basedOn w:val="Norml"/>
    <w:uiPriority w:val="99"/>
    <w:semiHidden/>
    <w:unhideWhenUsed/>
    <w:rsid w:val="00953E2B"/>
    <w:pPr>
      <w:spacing w:before="100" w:beforeAutospacing="1" w:after="100" w:afterAutospacing="1"/>
    </w:pPr>
    <w:rPr>
      <w:lang w:val="hu-HU" w:eastAsia="hu-HU"/>
    </w:rPr>
  </w:style>
  <w:style w:type="character" w:customStyle="1" w:styleId="current-selection">
    <w:name w:val="current-selection"/>
    <w:basedOn w:val="Bekezdsalapbettpusa"/>
    <w:rsid w:val="002713AE"/>
  </w:style>
  <w:style w:type="character" w:customStyle="1" w:styleId="a">
    <w:name w:val="_"/>
    <w:basedOn w:val="Bekezdsalapbettpusa"/>
    <w:rsid w:val="002713AE"/>
  </w:style>
</w:styles>
</file>

<file path=word/webSettings.xml><?xml version="1.0" encoding="utf-8"?>
<w:webSettings xmlns:r="http://schemas.openxmlformats.org/officeDocument/2006/relationships" xmlns:w="http://schemas.openxmlformats.org/wordprocessingml/2006/main">
  <w:divs>
    <w:div w:id="42489643">
      <w:bodyDiv w:val="1"/>
      <w:marLeft w:val="0"/>
      <w:marRight w:val="0"/>
      <w:marTop w:val="0"/>
      <w:marBottom w:val="0"/>
      <w:divBdr>
        <w:top w:val="none" w:sz="0" w:space="0" w:color="auto"/>
        <w:left w:val="none" w:sz="0" w:space="0" w:color="auto"/>
        <w:bottom w:val="none" w:sz="0" w:space="0" w:color="auto"/>
        <w:right w:val="none" w:sz="0" w:space="0" w:color="auto"/>
      </w:divBdr>
    </w:div>
    <w:div w:id="110827326">
      <w:bodyDiv w:val="1"/>
      <w:marLeft w:val="0"/>
      <w:marRight w:val="0"/>
      <w:marTop w:val="0"/>
      <w:marBottom w:val="0"/>
      <w:divBdr>
        <w:top w:val="none" w:sz="0" w:space="0" w:color="auto"/>
        <w:left w:val="none" w:sz="0" w:space="0" w:color="auto"/>
        <w:bottom w:val="none" w:sz="0" w:space="0" w:color="auto"/>
        <w:right w:val="none" w:sz="0" w:space="0" w:color="auto"/>
      </w:divBdr>
    </w:div>
    <w:div w:id="151878033">
      <w:bodyDiv w:val="1"/>
      <w:marLeft w:val="0"/>
      <w:marRight w:val="0"/>
      <w:marTop w:val="0"/>
      <w:marBottom w:val="0"/>
      <w:divBdr>
        <w:top w:val="none" w:sz="0" w:space="0" w:color="auto"/>
        <w:left w:val="none" w:sz="0" w:space="0" w:color="auto"/>
        <w:bottom w:val="none" w:sz="0" w:space="0" w:color="auto"/>
        <w:right w:val="none" w:sz="0" w:space="0" w:color="auto"/>
      </w:divBdr>
      <w:divsChild>
        <w:div w:id="563222529">
          <w:marLeft w:val="0"/>
          <w:marRight w:val="0"/>
          <w:marTop w:val="0"/>
          <w:marBottom w:val="0"/>
          <w:divBdr>
            <w:top w:val="none" w:sz="0" w:space="0" w:color="auto"/>
            <w:left w:val="none" w:sz="0" w:space="0" w:color="auto"/>
            <w:bottom w:val="none" w:sz="0" w:space="0" w:color="auto"/>
            <w:right w:val="none" w:sz="0" w:space="0" w:color="auto"/>
          </w:divBdr>
        </w:div>
        <w:div w:id="1914196661">
          <w:marLeft w:val="0"/>
          <w:marRight w:val="0"/>
          <w:marTop w:val="0"/>
          <w:marBottom w:val="0"/>
          <w:divBdr>
            <w:top w:val="none" w:sz="0" w:space="0" w:color="auto"/>
            <w:left w:val="none" w:sz="0" w:space="0" w:color="auto"/>
            <w:bottom w:val="none" w:sz="0" w:space="0" w:color="auto"/>
            <w:right w:val="none" w:sz="0" w:space="0" w:color="auto"/>
          </w:divBdr>
        </w:div>
        <w:div w:id="319583761">
          <w:marLeft w:val="0"/>
          <w:marRight w:val="0"/>
          <w:marTop w:val="0"/>
          <w:marBottom w:val="0"/>
          <w:divBdr>
            <w:top w:val="none" w:sz="0" w:space="0" w:color="auto"/>
            <w:left w:val="none" w:sz="0" w:space="0" w:color="auto"/>
            <w:bottom w:val="none" w:sz="0" w:space="0" w:color="auto"/>
            <w:right w:val="none" w:sz="0" w:space="0" w:color="auto"/>
          </w:divBdr>
        </w:div>
      </w:divsChild>
    </w:div>
    <w:div w:id="322662973">
      <w:bodyDiv w:val="1"/>
      <w:marLeft w:val="0"/>
      <w:marRight w:val="0"/>
      <w:marTop w:val="0"/>
      <w:marBottom w:val="0"/>
      <w:divBdr>
        <w:top w:val="none" w:sz="0" w:space="0" w:color="auto"/>
        <w:left w:val="none" w:sz="0" w:space="0" w:color="auto"/>
        <w:bottom w:val="none" w:sz="0" w:space="0" w:color="auto"/>
        <w:right w:val="none" w:sz="0" w:space="0" w:color="auto"/>
      </w:divBdr>
      <w:divsChild>
        <w:div w:id="522018917">
          <w:marLeft w:val="0"/>
          <w:marRight w:val="0"/>
          <w:marTop w:val="0"/>
          <w:marBottom w:val="0"/>
          <w:divBdr>
            <w:top w:val="none" w:sz="0" w:space="0" w:color="auto"/>
            <w:left w:val="none" w:sz="0" w:space="0" w:color="auto"/>
            <w:bottom w:val="none" w:sz="0" w:space="0" w:color="auto"/>
            <w:right w:val="none" w:sz="0" w:space="0" w:color="auto"/>
          </w:divBdr>
        </w:div>
        <w:div w:id="915557909">
          <w:marLeft w:val="0"/>
          <w:marRight w:val="0"/>
          <w:marTop w:val="0"/>
          <w:marBottom w:val="0"/>
          <w:divBdr>
            <w:top w:val="none" w:sz="0" w:space="0" w:color="auto"/>
            <w:left w:val="none" w:sz="0" w:space="0" w:color="auto"/>
            <w:bottom w:val="none" w:sz="0" w:space="0" w:color="auto"/>
            <w:right w:val="none" w:sz="0" w:space="0" w:color="auto"/>
          </w:divBdr>
        </w:div>
      </w:divsChild>
    </w:div>
    <w:div w:id="345403259">
      <w:bodyDiv w:val="1"/>
      <w:marLeft w:val="0"/>
      <w:marRight w:val="0"/>
      <w:marTop w:val="0"/>
      <w:marBottom w:val="0"/>
      <w:divBdr>
        <w:top w:val="none" w:sz="0" w:space="0" w:color="auto"/>
        <w:left w:val="none" w:sz="0" w:space="0" w:color="auto"/>
        <w:bottom w:val="none" w:sz="0" w:space="0" w:color="auto"/>
        <w:right w:val="none" w:sz="0" w:space="0" w:color="auto"/>
      </w:divBdr>
    </w:div>
    <w:div w:id="348991405">
      <w:bodyDiv w:val="1"/>
      <w:marLeft w:val="0"/>
      <w:marRight w:val="0"/>
      <w:marTop w:val="0"/>
      <w:marBottom w:val="0"/>
      <w:divBdr>
        <w:top w:val="none" w:sz="0" w:space="0" w:color="auto"/>
        <w:left w:val="none" w:sz="0" w:space="0" w:color="auto"/>
        <w:bottom w:val="none" w:sz="0" w:space="0" w:color="auto"/>
        <w:right w:val="none" w:sz="0" w:space="0" w:color="auto"/>
      </w:divBdr>
    </w:div>
    <w:div w:id="459030865">
      <w:bodyDiv w:val="1"/>
      <w:marLeft w:val="0"/>
      <w:marRight w:val="0"/>
      <w:marTop w:val="0"/>
      <w:marBottom w:val="0"/>
      <w:divBdr>
        <w:top w:val="none" w:sz="0" w:space="0" w:color="auto"/>
        <w:left w:val="none" w:sz="0" w:space="0" w:color="auto"/>
        <w:bottom w:val="none" w:sz="0" w:space="0" w:color="auto"/>
        <w:right w:val="none" w:sz="0" w:space="0" w:color="auto"/>
      </w:divBdr>
    </w:div>
    <w:div w:id="498930187">
      <w:bodyDiv w:val="1"/>
      <w:marLeft w:val="0"/>
      <w:marRight w:val="0"/>
      <w:marTop w:val="0"/>
      <w:marBottom w:val="0"/>
      <w:divBdr>
        <w:top w:val="none" w:sz="0" w:space="0" w:color="auto"/>
        <w:left w:val="none" w:sz="0" w:space="0" w:color="auto"/>
        <w:bottom w:val="none" w:sz="0" w:space="0" w:color="auto"/>
        <w:right w:val="none" w:sz="0" w:space="0" w:color="auto"/>
      </w:divBdr>
    </w:div>
    <w:div w:id="513153306">
      <w:bodyDiv w:val="1"/>
      <w:marLeft w:val="0"/>
      <w:marRight w:val="0"/>
      <w:marTop w:val="0"/>
      <w:marBottom w:val="0"/>
      <w:divBdr>
        <w:top w:val="none" w:sz="0" w:space="0" w:color="auto"/>
        <w:left w:val="none" w:sz="0" w:space="0" w:color="auto"/>
        <w:bottom w:val="none" w:sz="0" w:space="0" w:color="auto"/>
        <w:right w:val="none" w:sz="0" w:space="0" w:color="auto"/>
      </w:divBdr>
    </w:div>
    <w:div w:id="545991058">
      <w:bodyDiv w:val="1"/>
      <w:marLeft w:val="0"/>
      <w:marRight w:val="0"/>
      <w:marTop w:val="0"/>
      <w:marBottom w:val="0"/>
      <w:divBdr>
        <w:top w:val="none" w:sz="0" w:space="0" w:color="auto"/>
        <w:left w:val="none" w:sz="0" w:space="0" w:color="auto"/>
        <w:bottom w:val="none" w:sz="0" w:space="0" w:color="auto"/>
        <w:right w:val="none" w:sz="0" w:space="0" w:color="auto"/>
      </w:divBdr>
    </w:div>
    <w:div w:id="625039631">
      <w:bodyDiv w:val="1"/>
      <w:marLeft w:val="0"/>
      <w:marRight w:val="0"/>
      <w:marTop w:val="0"/>
      <w:marBottom w:val="0"/>
      <w:divBdr>
        <w:top w:val="none" w:sz="0" w:space="0" w:color="auto"/>
        <w:left w:val="none" w:sz="0" w:space="0" w:color="auto"/>
        <w:bottom w:val="none" w:sz="0" w:space="0" w:color="auto"/>
        <w:right w:val="none" w:sz="0" w:space="0" w:color="auto"/>
      </w:divBdr>
    </w:div>
    <w:div w:id="679549048">
      <w:bodyDiv w:val="1"/>
      <w:marLeft w:val="0"/>
      <w:marRight w:val="0"/>
      <w:marTop w:val="0"/>
      <w:marBottom w:val="0"/>
      <w:divBdr>
        <w:top w:val="none" w:sz="0" w:space="0" w:color="auto"/>
        <w:left w:val="none" w:sz="0" w:space="0" w:color="auto"/>
        <w:bottom w:val="none" w:sz="0" w:space="0" w:color="auto"/>
        <w:right w:val="none" w:sz="0" w:space="0" w:color="auto"/>
      </w:divBdr>
    </w:div>
    <w:div w:id="684408394">
      <w:bodyDiv w:val="1"/>
      <w:marLeft w:val="0"/>
      <w:marRight w:val="0"/>
      <w:marTop w:val="0"/>
      <w:marBottom w:val="0"/>
      <w:divBdr>
        <w:top w:val="none" w:sz="0" w:space="0" w:color="auto"/>
        <w:left w:val="none" w:sz="0" w:space="0" w:color="auto"/>
        <w:bottom w:val="none" w:sz="0" w:space="0" w:color="auto"/>
        <w:right w:val="none" w:sz="0" w:space="0" w:color="auto"/>
      </w:divBdr>
    </w:div>
    <w:div w:id="689375657">
      <w:bodyDiv w:val="1"/>
      <w:marLeft w:val="0"/>
      <w:marRight w:val="0"/>
      <w:marTop w:val="0"/>
      <w:marBottom w:val="0"/>
      <w:divBdr>
        <w:top w:val="none" w:sz="0" w:space="0" w:color="auto"/>
        <w:left w:val="none" w:sz="0" w:space="0" w:color="auto"/>
        <w:bottom w:val="none" w:sz="0" w:space="0" w:color="auto"/>
        <w:right w:val="none" w:sz="0" w:space="0" w:color="auto"/>
      </w:divBdr>
    </w:div>
    <w:div w:id="733967352">
      <w:bodyDiv w:val="1"/>
      <w:marLeft w:val="0"/>
      <w:marRight w:val="0"/>
      <w:marTop w:val="0"/>
      <w:marBottom w:val="0"/>
      <w:divBdr>
        <w:top w:val="none" w:sz="0" w:space="0" w:color="auto"/>
        <w:left w:val="none" w:sz="0" w:space="0" w:color="auto"/>
        <w:bottom w:val="none" w:sz="0" w:space="0" w:color="auto"/>
        <w:right w:val="none" w:sz="0" w:space="0" w:color="auto"/>
      </w:divBdr>
      <w:divsChild>
        <w:div w:id="973102755">
          <w:marLeft w:val="0"/>
          <w:marRight w:val="0"/>
          <w:marTop w:val="0"/>
          <w:marBottom w:val="0"/>
          <w:divBdr>
            <w:top w:val="none" w:sz="0" w:space="0" w:color="auto"/>
            <w:left w:val="none" w:sz="0" w:space="0" w:color="auto"/>
            <w:bottom w:val="none" w:sz="0" w:space="0" w:color="auto"/>
            <w:right w:val="none" w:sz="0" w:space="0" w:color="auto"/>
          </w:divBdr>
          <w:divsChild>
            <w:div w:id="50467913">
              <w:marLeft w:val="0"/>
              <w:marRight w:val="0"/>
              <w:marTop w:val="0"/>
              <w:marBottom w:val="0"/>
              <w:divBdr>
                <w:top w:val="none" w:sz="0" w:space="0" w:color="auto"/>
                <w:left w:val="none" w:sz="0" w:space="0" w:color="auto"/>
                <w:bottom w:val="none" w:sz="0" w:space="0" w:color="auto"/>
                <w:right w:val="none" w:sz="0" w:space="0" w:color="auto"/>
              </w:divBdr>
            </w:div>
            <w:div w:id="559176318">
              <w:marLeft w:val="0"/>
              <w:marRight w:val="0"/>
              <w:marTop w:val="0"/>
              <w:marBottom w:val="0"/>
              <w:divBdr>
                <w:top w:val="none" w:sz="0" w:space="0" w:color="auto"/>
                <w:left w:val="none" w:sz="0" w:space="0" w:color="auto"/>
                <w:bottom w:val="none" w:sz="0" w:space="0" w:color="auto"/>
                <w:right w:val="none" w:sz="0" w:space="0" w:color="auto"/>
              </w:divBdr>
              <w:divsChild>
                <w:div w:id="93476154">
                  <w:marLeft w:val="0"/>
                  <w:marRight w:val="0"/>
                  <w:marTop w:val="0"/>
                  <w:marBottom w:val="0"/>
                  <w:divBdr>
                    <w:top w:val="none" w:sz="0" w:space="0" w:color="auto"/>
                    <w:left w:val="none" w:sz="0" w:space="0" w:color="auto"/>
                    <w:bottom w:val="none" w:sz="0" w:space="0" w:color="auto"/>
                    <w:right w:val="none" w:sz="0" w:space="0" w:color="auto"/>
                  </w:divBdr>
                  <w:divsChild>
                    <w:div w:id="1267075857">
                      <w:marLeft w:val="0"/>
                      <w:marRight w:val="0"/>
                      <w:marTop w:val="0"/>
                      <w:marBottom w:val="0"/>
                      <w:divBdr>
                        <w:top w:val="none" w:sz="0" w:space="0" w:color="auto"/>
                        <w:left w:val="none" w:sz="0" w:space="0" w:color="auto"/>
                        <w:bottom w:val="none" w:sz="0" w:space="0" w:color="auto"/>
                        <w:right w:val="none" w:sz="0" w:space="0" w:color="auto"/>
                      </w:divBdr>
                      <w:divsChild>
                        <w:div w:id="11821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51218">
      <w:bodyDiv w:val="1"/>
      <w:marLeft w:val="0"/>
      <w:marRight w:val="0"/>
      <w:marTop w:val="0"/>
      <w:marBottom w:val="0"/>
      <w:divBdr>
        <w:top w:val="none" w:sz="0" w:space="0" w:color="auto"/>
        <w:left w:val="none" w:sz="0" w:space="0" w:color="auto"/>
        <w:bottom w:val="none" w:sz="0" w:space="0" w:color="auto"/>
        <w:right w:val="none" w:sz="0" w:space="0" w:color="auto"/>
      </w:divBdr>
    </w:div>
    <w:div w:id="814638918">
      <w:bodyDiv w:val="1"/>
      <w:marLeft w:val="0"/>
      <w:marRight w:val="0"/>
      <w:marTop w:val="0"/>
      <w:marBottom w:val="0"/>
      <w:divBdr>
        <w:top w:val="none" w:sz="0" w:space="0" w:color="auto"/>
        <w:left w:val="none" w:sz="0" w:space="0" w:color="auto"/>
        <w:bottom w:val="none" w:sz="0" w:space="0" w:color="auto"/>
        <w:right w:val="none" w:sz="0" w:space="0" w:color="auto"/>
      </w:divBdr>
    </w:div>
    <w:div w:id="1084909779">
      <w:bodyDiv w:val="1"/>
      <w:marLeft w:val="0"/>
      <w:marRight w:val="0"/>
      <w:marTop w:val="0"/>
      <w:marBottom w:val="0"/>
      <w:divBdr>
        <w:top w:val="none" w:sz="0" w:space="0" w:color="auto"/>
        <w:left w:val="none" w:sz="0" w:space="0" w:color="auto"/>
        <w:bottom w:val="none" w:sz="0" w:space="0" w:color="auto"/>
        <w:right w:val="none" w:sz="0" w:space="0" w:color="auto"/>
      </w:divBdr>
      <w:divsChild>
        <w:div w:id="1804616108">
          <w:marLeft w:val="0"/>
          <w:marRight w:val="0"/>
          <w:marTop w:val="0"/>
          <w:marBottom w:val="0"/>
          <w:divBdr>
            <w:top w:val="none" w:sz="0" w:space="0" w:color="auto"/>
            <w:left w:val="none" w:sz="0" w:space="0" w:color="auto"/>
            <w:bottom w:val="none" w:sz="0" w:space="0" w:color="auto"/>
            <w:right w:val="none" w:sz="0" w:space="0" w:color="auto"/>
          </w:divBdr>
        </w:div>
        <w:div w:id="139277618">
          <w:marLeft w:val="0"/>
          <w:marRight w:val="0"/>
          <w:marTop w:val="0"/>
          <w:marBottom w:val="0"/>
          <w:divBdr>
            <w:top w:val="none" w:sz="0" w:space="0" w:color="auto"/>
            <w:left w:val="none" w:sz="0" w:space="0" w:color="auto"/>
            <w:bottom w:val="none" w:sz="0" w:space="0" w:color="auto"/>
            <w:right w:val="none" w:sz="0" w:space="0" w:color="auto"/>
          </w:divBdr>
        </w:div>
        <w:div w:id="1323924700">
          <w:marLeft w:val="0"/>
          <w:marRight w:val="0"/>
          <w:marTop w:val="0"/>
          <w:marBottom w:val="0"/>
          <w:divBdr>
            <w:top w:val="none" w:sz="0" w:space="0" w:color="auto"/>
            <w:left w:val="none" w:sz="0" w:space="0" w:color="auto"/>
            <w:bottom w:val="none" w:sz="0" w:space="0" w:color="auto"/>
            <w:right w:val="none" w:sz="0" w:space="0" w:color="auto"/>
          </w:divBdr>
        </w:div>
      </w:divsChild>
    </w:div>
    <w:div w:id="1259674576">
      <w:bodyDiv w:val="1"/>
      <w:marLeft w:val="0"/>
      <w:marRight w:val="0"/>
      <w:marTop w:val="0"/>
      <w:marBottom w:val="0"/>
      <w:divBdr>
        <w:top w:val="none" w:sz="0" w:space="0" w:color="auto"/>
        <w:left w:val="none" w:sz="0" w:space="0" w:color="auto"/>
        <w:bottom w:val="none" w:sz="0" w:space="0" w:color="auto"/>
        <w:right w:val="none" w:sz="0" w:space="0" w:color="auto"/>
      </w:divBdr>
    </w:div>
    <w:div w:id="1312059375">
      <w:bodyDiv w:val="1"/>
      <w:marLeft w:val="0"/>
      <w:marRight w:val="0"/>
      <w:marTop w:val="0"/>
      <w:marBottom w:val="0"/>
      <w:divBdr>
        <w:top w:val="none" w:sz="0" w:space="0" w:color="auto"/>
        <w:left w:val="none" w:sz="0" w:space="0" w:color="auto"/>
        <w:bottom w:val="none" w:sz="0" w:space="0" w:color="auto"/>
        <w:right w:val="none" w:sz="0" w:space="0" w:color="auto"/>
      </w:divBdr>
    </w:div>
    <w:div w:id="1504248885">
      <w:bodyDiv w:val="1"/>
      <w:marLeft w:val="0"/>
      <w:marRight w:val="0"/>
      <w:marTop w:val="0"/>
      <w:marBottom w:val="0"/>
      <w:divBdr>
        <w:top w:val="none" w:sz="0" w:space="0" w:color="auto"/>
        <w:left w:val="none" w:sz="0" w:space="0" w:color="auto"/>
        <w:bottom w:val="none" w:sz="0" w:space="0" w:color="auto"/>
        <w:right w:val="none" w:sz="0" w:space="0" w:color="auto"/>
      </w:divBdr>
    </w:div>
    <w:div w:id="1513563876">
      <w:bodyDiv w:val="1"/>
      <w:marLeft w:val="0"/>
      <w:marRight w:val="0"/>
      <w:marTop w:val="0"/>
      <w:marBottom w:val="0"/>
      <w:divBdr>
        <w:top w:val="none" w:sz="0" w:space="0" w:color="auto"/>
        <w:left w:val="none" w:sz="0" w:space="0" w:color="auto"/>
        <w:bottom w:val="none" w:sz="0" w:space="0" w:color="auto"/>
        <w:right w:val="none" w:sz="0" w:space="0" w:color="auto"/>
      </w:divBdr>
      <w:divsChild>
        <w:div w:id="190077109">
          <w:marLeft w:val="0"/>
          <w:marRight w:val="0"/>
          <w:marTop w:val="0"/>
          <w:marBottom w:val="0"/>
          <w:divBdr>
            <w:top w:val="none" w:sz="0" w:space="0" w:color="auto"/>
            <w:left w:val="none" w:sz="0" w:space="0" w:color="auto"/>
            <w:bottom w:val="none" w:sz="0" w:space="0" w:color="auto"/>
            <w:right w:val="none" w:sz="0" w:space="0" w:color="auto"/>
          </w:divBdr>
        </w:div>
        <w:div w:id="767623731">
          <w:marLeft w:val="0"/>
          <w:marRight w:val="0"/>
          <w:marTop w:val="0"/>
          <w:marBottom w:val="0"/>
          <w:divBdr>
            <w:top w:val="none" w:sz="0" w:space="0" w:color="auto"/>
            <w:left w:val="none" w:sz="0" w:space="0" w:color="auto"/>
            <w:bottom w:val="none" w:sz="0" w:space="0" w:color="auto"/>
            <w:right w:val="none" w:sz="0" w:space="0" w:color="auto"/>
          </w:divBdr>
        </w:div>
        <w:div w:id="1585069449">
          <w:marLeft w:val="0"/>
          <w:marRight w:val="0"/>
          <w:marTop w:val="0"/>
          <w:marBottom w:val="0"/>
          <w:divBdr>
            <w:top w:val="none" w:sz="0" w:space="0" w:color="auto"/>
            <w:left w:val="none" w:sz="0" w:space="0" w:color="auto"/>
            <w:bottom w:val="none" w:sz="0" w:space="0" w:color="auto"/>
            <w:right w:val="none" w:sz="0" w:space="0" w:color="auto"/>
          </w:divBdr>
        </w:div>
        <w:div w:id="1575428487">
          <w:marLeft w:val="0"/>
          <w:marRight w:val="0"/>
          <w:marTop w:val="0"/>
          <w:marBottom w:val="0"/>
          <w:divBdr>
            <w:top w:val="none" w:sz="0" w:space="0" w:color="auto"/>
            <w:left w:val="none" w:sz="0" w:space="0" w:color="auto"/>
            <w:bottom w:val="none" w:sz="0" w:space="0" w:color="auto"/>
            <w:right w:val="none" w:sz="0" w:space="0" w:color="auto"/>
          </w:divBdr>
        </w:div>
      </w:divsChild>
    </w:div>
    <w:div w:id="1572077892">
      <w:bodyDiv w:val="1"/>
      <w:marLeft w:val="0"/>
      <w:marRight w:val="0"/>
      <w:marTop w:val="0"/>
      <w:marBottom w:val="0"/>
      <w:divBdr>
        <w:top w:val="none" w:sz="0" w:space="0" w:color="auto"/>
        <w:left w:val="none" w:sz="0" w:space="0" w:color="auto"/>
        <w:bottom w:val="none" w:sz="0" w:space="0" w:color="auto"/>
        <w:right w:val="none" w:sz="0" w:space="0" w:color="auto"/>
      </w:divBdr>
    </w:div>
    <w:div w:id="1597326562">
      <w:bodyDiv w:val="1"/>
      <w:marLeft w:val="0"/>
      <w:marRight w:val="0"/>
      <w:marTop w:val="0"/>
      <w:marBottom w:val="0"/>
      <w:divBdr>
        <w:top w:val="none" w:sz="0" w:space="0" w:color="auto"/>
        <w:left w:val="none" w:sz="0" w:space="0" w:color="auto"/>
        <w:bottom w:val="none" w:sz="0" w:space="0" w:color="auto"/>
        <w:right w:val="none" w:sz="0" w:space="0" w:color="auto"/>
      </w:divBdr>
    </w:div>
    <w:div w:id="1783069399">
      <w:bodyDiv w:val="1"/>
      <w:marLeft w:val="0"/>
      <w:marRight w:val="0"/>
      <w:marTop w:val="0"/>
      <w:marBottom w:val="0"/>
      <w:divBdr>
        <w:top w:val="none" w:sz="0" w:space="0" w:color="auto"/>
        <w:left w:val="none" w:sz="0" w:space="0" w:color="auto"/>
        <w:bottom w:val="none" w:sz="0" w:space="0" w:color="auto"/>
        <w:right w:val="none" w:sz="0" w:space="0" w:color="auto"/>
      </w:divBdr>
      <w:divsChild>
        <w:div w:id="922223108">
          <w:marLeft w:val="0"/>
          <w:marRight w:val="0"/>
          <w:marTop w:val="0"/>
          <w:marBottom w:val="0"/>
          <w:divBdr>
            <w:top w:val="none" w:sz="0" w:space="0" w:color="auto"/>
            <w:left w:val="none" w:sz="0" w:space="0" w:color="auto"/>
            <w:bottom w:val="none" w:sz="0" w:space="0" w:color="auto"/>
            <w:right w:val="none" w:sz="0" w:space="0" w:color="auto"/>
          </w:divBdr>
          <w:divsChild>
            <w:div w:id="898898480">
              <w:marLeft w:val="0"/>
              <w:marRight w:val="0"/>
              <w:marTop w:val="0"/>
              <w:marBottom w:val="0"/>
              <w:divBdr>
                <w:top w:val="none" w:sz="0" w:space="0" w:color="auto"/>
                <w:left w:val="none" w:sz="0" w:space="0" w:color="auto"/>
                <w:bottom w:val="none" w:sz="0" w:space="0" w:color="auto"/>
                <w:right w:val="none" w:sz="0" w:space="0" w:color="auto"/>
              </w:divBdr>
              <w:divsChild>
                <w:div w:id="21197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420">
      <w:bodyDiv w:val="1"/>
      <w:marLeft w:val="0"/>
      <w:marRight w:val="0"/>
      <w:marTop w:val="0"/>
      <w:marBottom w:val="0"/>
      <w:divBdr>
        <w:top w:val="none" w:sz="0" w:space="0" w:color="auto"/>
        <w:left w:val="none" w:sz="0" w:space="0" w:color="auto"/>
        <w:bottom w:val="none" w:sz="0" w:space="0" w:color="auto"/>
        <w:right w:val="none" w:sz="0" w:space="0" w:color="auto"/>
      </w:divBdr>
    </w:div>
    <w:div w:id="1925915383">
      <w:bodyDiv w:val="1"/>
      <w:marLeft w:val="0"/>
      <w:marRight w:val="0"/>
      <w:marTop w:val="0"/>
      <w:marBottom w:val="0"/>
      <w:divBdr>
        <w:top w:val="none" w:sz="0" w:space="0" w:color="auto"/>
        <w:left w:val="none" w:sz="0" w:space="0" w:color="auto"/>
        <w:bottom w:val="none" w:sz="0" w:space="0" w:color="auto"/>
        <w:right w:val="none" w:sz="0" w:space="0" w:color="auto"/>
      </w:divBdr>
      <w:divsChild>
        <w:div w:id="967516856">
          <w:marLeft w:val="0"/>
          <w:marRight w:val="0"/>
          <w:marTop w:val="0"/>
          <w:marBottom w:val="0"/>
          <w:divBdr>
            <w:top w:val="none" w:sz="0" w:space="0" w:color="auto"/>
            <w:left w:val="none" w:sz="0" w:space="0" w:color="auto"/>
            <w:bottom w:val="none" w:sz="0" w:space="0" w:color="auto"/>
            <w:right w:val="none" w:sz="0" w:space="0" w:color="auto"/>
          </w:divBdr>
          <w:divsChild>
            <w:div w:id="1804149424">
              <w:marLeft w:val="0"/>
              <w:marRight w:val="0"/>
              <w:marTop w:val="0"/>
              <w:marBottom w:val="0"/>
              <w:divBdr>
                <w:top w:val="none" w:sz="0" w:space="0" w:color="auto"/>
                <w:left w:val="none" w:sz="0" w:space="0" w:color="auto"/>
                <w:bottom w:val="none" w:sz="0" w:space="0" w:color="auto"/>
                <w:right w:val="none" w:sz="0" w:space="0" w:color="auto"/>
              </w:divBdr>
              <w:divsChild>
                <w:div w:id="1617906562">
                  <w:marLeft w:val="0"/>
                  <w:marRight w:val="0"/>
                  <w:marTop w:val="0"/>
                  <w:marBottom w:val="0"/>
                  <w:divBdr>
                    <w:top w:val="none" w:sz="0" w:space="0" w:color="auto"/>
                    <w:left w:val="none" w:sz="0" w:space="0" w:color="auto"/>
                    <w:bottom w:val="none" w:sz="0" w:space="0" w:color="auto"/>
                    <w:right w:val="none" w:sz="0" w:space="0" w:color="auto"/>
                  </w:divBdr>
                  <w:divsChild>
                    <w:div w:id="632520649">
                      <w:marLeft w:val="0"/>
                      <w:marRight w:val="0"/>
                      <w:marTop w:val="0"/>
                      <w:marBottom w:val="0"/>
                      <w:divBdr>
                        <w:top w:val="none" w:sz="0" w:space="0" w:color="auto"/>
                        <w:left w:val="none" w:sz="0" w:space="0" w:color="auto"/>
                        <w:bottom w:val="none" w:sz="0" w:space="0" w:color="auto"/>
                        <w:right w:val="none" w:sz="0" w:space="0" w:color="auto"/>
                      </w:divBdr>
                      <w:divsChild>
                        <w:div w:id="314918304">
                          <w:marLeft w:val="0"/>
                          <w:marRight w:val="0"/>
                          <w:marTop w:val="0"/>
                          <w:marBottom w:val="0"/>
                          <w:divBdr>
                            <w:top w:val="none" w:sz="0" w:space="0" w:color="auto"/>
                            <w:left w:val="none" w:sz="0" w:space="0" w:color="auto"/>
                            <w:bottom w:val="none" w:sz="0" w:space="0" w:color="auto"/>
                            <w:right w:val="none" w:sz="0" w:space="0" w:color="auto"/>
                          </w:divBdr>
                          <w:divsChild>
                            <w:div w:id="268515272">
                              <w:marLeft w:val="0"/>
                              <w:marRight w:val="0"/>
                              <w:marTop w:val="0"/>
                              <w:marBottom w:val="0"/>
                              <w:divBdr>
                                <w:top w:val="none" w:sz="0" w:space="0" w:color="auto"/>
                                <w:left w:val="none" w:sz="0" w:space="0" w:color="auto"/>
                                <w:bottom w:val="none" w:sz="0" w:space="0" w:color="auto"/>
                                <w:right w:val="none" w:sz="0" w:space="0" w:color="auto"/>
                              </w:divBdr>
                              <w:divsChild>
                                <w:div w:id="1050959095">
                                  <w:marLeft w:val="0"/>
                                  <w:marRight w:val="0"/>
                                  <w:marTop w:val="0"/>
                                  <w:marBottom w:val="0"/>
                                  <w:divBdr>
                                    <w:top w:val="none" w:sz="0" w:space="0" w:color="auto"/>
                                    <w:left w:val="none" w:sz="0" w:space="0" w:color="auto"/>
                                    <w:bottom w:val="none" w:sz="0" w:space="0" w:color="auto"/>
                                    <w:right w:val="none" w:sz="0" w:space="0" w:color="auto"/>
                                  </w:divBdr>
                                  <w:divsChild>
                                    <w:div w:id="1274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440395">
      <w:bodyDiv w:val="1"/>
      <w:marLeft w:val="0"/>
      <w:marRight w:val="0"/>
      <w:marTop w:val="0"/>
      <w:marBottom w:val="0"/>
      <w:divBdr>
        <w:top w:val="none" w:sz="0" w:space="0" w:color="auto"/>
        <w:left w:val="none" w:sz="0" w:space="0" w:color="auto"/>
        <w:bottom w:val="none" w:sz="0" w:space="0" w:color="auto"/>
        <w:right w:val="none" w:sz="0" w:space="0" w:color="auto"/>
      </w:divBdr>
    </w:div>
    <w:div w:id="2085180629">
      <w:bodyDiv w:val="1"/>
      <w:marLeft w:val="0"/>
      <w:marRight w:val="0"/>
      <w:marTop w:val="0"/>
      <w:marBottom w:val="0"/>
      <w:divBdr>
        <w:top w:val="none" w:sz="0" w:space="0" w:color="auto"/>
        <w:left w:val="none" w:sz="0" w:space="0" w:color="auto"/>
        <w:bottom w:val="none" w:sz="0" w:space="0" w:color="auto"/>
        <w:right w:val="none" w:sz="0" w:space="0" w:color="auto"/>
      </w:divBdr>
    </w:div>
    <w:div w:id="2100056998">
      <w:bodyDiv w:val="1"/>
      <w:marLeft w:val="0"/>
      <w:marRight w:val="0"/>
      <w:marTop w:val="0"/>
      <w:marBottom w:val="0"/>
      <w:divBdr>
        <w:top w:val="none" w:sz="0" w:space="0" w:color="auto"/>
        <w:left w:val="none" w:sz="0" w:space="0" w:color="auto"/>
        <w:bottom w:val="none" w:sz="0" w:space="0" w:color="auto"/>
        <w:right w:val="none" w:sz="0" w:space="0" w:color="auto"/>
      </w:divBdr>
    </w:div>
    <w:div w:id="2133666492">
      <w:bodyDiv w:val="1"/>
      <w:marLeft w:val="0"/>
      <w:marRight w:val="0"/>
      <w:marTop w:val="0"/>
      <w:marBottom w:val="0"/>
      <w:divBdr>
        <w:top w:val="none" w:sz="0" w:space="0" w:color="auto"/>
        <w:left w:val="none" w:sz="0" w:space="0" w:color="auto"/>
        <w:bottom w:val="none" w:sz="0" w:space="0" w:color="auto"/>
        <w:right w:val="none" w:sz="0" w:space="0" w:color="auto"/>
      </w:divBdr>
      <w:divsChild>
        <w:div w:id="1838374191">
          <w:marLeft w:val="0"/>
          <w:marRight w:val="0"/>
          <w:marTop w:val="0"/>
          <w:marBottom w:val="0"/>
          <w:divBdr>
            <w:top w:val="none" w:sz="0" w:space="0" w:color="auto"/>
            <w:left w:val="none" w:sz="0" w:space="0" w:color="auto"/>
            <w:bottom w:val="none" w:sz="0" w:space="0" w:color="auto"/>
            <w:right w:val="none" w:sz="0" w:space="0" w:color="auto"/>
          </w:divBdr>
        </w:div>
        <w:div w:id="13723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zent-ivanyi@as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pubs/ft/weo/2014/02/weodata/index.asp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ec.europa.eu/eurostat/statistics-explained/index.php/Unemployment_statistic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J:\saj&#225;t%20cikkek\05.%20JCMS%20AR\adatok_istvan_kie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hu-HU"/>
  <c:chart>
    <c:autoTitleDeleted val="1"/>
    <c:plotArea>
      <c:layout/>
      <c:scatterChart>
        <c:scatterStyle val="lineMarker"/>
        <c:ser>
          <c:idx val="0"/>
          <c:order val="0"/>
          <c:tx>
            <c:strRef>
              <c:f>Munka4!$R$2:$R$27</c:f>
              <c:strCache>
                <c:ptCount val="1"/>
                <c:pt idx="0">
                  <c:v>BE DE EE IE GR ES FR IT CY LV LT MT NL AT PT SI SK FI BG CZ DK HU PL RO SE GB</c:v>
                </c:pt>
              </c:strCache>
            </c:strRef>
          </c:tx>
          <c:spPr>
            <a:ln w="28575" cap="rnd">
              <a:noFill/>
              <a:round/>
            </a:ln>
            <a:effectLst/>
          </c:spPr>
          <c:marker>
            <c:symbol val="circle"/>
            <c:size val="5"/>
            <c:spPr>
              <a:solidFill>
                <a:schemeClr val="accent1"/>
              </a:solidFill>
              <a:ln w="9525">
                <a:solidFill>
                  <a:schemeClr val="accent1"/>
                </a:solidFill>
              </a:ln>
              <a:effectLst/>
            </c:spPr>
          </c:marker>
          <c:dLbls>
            <c:dLbl>
              <c:idx val="0"/>
              <c:layout/>
              <c:tx>
                <c:rich>
                  <a:bodyPr/>
                  <a:lstStyle/>
                  <a:p>
                    <a:r>
                      <a:rPr lang="en-US"/>
                      <a:t>BE</a:t>
                    </a:r>
                  </a:p>
                </c:rich>
              </c:tx>
              <c:showVal val="1"/>
              <c:showCatName val="1"/>
              <c:extLst>
                <c:ext xmlns:c15="http://schemas.microsoft.com/office/drawing/2012/chart" uri="{CE6537A1-D6FC-4f65-9D91-7224C49458BB}"/>
              </c:extLst>
            </c:dLbl>
            <c:dLbl>
              <c:idx val="1"/>
              <c:layout>
                <c:manualLayout>
                  <c:x val="-1.7241379310344911E-2"/>
                  <c:y val="-3.3648787031881101E-2"/>
                </c:manualLayout>
              </c:layout>
              <c:tx>
                <c:rich>
                  <a:bodyPr/>
                  <a:lstStyle/>
                  <a:p>
                    <a:r>
                      <a:rPr lang="en-US"/>
                      <a:t>DE</a:t>
                    </a:r>
                  </a:p>
                </c:rich>
              </c:tx>
              <c:showVal val="1"/>
              <c:showCatName val="1"/>
              <c:extLst>
                <c:ext xmlns:c15="http://schemas.microsoft.com/office/drawing/2012/chart" uri="{CE6537A1-D6FC-4f65-9D91-7224C49458BB}"/>
              </c:extLst>
            </c:dLbl>
            <c:dLbl>
              <c:idx val="2"/>
              <c:layout/>
              <c:tx>
                <c:rich>
                  <a:bodyPr/>
                  <a:lstStyle/>
                  <a:p>
                    <a:r>
                      <a:rPr lang="en-US"/>
                      <a:t>EE</a:t>
                    </a:r>
                  </a:p>
                </c:rich>
              </c:tx>
              <c:showVal val="1"/>
              <c:showCatName val="1"/>
              <c:extLst>
                <c:ext xmlns:c15="http://schemas.microsoft.com/office/drawing/2012/chart" uri="{CE6537A1-D6FC-4f65-9D91-7224C49458BB}"/>
              </c:extLst>
            </c:dLbl>
            <c:dLbl>
              <c:idx val="3"/>
              <c:layout/>
              <c:tx>
                <c:rich>
                  <a:bodyPr/>
                  <a:lstStyle/>
                  <a:p>
                    <a:r>
                      <a:rPr lang="en-US"/>
                      <a:t>IE</a:t>
                    </a:r>
                  </a:p>
                </c:rich>
              </c:tx>
              <c:showVal val="1"/>
              <c:showCatName val="1"/>
              <c:extLst>
                <c:ext xmlns:c15="http://schemas.microsoft.com/office/drawing/2012/chart" uri="{CE6537A1-D6FC-4f65-9D91-7224C49458BB}"/>
              </c:extLst>
            </c:dLbl>
            <c:dLbl>
              <c:idx val="4"/>
              <c:layout/>
              <c:tx>
                <c:rich>
                  <a:bodyPr/>
                  <a:lstStyle/>
                  <a:p>
                    <a:r>
                      <a:rPr lang="en-US"/>
                      <a:t>GR</a:t>
                    </a:r>
                  </a:p>
                </c:rich>
              </c:tx>
              <c:showVal val="1"/>
              <c:showCatName val="1"/>
              <c:extLst>
                <c:ext xmlns:c15="http://schemas.microsoft.com/office/drawing/2012/chart" uri="{CE6537A1-D6FC-4f65-9D91-7224C49458BB}"/>
              </c:extLst>
            </c:dLbl>
            <c:dLbl>
              <c:idx val="5"/>
              <c:layout/>
              <c:tx>
                <c:rich>
                  <a:bodyPr/>
                  <a:lstStyle/>
                  <a:p>
                    <a:r>
                      <a:rPr lang="en-US"/>
                      <a:t>ES</a:t>
                    </a:r>
                  </a:p>
                </c:rich>
              </c:tx>
              <c:showVal val="1"/>
              <c:showCatName val="1"/>
              <c:extLst>
                <c:ext xmlns:c15="http://schemas.microsoft.com/office/drawing/2012/chart" uri="{CE6537A1-D6FC-4f65-9D91-7224C49458BB}"/>
              </c:extLst>
            </c:dLbl>
            <c:dLbl>
              <c:idx val="6"/>
              <c:layout/>
              <c:tx>
                <c:rich>
                  <a:bodyPr/>
                  <a:lstStyle/>
                  <a:p>
                    <a:r>
                      <a:rPr lang="en-US"/>
                      <a:t>FR</a:t>
                    </a:r>
                  </a:p>
                </c:rich>
              </c:tx>
              <c:showVal val="1"/>
              <c:showCatName val="1"/>
              <c:extLst>
                <c:ext xmlns:c15="http://schemas.microsoft.com/office/drawing/2012/chart" uri="{CE6537A1-D6FC-4f65-9D91-7224C49458BB}"/>
              </c:extLst>
            </c:dLbl>
            <c:dLbl>
              <c:idx val="7"/>
              <c:layout>
                <c:manualLayout>
                  <c:x val="-2.2045855379188802E-3"/>
                  <c:y val="2.9046312731967217E-2"/>
                </c:manualLayout>
              </c:layout>
              <c:tx>
                <c:rich>
                  <a:bodyPr/>
                  <a:lstStyle/>
                  <a:p>
                    <a:r>
                      <a:rPr lang="en-US"/>
                      <a:t>IT</a:t>
                    </a:r>
                  </a:p>
                </c:rich>
              </c:tx>
              <c:showVal val="1"/>
              <c:showCatName val="1"/>
              <c:extLst>
                <c:ext xmlns:c15="http://schemas.microsoft.com/office/drawing/2012/chart" uri="{CE6537A1-D6FC-4f65-9D91-7224C49458BB}"/>
              </c:extLst>
            </c:dLbl>
            <c:dLbl>
              <c:idx val="8"/>
              <c:layout>
                <c:manualLayout>
                  <c:x val="0"/>
                  <c:y val="-1.9628459101930708E-2"/>
                </c:manualLayout>
              </c:layout>
              <c:tx>
                <c:rich>
                  <a:bodyPr/>
                  <a:lstStyle/>
                  <a:p>
                    <a:r>
                      <a:rPr lang="en-US"/>
                      <a:t>CY</a:t>
                    </a:r>
                  </a:p>
                </c:rich>
              </c:tx>
              <c:showVal val="1"/>
              <c:showCatName val="1"/>
              <c:extLst>
                <c:ext xmlns:c15="http://schemas.microsoft.com/office/drawing/2012/chart" uri="{CE6537A1-D6FC-4f65-9D91-7224C49458BB}"/>
              </c:extLst>
            </c:dLbl>
            <c:dLbl>
              <c:idx val="9"/>
              <c:layout/>
              <c:tx>
                <c:rich>
                  <a:bodyPr/>
                  <a:lstStyle/>
                  <a:p>
                    <a:r>
                      <a:rPr lang="en-US"/>
                      <a:t>LV</a:t>
                    </a:r>
                  </a:p>
                </c:rich>
              </c:tx>
              <c:showVal val="1"/>
              <c:showCatName val="1"/>
              <c:extLst>
                <c:ext xmlns:c15="http://schemas.microsoft.com/office/drawing/2012/chart" uri="{CE6537A1-D6FC-4f65-9D91-7224C49458BB}"/>
              </c:extLst>
            </c:dLbl>
            <c:dLbl>
              <c:idx val="10"/>
              <c:layout/>
              <c:tx>
                <c:rich>
                  <a:bodyPr/>
                  <a:lstStyle/>
                  <a:p>
                    <a:r>
                      <a:rPr lang="en-US"/>
                      <a:t>LT</a:t>
                    </a:r>
                  </a:p>
                </c:rich>
              </c:tx>
              <c:showVal val="1"/>
              <c:showCatName val="1"/>
              <c:extLst>
                <c:ext xmlns:c15="http://schemas.microsoft.com/office/drawing/2012/chart" uri="{CE6537A1-D6FC-4f65-9D91-7224C49458BB}"/>
              </c:extLst>
            </c:dLbl>
            <c:dLbl>
              <c:idx val="11"/>
              <c:layout/>
              <c:tx>
                <c:rich>
                  <a:bodyPr/>
                  <a:lstStyle/>
                  <a:p>
                    <a:r>
                      <a:rPr lang="en-US"/>
                      <a:t>MT</a:t>
                    </a:r>
                  </a:p>
                </c:rich>
              </c:tx>
              <c:showVal val="1"/>
              <c:showCatName val="1"/>
              <c:extLst>
                <c:ext xmlns:c15="http://schemas.microsoft.com/office/drawing/2012/chart" uri="{CE6537A1-D6FC-4f65-9D91-7224C49458BB}"/>
              </c:extLst>
            </c:dLbl>
            <c:dLbl>
              <c:idx val="12"/>
              <c:layout/>
              <c:tx>
                <c:rich>
                  <a:bodyPr/>
                  <a:lstStyle/>
                  <a:p>
                    <a:r>
                      <a:rPr lang="en-US"/>
                      <a:t>NL</a:t>
                    </a:r>
                  </a:p>
                </c:rich>
              </c:tx>
              <c:showVal val="1"/>
              <c:showCatName val="1"/>
              <c:extLst>
                <c:ext xmlns:c15="http://schemas.microsoft.com/office/drawing/2012/chart" uri="{CE6537A1-D6FC-4f65-9D91-7224C49458BB}"/>
              </c:extLst>
            </c:dLbl>
            <c:dLbl>
              <c:idx val="13"/>
              <c:layout/>
              <c:tx>
                <c:rich>
                  <a:bodyPr/>
                  <a:lstStyle/>
                  <a:p>
                    <a:r>
                      <a:rPr lang="en-US"/>
                      <a:t>AT</a:t>
                    </a:r>
                  </a:p>
                </c:rich>
              </c:tx>
              <c:showVal val="1"/>
              <c:showCatName val="1"/>
              <c:extLst>
                <c:ext xmlns:c15="http://schemas.microsoft.com/office/drawing/2012/chart" uri="{CE6537A1-D6FC-4f65-9D91-7224C49458BB}"/>
              </c:extLst>
            </c:dLbl>
            <c:dLbl>
              <c:idx val="14"/>
              <c:layout/>
              <c:tx>
                <c:rich>
                  <a:bodyPr/>
                  <a:lstStyle/>
                  <a:p>
                    <a:r>
                      <a:rPr lang="en-US"/>
                      <a:t>PT</a:t>
                    </a:r>
                  </a:p>
                </c:rich>
              </c:tx>
              <c:showVal val="1"/>
              <c:showCatName val="1"/>
              <c:extLst>
                <c:ext xmlns:c15="http://schemas.microsoft.com/office/drawing/2012/chart" uri="{CE6537A1-D6FC-4f65-9D91-7224C49458BB}"/>
              </c:extLst>
            </c:dLbl>
            <c:dLbl>
              <c:idx val="15"/>
              <c:layout/>
              <c:tx>
                <c:rich>
                  <a:bodyPr/>
                  <a:lstStyle/>
                  <a:p>
                    <a:r>
                      <a:rPr lang="en-US"/>
                      <a:t>SI</a:t>
                    </a:r>
                  </a:p>
                </c:rich>
              </c:tx>
              <c:showVal val="1"/>
              <c:showCatName val="1"/>
              <c:extLst>
                <c:ext xmlns:c15="http://schemas.microsoft.com/office/drawing/2012/chart" uri="{CE6537A1-D6FC-4f65-9D91-7224C49458BB}"/>
              </c:extLst>
            </c:dLbl>
            <c:dLbl>
              <c:idx val="16"/>
              <c:layout/>
              <c:tx>
                <c:rich>
                  <a:bodyPr/>
                  <a:lstStyle/>
                  <a:p>
                    <a:r>
                      <a:rPr lang="en-US"/>
                      <a:t>SK</a:t>
                    </a:r>
                  </a:p>
                </c:rich>
              </c:tx>
              <c:showVal val="1"/>
              <c:showCatName val="1"/>
              <c:extLst>
                <c:ext xmlns:c15="http://schemas.microsoft.com/office/drawing/2012/chart" uri="{CE6537A1-D6FC-4f65-9D91-7224C49458BB}"/>
              </c:extLst>
            </c:dLbl>
            <c:dLbl>
              <c:idx val="17"/>
              <c:layout>
                <c:manualLayout>
                  <c:x val="-1.9157088122605404E-3"/>
                  <c:y val="3.0844721445891007E-2"/>
                </c:manualLayout>
              </c:layout>
              <c:tx>
                <c:rich>
                  <a:bodyPr/>
                  <a:lstStyle/>
                  <a:p>
                    <a:r>
                      <a:rPr lang="en-US"/>
                      <a:t>FI</a:t>
                    </a:r>
                  </a:p>
                </c:rich>
              </c:tx>
              <c:showVal val="1"/>
              <c:showCatName val="1"/>
              <c:extLst>
                <c:ext xmlns:c15="http://schemas.microsoft.com/office/drawing/2012/chart" uri="{CE6537A1-D6FC-4f65-9D91-7224C49458BB}"/>
              </c:extLst>
            </c:dLbl>
            <c:dLbl>
              <c:idx val="18"/>
              <c:layout/>
              <c:tx>
                <c:rich>
                  <a:bodyPr/>
                  <a:lstStyle/>
                  <a:p>
                    <a:r>
                      <a:rPr lang="en-US"/>
                      <a:t>BG</a:t>
                    </a:r>
                  </a:p>
                </c:rich>
              </c:tx>
              <c:showVal val="1"/>
              <c:showCatName val="1"/>
              <c:extLst>
                <c:ext xmlns:c15="http://schemas.microsoft.com/office/drawing/2012/chart" uri="{CE6537A1-D6FC-4f65-9D91-7224C49458BB}"/>
              </c:extLst>
            </c:dLbl>
            <c:dLbl>
              <c:idx val="19"/>
              <c:layout/>
              <c:tx>
                <c:rich>
                  <a:bodyPr/>
                  <a:lstStyle/>
                  <a:p>
                    <a:r>
                      <a:rPr lang="en-US"/>
                      <a:t>CZ</a:t>
                    </a:r>
                  </a:p>
                </c:rich>
              </c:tx>
              <c:showVal val="1"/>
              <c:showCatName val="1"/>
              <c:extLst>
                <c:ext xmlns:c15="http://schemas.microsoft.com/office/drawing/2012/chart" uri="{CE6537A1-D6FC-4f65-9D91-7224C49458BB}"/>
              </c:extLst>
            </c:dLbl>
            <c:dLbl>
              <c:idx val="20"/>
              <c:layout>
                <c:manualLayout>
                  <c:x val="-1.9157088122605404E-3"/>
                  <c:y val="2.8040655859901007E-3"/>
                </c:manualLayout>
              </c:layout>
              <c:tx>
                <c:rich>
                  <a:bodyPr/>
                  <a:lstStyle/>
                  <a:p>
                    <a:r>
                      <a:rPr lang="en-US"/>
                      <a:t>DK</a:t>
                    </a:r>
                  </a:p>
                </c:rich>
              </c:tx>
              <c:showVal val="1"/>
              <c:showCatName val="1"/>
              <c:extLst>
                <c:ext xmlns:c15="http://schemas.microsoft.com/office/drawing/2012/chart" uri="{CE6537A1-D6FC-4f65-9D91-7224C49458BB}"/>
              </c:extLst>
            </c:dLbl>
            <c:dLbl>
              <c:idx val="21"/>
              <c:layout/>
              <c:tx>
                <c:rich>
                  <a:bodyPr/>
                  <a:lstStyle/>
                  <a:p>
                    <a:r>
                      <a:rPr lang="en-US"/>
                      <a:t>HU</a:t>
                    </a:r>
                  </a:p>
                </c:rich>
              </c:tx>
              <c:showVal val="1"/>
              <c:showCatName val="1"/>
              <c:extLst>
                <c:ext xmlns:c15="http://schemas.microsoft.com/office/drawing/2012/chart" uri="{CE6537A1-D6FC-4f65-9D91-7224C49458BB}"/>
              </c:extLst>
            </c:dLbl>
            <c:dLbl>
              <c:idx val="22"/>
              <c:layout/>
              <c:tx>
                <c:rich>
                  <a:bodyPr/>
                  <a:lstStyle/>
                  <a:p>
                    <a:r>
                      <a:rPr lang="en-US"/>
                      <a:t>PL</a:t>
                    </a:r>
                  </a:p>
                </c:rich>
              </c:tx>
              <c:showVal val="1"/>
              <c:showCatName val="1"/>
              <c:extLst>
                <c:ext xmlns:c15="http://schemas.microsoft.com/office/drawing/2012/chart" uri="{CE6537A1-D6FC-4f65-9D91-7224C49458BB}"/>
              </c:extLst>
            </c:dLbl>
            <c:dLbl>
              <c:idx val="23"/>
              <c:layout/>
              <c:tx>
                <c:rich>
                  <a:bodyPr/>
                  <a:lstStyle/>
                  <a:p>
                    <a:r>
                      <a:rPr lang="en-US"/>
                      <a:t>RO</a:t>
                    </a:r>
                  </a:p>
                </c:rich>
              </c:tx>
              <c:showVal val="1"/>
              <c:showCatName val="1"/>
              <c:extLst>
                <c:ext xmlns:c15="http://schemas.microsoft.com/office/drawing/2012/chart" uri="{CE6537A1-D6FC-4f65-9D91-7224C49458BB}"/>
              </c:extLst>
            </c:dLbl>
            <c:dLbl>
              <c:idx val="24"/>
              <c:layout/>
              <c:tx>
                <c:rich>
                  <a:bodyPr/>
                  <a:lstStyle/>
                  <a:p>
                    <a:r>
                      <a:rPr lang="en-US"/>
                      <a:t>SE</a:t>
                    </a:r>
                  </a:p>
                </c:rich>
              </c:tx>
              <c:showVal val="1"/>
              <c:showCatName val="1"/>
              <c:extLst>
                <c:ext xmlns:c15="http://schemas.microsoft.com/office/drawing/2012/chart" uri="{CE6537A1-D6FC-4f65-9D91-7224C49458BB}"/>
              </c:extLst>
            </c:dLbl>
            <c:dLbl>
              <c:idx val="25"/>
              <c:layout/>
              <c:tx>
                <c:rich>
                  <a:bodyPr/>
                  <a:lstStyle/>
                  <a:p>
                    <a:r>
                      <a:rPr lang="en-US"/>
                      <a:t>UK</a:t>
                    </a:r>
                  </a:p>
                </c:rich>
              </c:tx>
              <c:showVal val="1"/>
              <c:showCatName val="1"/>
              <c:extLst>
                <c:ext xmlns:c15="http://schemas.microsoft.com/office/drawing/2012/chart" uri="{CE6537A1-D6FC-4f65-9D91-7224C49458BB}"/>
              </c:extLst>
            </c:dLbl>
            <c:spPr>
              <a:noFill/>
              <a:ln>
                <a:noFill/>
              </a:ln>
              <a:effectLst/>
            </c:spPr>
            <c:showVal val="1"/>
            <c:showCatName val="1"/>
            <c:extLst>
              <c:ext xmlns:c15="http://schemas.microsoft.com/office/drawing/2012/chart" uri="{CE6537A1-D6FC-4f65-9D91-7224C49458BB}">
                <c15:showLeaderLines val="0"/>
              </c:ext>
            </c:extLst>
          </c:dLbls>
          <c:trendline>
            <c:spPr>
              <a:ln w="19050" cap="rnd">
                <a:solidFill>
                  <a:schemeClr val="accent1"/>
                </a:solidFill>
                <a:prstDash val="sysDot"/>
              </a:ln>
              <a:effectLst/>
            </c:spPr>
            <c:trendlineType val="linear"/>
            <c:dispRSqr val="1"/>
            <c:dispEq val="1"/>
            <c:trendlineLbl>
              <c:layout>
                <c:manualLayout>
                  <c:x val="7.5967508371798428E-2"/>
                  <c:y val="-0.60139214128604379"/>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baseline="0"/>
                      <a:t>y = -0.0263x + 3.8292
R² = 0.3704</a:t>
                    </a:r>
                  </a:p>
                </c:rich>
              </c:tx>
              <c:numFmt formatCode="General" sourceLinked="0"/>
              <c:spPr>
                <a:noFill/>
                <a:ln>
                  <a:noFill/>
                </a:ln>
                <a:effectLst/>
              </c:spPr>
            </c:trendlineLbl>
          </c:trendline>
          <c:xVal>
            <c:numRef>
              <c:f>Munka4!$S$2:$S$27</c:f>
              <c:numCache>
                <c:formatCode>0.00</c:formatCode>
                <c:ptCount val="26"/>
                <c:pt idx="0">
                  <c:v>106</c:v>
                </c:pt>
                <c:pt idx="1">
                  <c:v>102</c:v>
                </c:pt>
                <c:pt idx="2">
                  <c:v>49</c:v>
                </c:pt>
                <c:pt idx="3">
                  <c:v>126</c:v>
                </c:pt>
                <c:pt idx="4">
                  <c:v>83</c:v>
                </c:pt>
                <c:pt idx="5">
                  <c:v>88</c:v>
                </c:pt>
                <c:pt idx="6">
                  <c:v>96</c:v>
                </c:pt>
                <c:pt idx="7">
                  <c:v>95</c:v>
                </c:pt>
                <c:pt idx="8">
                  <c:v>85</c:v>
                </c:pt>
                <c:pt idx="9">
                  <c:v>42</c:v>
                </c:pt>
                <c:pt idx="10">
                  <c:v>44</c:v>
                </c:pt>
                <c:pt idx="11">
                  <c:v>71</c:v>
                </c:pt>
                <c:pt idx="12">
                  <c:v>117</c:v>
                </c:pt>
                <c:pt idx="13">
                  <c:v>112</c:v>
                </c:pt>
                <c:pt idx="14">
                  <c:v>67</c:v>
                </c:pt>
                <c:pt idx="15">
                  <c:v>75</c:v>
                </c:pt>
                <c:pt idx="16">
                  <c:v>50</c:v>
                </c:pt>
                <c:pt idx="17">
                  <c:v>103</c:v>
                </c:pt>
                <c:pt idx="18">
                  <c:v>30</c:v>
                </c:pt>
                <c:pt idx="19">
                  <c:v>70</c:v>
                </c:pt>
                <c:pt idx="20">
                  <c:v>110</c:v>
                </c:pt>
                <c:pt idx="21">
                  <c:v>54</c:v>
                </c:pt>
                <c:pt idx="22">
                  <c:v>43</c:v>
                </c:pt>
                <c:pt idx="23">
                  <c:v>30</c:v>
                </c:pt>
                <c:pt idx="24">
                  <c:v>114</c:v>
                </c:pt>
                <c:pt idx="25">
                  <c:v>110</c:v>
                </c:pt>
              </c:numCache>
            </c:numRef>
          </c:xVal>
          <c:yVal>
            <c:numRef>
              <c:f>Munka4!$T$2:$T$27</c:f>
              <c:numCache>
                <c:formatCode>0.00</c:formatCode>
                <c:ptCount val="26"/>
                <c:pt idx="0">
                  <c:v>1.209090909090909</c:v>
                </c:pt>
                <c:pt idx="1">
                  <c:v>1.2727272727272718</c:v>
                </c:pt>
                <c:pt idx="2">
                  <c:v>3.2818181818181777</c:v>
                </c:pt>
                <c:pt idx="3">
                  <c:v>1.5090909090909099</c:v>
                </c:pt>
                <c:pt idx="4">
                  <c:v>-0.67272727272727528</c:v>
                </c:pt>
                <c:pt idx="5">
                  <c:v>0.8</c:v>
                </c:pt>
                <c:pt idx="6">
                  <c:v>0.972727272727273</c:v>
                </c:pt>
                <c:pt idx="7">
                  <c:v>-0.36363636363636398</c:v>
                </c:pt>
                <c:pt idx="8">
                  <c:v>0.9</c:v>
                </c:pt>
                <c:pt idx="9">
                  <c:v>2.9545454545454537</c:v>
                </c:pt>
                <c:pt idx="10">
                  <c:v>3.4727272727272802</c:v>
                </c:pt>
                <c:pt idx="11">
                  <c:v>2.1090909090909089</c:v>
                </c:pt>
                <c:pt idx="12">
                  <c:v>0.9272727272727268</c:v>
                </c:pt>
                <c:pt idx="13">
                  <c:v>1.5272727272727269</c:v>
                </c:pt>
                <c:pt idx="14">
                  <c:v>-8.1818181818181179E-2</c:v>
                </c:pt>
                <c:pt idx="15">
                  <c:v>1.581818181818182</c:v>
                </c:pt>
                <c:pt idx="16">
                  <c:v>4.0272727272727273</c:v>
                </c:pt>
                <c:pt idx="17">
                  <c:v>1.045454545454545</c:v>
                </c:pt>
                <c:pt idx="18">
                  <c:v>2.8090909090909078</c:v>
                </c:pt>
                <c:pt idx="19">
                  <c:v>3.0090909090909079</c:v>
                </c:pt>
                <c:pt idx="20">
                  <c:v>0.58181818181818201</c:v>
                </c:pt>
                <c:pt idx="21">
                  <c:v>1.218181818181818</c:v>
                </c:pt>
                <c:pt idx="22">
                  <c:v>3.9363636363636223</c:v>
                </c:pt>
                <c:pt idx="23">
                  <c:v>3.0272727272727282</c:v>
                </c:pt>
                <c:pt idx="24">
                  <c:v>1.8545454545454541</c:v>
                </c:pt>
                <c:pt idx="25">
                  <c:v>2.0909090909090908</c:v>
                </c:pt>
              </c:numCache>
            </c:numRef>
          </c:yVal>
        </c:ser>
        <c:dLbls>
          <c:showVal val="1"/>
        </c:dLbls>
        <c:axId val="72444544"/>
        <c:axId val="8528640"/>
      </c:scatterChart>
      <c:valAx>
        <c:axId val="72444544"/>
        <c:scaling>
          <c:orientation val="minMax"/>
          <c:min val="20"/>
        </c:scaling>
        <c:axPos val="b"/>
        <c:majorGridlines>
          <c:spPr>
            <a:ln w="9525" cap="flat" cmpd="sng" algn="ctr">
              <a:solidFill>
                <a:schemeClr val="tx1">
                  <a:lumMod val="15000"/>
                  <a:lumOff val="85000"/>
                </a:schemeClr>
              </a:solidFill>
              <a:round/>
            </a:ln>
            <a:effectLst/>
          </c:spPr>
        </c:majorGridlines>
        <c:title>
          <c:tx>
            <c:rich>
              <a:bodyPr/>
              <a:lstStyle/>
              <a:p>
                <a:pPr>
                  <a:defRPr/>
                </a:pPr>
                <a:r>
                  <a:rPr lang="en-GB" sz="1200" baseline="0"/>
                  <a:t>Per capita </a:t>
                </a:r>
                <a:r>
                  <a:rPr lang="hu-HU" sz="1200" baseline="0"/>
                  <a:t>i</a:t>
                </a:r>
                <a:r>
                  <a:rPr lang="en-GB" sz="1200" baseline="0"/>
                  <a:t>ncome in 2004 (EU15=100)</a:t>
                </a:r>
              </a:p>
            </c:rich>
          </c:tx>
          <c:layout/>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8528640"/>
        <c:crosses val="autoZero"/>
        <c:crossBetween val="midCat"/>
      </c:valAx>
      <c:valAx>
        <c:axId val="8528640"/>
        <c:scaling>
          <c:orientation val="minMax"/>
        </c:scaling>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GB" sz="1200" baseline="0"/>
                  <a:t>Mean annual growth rate</a:t>
                </a:r>
                <a:br>
                  <a:rPr lang="en-GB" sz="1200" baseline="0"/>
                </a:br>
                <a:r>
                  <a:rPr lang="en-GB" sz="1200" baseline="0"/>
                  <a:t> 2004-2014</a:t>
                </a:r>
              </a:p>
            </c:rich>
          </c:tx>
          <c:layout>
            <c:manualLayout>
              <c:xMode val="edge"/>
              <c:yMode val="edge"/>
              <c:x val="2.1072796934865908E-2"/>
              <c:y val="0.24595850247883799"/>
            </c:manualLayout>
          </c:layout>
        </c:title>
        <c:numFmt formatCode="0.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7244454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9109-D7F0-411D-82D6-62F99EB9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6674</Words>
  <Characters>46057</Characters>
  <Application>Microsoft Office Word</Application>
  <DocSecurity>0</DocSecurity>
  <Lines>383</Lines>
  <Paragraphs>105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Budapesti Corvinus Egyetem</Company>
  <LinksUpToDate>false</LinksUpToDate>
  <CharactersWithSpaces>52626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dc:creator>
  <cp:lastModifiedBy>Balazs</cp:lastModifiedBy>
  <cp:revision>5</cp:revision>
  <dcterms:created xsi:type="dcterms:W3CDTF">2015-04-25T14:39:00Z</dcterms:created>
  <dcterms:modified xsi:type="dcterms:W3CDTF">2015-04-25T15:10:00Z</dcterms:modified>
</cp:coreProperties>
</file>