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67BA" w14:textId="77777777" w:rsidR="00E96DFE" w:rsidRPr="00F1731B" w:rsidRDefault="00196252" w:rsidP="00196252">
      <w:pPr>
        <w:rPr>
          <w:rFonts w:ascii="Times New Roman" w:hAnsi="Times New Roman" w:cs="Times New Roman"/>
          <w:b/>
          <w:sz w:val="32"/>
          <w:szCs w:val="32"/>
        </w:rPr>
      </w:pPr>
      <w:r>
        <w:rPr>
          <w:rFonts w:ascii="Times New Roman" w:hAnsi="Times New Roman" w:cs="Times New Roman"/>
          <w:b/>
          <w:sz w:val="32"/>
          <w:szCs w:val="32"/>
        </w:rPr>
        <w:t xml:space="preserve">The Nature and Effect of a </w:t>
      </w:r>
      <w:r w:rsidR="003C7F29">
        <w:rPr>
          <w:rFonts w:ascii="Times New Roman" w:hAnsi="Times New Roman" w:cs="Times New Roman"/>
          <w:b/>
          <w:sz w:val="32"/>
          <w:szCs w:val="32"/>
        </w:rPr>
        <w:t>"</w:t>
      </w:r>
      <w:r>
        <w:rPr>
          <w:rFonts w:ascii="Times New Roman" w:hAnsi="Times New Roman" w:cs="Times New Roman"/>
          <w:b/>
          <w:sz w:val="32"/>
          <w:szCs w:val="32"/>
        </w:rPr>
        <w:t>Release</w:t>
      </w:r>
      <w:r w:rsidR="003C7F29">
        <w:rPr>
          <w:rFonts w:ascii="Times New Roman" w:hAnsi="Times New Roman" w:cs="Times New Roman"/>
          <w:b/>
          <w:sz w:val="32"/>
          <w:szCs w:val="32"/>
        </w:rPr>
        <w:t>"</w:t>
      </w:r>
      <w:r>
        <w:rPr>
          <w:rFonts w:ascii="Times New Roman" w:hAnsi="Times New Roman" w:cs="Times New Roman"/>
          <w:b/>
          <w:sz w:val="32"/>
          <w:szCs w:val="32"/>
        </w:rPr>
        <w:t xml:space="preserve"> from a Joint Tenancy</w:t>
      </w:r>
    </w:p>
    <w:p w14:paraId="7E9E0F5A" w14:textId="77777777" w:rsidR="00F1731B" w:rsidRDefault="00F1731B" w:rsidP="00F1731B">
      <w:pPr>
        <w:rPr>
          <w:rFonts w:ascii="Times New Roman" w:hAnsi="Times New Roman" w:cs="Times New Roman"/>
          <w:b/>
          <w:sz w:val="28"/>
          <w:szCs w:val="28"/>
        </w:rPr>
      </w:pPr>
    </w:p>
    <w:p w14:paraId="10BFE629" w14:textId="77777777" w:rsidR="00952278" w:rsidRPr="00196252" w:rsidRDefault="00196252" w:rsidP="00AD26A1">
      <w:pPr>
        <w:jc w:val="both"/>
        <w:rPr>
          <w:rFonts w:ascii="Times New Roman" w:hAnsi="Times New Roman" w:cs="Times New Roman"/>
          <w:i/>
          <w:sz w:val="28"/>
          <w:szCs w:val="28"/>
        </w:rPr>
      </w:pPr>
      <w:r w:rsidRPr="00196252">
        <w:rPr>
          <w:rFonts w:ascii="Times New Roman" w:hAnsi="Times New Roman" w:cs="Times New Roman"/>
          <w:i/>
          <w:sz w:val="28"/>
          <w:szCs w:val="28"/>
        </w:rPr>
        <w:t>Dr James</w:t>
      </w:r>
      <w:r w:rsidR="00504EEB">
        <w:rPr>
          <w:rFonts w:ascii="Times New Roman" w:hAnsi="Times New Roman" w:cs="Times New Roman"/>
          <w:i/>
          <w:sz w:val="28"/>
          <w:szCs w:val="28"/>
        </w:rPr>
        <w:t xml:space="preserve"> </w:t>
      </w:r>
      <w:r w:rsidRPr="00196252">
        <w:rPr>
          <w:rFonts w:ascii="Times New Roman" w:hAnsi="Times New Roman" w:cs="Times New Roman"/>
          <w:i/>
          <w:sz w:val="28"/>
          <w:szCs w:val="28"/>
        </w:rPr>
        <w:t>Brown* and Prof</w:t>
      </w:r>
      <w:r w:rsidR="00504EEB">
        <w:rPr>
          <w:rFonts w:ascii="Times New Roman" w:hAnsi="Times New Roman" w:cs="Times New Roman"/>
          <w:i/>
          <w:sz w:val="28"/>
          <w:szCs w:val="28"/>
        </w:rPr>
        <w:t xml:space="preserve"> </w:t>
      </w:r>
      <w:r w:rsidRPr="00196252">
        <w:rPr>
          <w:rFonts w:ascii="Times New Roman" w:hAnsi="Times New Roman" w:cs="Times New Roman"/>
          <w:i/>
          <w:sz w:val="28"/>
          <w:szCs w:val="28"/>
        </w:rPr>
        <w:t>Mark Pawlowski**</w:t>
      </w:r>
    </w:p>
    <w:p w14:paraId="2CED6D1E" w14:textId="77777777" w:rsidR="00196252" w:rsidRPr="00196252" w:rsidRDefault="00196252">
      <w:pPr>
        <w:rPr>
          <w:rFonts w:ascii="Times New Roman" w:hAnsi="Times New Roman" w:cs="Times New Roman"/>
          <w:sz w:val="24"/>
          <w:szCs w:val="24"/>
        </w:rPr>
      </w:pPr>
      <w:r w:rsidRPr="00196252">
        <w:rPr>
          <w:rFonts w:ascii="Times New Roman" w:hAnsi="Times New Roman" w:cs="Times New Roman"/>
          <w:sz w:val="24"/>
          <w:szCs w:val="24"/>
        </w:rPr>
        <w:t>* Barrister, Reader in Law, School of Law, Aston University</w:t>
      </w:r>
    </w:p>
    <w:p w14:paraId="2B7FD08C" w14:textId="77777777" w:rsidR="00196252" w:rsidRPr="00196252" w:rsidRDefault="00196252">
      <w:pPr>
        <w:rPr>
          <w:rFonts w:ascii="Times New Roman" w:hAnsi="Times New Roman" w:cs="Times New Roman"/>
          <w:sz w:val="24"/>
          <w:szCs w:val="24"/>
        </w:rPr>
      </w:pPr>
      <w:r w:rsidRPr="00196252">
        <w:rPr>
          <w:rFonts w:ascii="Times New Roman" w:hAnsi="Times New Roman" w:cs="Times New Roman"/>
          <w:sz w:val="24"/>
          <w:szCs w:val="24"/>
        </w:rPr>
        <w:t>** Barrister, Professor Emeritus of Property Law, School of Law, University of Greenwich</w:t>
      </w:r>
    </w:p>
    <w:p w14:paraId="61704A9F" w14:textId="77777777" w:rsidR="00196252" w:rsidRDefault="00196252" w:rsidP="00952278">
      <w:pPr>
        <w:jc w:val="both"/>
        <w:rPr>
          <w:rFonts w:ascii="Times New Roman" w:hAnsi="Times New Roman" w:cs="Times New Roman"/>
          <w:sz w:val="24"/>
          <w:szCs w:val="24"/>
        </w:rPr>
      </w:pPr>
    </w:p>
    <w:p w14:paraId="2BEBA5B5" w14:textId="77777777" w:rsidR="00196252" w:rsidRPr="00196252" w:rsidRDefault="00196252" w:rsidP="00952278">
      <w:pPr>
        <w:jc w:val="both"/>
        <w:rPr>
          <w:rFonts w:ascii="Times New Roman" w:hAnsi="Times New Roman" w:cs="Times New Roman"/>
          <w:b/>
          <w:sz w:val="24"/>
          <w:szCs w:val="24"/>
        </w:rPr>
      </w:pPr>
      <w:r w:rsidRPr="00196252">
        <w:rPr>
          <w:rFonts w:ascii="Times New Roman" w:hAnsi="Times New Roman" w:cs="Times New Roman"/>
          <w:b/>
          <w:sz w:val="24"/>
          <w:szCs w:val="24"/>
        </w:rPr>
        <w:t>Introduction</w:t>
      </w:r>
    </w:p>
    <w:p w14:paraId="0A40D278" w14:textId="77777777" w:rsidR="0074456D" w:rsidRDefault="006E3492" w:rsidP="00952278">
      <w:pPr>
        <w:jc w:val="both"/>
        <w:rPr>
          <w:rFonts w:ascii="Times New Roman" w:hAnsi="Times New Roman" w:cs="Times New Roman"/>
          <w:sz w:val="24"/>
          <w:szCs w:val="24"/>
        </w:rPr>
      </w:pPr>
      <w:r>
        <w:rPr>
          <w:rFonts w:ascii="Times New Roman" w:hAnsi="Times New Roman" w:cs="Times New Roman"/>
          <w:sz w:val="24"/>
          <w:szCs w:val="24"/>
        </w:rPr>
        <w:t xml:space="preserve">It is surprising how little legal literature exists on this particular topic. </w:t>
      </w:r>
      <w:r w:rsidR="00C638C7">
        <w:rPr>
          <w:rFonts w:ascii="Times New Roman" w:hAnsi="Times New Roman" w:cs="Times New Roman"/>
          <w:sz w:val="24"/>
          <w:szCs w:val="24"/>
        </w:rPr>
        <w:t xml:space="preserve">A trawl of the leading land law textbooks </w:t>
      </w:r>
      <w:r w:rsidR="00A11967">
        <w:rPr>
          <w:rFonts w:ascii="Times New Roman" w:hAnsi="Times New Roman" w:cs="Times New Roman"/>
          <w:sz w:val="24"/>
          <w:szCs w:val="24"/>
        </w:rPr>
        <w:t xml:space="preserve">by the writers </w:t>
      </w:r>
      <w:r w:rsidR="00C638C7">
        <w:rPr>
          <w:rFonts w:ascii="Times New Roman" w:hAnsi="Times New Roman" w:cs="Times New Roman"/>
          <w:sz w:val="24"/>
          <w:szCs w:val="24"/>
        </w:rPr>
        <w:t>revealed only one relatively brief reference to the topic of release in the context of a joint tenancy of land.</w:t>
      </w:r>
      <w:r w:rsidR="00C62616">
        <w:rPr>
          <w:rStyle w:val="FootnoteReference"/>
          <w:rFonts w:ascii="Times New Roman" w:hAnsi="Times New Roman" w:cs="Times New Roman"/>
          <w:sz w:val="24"/>
          <w:szCs w:val="24"/>
        </w:rPr>
        <w:footnoteReference w:id="1"/>
      </w:r>
      <w:r w:rsidR="00C638C7">
        <w:rPr>
          <w:rFonts w:ascii="Times New Roman" w:hAnsi="Times New Roman" w:cs="Times New Roman"/>
          <w:sz w:val="24"/>
          <w:szCs w:val="24"/>
        </w:rPr>
        <w:t xml:space="preserve"> The reason for this may be partly historical.</w:t>
      </w:r>
      <w:r w:rsidR="00C62616">
        <w:rPr>
          <w:rFonts w:ascii="Times New Roman" w:hAnsi="Times New Roman" w:cs="Times New Roman"/>
          <w:sz w:val="24"/>
          <w:szCs w:val="24"/>
        </w:rPr>
        <w:t xml:space="preserve"> </w:t>
      </w:r>
      <w:r w:rsidR="00952278">
        <w:rPr>
          <w:rFonts w:ascii="Times New Roman" w:hAnsi="Times New Roman" w:cs="Times New Roman"/>
          <w:sz w:val="24"/>
          <w:szCs w:val="24"/>
        </w:rPr>
        <w:t>Prior to 1926, the mechanism by which a joint tenant could extinguish his interest under a joint tenancy of the legal estate was by a deed of release. As we know, a joint tenant holds an undivided share of the land (in the sense tha</w:t>
      </w:r>
      <w:r w:rsidR="00130829">
        <w:rPr>
          <w:rFonts w:ascii="Times New Roman" w:hAnsi="Times New Roman" w:cs="Times New Roman"/>
          <w:sz w:val="24"/>
          <w:szCs w:val="24"/>
        </w:rPr>
        <w:t>t he is seiz</w:t>
      </w:r>
      <w:r w:rsidR="00952278">
        <w:rPr>
          <w:rFonts w:ascii="Times New Roman" w:hAnsi="Times New Roman" w:cs="Times New Roman"/>
          <w:sz w:val="24"/>
          <w:szCs w:val="24"/>
        </w:rPr>
        <w:t>ed of the whole of the land)</w:t>
      </w:r>
      <w:r w:rsidR="0074456D">
        <w:rPr>
          <w:rFonts w:ascii="Times New Roman" w:hAnsi="Times New Roman" w:cs="Times New Roman"/>
          <w:sz w:val="24"/>
          <w:szCs w:val="24"/>
        </w:rPr>
        <w:t xml:space="preserve"> so before 1926 it was not</w:t>
      </w:r>
      <w:r w:rsidR="00952278">
        <w:rPr>
          <w:rFonts w:ascii="Times New Roman" w:hAnsi="Times New Roman" w:cs="Times New Roman"/>
          <w:sz w:val="24"/>
          <w:szCs w:val="24"/>
        </w:rPr>
        <w:t xml:space="preserve"> possible for one co-owner to convey his interest to another by means of a grant. </w:t>
      </w:r>
      <w:r w:rsidR="0074456D">
        <w:rPr>
          <w:rFonts w:ascii="Times New Roman" w:hAnsi="Times New Roman" w:cs="Times New Roman"/>
          <w:sz w:val="24"/>
          <w:szCs w:val="24"/>
        </w:rPr>
        <w:t xml:space="preserve">The only means by which this could be done was by a release.  </w:t>
      </w:r>
      <w:r w:rsidR="00130829">
        <w:rPr>
          <w:rFonts w:ascii="Times New Roman" w:hAnsi="Times New Roman" w:cs="Times New Roman"/>
          <w:sz w:val="24"/>
          <w:szCs w:val="24"/>
        </w:rPr>
        <w:t>Indeed, pri</w:t>
      </w:r>
      <w:r w:rsidR="00723173">
        <w:rPr>
          <w:rFonts w:ascii="Times New Roman" w:hAnsi="Times New Roman" w:cs="Times New Roman"/>
          <w:sz w:val="24"/>
          <w:szCs w:val="24"/>
        </w:rPr>
        <w:t>or to 19</w:t>
      </w:r>
      <w:r w:rsidR="00983443">
        <w:rPr>
          <w:rFonts w:ascii="Times New Roman" w:hAnsi="Times New Roman" w:cs="Times New Roman"/>
          <w:sz w:val="24"/>
          <w:szCs w:val="24"/>
        </w:rPr>
        <w:t xml:space="preserve">26, any attempted grant was </w:t>
      </w:r>
      <w:r w:rsidR="00723173">
        <w:rPr>
          <w:rFonts w:ascii="Times New Roman" w:hAnsi="Times New Roman" w:cs="Times New Roman"/>
          <w:sz w:val="24"/>
          <w:szCs w:val="24"/>
        </w:rPr>
        <w:t xml:space="preserve">construed </w:t>
      </w:r>
      <w:r w:rsidR="00130829">
        <w:rPr>
          <w:rFonts w:ascii="Times New Roman" w:hAnsi="Times New Roman" w:cs="Times New Roman"/>
          <w:sz w:val="24"/>
          <w:szCs w:val="24"/>
        </w:rPr>
        <w:t>as a release.</w:t>
      </w:r>
      <w:r w:rsidR="00D92E95">
        <w:rPr>
          <w:rStyle w:val="FootnoteReference"/>
          <w:rFonts w:ascii="Times New Roman" w:hAnsi="Times New Roman" w:cs="Times New Roman"/>
          <w:sz w:val="24"/>
          <w:szCs w:val="24"/>
        </w:rPr>
        <w:footnoteReference w:id="2"/>
      </w:r>
    </w:p>
    <w:p w14:paraId="73D70488" w14:textId="77777777" w:rsidR="00952278" w:rsidRDefault="00041748" w:rsidP="00952278">
      <w:pPr>
        <w:jc w:val="both"/>
        <w:rPr>
          <w:rFonts w:ascii="Times New Roman" w:hAnsi="Times New Roman" w:cs="Times New Roman"/>
          <w:sz w:val="24"/>
          <w:szCs w:val="24"/>
        </w:rPr>
      </w:pPr>
      <w:r>
        <w:rPr>
          <w:rFonts w:ascii="Times New Roman" w:hAnsi="Times New Roman" w:cs="Times New Roman"/>
          <w:sz w:val="24"/>
          <w:szCs w:val="24"/>
        </w:rPr>
        <w:t xml:space="preserve">The ability of two or more </w:t>
      </w:r>
      <w:r w:rsidR="006E657E">
        <w:rPr>
          <w:rFonts w:ascii="Times New Roman" w:hAnsi="Times New Roman" w:cs="Times New Roman"/>
          <w:sz w:val="24"/>
          <w:szCs w:val="24"/>
        </w:rPr>
        <w:t>joint tenant</w:t>
      </w:r>
      <w:r>
        <w:rPr>
          <w:rFonts w:ascii="Times New Roman" w:hAnsi="Times New Roman" w:cs="Times New Roman"/>
          <w:sz w:val="24"/>
          <w:szCs w:val="24"/>
        </w:rPr>
        <w:t>s</w:t>
      </w:r>
      <w:r w:rsidR="006E657E">
        <w:rPr>
          <w:rFonts w:ascii="Times New Roman" w:hAnsi="Times New Roman" w:cs="Times New Roman"/>
          <w:sz w:val="24"/>
          <w:szCs w:val="24"/>
        </w:rPr>
        <w:t xml:space="preserve"> to </w:t>
      </w:r>
      <w:r>
        <w:rPr>
          <w:rFonts w:ascii="Times New Roman" w:hAnsi="Times New Roman" w:cs="Times New Roman"/>
          <w:sz w:val="24"/>
          <w:szCs w:val="24"/>
        </w:rPr>
        <w:t>convey their</w:t>
      </w:r>
      <w:r w:rsidR="00130829">
        <w:rPr>
          <w:rFonts w:ascii="Times New Roman" w:hAnsi="Times New Roman" w:cs="Times New Roman"/>
          <w:sz w:val="24"/>
          <w:szCs w:val="24"/>
        </w:rPr>
        <w:t xml:space="preserve"> </w:t>
      </w:r>
      <w:r w:rsidR="001C34FA">
        <w:rPr>
          <w:rFonts w:ascii="Times New Roman" w:hAnsi="Times New Roman" w:cs="Times New Roman"/>
          <w:sz w:val="24"/>
          <w:szCs w:val="24"/>
        </w:rPr>
        <w:t xml:space="preserve">legal </w:t>
      </w:r>
      <w:r w:rsidR="00130829">
        <w:rPr>
          <w:rFonts w:ascii="Times New Roman" w:hAnsi="Times New Roman" w:cs="Times New Roman"/>
          <w:sz w:val="24"/>
          <w:szCs w:val="24"/>
        </w:rPr>
        <w:t xml:space="preserve">interest </w:t>
      </w:r>
      <w:r w:rsidR="001C34FA">
        <w:rPr>
          <w:rFonts w:ascii="Times New Roman" w:hAnsi="Times New Roman" w:cs="Times New Roman"/>
          <w:sz w:val="24"/>
          <w:szCs w:val="24"/>
        </w:rPr>
        <w:t xml:space="preserve">in any property </w:t>
      </w:r>
      <w:r w:rsidR="00130829">
        <w:rPr>
          <w:rFonts w:ascii="Times New Roman" w:hAnsi="Times New Roman" w:cs="Times New Roman"/>
          <w:sz w:val="24"/>
          <w:szCs w:val="24"/>
        </w:rPr>
        <w:t>to another joint tenant</w:t>
      </w:r>
      <w:r w:rsidR="006E657E">
        <w:rPr>
          <w:rFonts w:ascii="Times New Roman" w:hAnsi="Times New Roman" w:cs="Times New Roman"/>
          <w:sz w:val="24"/>
          <w:szCs w:val="24"/>
        </w:rPr>
        <w:t xml:space="preserve"> is now placed on a statutory footing by virtue of s.72(4) of the Law of Property Act 1925. Interestingly, </w:t>
      </w:r>
      <w:r w:rsidR="00952278">
        <w:rPr>
          <w:rFonts w:ascii="Times New Roman" w:hAnsi="Times New Roman" w:cs="Times New Roman"/>
          <w:sz w:val="24"/>
          <w:szCs w:val="24"/>
        </w:rPr>
        <w:t xml:space="preserve">the power of a </w:t>
      </w:r>
      <w:r w:rsidR="005D31E3">
        <w:rPr>
          <w:rFonts w:ascii="Times New Roman" w:hAnsi="Times New Roman" w:cs="Times New Roman"/>
          <w:sz w:val="24"/>
          <w:szCs w:val="24"/>
        </w:rPr>
        <w:t xml:space="preserve">joint tenant to release his interest </w:t>
      </w:r>
      <w:r w:rsidR="001C34FA">
        <w:rPr>
          <w:rFonts w:ascii="Times New Roman" w:hAnsi="Times New Roman" w:cs="Times New Roman"/>
          <w:sz w:val="24"/>
          <w:szCs w:val="24"/>
        </w:rPr>
        <w:t xml:space="preserve">to the other joint tenants </w:t>
      </w:r>
      <w:r w:rsidR="005D31E3">
        <w:rPr>
          <w:rFonts w:ascii="Times New Roman" w:hAnsi="Times New Roman" w:cs="Times New Roman"/>
          <w:sz w:val="24"/>
          <w:szCs w:val="24"/>
        </w:rPr>
        <w:t xml:space="preserve">has </w:t>
      </w:r>
      <w:r w:rsidR="006E657E">
        <w:rPr>
          <w:rFonts w:ascii="Times New Roman" w:hAnsi="Times New Roman" w:cs="Times New Roman"/>
          <w:sz w:val="24"/>
          <w:szCs w:val="24"/>
        </w:rPr>
        <w:t xml:space="preserve">also </w:t>
      </w:r>
      <w:r w:rsidR="005D31E3">
        <w:rPr>
          <w:rFonts w:ascii="Times New Roman" w:hAnsi="Times New Roman" w:cs="Times New Roman"/>
          <w:sz w:val="24"/>
          <w:szCs w:val="24"/>
        </w:rPr>
        <w:t xml:space="preserve">been </w:t>
      </w:r>
      <w:r w:rsidR="00952278">
        <w:rPr>
          <w:rFonts w:ascii="Times New Roman" w:hAnsi="Times New Roman" w:cs="Times New Roman"/>
          <w:sz w:val="24"/>
          <w:szCs w:val="24"/>
        </w:rPr>
        <w:t xml:space="preserve">preserved under </w:t>
      </w:r>
      <w:r w:rsidR="005D31E3">
        <w:rPr>
          <w:rFonts w:ascii="Times New Roman" w:hAnsi="Times New Roman" w:cs="Times New Roman"/>
          <w:sz w:val="24"/>
          <w:szCs w:val="24"/>
        </w:rPr>
        <w:t>s.36(2) of the Law of Property Act 1925, which states:</w:t>
      </w:r>
    </w:p>
    <w:p w14:paraId="1AD5C56D" w14:textId="77777777" w:rsidR="006E657E" w:rsidRDefault="00130829" w:rsidP="00952278">
      <w:pPr>
        <w:jc w:val="both"/>
        <w:rPr>
          <w:rFonts w:ascii="Times New Roman" w:hAnsi="Times New Roman" w:cs="Times New Roman"/>
          <w:sz w:val="24"/>
          <w:szCs w:val="24"/>
        </w:rPr>
      </w:pPr>
      <w:r>
        <w:rPr>
          <w:rFonts w:ascii="Times New Roman" w:hAnsi="Times New Roman" w:cs="Times New Roman"/>
          <w:sz w:val="24"/>
          <w:szCs w:val="24"/>
        </w:rPr>
        <w:tab/>
      </w:r>
      <w:r w:rsidR="00180DE6">
        <w:rPr>
          <w:rFonts w:ascii="Times New Roman" w:hAnsi="Times New Roman" w:cs="Times New Roman"/>
          <w:sz w:val="24"/>
          <w:szCs w:val="24"/>
        </w:rPr>
        <w:t xml:space="preserve">"No severance of a joint </w:t>
      </w:r>
      <w:r w:rsidR="00041748">
        <w:rPr>
          <w:rFonts w:ascii="Times New Roman" w:hAnsi="Times New Roman" w:cs="Times New Roman"/>
          <w:sz w:val="24"/>
          <w:szCs w:val="24"/>
        </w:rPr>
        <w:t>tenancy of a legal estate</w:t>
      </w:r>
      <w:r>
        <w:rPr>
          <w:rFonts w:ascii="Times New Roman" w:hAnsi="Times New Roman" w:cs="Times New Roman"/>
          <w:sz w:val="24"/>
          <w:szCs w:val="24"/>
        </w:rPr>
        <w:t xml:space="preserve">, so as to create a tenancy in </w:t>
      </w:r>
      <w:r>
        <w:rPr>
          <w:rFonts w:ascii="Times New Roman" w:hAnsi="Times New Roman" w:cs="Times New Roman"/>
          <w:sz w:val="24"/>
          <w:szCs w:val="24"/>
        </w:rPr>
        <w:tab/>
        <w:t xml:space="preserve">common in land, shall be permissible, whether by operation of law or otherwise, but </w:t>
      </w:r>
      <w:r>
        <w:rPr>
          <w:rFonts w:ascii="Times New Roman" w:hAnsi="Times New Roman" w:cs="Times New Roman"/>
          <w:sz w:val="24"/>
          <w:szCs w:val="24"/>
        </w:rPr>
        <w:tab/>
        <w:t xml:space="preserve">this subsection does not affect the right of a joint tenant to release his interest to the </w:t>
      </w:r>
      <w:r>
        <w:rPr>
          <w:rFonts w:ascii="Times New Roman" w:hAnsi="Times New Roman" w:cs="Times New Roman"/>
          <w:sz w:val="24"/>
          <w:szCs w:val="24"/>
        </w:rPr>
        <w:tab/>
        <w:t xml:space="preserve">other joint tenants, or the right to sever a joint tenancy in an equitable interest whether </w:t>
      </w:r>
      <w:r>
        <w:rPr>
          <w:rFonts w:ascii="Times New Roman" w:hAnsi="Times New Roman" w:cs="Times New Roman"/>
          <w:sz w:val="24"/>
          <w:szCs w:val="24"/>
        </w:rPr>
        <w:tab/>
        <w:t>or not the legal estate is vested in the joint tenants."</w:t>
      </w:r>
    </w:p>
    <w:p w14:paraId="1603AF5B" w14:textId="77777777" w:rsidR="002153A8" w:rsidRDefault="00130829" w:rsidP="00952278">
      <w:pPr>
        <w:jc w:val="both"/>
        <w:rPr>
          <w:rFonts w:ascii="Times New Roman" w:hAnsi="Times New Roman" w:cs="Times New Roman"/>
          <w:sz w:val="24"/>
          <w:szCs w:val="24"/>
        </w:rPr>
      </w:pPr>
      <w:r>
        <w:rPr>
          <w:rFonts w:ascii="Times New Roman" w:hAnsi="Times New Roman" w:cs="Times New Roman"/>
          <w:sz w:val="24"/>
          <w:szCs w:val="24"/>
        </w:rPr>
        <w:t>The effect of this provision is that</w:t>
      </w:r>
      <w:r w:rsidR="000F1959" w:rsidRPr="000F1959">
        <w:rPr>
          <w:rFonts w:ascii="Times New Roman" w:hAnsi="Times New Roman" w:cs="Times New Roman"/>
          <w:b/>
          <w:sz w:val="24"/>
          <w:szCs w:val="24"/>
        </w:rPr>
        <w:t xml:space="preserve">, </w:t>
      </w:r>
      <w:r w:rsidR="000F1959" w:rsidRPr="001212F2">
        <w:rPr>
          <w:rFonts w:ascii="Times New Roman" w:hAnsi="Times New Roman" w:cs="Times New Roman"/>
          <w:sz w:val="24"/>
          <w:szCs w:val="24"/>
        </w:rPr>
        <w:t>whilst severance of a joint tenancy of a legal estate is not permissible,</w:t>
      </w:r>
      <w:r w:rsidR="000F1959">
        <w:rPr>
          <w:rFonts w:ascii="Times New Roman" w:hAnsi="Times New Roman" w:cs="Times New Roman"/>
          <w:sz w:val="24"/>
          <w:szCs w:val="24"/>
        </w:rPr>
        <w:t xml:space="preserve"> </w:t>
      </w:r>
      <w:r>
        <w:rPr>
          <w:rFonts w:ascii="Times New Roman" w:hAnsi="Times New Roman" w:cs="Times New Roman"/>
          <w:sz w:val="24"/>
          <w:szCs w:val="24"/>
        </w:rPr>
        <w:t xml:space="preserve">a joint tenant may still </w:t>
      </w:r>
      <w:r w:rsidRPr="00723173">
        <w:rPr>
          <w:rFonts w:ascii="Times New Roman" w:hAnsi="Times New Roman" w:cs="Times New Roman"/>
          <w:i/>
          <w:sz w:val="24"/>
          <w:szCs w:val="24"/>
        </w:rPr>
        <w:t>release</w:t>
      </w:r>
      <w:r>
        <w:rPr>
          <w:rFonts w:ascii="Times New Roman" w:hAnsi="Times New Roman" w:cs="Times New Roman"/>
          <w:sz w:val="24"/>
          <w:szCs w:val="24"/>
        </w:rPr>
        <w:t xml:space="preserve"> his legal estate or equitable interest (or both) to the other joint tenants. </w:t>
      </w:r>
      <w:r w:rsidR="009F7A21">
        <w:rPr>
          <w:rFonts w:ascii="Times New Roman" w:hAnsi="Times New Roman" w:cs="Times New Roman"/>
          <w:sz w:val="24"/>
          <w:szCs w:val="24"/>
        </w:rPr>
        <w:t>In this connection, a</w:t>
      </w:r>
      <w:r>
        <w:rPr>
          <w:rFonts w:ascii="Times New Roman" w:hAnsi="Times New Roman" w:cs="Times New Roman"/>
          <w:sz w:val="24"/>
          <w:szCs w:val="24"/>
        </w:rPr>
        <w:t xml:space="preserve"> release resembles a conv</w:t>
      </w:r>
      <w:r w:rsidR="009F7A21">
        <w:rPr>
          <w:rFonts w:ascii="Times New Roman" w:hAnsi="Times New Roman" w:cs="Times New Roman"/>
          <w:sz w:val="24"/>
          <w:szCs w:val="24"/>
        </w:rPr>
        <w:t xml:space="preserve">eyance, </w:t>
      </w:r>
      <w:r w:rsidR="00723173">
        <w:rPr>
          <w:rFonts w:ascii="Times New Roman" w:hAnsi="Times New Roman" w:cs="Times New Roman"/>
          <w:sz w:val="24"/>
          <w:szCs w:val="24"/>
        </w:rPr>
        <w:t xml:space="preserve">but perhaps is better understood as an extinguishment of an interest given that the whole estate is already </w:t>
      </w:r>
      <w:r w:rsidR="00723173">
        <w:rPr>
          <w:rFonts w:ascii="Times New Roman" w:hAnsi="Times New Roman" w:cs="Times New Roman"/>
          <w:sz w:val="24"/>
          <w:szCs w:val="24"/>
        </w:rPr>
        <w:lastRenderedPageBreak/>
        <w:t>vested in each joint tenant under the joint tenancy.</w:t>
      </w:r>
      <w:r w:rsidR="00315FDE">
        <w:rPr>
          <w:rStyle w:val="FootnoteReference"/>
          <w:rFonts w:ascii="Times New Roman" w:hAnsi="Times New Roman" w:cs="Times New Roman"/>
          <w:sz w:val="24"/>
          <w:szCs w:val="24"/>
        </w:rPr>
        <w:footnoteReference w:id="3"/>
      </w:r>
      <w:r w:rsidR="00723173">
        <w:rPr>
          <w:rFonts w:ascii="Times New Roman" w:hAnsi="Times New Roman" w:cs="Times New Roman"/>
          <w:sz w:val="24"/>
          <w:szCs w:val="24"/>
        </w:rPr>
        <w:t xml:space="preserve"> A release also </w:t>
      </w:r>
      <w:r w:rsidR="009F7A21">
        <w:rPr>
          <w:rFonts w:ascii="Times New Roman" w:hAnsi="Times New Roman" w:cs="Times New Roman"/>
          <w:sz w:val="24"/>
          <w:szCs w:val="24"/>
        </w:rPr>
        <w:t>differs from a surrender in that it benefits only the person in whose favour it is made. Thus, if A, B and C are beneficial joint tenants and A releases his beneficial interest to B, B alone acquires A's one-third share as equitable tenant in common. B remains joint tenant w</w:t>
      </w:r>
      <w:r w:rsidR="008519CD">
        <w:rPr>
          <w:rFonts w:ascii="Times New Roman" w:hAnsi="Times New Roman" w:cs="Times New Roman"/>
          <w:sz w:val="24"/>
          <w:szCs w:val="24"/>
        </w:rPr>
        <w:t>ith C as to the other two-thirds.</w:t>
      </w:r>
      <w:r w:rsidR="008F585B">
        <w:rPr>
          <w:rStyle w:val="FootnoteReference"/>
          <w:rFonts w:ascii="Times New Roman" w:hAnsi="Times New Roman" w:cs="Times New Roman"/>
          <w:sz w:val="24"/>
          <w:szCs w:val="24"/>
        </w:rPr>
        <w:footnoteReference w:id="4"/>
      </w:r>
      <w:r w:rsidR="008519CD">
        <w:rPr>
          <w:rFonts w:ascii="Times New Roman" w:hAnsi="Times New Roman" w:cs="Times New Roman"/>
          <w:sz w:val="24"/>
          <w:szCs w:val="24"/>
        </w:rPr>
        <w:t xml:space="preserve"> By contrast, a </w:t>
      </w:r>
      <w:r w:rsidR="008519CD" w:rsidRPr="002F72FA">
        <w:rPr>
          <w:rFonts w:ascii="Times New Roman" w:hAnsi="Times New Roman" w:cs="Times New Roman"/>
          <w:i/>
          <w:sz w:val="24"/>
          <w:szCs w:val="24"/>
        </w:rPr>
        <w:t>tenant in common</w:t>
      </w:r>
      <w:r w:rsidR="008519CD">
        <w:rPr>
          <w:rFonts w:ascii="Times New Roman" w:hAnsi="Times New Roman" w:cs="Times New Roman"/>
          <w:sz w:val="24"/>
          <w:szCs w:val="24"/>
        </w:rPr>
        <w:t xml:space="preserve"> cannot release his share to the other tenants; instead, he will have to assign his equitable interest in writing to the other tenants complying with s.53(1)(c) </w:t>
      </w:r>
      <w:r w:rsidR="007A667A">
        <w:rPr>
          <w:rFonts w:ascii="Times New Roman" w:hAnsi="Times New Roman" w:cs="Times New Roman"/>
          <w:sz w:val="24"/>
          <w:szCs w:val="24"/>
        </w:rPr>
        <w:t>of the 1925 Act</w:t>
      </w:r>
      <w:r w:rsidR="00B82CE3">
        <w:rPr>
          <w:rFonts w:ascii="Times New Roman" w:hAnsi="Times New Roman" w:cs="Times New Roman"/>
          <w:sz w:val="24"/>
          <w:szCs w:val="24"/>
        </w:rPr>
        <w:t>.</w:t>
      </w:r>
      <w:r w:rsidR="007A667A">
        <w:rPr>
          <w:rFonts w:ascii="Times New Roman" w:hAnsi="Times New Roman" w:cs="Times New Roman"/>
          <w:sz w:val="24"/>
          <w:szCs w:val="24"/>
        </w:rPr>
        <w:t xml:space="preserve"> </w:t>
      </w:r>
    </w:p>
    <w:p w14:paraId="266AF7D9" w14:textId="77777777" w:rsidR="009A177F" w:rsidRDefault="009A177F" w:rsidP="00952278">
      <w:pPr>
        <w:jc w:val="both"/>
        <w:rPr>
          <w:rFonts w:ascii="Times New Roman" w:hAnsi="Times New Roman" w:cs="Times New Roman"/>
          <w:sz w:val="24"/>
          <w:szCs w:val="24"/>
        </w:rPr>
      </w:pPr>
    </w:p>
    <w:p w14:paraId="70B305BD" w14:textId="77777777" w:rsidR="002153A8" w:rsidRPr="002153A8" w:rsidRDefault="002153A8" w:rsidP="00952278">
      <w:pPr>
        <w:jc w:val="both"/>
        <w:rPr>
          <w:rFonts w:ascii="Times New Roman" w:hAnsi="Times New Roman" w:cs="Times New Roman"/>
          <w:b/>
          <w:sz w:val="24"/>
          <w:szCs w:val="24"/>
        </w:rPr>
      </w:pPr>
      <w:r w:rsidRPr="002153A8">
        <w:rPr>
          <w:rFonts w:ascii="Times New Roman" w:hAnsi="Times New Roman" w:cs="Times New Roman"/>
          <w:b/>
          <w:sz w:val="24"/>
          <w:szCs w:val="24"/>
        </w:rPr>
        <w:t>Does a</w:t>
      </w:r>
      <w:r w:rsidR="00382323">
        <w:rPr>
          <w:rFonts w:ascii="Times New Roman" w:hAnsi="Times New Roman" w:cs="Times New Roman"/>
          <w:b/>
          <w:sz w:val="24"/>
          <w:szCs w:val="24"/>
        </w:rPr>
        <w:t xml:space="preserve"> release amount to a</w:t>
      </w:r>
      <w:r w:rsidR="003114D6">
        <w:rPr>
          <w:rFonts w:ascii="Times New Roman" w:hAnsi="Times New Roman" w:cs="Times New Roman"/>
          <w:b/>
          <w:sz w:val="24"/>
          <w:szCs w:val="24"/>
        </w:rPr>
        <w:t xml:space="preserve"> disposition</w:t>
      </w:r>
      <w:r w:rsidRPr="002153A8">
        <w:rPr>
          <w:rFonts w:ascii="Times New Roman" w:hAnsi="Times New Roman" w:cs="Times New Roman"/>
          <w:b/>
          <w:sz w:val="24"/>
          <w:szCs w:val="24"/>
        </w:rPr>
        <w:t>?</w:t>
      </w:r>
    </w:p>
    <w:p w14:paraId="1EF00F8F" w14:textId="77777777" w:rsidR="004809FF" w:rsidRDefault="00265017" w:rsidP="00952278">
      <w:pPr>
        <w:jc w:val="both"/>
        <w:rPr>
          <w:rFonts w:ascii="Times New Roman" w:hAnsi="Times New Roman" w:cs="Times New Roman"/>
          <w:sz w:val="24"/>
          <w:szCs w:val="24"/>
        </w:rPr>
      </w:pPr>
      <w:r w:rsidRPr="00265017">
        <w:rPr>
          <w:rFonts w:ascii="Times New Roman" w:hAnsi="Times New Roman" w:cs="Times New Roman"/>
          <w:color w:val="1F1F1F"/>
          <w:sz w:val="24"/>
          <w:szCs w:val="24"/>
          <w:shd w:val="clear" w:color="auto" w:fill="FFFFFF"/>
        </w:rPr>
        <w:t xml:space="preserve">In </w:t>
      </w:r>
      <w:r w:rsidRPr="00265017">
        <w:rPr>
          <w:rFonts w:ascii="Times New Roman" w:hAnsi="Times New Roman" w:cs="Times New Roman"/>
          <w:i/>
          <w:color w:val="1F1F1F"/>
          <w:sz w:val="24"/>
          <w:szCs w:val="24"/>
          <w:shd w:val="clear" w:color="auto" w:fill="FFFFFF"/>
        </w:rPr>
        <w:t xml:space="preserve">Burton v Camden London Borough </w:t>
      </w:r>
      <w:r w:rsidRPr="00196252">
        <w:rPr>
          <w:rFonts w:ascii="Times New Roman" w:hAnsi="Times New Roman" w:cs="Times New Roman"/>
          <w:color w:val="1F1F1F"/>
          <w:sz w:val="24"/>
          <w:szCs w:val="24"/>
          <w:shd w:val="clear" w:color="auto" w:fill="FFFFFF"/>
        </w:rPr>
        <w:t>Council</w:t>
      </w:r>
      <w:r w:rsidR="00196252">
        <w:rPr>
          <w:rFonts w:ascii="Times New Roman" w:hAnsi="Times New Roman" w:cs="Times New Roman"/>
          <w:color w:val="1F1F1F"/>
          <w:sz w:val="24"/>
          <w:szCs w:val="24"/>
          <w:shd w:val="clear" w:color="auto" w:fill="FFFFFF"/>
        </w:rPr>
        <w:t>,</w:t>
      </w:r>
      <w:r w:rsidR="00196252">
        <w:rPr>
          <w:rStyle w:val="FootnoteReference"/>
          <w:rFonts w:ascii="Times New Roman" w:hAnsi="Times New Roman" w:cs="Times New Roman"/>
          <w:i/>
          <w:color w:val="1F1F1F"/>
          <w:sz w:val="24"/>
          <w:szCs w:val="24"/>
          <w:shd w:val="clear" w:color="auto" w:fill="FFFFFF"/>
        </w:rPr>
        <w:footnoteReference w:id="5"/>
      </w:r>
      <w:r w:rsidRPr="00265017">
        <w:rPr>
          <w:rFonts w:ascii="Times New Roman" w:hAnsi="Times New Roman" w:cs="Times New Roman"/>
          <w:i/>
          <w:color w:val="1F1F1F"/>
          <w:sz w:val="24"/>
          <w:szCs w:val="24"/>
          <w:shd w:val="clear" w:color="auto" w:fill="FFFFFF"/>
        </w:rPr>
        <w:t xml:space="preserve"> </w:t>
      </w:r>
      <w:r w:rsidRPr="00265017">
        <w:rPr>
          <w:rFonts w:ascii="Times New Roman" w:hAnsi="Times New Roman" w:cs="Times New Roman"/>
          <w:color w:val="1F1F1F"/>
          <w:sz w:val="24"/>
          <w:szCs w:val="24"/>
          <w:shd w:val="clear" w:color="auto" w:fill="FFFFFF"/>
        </w:rPr>
        <w:t>a joint secure tenant of a t</w:t>
      </w:r>
      <w:r w:rsidR="00A87EA8">
        <w:rPr>
          <w:rFonts w:ascii="Times New Roman" w:hAnsi="Times New Roman" w:cs="Times New Roman"/>
          <w:color w:val="1F1F1F"/>
          <w:sz w:val="24"/>
          <w:szCs w:val="24"/>
          <w:shd w:val="clear" w:color="auto" w:fill="FFFFFF"/>
        </w:rPr>
        <w:t>hree bedroom</w:t>
      </w:r>
      <w:r>
        <w:rPr>
          <w:rFonts w:ascii="Times New Roman" w:hAnsi="Times New Roman" w:cs="Times New Roman"/>
          <w:color w:val="1F1F1F"/>
          <w:sz w:val="24"/>
          <w:szCs w:val="24"/>
          <w:shd w:val="clear" w:color="auto" w:fill="FFFFFF"/>
        </w:rPr>
        <w:t xml:space="preserve"> flat </w:t>
      </w:r>
      <w:r w:rsidRPr="00265017">
        <w:rPr>
          <w:rFonts w:ascii="Times New Roman" w:hAnsi="Times New Roman" w:cs="Times New Roman"/>
          <w:color w:val="1F1F1F"/>
          <w:sz w:val="24"/>
          <w:szCs w:val="24"/>
          <w:shd w:val="clear" w:color="auto" w:fill="FFFFFF"/>
        </w:rPr>
        <w:t>claimed that a deed of release was effectiv</w:t>
      </w:r>
      <w:r w:rsidR="00382323">
        <w:rPr>
          <w:rFonts w:ascii="Times New Roman" w:hAnsi="Times New Roman" w:cs="Times New Roman"/>
          <w:color w:val="1F1F1F"/>
          <w:sz w:val="24"/>
          <w:szCs w:val="24"/>
          <w:shd w:val="clear" w:color="auto" w:fill="FFFFFF"/>
        </w:rPr>
        <w:t>e to transfer the legal estate</w:t>
      </w:r>
      <w:r w:rsidRPr="00265017">
        <w:rPr>
          <w:rFonts w:ascii="Times New Roman" w:hAnsi="Times New Roman" w:cs="Times New Roman"/>
          <w:color w:val="1F1F1F"/>
          <w:sz w:val="24"/>
          <w:szCs w:val="24"/>
          <w:shd w:val="clear" w:color="auto" w:fill="FFFFFF"/>
        </w:rPr>
        <w:t xml:space="preserve"> of her former flatmate to her, notwithstanding the statutory bar on assignment under </w:t>
      </w:r>
      <w:r>
        <w:rPr>
          <w:rFonts w:ascii="Times New Roman" w:hAnsi="Times New Roman" w:cs="Times New Roman"/>
          <w:color w:val="1F1F1F"/>
          <w:sz w:val="24"/>
          <w:szCs w:val="24"/>
          <w:shd w:val="clear" w:color="auto" w:fill="FFFFFF"/>
        </w:rPr>
        <w:t>s.91(1) of the Housing Act 1985</w:t>
      </w:r>
      <w:r w:rsidRPr="00265017">
        <w:rPr>
          <w:rFonts w:ascii="Times New Roman" w:hAnsi="Times New Roman" w:cs="Times New Roman"/>
          <w:color w:val="1F1F1F"/>
          <w:sz w:val="24"/>
          <w:szCs w:val="24"/>
          <w:shd w:val="clear" w:color="auto" w:fill="FFFFFF"/>
        </w:rPr>
        <w:t xml:space="preserve">. </w:t>
      </w:r>
      <w:r w:rsidR="004809FF" w:rsidRPr="004809FF">
        <w:rPr>
          <w:rFonts w:ascii="Times New Roman" w:hAnsi="Times New Roman" w:cs="Times New Roman"/>
          <w:sz w:val="24"/>
          <w:szCs w:val="24"/>
        </w:rPr>
        <w:t xml:space="preserve">The operative part of the deed consisted of a single clause, in these terms: </w:t>
      </w:r>
    </w:p>
    <w:p w14:paraId="7A91AA00" w14:textId="77777777" w:rsidR="004809FF" w:rsidRPr="004809FF" w:rsidRDefault="004809FF" w:rsidP="00952278">
      <w:pPr>
        <w:jc w:val="both"/>
        <w:rPr>
          <w:rFonts w:ascii="Times New Roman" w:hAnsi="Times New Roman" w:cs="Times New Roman"/>
          <w:color w:val="1F1F1F"/>
          <w:sz w:val="24"/>
          <w:szCs w:val="24"/>
          <w:shd w:val="clear" w:color="auto" w:fill="FFFFFF"/>
        </w:rPr>
      </w:pPr>
      <w:r>
        <w:rPr>
          <w:rFonts w:ascii="Times New Roman" w:hAnsi="Times New Roman" w:cs="Times New Roman"/>
          <w:sz w:val="24"/>
          <w:szCs w:val="24"/>
        </w:rPr>
        <w:tab/>
      </w:r>
      <w:r w:rsidRPr="004809FF">
        <w:rPr>
          <w:rFonts w:ascii="Times New Roman" w:hAnsi="Times New Roman" w:cs="Times New Roman"/>
          <w:sz w:val="24"/>
          <w:szCs w:val="24"/>
        </w:rPr>
        <w:t xml:space="preserve">"Jan Theresa </w:t>
      </w:r>
      <w:proofErr w:type="spellStart"/>
      <w:r w:rsidRPr="004809FF">
        <w:rPr>
          <w:rFonts w:ascii="Times New Roman" w:hAnsi="Times New Roman" w:cs="Times New Roman"/>
          <w:sz w:val="24"/>
          <w:szCs w:val="24"/>
        </w:rPr>
        <w:t>Hannawin</w:t>
      </w:r>
      <w:proofErr w:type="spellEnd"/>
      <w:r w:rsidRPr="004809FF">
        <w:rPr>
          <w:rFonts w:ascii="Times New Roman" w:hAnsi="Times New Roman" w:cs="Times New Roman"/>
          <w:sz w:val="24"/>
          <w:szCs w:val="24"/>
        </w:rPr>
        <w:t xml:space="preserve"> hereby rele</w:t>
      </w:r>
      <w:r w:rsidR="00F34E5E">
        <w:rPr>
          <w:rFonts w:ascii="Times New Roman" w:hAnsi="Times New Roman" w:cs="Times New Roman"/>
          <w:sz w:val="24"/>
          <w:szCs w:val="24"/>
        </w:rPr>
        <w:t xml:space="preserve">ases her legal and beneficial </w:t>
      </w:r>
      <w:r w:rsidRPr="004809FF">
        <w:rPr>
          <w:rFonts w:ascii="Times New Roman" w:hAnsi="Times New Roman" w:cs="Times New Roman"/>
          <w:sz w:val="24"/>
          <w:szCs w:val="24"/>
        </w:rPr>
        <w:t xml:space="preserve">interest under this </w:t>
      </w:r>
      <w:r>
        <w:rPr>
          <w:rFonts w:ascii="Times New Roman" w:hAnsi="Times New Roman" w:cs="Times New Roman"/>
          <w:sz w:val="24"/>
          <w:szCs w:val="24"/>
        </w:rPr>
        <w:tab/>
      </w:r>
      <w:r w:rsidRPr="004809FF">
        <w:rPr>
          <w:rFonts w:ascii="Times New Roman" w:hAnsi="Times New Roman" w:cs="Times New Roman"/>
          <w:sz w:val="24"/>
          <w:szCs w:val="24"/>
        </w:rPr>
        <w:t xml:space="preserve">joint secure tenancy to Susan Patricia Burton who accepts the same to hold pursuant </w:t>
      </w:r>
      <w:r>
        <w:rPr>
          <w:rFonts w:ascii="Times New Roman" w:hAnsi="Times New Roman" w:cs="Times New Roman"/>
          <w:sz w:val="24"/>
          <w:szCs w:val="24"/>
        </w:rPr>
        <w:tab/>
      </w:r>
      <w:r w:rsidRPr="004809FF">
        <w:rPr>
          <w:rFonts w:ascii="Times New Roman" w:hAnsi="Times New Roman" w:cs="Times New Roman"/>
          <w:sz w:val="24"/>
          <w:szCs w:val="24"/>
        </w:rPr>
        <w:t xml:space="preserve">to this deed of release as the sole secure tenant of the dwelling with effect from the </w:t>
      </w:r>
      <w:r>
        <w:rPr>
          <w:rFonts w:ascii="Times New Roman" w:hAnsi="Times New Roman" w:cs="Times New Roman"/>
          <w:sz w:val="24"/>
          <w:szCs w:val="24"/>
        </w:rPr>
        <w:tab/>
      </w:r>
      <w:r w:rsidRPr="004809FF">
        <w:rPr>
          <w:rFonts w:ascii="Times New Roman" w:hAnsi="Times New Roman" w:cs="Times New Roman"/>
          <w:sz w:val="24"/>
          <w:szCs w:val="24"/>
        </w:rPr>
        <w:t>date hereof."</w:t>
      </w:r>
    </w:p>
    <w:p w14:paraId="4133C606" w14:textId="77777777" w:rsidR="00D14A32" w:rsidRDefault="00D14A32" w:rsidP="00952278">
      <w:pPr>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The </w:t>
      </w:r>
      <w:r w:rsidR="00041748">
        <w:rPr>
          <w:rFonts w:ascii="Times New Roman" w:hAnsi="Times New Roman" w:cs="Times New Roman"/>
          <w:color w:val="1F1F1F"/>
          <w:sz w:val="24"/>
          <w:szCs w:val="24"/>
          <w:shd w:val="clear" w:color="auto" w:fill="FFFFFF"/>
        </w:rPr>
        <w:t xml:space="preserve">majority of the </w:t>
      </w:r>
      <w:r>
        <w:rPr>
          <w:rFonts w:ascii="Times New Roman" w:hAnsi="Times New Roman" w:cs="Times New Roman"/>
          <w:color w:val="1F1F1F"/>
          <w:sz w:val="24"/>
          <w:szCs w:val="24"/>
          <w:shd w:val="clear" w:color="auto" w:fill="FFFFFF"/>
        </w:rPr>
        <w:t xml:space="preserve">House of Lords held that, </w:t>
      </w:r>
      <w:r w:rsidRPr="00D14A32">
        <w:rPr>
          <w:rFonts w:ascii="Times New Roman" w:hAnsi="Times New Roman" w:cs="Times New Roman"/>
          <w:color w:val="1F1F1F"/>
          <w:sz w:val="24"/>
          <w:szCs w:val="24"/>
          <w:shd w:val="clear" w:color="auto" w:fill="FFFFFF"/>
        </w:rPr>
        <w:t xml:space="preserve">although the deed executed by </w:t>
      </w:r>
      <w:r>
        <w:rPr>
          <w:rFonts w:ascii="Times New Roman" w:hAnsi="Times New Roman" w:cs="Times New Roman"/>
          <w:color w:val="1F1F1F"/>
          <w:sz w:val="24"/>
          <w:szCs w:val="24"/>
          <w:shd w:val="clear" w:color="auto" w:fill="FFFFFF"/>
        </w:rPr>
        <w:t>the parties</w:t>
      </w:r>
      <w:r w:rsidRPr="00D14A32">
        <w:rPr>
          <w:rFonts w:ascii="Times New Roman" w:hAnsi="Times New Roman" w:cs="Times New Roman"/>
          <w:color w:val="1F1F1F"/>
          <w:sz w:val="24"/>
          <w:szCs w:val="24"/>
          <w:shd w:val="clear" w:color="auto" w:fill="FFFFFF"/>
        </w:rPr>
        <w:t xml:space="preserve"> had been described as a release, the object of the deed had bee</w:t>
      </w:r>
      <w:r>
        <w:rPr>
          <w:rFonts w:ascii="Times New Roman" w:hAnsi="Times New Roman" w:cs="Times New Roman"/>
          <w:color w:val="1F1F1F"/>
          <w:sz w:val="24"/>
          <w:szCs w:val="24"/>
          <w:shd w:val="clear" w:color="auto" w:fill="FFFFFF"/>
        </w:rPr>
        <w:t>n</w:t>
      </w:r>
      <w:r w:rsidR="00424A0C">
        <w:rPr>
          <w:rFonts w:ascii="Times New Roman" w:hAnsi="Times New Roman" w:cs="Times New Roman"/>
          <w:color w:val="1F1F1F"/>
          <w:sz w:val="24"/>
          <w:szCs w:val="24"/>
          <w:shd w:val="clear" w:color="auto" w:fill="FFFFFF"/>
        </w:rPr>
        <w:t xml:space="preserve"> to transfer the legal estate</w:t>
      </w:r>
      <w:r w:rsidRPr="00D14A32">
        <w:rPr>
          <w:rFonts w:ascii="Times New Roman" w:hAnsi="Times New Roman" w:cs="Times New Roman"/>
          <w:color w:val="1F1F1F"/>
          <w:sz w:val="24"/>
          <w:szCs w:val="24"/>
          <w:shd w:val="clear" w:color="auto" w:fill="FFFFFF"/>
        </w:rPr>
        <w:t xml:space="preserve"> in the ten</w:t>
      </w:r>
      <w:r w:rsidR="00A8299A">
        <w:rPr>
          <w:rFonts w:ascii="Times New Roman" w:hAnsi="Times New Roman" w:cs="Times New Roman"/>
          <w:color w:val="1F1F1F"/>
          <w:sz w:val="24"/>
          <w:szCs w:val="24"/>
          <w:shd w:val="clear" w:color="auto" w:fill="FFFFFF"/>
        </w:rPr>
        <w:t>ancy from the joint tenants to one of them</w:t>
      </w:r>
      <w:r w:rsidRPr="00D14A32">
        <w:rPr>
          <w:rFonts w:ascii="Times New Roman" w:hAnsi="Times New Roman" w:cs="Times New Roman"/>
          <w:color w:val="1F1F1F"/>
          <w:sz w:val="24"/>
          <w:szCs w:val="24"/>
          <w:shd w:val="clear" w:color="auto" w:fill="FFFFFF"/>
        </w:rPr>
        <w:t xml:space="preserve"> alone. Accordingly, notwithstanding the label which had been applied to it, the deed operated as an assignm</w:t>
      </w:r>
      <w:r w:rsidR="00A8299A">
        <w:rPr>
          <w:rFonts w:ascii="Times New Roman" w:hAnsi="Times New Roman" w:cs="Times New Roman"/>
          <w:color w:val="1F1F1F"/>
          <w:sz w:val="24"/>
          <w:szCs w:val="24"/>
          <w:shd w:val="clear" w:color="auto" w:fill="FFFFFF"/>
        </w:rPr>
        <w:t>ent and was prohibited by 1985 Act.</w:t>
      </w:r>
      <w:r w:rsidR="00C814C4">
        <w:rPr>
          <w:rStyle w:val="FootnoteReference"/>
          <w:rFonts w:ascii="Times New Roman" w:hAnsi="Times New Roman" w:cs="Times New Roman"/>
          <w:color w:val="1F1F1F"/>
          <w:sz w:val="24"/>
          <w:szCs w:val="24"/>
          <w:shd w:val="clear" w:color="auto" w:fill="FFFFFF"/>
        </w:rPr>
        <w:footnoteReference w:id="6"/>
      </w:r>
      <w:r w:rsidR="00E24385">
        <w:rPr>
          <w:rFonts w:ascii="Times New Roman" w:hAnsi="Times New Roman" w:cs="Times New Roman"/>
          <w:color w:val="1F1F1F"/>
          <w:sz w:val="24"/>
          <w:szCs w:val="24"/>
          <w:shd w:val="clear" w:color="auto" w:fill="FFFFFF"/>
        </w:rPr>
        <w:t xml:space="preserve"> Lord Nicholls</w:t>
      </w:r>
      <w:r w:rsidR="00041748">
        <w:rPr>
          <w:rFonts w:ascii="Times New Roman" w:hAnsi="Times New Roman" w:cs="Times New Roman"/>
          <w:color w:val="1F1F1F"/>
          <w:sz w:val="24"/>
          <w:szCs w:val="24"/>
          <w:shd w:val="clear" w:color="auto" w:fill="FFFFFF"/>
        </w:rPr>
        <w:t xml:space="preserve"> stated</w:t>
      </w:r>
      <w:r w:rsidR="00E24385">
        <w:rPr>
          <w:rFonts w:ascii="Times New Roman" w:hAnsi="Times New Roman" w:cs="Times New Roman"/>
          <w:color w:val="1F1F1F"/>
          <w:sz w:val="24"/>
          <w:szCs w:val="24"/>
          <w:shd w:val="clear" w:color="auto" w:fill="FFFFFF"/>
        </w:rPr>
        <w:t>:</w:t>
      </w:r>
      <w:r w:rsidR="00196252">
        <w:rPr>
          <w:rStyle w:val="FootnoteReference"/>
          <w:rFonts w:ascii="Times New Roman" w:hAnsi="Times New Roman" w:cs="Times New Roman"/>
          <w:color w:val="1F1F1F"/>
          <w:sz w:val="24"/>
          <w:szCs w:val="24"/>
          <w:shd w:val="clear" w:color="auto" w:fill="FFFFFF"/>
        </w:rPr>
        <w:footnoteReference w:id="7"/>
      </w:r>
    </w:p>
    <w:p w14:paraId="7A40B01D" w14:textId="77777777" w:rsidR="00E24385" w:rsidRDefault="00E24385" w:rsidP="00952278">
      <w:pPr>
        <w:jc w:val="both"/>
        <w:rPr>
          <w:rFonts w:ascii="Times New Roman" w:hAnsi="Times New Roman" w:cs="Times New Roman"/>
          <w:sz w:val="24"/>
          <w:szCs w:val="24"/>
        </w:rPr>
      </w:pPr>
      <w:r>
        <w:rPr>
          <w:rFonts w:ascii="Times New Roman" w:hAnsi="Times New Roman" w:cs="Times New Roman"/>
          <w:sz w:val="24"/>
          <w:szCs w:val="24"/>
        </w:rPr>
        <w:tab/>
        <w:t>"</w:t>
      </w:r>
      <w:r w:rsidRPr="00E24385">
        <w:rPr>
          <w:rFonts w:ascii="Times New Roman" w:hAnsi="Times New Roman" w:cs="Times New Roman"/>
          <w:sz w:val="24"/>
          <w:szCs w:val="24"/>
        </w:rPr>
        <w:t xml:space="preserve">In the present case the transaction sought to be carried through was that the tenancy </w:t>
      </w:r>
      <w:r>
        <w:rPr>
          <w:rFonts w:ascii="Times New Roman" w:hAnsi="Times New Roman" w:cs="Times New Roman"/>
          <w:sz w:val="24"/>
          <w:szCs w:val="24"/>
        </w:rPr>
        <w:tab/>
      </w:r>
      <w:r w:rsidRPr="00E24385">
        <w:rPr>
          <w:rFonts w:ascii="Times New Roman" w:hAnsi="Times New Roman" w:cs="Times New Roman"/>
          <w:sz w:val="24"/>
          <w:szCs w:val="24"/>
        </w:rPr>
        <w:t xml:space="preserve">should become vested in Miss Burton alone, and that Miss </w:t>
      </w:r>
      <w:proofErr w:type="spellStart"/>
      <w:r w:rsidRPr="00E24385">
        <w:rPr>
          <w:rFonts w:ascii="Times New Roman" w:hAnsi="Times New Roman" w:cs="Times New Roman"/>
          <w:sz w:val="24"/>
          <w:szCs w:val="24"/>
        </w:rPr>
        <w:t>Hannawin</w:t>
      </w:r>
      <w:proofErr w:type="spellEnd"/>
      <w:r w:rsidRPr="00E24385">
        <w:rPr>
          <w:rFonts w:ascii="Times New Roman" w:hAnsi="Times New Roman" w:cs="Times New Roman"/>
          <w:sz w:val="24"/>
          <w:szCs w:val="24"/>
        </w:rPr>
        <w:t xml:space="preserve"> should give up </w:t>
      </w:r>
      <w:r>
        <w:rPr>
          <w:rFonts w:ascii="Times New Roman" w:hAnsi="Times New Roman" w:cs="Times New Roman"/>
          <w:sz w:val="24"/>
          <w:szCs w:val="24"/>
        </w:rPr>
        <w:tab/>
      </w:r>
      <w:r w:rsidRPr="00E24385">
        <w:rPr>
          <w:rFonts w:ascii="Times New Roman" w:hAnsi="Times New Roman" w:cs="Times New Roman"/>
          <w:sz w:val="24"/>
          <w:szCs w:val="24"/>
        </w:rPr>
        <w:t xml:space="preserve">to Miss Burton her right to live in the flat. Whatever precise form of words was </w:t>
      </w:r>
      <w:r>
        <w:rPr>
          <w:rFonts w:ascii="Times New Roman" w:hAnsi="Times New Roman" w:cs="Times New Roman"/>
          <w:sz w:val="24"/>
          <w:szCs w:val="24"/>
        </w:rPr>
        <w:tab/>
      </w:r>
      <w:r w:rsidRPr="00E24385">
        <w:rPr>
          <w:rFonts w:ascii="Times New Roman" w:hAnsi="Times New Roman" w:cs="Times New Roman"/>
          <w:sz w:val="24"/>
          <w:szCs w:val="24"/>
        </w:rPr>
        <w:t xml:space="preserve">chosen, this transaction would ordinarily be regarded as a transfer of Miss </w:t>
      </w:r>
      <w:proofErr w:type="spellStart"/>
      <w:r w:rsidRPr="00E24385">
        <w:rPr>
          <w:rFonts w:ascii="Times New Roman" w:hAnsi="Times New Roman" w:cs="Times New Roman"/>
          <w:sz w:val="24"/>
          <w:szCs w:val="24"/>
        </w:rPr>
        <w:t>Hannawin's</w:t>
      </w:r>
      <w:proofErr w:type="spellEnd"/>
      <w:r w:rsidRPr="00E24385">
        <w:rPr>
          <w:rFonts w:ascii="Times New Roman" w:hAnsi="Times New Roman" w:cs="Times New Roman"/>
          <w:sz w:val="24"/>
          <w:szCs w:val="24"/>
        </w:rPr>
        <w:t xml:space="preserve"> </w:t>
      </w:r>
      <w:r>
        <w:rPr>
          <w:rFonts w:ascii="Times New Roman" w:hAnsi="Times New Roman" w:cs="Times New Roman"/>
          <w:sz w:val="24"/>
          <w:szCs w:val="24"/>
        </w:rPr>
        <w:tab/>
      </w:r>
      <w:r w:rsidRPr="00E24385">
        <w:rPr>
          <w:rFonts w:ascii="Times New Roman" w:hAnsi="Times New Roman" w:cs="Times New Roman"/>
          <w:sz w:val="24"/>
          <w:szCs w:val="24"/>
        </w:rPr>
        <w:t xml:space="preserve">rights in the flat to Miss Burton. Miss </w:t>
      </w:r>
      <w:proofErr w:type="spellStart"/>
      <w:r w:rsidRPr="00E24385">
        <w:rPr>
          <w:rFonts w:ascii="Times New Roman" w:hAnsi="Times New Roman" w:cs="Times New Roman"/>
          <w:sz w:val="24"/>
          <w:szCs w:val="24"/>
        </w:rPr>
        <w:t>Hannawin</w:t>
      </w:r>
      <w:proofErr w:type="spellEnd"/>
      <w:r w:rsidRPr="00E24385">
        <w:rPr>
          <w:rFonts w:ascii="Times New Roman" w:hAnsi="Times New Roman" w:cs="Times New Roman"/>
          <w:sz w:val="24"/>
          <w:szCs w:val="24"/>
        </w:rPr>
        <w:t xml:space="preserve"> was passing over her interest to Miss </w:t>
      </w:r>
      <w:r>
        <w:rPr>
          <w:rFonts w:ascii="Times New Roman" w:hAnsi="Times New Roman" w:cs="Times New Roman"/>
          <w:sz w:val="24"/>
          <w:szCs w:val="24"/>
        </w:rPr>
        <w:tab/>
      </w:r>
      <w:r w:rsidRPr="00E24385">
        <w:rPr>
          <w:rFonts w:ascii="Times New Roman" w:hAnsi="Times New Roman" w:cs="Times New Roman"/>
          <w:sz w:val="24"/>
          <w:szCs w:val="24"/>
        </w:rPr>
        <w:t>Burton. As a matter of convey</w:t>
      </w:r>
      <w:r w:rsidR="009C4BA9">
        <w:rPr>
          <w:rFonts w:ascii="Times New Roman" w:hAnsi="Times New Roman" w:cs="Times New Roman"/>
          <w:sz w:val="24"/>
          <w:szCs w:val="24"/>
        </w:rPr>
        <w:t xml:space="preserve">ancing this transfer could be </w:t>
      </w:r>
      <w:r w:rsidRPr="00E24385">
        <w:rPr>
          <w:rFonts w:ascii="Times New Roman" w:hAnsi="Times New Roman" w:cs="Times New Roman"/>
          <w:sz w:val="24"/>
          <w:szCs w:val="24"/>
        </w:rPr>
        <w:t xml:space="preserve">achieved by one of two </w:t>
      </w:r>
      <w:r>
        <w:rPr>
          <w:rFonts w:ascii="Times New Roman" w:hAnsi="Times New Roman" w:cs="Times New Roman"/>
          <w:sz w:val="24"/>
          <w:szCs w:val="24"/>
        </w:rPr>
        <w:tab/>
      </w:r>
      <w:r w:rsidRPr="00E24385">
        <w:rPr>
          <w:rFonts w:ascii="Times New Roman" w:hAnsi="Times New Roman" w:cs="Times New Roman"/>
          <w:sz w:val="24"/>
          <w:szCs w:val="24"/>
        </w:rPr>
        <w:t xml:space="preserve">means: either by a deed of assignment ("Miss Burton and Miss </w:t>
      </w:r>
      <w:proofErr w:type="spellStart"/>
      <w:r w:rsidRPr="00E24385">
        <w:rPr>
          <w:rFonts w:ascii="Times New Roman" w:hAnsi="Times New Roman" w:cs="Times New Roman"/>
          <w:sz w:val="24"/>
          <w:szCs w:val="24"/>
        </w:rPr>
        <w:t>Hannawin</w:t>
      </w:r>
      <w:proofErr w:type="spellEnd"/>
      <w:r w:rsidRPr="00E24385">
        <w:rPr>
          <w:rFonts w:ascii="Times New Roman" w:hAnsi="Times New Roman" w:cs="Times New Roman"/>
          <w:sz w:val="24"/>
          <w:szCs w:val="24"/>
        </w:rPr>
        <w:t xml:space="preserve"> hereby </w:t>
      </w:r>
      <w:r>
        <w:rPr>
          <w:rFonts w:ascii="Times New Roman" w:hAnsi="Times New Roman" w:cs="Times New Roman"/>
          <w:sz w:val="24"/>
          <w:szCs w:val="24"/>
        </w:rPr>
        <w:tab/>
      </w:r>
      <w:r w:rsidRPr="00E24385">
        <w:rPr>
          <w:rFonts w:ascii="Times New Roman" w:hAnsi="Times New Roman" w:cs="Times New Roman"/>
          <w:sz w:val="24"/>
          <w:szCs w:val="24"/>
        </w:rPr>
        <w:t xml:space="preserve">assign the tenancy to Miss Burton") or by a deed of release ("Miss </w:t>
      </w:r>
      <w:proofErr w:type="spellStart"/>
      <w:r w:rsidRPr="00E24385">
        <w:rPr>
          <w:rFonts w:ascii="Times New Roman" w:hAnsi="Times New Roman" w:cs="Times New Roman"/>
          <w:sz w:val="24"/>
          <w:szCs w:val="24"/>
        </w:rPr>
        <w:t>Hannawin</w:t>
      </w:r>
      <w:proofErr w:type="spellEnd"/>
      <w:r w:rsidRPr="00E24385">
        <w:rPr>
          <w:rFonts w:ascii="Times New Roman" w:hAnsi="Times New Roman" w:cs="Times New Roman"/>
          <w:sz w:val="24"/>
          <w:szCs w:val="24"/>
        </w:rPr>
        <w:t xml:space="preserve"> hereby </w:t>
      </w:r>
      <w:r>
        <w:rPr>
          <w:rFonts w:ascii="Times New Roman" w:hAnsi="Times New Roman" w:cs="Times New Roman"/>
          <w:sz w:val="24"/>
          <w:szCs w:val="24"/>
        </w:rPr>
        <w:lastRenderedPageBreak/>
        <w:tab/>
      </w:r>
      <w:r w:rsidRPr="00E24385">
        <w:rPr>
          <w:rFonts w:ascii="Times New Roman" w:hAnsi="Times New Roman" w:cs="Times New Roman"/>
          <w:sz w:val="24"/>
          <w:szCs w:val="24"/>
        </w:rPr>
        <w:t xml:space="preserve">releases her estate and interest in the property to Miss Burton"). Each would achieve </w:t>
      </w:r>
      <w:r>
        <w:rPr>
          <w:rFonts w:ascii="Times New Roman" w:hAnsi="Times New Roman" w:cs="Times New Roman"/>
          <w:sz w:val="24"/>
          <w:szCs w:val="24"/>
        </w:rPr>
        <w:tab/>
      </w:r>
      <w:r w:rsidRPr="00E24385">
        <w:rPr>
          <w:rFonts w:ascii="Times New Roman" w:hAnsi="Times New Roman" w:cs="Times New Roman"/>
          <w:sz w:val="24"/>
          <w:szCs w:val="24"/>
        </w:rPr>
        <w:t xml:space="preserve">the same result. In each case the legal estate in the tenancy, formerly held by the two </w:t>
      </w:r>
      <w:r>
        <w:rPr>
          <w:rFonts w:ascii="Times New Roman" w:hAnsi="Times New Roman" w:cs="Times New Roman"/>
          <w:sz w:val="24"/>
          <w:szCs w:val="24"/>
        </w:rPr>
        <w:tab/>
      </w:r>
      <w:r w:rsidRPr="00E24385">
        <w:rPr>
          <w:rFonts w:ascii="Times New Roman" w:hAnsi="Times New Roman" w:cs="Times New Roman"/>
          <w:sz w:val="24"/>
          <w:szCs w:val="24"/>
        </w:rPr>
        <w:t>of them, would bec</w:t>
      </w:r>
      <w:r>
        <w:rPr>
          <w:rFonts w:ascii="Times New Roman" w:hAnsi="Times New Roman" w:cs="Times New Roman"/>
          <w:sz w:val="24"/>
          <w:szCs w:val="24"/>
        </w:rPr>
        <w:t xml:space="preserve">ome vested in one of them. It </w:t>
      </w:r>
      <w:r w:rsidRPr="00E24385">
        <w:rPr>
          <w:rFonts w:ascii="Times New Roman" w:hAnsi="Times New Roman" w:cs="Times New Roman"/>
          <w:sz w:val="24"/>
          <w:szCs w:val="24"/>
        </w:rPr>
        <w:t xml:space="preserve">cannot be that section 91(1) bites or </w:t>
      </w:r>
      <w:r>
        <w:rPr>
          <w:rFonts w:ascii="Times New Roman" w:hAnsi="Times New Roman" w:cs="Times New Roman"/>
          <w:sz w:val="24"/>
          <w:szCs w:val="24"/>
        </w:rPr>
        <w:tab/>
      </w:r>
      <w:r w:rsidRPr="00E24385">
        <w:rPr>
          <w:rFonts w:ascii="Times New Roman" w:hAnsi="Times New Roman" w:cs="Times New Roman"/>
          <w:sz w:val="24"/>
          <w:szCs w:val="24"/>
        </w:rPr>
        <w:t xml:space="preserve">not according to which of these two conveyancing modes is used. That would make </w:t>
      </w:r>
      <w:r>
        <w:rPr>
          <w:rFonts w:ascii="Times New Roman" w:hAnsi="Times New Roman" w:cs="Times New Roman"/>
          <w:sz w:val="24"/>
          <w:szCs w:val="24"/>
        </w:rPr>
        <w:tab/>
      </w:r>
      <w:r w:rsidRPr="00E24385">
        <w:rPr>
          <w:rFonts w:ascii="Times New Roman" w:hAnsi="Times New Roman" w:cs="Times New Roman"/>
          <w:sz w:val="24"/>
          <w:szCs w:val="24"/>
        </w:rPr>
        <w:t>no sense.</w:t>
      </w:r>
      <w:r>
        <w:rPr>
          <w:rFonts w:ascii="Times New Roman" w:hAnsi="Times New Roman" w:cs="Times New Roman"/>
          <w:sz w:val="24"/>
          <w:szCs w:val="24"/>
        </w:rPr>
        <w:t>"</w:t>
      </w:r>
    </w:p>
    <w:p w14:paraId="1EB143DF" w14:textId="77777777" w:rsidR="00425547" w:rsidRPr="00425547" w:rsidRDefault="00196252" w:rsidP="00425547">
      <w:pPr>
        <w:rPr>
          <w:rFonts w:ascii="Times New Roman" w:hAnsi="Times New Roman" w:cs="Times New Roman"/>
          <w:sz w:val="24"/>
          <w:szCs w:val="24"/>
        </w:rPr>
      </w:pPr>
      <w:r>
        <w:rPr>
          <w:rFonts w:ascii="Times New Roman" w:hAnsi="Times New Roman" w:cs="Times New Roman"/>
          <w:color w:val="1F1F1F"/>
          <w:sz w:val="24"/>
          <w:szCs w:val="24"/>
          <w:shd w:val="clear" w:color="auto" w:fill="FFFFFF"/>
        </w:rPr>
        <w:t xml:space="preserve">And </w:t>
      </w:r>
      <w:r w:rsidR="00425547" w:rsidRPr="00425547">
        <w:rPr>
          <w:rFonts w:ascii="Times New Roman" w:hAnsi="Times New Roman" w:cs="Times New Roman"/>
          <w:color w:val="1F1F1F"/>
          <w:sz w:val="24"/>
          <w:szCs w:val="24"/>
          <w:shd w:val="clear" w:color="auto" w:fill="FFFFFF"/>
        </w:rPr>
        <w:t xml:space="preserve">Lord Millett (albeit in a dissenting speech) </w:t>
      </w:r>
      <w:r w:rsidR="00425547">
        <w:rPr>
          <w:rFonts w:ascii="Times New Roman" w:hAnsi="Times New Roman" w:cs="Times New Roman"/>
          <w:color w:val="1F1F1F"/>
          <w:sz w:val="24"/>
          <w:szCs w:val="24"/>
          <w:shd w:val="clear" w:color="auto" w:fill="FFFFFF"/>
        </w:rPr>
        <w:t>stated:</w:t>
      </w:r>
      <w:r>
        <w:rPr>
          <w:rStyle w:val="FootnoteReference"/>
          <w:rFonts w:ascii="Times New Roman" w:hAnsi="Times New Roman" w:cs="Times New Roman"/>
          <w:color w:val="1F1F1F"/>
          <w:sz w:val="24"/>
          <w:szCs w:val="24"/>
          <w:shd w:val="clear" w:color="auto" w:fill="FFFFFF"/>
        </w:rPr>
        <w:footnoteReference w:id="8"/>
      </w:r>
    </w:p>
    <w:p w14:paraId="118574E4" w14:textId="77777777" w:rsidR="00425547" w:rsidRPr="00871F35" w:rsidRDefault="00871F35" w:rsidP="00425547">
      <w:pPr>
        <w:shd w:val="clear" w:color="auto" w:fill="FFFFFF"/>
        <w:jc w:val="both"/>
        <w:textAlignment w:val="baseline"/>
        <w:rPr>
          <w:rFonts w:ascii="Times New Roman" w:hAnsi="Times New Roman" w:cs="Times New Roman"/>
          <w:color w:val="1F1F1F"/>
          <w:sz w:val="24"/>
          <w:szCs w:val="24"/>
        </w:rPr>
      </w:pPr>
      <w:r>
        <w:rPr>
          <w:rFonts w:ascii="Times New Roman" w:hAnsi="Times New Roman" w:cs="Times New Roman"/>
          <w:sz w:val="24"/>
          <w:szCs w:val="24"/>
        </w:rPr>
        <w:tab/>
        <w:t>"</w:t>
      </w:r>
      <w:r w:rsidRPr="00871F35">
        <w:rPr>
          <w:rFonts w:ascii="Times New Roman" w:hAnsi="Times New Roman" w:cs="Times New Roman"/>
          <w:sz w:val="24"/>
          <w:szCs w:val="24"/>
        </w:rPr>
        <w:t xml:space="preserve">A purported assignment of the interest of one joint tenant to the other joint tenant </w:t>
      </w:r>
      <w:r>
        <w:rPr>
          <w:rFonts w:ascii="Times New Roman" w:hAnsi="Times New Roman" w:cs="Times New Roman"/>
          <w:sz w:val="24"/>
          <w:szCs w:val="24"/>
        </w:rPr>
        <w:tab/>
      </w:r>
      <w:r w:rsidRPr="00871F35">
        <w:rPr>
          <w:rFonts w:ascii="Times New Roman" w:hAnsi="Times New Roman" w:cs="Times New Roman"/>
          <w:sz w:val="24"/>
          <w:szCs w:val="24"/>
        </w:rPr>
        <w:t xml:space="preserve">does not constitute an assignment, because each of the joint tenants is already the </w:t>
      </w:r>
      <w:r>
        <w:rPr>
          <w:rFonts w:ascii="Times New Roman" w:hAnsi="Times New Roman" w:cs="Times New Roman"/>
          <w:sz w:val="24"/>
          <w:szCs w:val="24"/>
        </w:rPr>
        <w:tab/>
      </w:r>
      <w:r w:rsidRPr="00871F35">
        <w:rPr>
          <w:rFonts w:ascii="Times New Roman" w:hAnsi="Times New Roman" w:cs="Times New Roman"/>
          <w:sz w:val="24"/>
          <w:szCs w:val="24"/>
        </w:rPr>
        <w:t xml:space="preserve">owner of the whole. The so-called assignor has no separate interest of his own which </w:t>
      </w:r>
      <w:r>
        <w:rPr>
          <w:rFonts w:ascii="Times New Roman" w:hAnsi="Times New Roman" w:cs="Times New Roman"/>
          <w:sz w:val="24"/>
          <w:szCs w:val="24"/>
        </w:rPr>
        <w:tab/>
      </w:r>
      <w:r w:rsidRPr="00871F35">
        <w:rPr>
          <w:rFonts w:ascii="Times New Roman" w:hAnsi="Times New Roman" w:cs="Times New Roman"/>
          <w:sz w:val="24"/>
          <w:szCs w:val="24"/>
        </w:rPr>
        <w:t xml:space="preserve">is capable of being transferred to the other and which the other does not already own. </w:t>
      </w:r>
      <w:r>
        <w:rPr>
          <w:rFonts w:ascii="Times New Roman" w:hAnsi="Times New Roman" w:cs="Times New Roman"/>
          <w:sz w:val="24"/>
          <w:szCs w:val="24"/>
        </w:rPr>
        <w:tab/>
      </w:r>
      <w:r w:rsidRPr="00871F35">
        <w:rPr>
          <w:rFonts w:ascii="Times New Roman" w:hAnsi="Times New Roman" w:cs="Times New Roman"/>
          <w:sz w:val="24"/>
          <w:szCs w:val="24"/>
        </w:rPr>
        <w:t xml:space="preserve">None of this, of course, applies to a tenant in common, because he has a separate and </w:t>
      </w:r>
      <w:r>
        <w:rPr>
          <w:rFonts w:ascii="Times New Roman" w:hAnsi="Times New Roman" w:cs="Times New Roman"/>
          <w:sz w:val="24"/>
          <w:szCs w:val="24"/>
        </w:rPr>
        <w:tab/>
      </w:r>
      <w:r w:rsidRPr="00871F35">
        <w:rPr>
          <w:rFonts w:ascii="Times New Roman" w:hAnsi="Times New Roman" w:cs="Times New Roman"/>
          <w:sz w:val="24"/>
          <w:szCs w:val="24"/>
        </w:rPr>
        <w:t>distinct interest of his own which he can assign either to a th</w:t>
      </w:r>
      <w:r>
        <w:rPr>
          <w:rFonts w:ascii="Times New Roman" w:hAnsi="Times New Roman" w:cs="Times New Roman"/>
          <w:sz w:val="24"/>
          <w:szCs w:val="24"/>
        </w:rPr>
        <w:t>ird party or to his co-</w:t>
      </w:r>
      <w:r>
        <w:rPr>
          <w:rFonts w:ascii="Times New Roman" w:hAnsi="Times New Roman" w:cs="Times New Roman"/>
          <w:sz w:val="24"/>
          <w:szCs w:val="24"/>
        </w:rPr>
        <w:tab/>
        <w:t xml:space="preserve">owner. </w:t>
      </w:r>
      <w:r w:rsidRPr="00871F35">
        <w:rPr>
          <w:rFonts w:ascii="Times New Roman" w:hAnsi="Times New Roman" w:cs="Times New Roman"/>
          <w:sz w:val="24"/>
          <w:szCs w:val="24"/>
        </w:rPr>
        <w:t xml:space="preserve">Before 1926, therefore, one joint tenant could not assign his interest to the </w:t>
      </w:r>
      <w:r>
        <w:rPr>
          <w:rFonts w:ascii="Times New Roman" w:hAnsi="Times New Roman" w:cs="Times New Roman"/>
          <w:sz w:val="24"/>
          <w:szCs w:val="24"/>
        </w:rPr>
        <w:tab/>
      </w:r>
      <w:r w:rsidRPr="00871F35">
        <w:rPr>
          <w:rFonts w:ascii="Times New Roman" w:hAnsi="Times New Roman" w:cs="Times New Roman"/>
          <w:sz w:val="24"/>
          <w:szCs w:val="24"/>
        </w:rPr>
        <w:t>other. But he could achieve much the same result by releasing his interest</w:t>
      </w:r>
      <w:r>
        <w:rPr>
          <w:rFonts w:ascii="Times New Roman" w:hAnsi="Times New Roman" w:cs="Times New Roman"/>
          <w:sz w:val="24"/>
          <w:szCs w:val="24"/>
        </w:rPr>
        <w:t>."</w:t>
      </w:r>
    </w:p>
    <w:p w14:paraId="47E20F1E" w14:textId="77777777" w:rsidR="001D601D" w:rsidRDefault="00BC2691" w:rsidP="00952278">
      <w:pPr>
        <w:jc w:val="both"/>
        <w:rPr>
          <w:rFonts w:ascii="Times New Roman" w:hAnsi="Times New Roman" w:cs="Times New Roman"/>
          <w:sz w:val="24"/>
          <w:szCs w:val="24"/>
        </w:rPr>
      </w:pPr>
      <w:r>
        <w:rPr>
          <w:rFonts w:ascii="Times New Roman" w:hAnsi="Times New Roman" w:cs="Times New Roman"/>
          <w:sz w:val="24"/>
          <w:szCs w:val="24"/>
        </w:rPr>
        <w:t xml:space="preserve">Similarly, in </w:t>
      </w:r>
      <w:r w:rsidRPr="00BC2691">
        <w:rPr>
          <w:rFonts w:ascii="Times New Roman" w:hAnsi="Times New Roman" w:cs="Times New Roman"/>
          <w:i/>
          <w:sz w:val="24"/>
          <w:szCs w:val="24"/>
        </w:rPr>
        <w:t xml:space="preserve">Hudson v </w:t>
      </w:r>
      <w:proofErr w:type="spellStart"/>
      <w:r w:rsidRPr="00BC2691">
        <w:rPr>
          <w:rFonts w:ascii="Times New Roman" w:hAnsi="Times New Roman" w:cs="Times New Roman"/>
          <w:i/>
          <w:sz w:val="24"/>
          <w:szCs w:val="24"/>
        </w:rPr>
        <w:t>Hathway</w:t>
      </w:r>
      <w:proofErr w:type="spellEnd"/>
      <w:r w:rsidR="008632EA">
        <w:rPr>
          <w:rFonts w:ascii="Times New Roman" w:hAnsi="Times New Roman" w:cs="Times New Roman"/>
          <w:sz w:val="24"/>
          <w:szCs w:val="24"/>
        </w:rPr>
        <w:t>,</w:t>
      </w:r>
      <w:r w:rsidR="008632EA">
        <w:rPr>
          <w:rStyle w:val="FootnoteReference"/>
          <w:rFonts w:ascii="Times New Roman" w:hAnsi="Times New Roman" w:cs="Times New Roman"/>
          <w:sz w:val="24"/>
          <w:szCs w:val="24"/>
        </w:rPr>
        <w:footnoteReference w:id="9"/>
      </w:r>
      <w:r w:rsidR="008632EA">
        <w:rPr>
          <w:rFonts w:ascii="Times New Roman" w:hAnsi="Times New Roman" w:cs="Times New Roman"/>
          <w:sz w:val="24"/>
          <w:szCs w:val="24"/>
        </w:rPr>
        <w:t xml:space="preserve"> </w:t>
      </w:r>
      <w:r w:rsidR="003A71B5" w:rsidRPr="003A71B5">
        <w:rPr>
          <w:rFonts w:ascii="Times New Roman" w:hAnsi="Times New Roman" w:cs="Times New Roman"/>
          <w:sz w:val="24"/>
          <w:szCs w:val="24"/>
        </w:rPr>
        <w:t>the claimant and the defendant, who were in a relationship but not married, bought a home in joint nam</w:t>
      </w:r>
      <w:r w:rsidR="00F16ACE">
        <w:rPr>
          <w:rFonts w:ascii="Times New Roman" w:hAnsi="Times New Roman" w:cs="Times New Roman"/>
          <w:sz w:val="24"/>
          <w:szCs w:val="24"/>
        </w:rPr>
        <w:t>es with no declaration of trust</w:t>
      </w:r>
      <w:r w:rsidR="003A71B5" w:rsidRPr="003A71B5">
        <w:rPr>
          <w:rFonts w:ascii="Times New Roman" w:hAnsi="Times New Roman" w:cs="Times New Roman"/>
          <w:sz w:val="24"/>
          <w:szCs w:val="24"/>
        </w:rPr>
        <w:t>. On acquisition of the house</w:t>
      </w:r>
      <w:r w:rsidR="003A71B5">
        <w:rPr>
          <w:rFonts w:ascii="Times New Roman" w:hAnsi="Times New Roman" w:cs="Times New Roman"/>
          <w:sz w:val="24"/>
          <w:szCs w:val="24"/>
        </w:rPr>
        <w:t>,</w:t>
      </w:r>
      <w:r w:rsidR="003A71B5" w:rsidRPr="003A71B5">
        <w:rPr>
          <w:rFonts w:ascii="Times New Roman" w:hAnsi="Times New Roman" w:cs="Times New Roman"/>
          <w:sz w:val="24"/>
          <w:szCs w:val="24"/>
        </w:rPr>
        <w:t xml:space="preserve"> the parties were joint tenants both in law and in equity. The relationship subsequently ended and the claimant moved out, whilst the defendant stayed in the property with their two sons. In two emails, the claimant stated in regar</w:t>
      </w:r>
      <w:r w:rsidR="003A71B5">
        <w:rPr>
          <w:rFonts w:ascii="Times New Roman" w:hAnsi="Times New Roman" w:cs="Times New Roman"/>
          <w:sz w:val="24"/>
          <w:szCs w:val="24"/>
        </w:rPr>
        <w:t>d to the house that he wanted "none of the proceeds", urged the defendant to "take it" and said that he had "</w:t>
      </w:r>
      <w:r w:rsidR="003A71B5" w:rsidRPr="003A71B5">
        <w:rPr>
          <w:rFonts w:ascii="Times New Roman" w:hAnsi="Times New Roman" w:cs="Times New Roman"/>
          <w:sz w:val="24"/>
          <w:szCs w:val="24"/>
        </w:rPr>
        <w:t>no inter</w:t>
      </w:r>
      <w:r w:rsidR="003A71B5">
        <w:rPr>
          <w:rFonts w:ascii="Times New Roman" w:hAnsi="Times New Roman" w:cs="Times New Roman"/>
          <w:sz w:val="24"/>
          <w:szCs w:val="24"/>
        </w:rPr>
        <w:t>est whatsoever in the house"</w:t>
      </w:r>
      <w:r w:rsidR="003A71B5" w:rsidRPr="003A71B5">
        <w:rPr>
          <w:rFonts w:ascii="Times New Roman" w:hAnsi="Times New Roman" w:cs="Times New Roman"/>
          <w:sz w:val="24"/>
          <w:szCs w:val="24"/>
        </w:rPr>
        <w:t>. Both emails were subs</w:t>
      </w:r>
      <w:r w:rsidR="003A71B5">
        <w:rPr>
          <w:rFonts w:ascii="Times New Roman" w:hAnsi="Times New Roman" w:cs="Times New Roman"/>
          <w:sz w:val="24"/>
          <w:szCs w:val="24"/>
        </w:rPr>
        <w:t xml:space="preserve">cribed with the claimant's first </w:t>
      </w:r>
      <w:r w:rsidR="003A71B5" w:rsidRPr="003A71B5">
        <w:rPr>
          <w:rFonts w:ascii="Times New Roman" w:hAnsi="Times New Roman" w:cs="Times New Roman"/>
          <w:sz w:val="24"/>
          <w:szCs w:val="24"/>
        </w:rPr>
        <w:t>name.</w:t>
      </w:r>
      <w:r w:rsidR="00E4117D">
        <w:rPr>
          <w:rFonts w:ascii="Times New Roman" w:hAnsi="Times New Roman" w:cs="Times New Roman"/>
          <w:sz w:val="24"/>
          <w:szCs w:val="24"/>
        </w:rPr>
        <w:t xml:space="preserve"> T</w:t>
      </w:r>
      <w:r>
        <w:rPr>
          <w:rFonts w:ascii="Times New Roman" w:hAnsi="Times New Roman" w:cs="Times New Roman"/>
          <w:sz w:val="24"/>
          <w:szCs w:val="24"/>
        </w:rPr>
        <w:t xml:space="preserve">he Court of Appeal held that </w:t>
      </w:r>
      <w:r w:rsidR="00E4117D" w:rsidRPr="00E4117D">
        <w:rPr>
          <w:rFonts w:ascii="Times New Roman" w:hAnsi="Times New Roman" w:cs="Times New Roman"/>
          <w:sz w:val="24"/>
          <w:szCs w:val="24"/>
        </w:rPr>
        <w:t>a release of an equitable interest in property by one joint tenant to the o</w:t>
      </w:r>
      <w:r w:rsidR="00E4117D">
        <w:rPr>
          <w:rFonts w:ascii="Times New Roman" w:hAnsi="Times New Roman" w:cs="Times New Roman"/>
          <w:sz w:val="24"/>
          <w:szCs w:val="24"/>
        </w:rPr>
        <w:t>ther joint tenant under s.36</w:t>
      </w:r>
      <w:r w:rsidR="00F16ACE">
        <w:rPr>
          <w:rFonts w:ascii="Times New Roman" w:hAnsi="Times New Roman" w:cs="Times New Roman"/>
          <w:sz w:val="24"/>
          <w:szCs w:val="24"/>
        </w:rPr>
        <w:t>(2)</w:t>
      </w:r>
      <w:r w:rsidR="00E4117D">
        <w:rPr>
          <w:rFonts w:ascii="Times New Roman" w:hAnsi="Times New Roman" w:cs="Times New Roman"/>
          <w:sz w:val="24"/>
          <w:szCs w:val="24"/>
        </w:rPr>
        <w:t xml:space="preserve"> of the </w:t>
      </w:r>
      <w:r w:rsidR="00E4117D" w:rsidRPr="00E4117D">
        <w:rPr>
          <w:rFonts w:ascii="Times New Roman" w:hAnsi="Times New Roman" w:cs="Times New Roman"/>
          <w:sz w:val="24"/>
          <w:szCs w:val="24"/>
        </w:rPr>
        <w:t>1925</w:t>
      </w:r>
      <w:r w:rsidR="00E4117D">
        <w:rPr>
          <w:rFonts w:ascii="Times New Roman" w:hAnsi="Times New Roman" w:cs="Times New Roman"/>
          <w:sz w:val="24"/>
          <w:szCs w:val="24"/>
        </w:rPr>
        <w:t xml:space="preserve"> Act</w:t>
      </w:r>
      <w:r w:rsidR="00E4117D" w:rsidRPr="00E4117D">
        <w:rPr>
          <w:rFonts w:ascii="Times New Roman" w:hAnsi="Times New Roman" w:cs="Times New Roman"/>
          <w:sz w:val="24"/>
          <w:szCs w:val="24"/>
        </w:rPr>
        <w:t xml:space="preserve"> was capable of b</w:t>
      </w:r>
      <w:r w:rsidR="00E4117D">
        <w:rPr>
          <w:rFonts w:ascii="Times New Roman" w:hAnsi="Times New Roman" w:cs="Times New Roman"/>
          <w:sz w:val="24"/>
          <w:szCs w:val="24"/>
        </w:rPr>
        <w:t xml:space="preserve">eing a "disposition" </w:t>
      </w:r>
      <w:r w:rsidR="00E4117D" w:rsidRPr="00E4117D">
        <w:rPr>
          <w:rFonts w:ascii="Times New Roman" w:hAnsi="Times New Roman" w:cs="Times New Roman"/>
          <w:sz w:val="24"/>
          <w:szCs w:val="24"/>
        </w:rPr>
        <w:t>of an interest in land or an equitable interest within the meaning of s</w:t>
      </w:r>
      <w:r w:rsidR="00E4117D">
        <w:rPr>
          <w:rFonts w:ascii="Times New Roman" w:hAnsi="Times New Roman" w:cs="Times New Roman"/>
          <w:sz w:val="24"/>
          <w:szCs w:val="24"/>
        </w:rPr>
        <w:t>.</w:t>
      </w:r>
      <w:r w:rsidR="00E4117D" w:rsidRPr="00E4117D">
        <w:rPr>
          <w:rFonts w:ascii="Times New Roman" w:hAnsi="Times New Roman" w:cs="Times New Roman"/>
          <w:sz w:val="24"/>
          <w:szCs w:val="24"/>
        </w:rPr>
        <w:t>53(1)(a) or (c) of the 1925 Act, provided that, in accordance with the formal requirements o</w:t>
      </w:r>
      <w:r w:rsidR="00784080">
        <w:rPr>
          <w:rFonts w:ascii="Times New Roman" w:hAnsi="Times New Roman" w:cs="Times New Roman"/>
          <w:sz w:val="24"/>
          <w:szCs w:val="24"/>
        </w:rPr>
        <w:t xml:space="preserve">f section 53(1)(a) and (c), the </w:t>
      </w:r>
      <w:r w:rsidR="00E4117D" w:rsidRPr="00E4117D">
        <w:rPr>
          <w:rFonts w:ascii="Times New Roman" w:hAnsi="Times New Roman" w:cs="Times New Roman"/>
          <w:sz w:val="24"/>
          <w:szCs w:val="24"/>
        </w:rPr>
        <w:t>disposition was in writing and signed by the relevant person</w:t>
      </w:r>
      <w:r w:rsidR="00E4117D">
        <w:rPr>
          <w:rFonts w:ascii="Times New Roman" w:hAnsi="Times New Roman" w:cs="Times New Roman"/>
          <w:sz w:val="24"/>
          <w:szCs w:val="24"/>
        </w:rPr>
        <w:t>.</w:t>
      </w:r>
      <w:r w:rsidR="005662A8">
        <w:rPr>
          <w:rFonts w:ascii="Times New Roman" w:hAnsi="Times New Roman" w:cs="Times New Roman"/>
          <w:sz w:val="24"/>
          <w:szCs w:val="24"/>
        </w:rPr>
        <w:t xml:space="preserve"> In the instant case, </w:t>
      </w:r>
      <w:r w:rsidR="001D601D">
        <w:rPr>
          <w:rFonts w:ascii="Times New Roman" w:hAnsi="Times New Roman" w:cs="Times New Roman"/>
          <w:sz w:val="24"/>
          <w:szCs w:val="24"/>
        </w:rPr>
        <w:t>the claimant'</w:t>
      </w:r>
      <w:r w:rsidR="001D601D" w:rsidRPr="001D601D">
        <w:rPr>
          <w:rFonts w:ascii="Times New Roman" w:hAnsi="Times New Roman" w:cs="Times New Roman"/>
          <w:sz w:val="24"/>
          <w:szCs w:val="24"/>
        </w:rPr>
        <w:t>s emails were su</w:t>
      </w:r>
      <w:r w:rsidR="001D601D">
        <w:rPr>
          <w:rFonts w:ascii="Times New Roman" w:hAnsi="Times New Roman" w:cs="Times New Roman"/>
          <w:sz w:val="24"/>
          <w:szCs w:val="24"/>
        </w:rPr>
        <w:t>ffi</w:t>
      </w:r>
      <w:r w:rsidR="001D601D" w:rsidRPr="001D601D">
        <w:rPr>
          <w:rFonts w:ascii="Times New Roman" w:hAnsi="Times New Roman" w:cs="Times New Roman"/>
          <w:sz w:val="24"/>
          <w:szCs w:val="24"/>
        </w:rPr>
        <w:t>cient in point of form to amount to a release of his equitable interest in the house, since they evinced a clear intention to divest himself of that interest immediately</w:t>
      </w:r>
      <w:r w:rsidR="001D601D">
        <w:rPr>
          <w:rFonts w:ascii="Times New Roman" w:hAnsi="Times New Roman" w:cs="Times New Roman"/>
          <w:sz w:val="24"/>
          <w:szCs w:val="24"/>
        </w:rPr>
        <w:t xml:space="preserve"> and</w:t>
      </w:r>
      <w:r w:rsidR="001D601D" w:rsidRPr="001D601D">
        <w:rPr>
          <w:rFonts w:ascii="Times New Roman" w:hAnsi="Times New Roman" w:cs="Times New Roman"/>
          <w:sz w:val="24"/>
          <w:szCs w:val="24"/>
        </w:rPr>
        <w:t xml:space="preserve"> amounted to a signed disposition in writing within the meaning of section 53(</w:t>
      </w:r>
      <w:r w:rsidR="001D601D">
        <w:rPr>
          <w:rFonts w:ascii="Times New Roman" w:hAnsi="Times New Roman" w:cs="Times New Roman"/>
          <w:sz w:val="24"/>
          <w:szCs w:val="24"/>
        </w:rPr>
        <w:t>1)</w:t>
      </w:r>
      <w:r w:rsidR="009C4BA9">
        <w:rPr>
          <w:rFonts w:ascii="Times New Roman" w:hAnsi="Times New Roman" w:cs="Times New Roman"/>
          <w:sz w:val="24"/>
          <w:szCs w:val="24"/>
        </w:rPr>
        <w:t>(c)</w:t>
      </w:r>
      <w:r w:rsidR="001D601D">
        <w:rPr>
          <w:rFonts w:ascii="Times New Roman" w:hAnsi="Times New Roman" w:cs="Times New Roman"/>
          <w:sz w:val="24"/>
          <w:szCs w:val="24"/>
        </w:rPr>
        <w:t xml:space="preserve"> of the 1925 Act.</w:t>
      </w:r>
    </w:p>
    <w:p w14:paraId="466AC5E5" w14:textId="77777777" w:rsidR="00382323" w:rsidRDefault="00382323" w:rsidP="00952278">
      <w:pPr>
        <w:jc w:val="both"/>
        <w:rPr>
          <w:rFonts w:ascii="Times New Roman" w:hAnsi="Times New Roman" w:cs="Times New Roman"/>
          <w:sz w:val="24"/>
          <w:szCs w:val="24"/>
        </w:rPr>
      </w:pPr>
    </w:p>
    <w:p w14:paraId="0936AD6C" w14:textId="77777777" w:rsidR="00382323" w:rsidRPr="00382323" w:rsidRDefault="00382323" w:rsidP="00952278">
      <w:pPr>
        <w:jc w:val="both"/>
        <w:rPr>
          <w:rFonts w:ascii="Times New Roman" w:hAnsi="Times New Roman" w:cs="Times New Roman"/>
          <w:b/>
          <w:sz w:val="24"/>
          <w:szCs w:val="24"/>
        </w:rPr>
      </w:pPr>
      <w:r w:rsidRPr="00382323">
        <w:rPr>
          <w:rFonts w:ascii="Times New Roman" w:hAnsi="Times New Roman" w:cs="Times New Roman"/>
          <w:b/>
          <w:sz w:val="24"/>
          <w:szCs w:val="24"/>
        </w:rPr>
        <w:t>Does a release give rise to a severance of the joint tenancy?</w:t>
      </w:r>
    </w:p>
    <w:p w14:paraId="11A7C9CD" w14:textId="77777777" w:rsidR="00AF1904" w:rsidRDefault="00850CC3" w:rsidP="00DB6D60">
      <w:pPr>
        <w:jc w:val="both"/>
        <w:rPr>
          <w:rFonts w:ascii="Times New Roman" w:hAnsi="Times New Roman" w:cs="Times New Roman"/>
          <w:sz w:val="24"/>
          <w:szCs w:val="24"/>
        </w:rPr>
      </w:pPr>
      <w:r>
        <w:rPr>
          <w:rFonts w:ascii="Times New Roman" w:hAnsi="Times New Roman" w:cs="Times New Roman"/>
          <w:sz w:val="24"/>
          <w:szCs w:val="24"/>
        </w:rPr>
        <w:t xml:space="preserve">The notion that a release has the effect of severing a joint tenancy is well-established. In Bacon's </w:t>
      </w:r>
      <w:r w:rsidRPr="003C23CE">
        <w:rPr>
          <w:rFonts w:ascii="Times New Roman" w:hAnsi="Times New Roman" w:cs="Times New Roman"/>
          <w:i/>
          <w:sz w:val="24"/>
          <w:szCs w:val="24"/>
        </w:rPr>
        <w:t>Abridgement of the Law</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there appears the following passage: "the proper conveyance by one joint tenant to another and what will most effectually sever the joint tenancy is a release . . ."  In</w:t>
      </w:r>
      <w:r w:rsidR="00861AB0">
        <w:rPr>
          <w:rFonts w:ascii="Times New Roman" w:hAnsi="Times New Roman" w:cs="Times New Roman"/>
          <w:sz w:val="24"/>
          <w:szCs w:val="24"/>
        </w:rPr>
        <w:t xml:space="preserve"> </w:t>
      </w:r>
      <w:proofErr w:type="spellStart"/>
      <w:r w:rsidR="00861AB0" w:rsidRPr="00861AB0">
        <w:rPr>
          <w:rFonts w:ascii="Times New Roman" w:hAnsi="Times New Roman" w:cs="Times New Roman"/>
          <w:i/>
          <w:sz w:val="24"/>
          <w:szCs w:val="24"/>
        </w:rPr>
        <w:t>Wa</w:t>
      </w:r>
      <w:r w:rsidR="00C814C4">
        <w:rPr>
          <w:rFonts w:ascii="Times New Roman" w:hAnsi="Times New Roman" w:cs="Times New Roman"/>
          <w:i/>
          <w:sz w:val="24"/>
          <w:szCs w:val="24"/>
        </w:rPr>
        <w:t>l</w:t>
      </w:r>
      <w:r w:rsidR="00861AB0" w:rsidRPr="00861AB0">
        <w:rPr>
          <w:rFonts w:ascii="Times New Roman" w:hAnsi="Times New Roman" w:cs="Times New Roman"/>
          <w:i/>
          <w:sz w:val="24"/>
          <w:szCs w:val="24"/>
        </w:rPr>
        <w:t>lbank</w:t>
      </w:r>
      <w:proofErr w:type="spellEnd"/>
      <w:r w:rsidR="00861AB0" w:rsidRPr="00861AB0">
        <w:rPr>
          <w:rFonts w:ascii="Times New Roman" w:hAnsi="Times New Roman" w:cs="Times New Roman"/>
          <w:i/>
          <w:sz w:val="24"/>
          <w:szCs w:val="24"/>
        </w:rPr>
        <w:t xml:space="preserve"> v Price</w:t>
      </w:r>
      <w:r w:rsidR="008632EA">
        <w:rPr>
          <w:rFonts w:ascii="Times New Roman" w:hAnsi="Times New Roman" w:cs="Times New Roman"/>
          <w:sz w:val="24"/>
          <w:szCs w:val="24"/>
        </w:rPr>
        <w:t>,</w:t>
      </w:r>
      <w:r w:rsidR="008632EA">
        <w:rPr>
          <w:rStyle w:val="FootnoteReference"/>
          <w:rFonts w:ascii="Times New Roman" w:hAnsi="Times New Roman" w:cs="Times New Roman"/>
          <w:sz w:val="24"/>
          <w:szCs w:val="24"/>
        </w:rPr>
        <w:footnoteReference w:id="11"/>
      </w:r>
      <w:r w:rsidR="008632EA">
        <w:rPr>
          <w:rFonts w:ascii="Times New Roman" w:hAnsi="Times New Roman" w:cs="Times New Roman"/>
          <w:sz w:val="24"/>
          <w:szCs w:val="24"/>
        </w:rPr>
        <w:t xml:space="preserve"> </w:t>
      </w:r>
      <w:r w:rsidR="00DB6D60">
        <w:rPr>
          <w:rFonts w:ascii="Times New Roman" w:hAnsi="Times New Roman" w:cs="Times New Roman"/>
          <w:sz w:val="24"/>
          <w:szCs w:val="24"/>
        </w:rPr>
        <w:t>the parties</w:t>
      </w:r>
      <w:r w:rsidR="00AF1904">
        <w:rPr>
          <w:rFonts w:ascii="Times New Roman" w:hAnsi="Times New Roman" w:cs="Times New Roman"/>
          <w:sz w:val="24"/>
          <w:szCs w:val="24"/>
        </w:rPr>
        <w:t xml:space="preserve">, Martin and Susan </w:t>
      </w:r>
      <w:proofErr w:type="spellStart"/>
      <w:r w:rsidR="00AF1904">
        <w:rPr>
          <w:rFonts w:ascii="Times New Roman" w:hAnsi="Times New Roman" w:cs="Times New Roman"/>
          <w:sz w:val="24"/>
          <w:szCs w:val="24"/>
        </w:rPr>
        <w:t>Wallbank</w:t>
      </w:r>
      <w:proofErr w:type="spellEnd"/>
      <w:r w:rsidR="00AF1904">
        <w:rPr>
          <w:rFonts w:ascii="Times New Roman" w:hAnsi="Times New Roman" w:cs="Times New Roman"/>
          <w:sz w:val="24"/>
          <w:szCs w:val="24"/>
        </w:rPr>
        <w:t>,</w:t>
      </w:r>
      <w:r w:rsidR="00DB6D60">
        <w:rPr>
          <w:rFonts w:ascii="Times New Roman" w:hAnsi="Times New Roman" w:cs="Times New Roman"/>
          <w:sz w:val="24"/>
          <w:szCs w:val="24"/>
        </w:rPr>
        <w:t xml:space="preserve"> </w:t>
      </w:r>
      <w:r w:rsidR="00DB6D60" w:rsidRPr="00DB6D60">
        <w:rPr>
          <w:rFonts w:ascii="Times New Roman" w:eastAsia="Times New Roman" w:hAnsi="Times New Roman" w:cs="Times New Roman"/>
          <w:color w:val="1F1F1F"/>
          <w:sz w:val="24"/>
          <w:szCs w:val="24"/>
          <w:lang w:eastAsia="en-GB"/>
        </w:rPr>
        <w:t>held a hous</w:t>
      </w:r>
      <w:r w:rsidR="00AF1904">
        <w:rPr>
          <w:rFonts w:ascii="Times New Roman" w:eastAsia="Times New Roman" w:hAnsi="Times New Roman" w:cs="Times New Roman"/>
          <w:color w:val="1F1F1F"/>
          <w:sz w:val="24"/>
          <w:szCs w:val="24"/>
          <w:lang w:eastAsia="en-GB"/>
        </w:rPr>
        <w:t>e as beneficial joint tenants. Susan</w:t>
      </w:r>
      <w:r w:rsidR="00DB6D60" w:rsidRPr="00DB6D60">
        <w:rPr>
          <w:rFonts w:ascii="Times New Roman" w:eastAsia="Times New Roman" w:hAnsi="Times New Roman" w:cs="Times New Roman"/>
          <w:color w:val="1F1F1F"/>
          <w:sz w:val="24"/>
          <w:szCs w:val="24"/>
          <w:lang w:eastAsia="en-GB"/>
        </w:rPr>
        <w:t xml:space="preserve"> left the house when their marriage broke</w:t>
      </w:r>
      <w:r w:rsidR="00AF1904">
        <w:rPr>
          <w:rFonts w:ascii="Times New Roman" w:eastAsia="Times New Roman" w:hAnsi="Times New Roman" w:cs="Times New Roman"/>
          <w:color w:val="1F1F1F"/>
          <w:sz w:val="24"/>
          <w:szCs w:val="24"/>
          <w:lang w:eastAsia="en-GB"/>
        </w:rPr>
        <w:t xml:space="preserve"> down in 1998. </w:t>
      </w:r>
      <w:r w:rsidR="00AF1904" w:rsidRPr="00AF1904">
        <w:rPr>
          <w:rFonts w:ascii="Times New Roman" w:hAnsi="Times New Roman" w:cs="Times New Roman"/>
          <w:sz w:val="24"/>
          <w:szCs w:val="24"/>
        </w:rPr>
        <w:t>On 31 August 1998,</w:t>
      </w:r>
      <w:r w:rsidR="00AF1904">
        <w:rPr>
          <w:rFonts w:ascii="Times New Roman" w:hAnsi="Times New Roman" w:cs="Times New Roman"/>
          <w:sz w:val="24"/>
          <w:szCs w:val="24"/>
        </w:rPr>
        <w:t xml:space="preserve"> she</w:t>
      </w:r>
      <w:r w:rsidR="00AF1904" w:rsidRPr="00AF1904">
        <w:rPr>
          <w:rFonts w:ascii="Times New Roman" w:hAnsi="Times New Roman" w:cs="Times New Roman"/>
          <w:sz w:val="24"/>
          <w:szCs w:val="24"/>
        </w:rPr>
        <w:t xml:space="preserve"> signed a handwritten document in the following terms: </w:t>
      </w:r>
    </w:p>
    <w:p w14:paraId="6CF56E79" w14:textId="77777777" w:rsidR="00AF1904" w:rsidRPr="00AF1904" w:rsidRDefault="00AF1904" w:rsidP="00DB6D60">
      <w:pPr>
        <w:jc w:val="both"/>
        <w:rPr>
          <w:rFonts w:ascii="Times New Roman" w:eastAsia="Times New Roman" w:hAnsi="Times New Roman" w:cs="Times New Roman"/>
          <w:color w:val="1F1F1F"/>
          <w:sz w:val="24"/>
          <w:szCs w:val="24"/>
          <w:lang w:eastAsia="en-GB"/>
        </w:rPr>
      </w:pPr>
      <w:r>
        <w:rPr>
          <w:rFonts w:ascii="Times New Roman" w:hAnsi="Times New Roman" w:cs="Times New Roman"/>
          <w:sz w:val="24"/>
          <w:szCs w:val="24"/>
        </w:rPr>
        <w:tab/>
      </w:r>
      <w:r w:rsidR="00A33BFC">
        <w:rPr>
          <w:rFonts w:ascii="Times New Roman" w:hAnsi="Times New Roman" w:cs="Times New Roman"/>
          <w:sz w:val="24"/>
          <w:szCs w:val="24"/>
        </w:rPr>
        <w:t xml:space="preserve">“I Susan Joan </w:t>
      </w:r>
      <w:proofErr w:type="spellStart"/>
      <w:r w:rsidR="00A33BFC">
        <w:rPr>
          <w:rFonts w:ascii="Times New Roman" w:hAnsi="Times New Roman" w:cs="Times New Roman"/>
          <w:sz w:val="24"/>
          <w:szCs w:val="24"/>
        </w:rPr>
        <w:t>Wallbank</w:t>
      </w:r>
      <w:proofErr w:type="spellEnd"/>
      <w:r w:rsidR="00A33BFC">
        <w:rPr>
          <w:rFonts w:ascii="Times New Roman" w:hAnsi="Times New Roman" w:cs="Times New Roman"/>
          <w:sz w:val="24"/>
          <w:szCs w:val="24"/>
        </w:rPr>
        <w:t xml:space="preserve"> h</w:t>
      </w:r>
      <w:r w:rsidRPr="00AF1904">
        <w:rPr>
          <w:rFonts w:ascii="Times New Roman" w:hAnsi="Times New Roman" w:cs="Times New Roman"/>
          <w:sz w:val="24"/>
          <w:szCs w:val="24"/>
        </w:rPr>
        <w:t xml:space="preserve">ave voluntarily agreed to vacate the above premises and </w:t>
      </w:r>
      <w:r>
        <w:rPr>
          <w:rFonts w:ascii="Times New Roman" w:hAnsi="Times New Roman" w:cs="Times New Roman"/>
          <w:sz w:val="24"/>
          <w:szCs w:val="24"/>
        </w:rPr>
        <w:tab/>
      </w:r>
      <w:r w:rsidRPr="00AF1904">
        <w:rPr>
          <w:rFonts w:ascii="Times New Roman" w:hAnsi="Times New Roman" w:cs="Times New Roman"/>
          <w:sz w:val="24"/>
          <w:szCs w:val="24"/>
        </w:rPr>
        <w:t>also to forfeit any monies or profit in any</w:t>
      </w:r>
      <w:r w:rsidR="000E6D67">
        <w:rPr>
          <w:rFonts w:ascii="Times New Roman" w:hAnsi="Times New Roman" w:cs="Times New Roman"/>
          <w:sz w:val="24"/>
          <w:szCs w:val="24"/>
        </w:rPr>
        <w:t xml:space="preserve"> </w:t>
      </w:r>
      <w:r w:rsidRPr="00AF1904">
        <w:rPr>
          <w:rFonts w:ascii="Times New Roman" w:hAnsi="Times New Roman" w:cs="Times New Roman"/>
          <w:sz w:val="24"/>
          <w:szCs w:val="24"/>
        </w:rPr>
        <w:t xml:space="preserve">way connected with this property, and by </w:t>
      </w:r>
      <w:r>
        <w:rPr>
          <w:rFonts w:ascii="Times New Roman" w:hAnsi="Times New Roman" w:cs="Times New Roman"/>
          <w:sz w:val="24"/>
          <w:szCs w:val="24"/>
        </w:rPr>
        <w:tab/>
      </w:r>
      <w:r w:rsidRPr="00AF1904">
        <w:rPr>
          <w:rFonts w:ascii="Times New Roman" w:hAnsi="Times New Roman" w:cs="Times New Roman"/>
          <w:sz w:val="24"/>
          <w:szCs w:val="24"/>
        </w:rPr>
        <w:t xml:space="preserve">signing this declaration I revoke any rights in the disposal of the above property. The </w:t>
      </w:r>
      <w:r>
        <w:rPr>
          <w:rFonts w:ascii="Times New Roman" w:hAnsi="Times New Roman" w:cs="Times New Roman"/>
          <w:sz w:val="24"/>
          <w:szCs w:val="24"/>
        </w:rPr>
        <w:tab/>
      </w:r>
      <w:r w:rsidRPr="00AF1904">
        <w:rPr>
          <w:rFonts w:ascii="Times New Roman" w:hAnsi="Times New Roman" w:cs="Times New Roman"/>
          <w:sz w:val="24"/>
          <w:szCs w:val="24"/>
        </w:rPr>
        <w:t>onl</w:t>
      </w:r>
      <w:r>
        <w:rPr>
          <w:rFonts w:ascii="Times New Roman" w:hAnsi="Times New Roman" w:cs="Times New Roman"/>
          <w:sz w:val="24"/>
          <w:szCs w:val="24"/>
        </w:rPr>
        <w:t>y exception to this is that my d</w:t>
      </w:r>
      <w:r w:rsidRPr="00AF1904">
        <w:rPr>
          <w:rFonts w:ascii="Times New Roman" w:hAnsi="Times New Roman" w:cs="Times New Roman"/>
          <w:sz w:val="24"/>
          <w:szCs w:val="24"/>
        </w:rPr>
        <w:t xml:space="preserve">aughters Jaime and Lynsey </w:t>
      </w:r>
      <w:proofErr w:type="spellStart"/>
      <w:r w:rsidRPr="00AF1904">
        <w:rPr>
          <w:rFonts w:ascii="Times New Roman" w:hAnsi="Times New Roman" w:cs="Times New Roman"/>
          <w:sz w:val="24"/>
          <w:szCs w:val="24"/>
        </w:rPr>
        <w:t>Wallbank</w:t>
      </w:r>
      <w:proofErr w:type="spellEnd"/>
      <w:r w:rsidRPr="00AF1904">
        <w:rPr>
          <w:rFonts w:ascii="Times New Roman" w:hAnsi="Times New Roman" w:cs="Times New Roman"/>
          <w:sz w:val="24"/>
          <w:szCs w:val="24"/>
        </w:rPr>
        <w:t xml:space="preserve"> should </w:t>
      </w:r>
      <w:r>
        <w:rPr>
          <w:rFonts w:ascii="Times New Roman" w:hAnsi="Times New Roman" w:cs="Times New Roman"/>
          <w:sz w:val="24"/>
          <w:szCs w:val="24"/>
        </w:rPr>
        <w:tab/>
      </w:r>
      <w:r w:rsidRPr="00AF1904">
        <w:rPr>
          <w:rFonts w:ascii="Times New Roman" w:hAnsi="Times New Roman" w:cs="Times New Roman"/>
          <w:sz w:val="24"/>
          <w:szCs w:val="24"/>
        </w:rPr>
        <w:t xml:space="preserve">receive my half share of the property on its disposal or at the discretion of my </w:t>
      </w:r>
      <w:r>
        <w:rPr>
          <w:rFonts w:ascii="Times New Roman" w:hAnsi="Times New Roman" w:cs="Times New Roman"/>
          <w:sz w:val="24"/>
          <w:szCs w:val="24"/>
        </w:rPr>
        <w:tab/>
      </w:r>
      <w:r w:rsidRPr="00AF1904">
        <w:rPr>
          <w:rFonts w:ascii="Times New Roman" w:hAnsi="Times New Roman" w:cs="Times New Roman"/>
          <w:sz w:val="24"/>
          <w:szCs w:val="24"/>
        </w:rPr>
        <w:t xml:space="preserve">husband Martin Harry </w:t>
      </w:r>
      <w:proofErr w:type="spellStart"/>
      <w:r w:rsidRPr="00AF1904">
        <w:rPr>
          <w:rFonts w:ascii="Times New Roman" w:hAnsi="Times New Roman" w:cs="Times New Roman"/>
          <w:sz w:val="24"/>
          <w:szCs w:val="24"/>
        </w:rPr>
        <w:t>Wallbank</w:t>
      </w:r>
      <w:proofErr w:type="spellEnd"/>
      <w:r w:rsidRPr="00AF1904">
        <w:rPr>
          <w:rFonts w:ascii="Times New Roman" w:hAnsi="Times New Roman" w:cs="Times New Roman"/>
          <w:sz w:val="24"/>
          <w:szCs w:val="24"/>
        </w:rPr>
        <w:t>.”</w:t>
      </w:r>
    </w:p>
    <w:p w14:paraId="1E9C1038" w14:textId="77777777" w:rsidR="00DB6D60" w:rsidRDefault="00354D2F" w:rsidP="00DB6D60">
      <w:pPr>
        <w:jc w:val="both"/>
        <w:rPr>
          <w:rFonts w:ascii="Times New Roman" w:hAnsi="Times New Roman" w:cs="Times New Roman"/>
          <w:color w:val="1F1F1F"/>
          <w:sz w:val="24"/>
          <w:szCs w:val="24"/>
          <w:shd w:val="clear" w:color="auto" w:fill="FFFFFF"/>
        </w:rPr>
      </w:pPr>
      <w:r>
        <w:rPr>
          <w:rFonts w:ascii="Times New Roman" w:eastAsia="Times New Roman" w:hAnsi="Times New Roman" w:cs="Times New Roman"/>
          <w:color w:val="1F1F1F"/>
          <w:sz w:val="24"/>
          <w:szCs w:val="24"/>
          <w:lang w:eastAsia="en-GB"/>
        </w:rPr>
        <w:t xml:space="preserve">Lewison J held that </w:t>
      </w:r>
      <w:r>
        <w:rPr>
          <w:rFonts w:ascii="Times New Roman" w:hAnsi="Times New Roman" w:cs="Times New Roman"/>
          <w:color w:val="1F1F1F"/>
          <w:sz w:val="24"/>
          <w:szCs w:val="24"/>
          <w:shd w:val="clear" w:color="auto" w:fill="FFFFFF"/>
        </w:rPr>
        <w:t>the document indicated that Susan</w:t>
      </w:r>
      <w:r w:rsidRPr="00354D2F">
        <w:rPr>
          <w:rFonts w:ascii="Times New Roman" w:hAnsi="Times New Roman" w:cs="Times New Roman"/>
          <w:color w:val="1F1F1F"/>
          <w:sz w:val="24"/>
          <w:szCs w:val="24"/>
          <w:shd w:val="clear" w:color="auto" w:fill="FFFFFF"/>
        </w:rPr>
        <w:t xml:space="preserve"> intended to give up her beneficial interest in the property. </w:t>
      </w:r>
      <w:r>
        <w:rPr>
          <w:rFonts w:ascii="Times New Roman" w:hAnsi="Times New Roman" w:cs="Times New Roman"/>
          <w:color w:val="1F1F1F"/>
          <w:sz w:val="24"/>
          <w:szCs w:val="24"/>
          <w:shd w:val="clear" w:color="auto" w:fill="FFFFFF"/>
        </w:rPr>
        <w:t>Although t</w:t>
      </w:r>
      <w:r w:rsidRPr="00354D2F">
        <w:rPr>
          <w:rFonts w:ascii="Times New Roman" w:hAnsi="Times New Roman" w:cs="Times New Roman"/>
          <w:color w:val="1F1F1F"/>
          <w:sz w:val="24"/>
          <w:szCs w:val="24"/>
          <w:shd w:val="clear" w:color="auto" w:fill="FFFFFF"/>
        </w:rPr>
        <w:t>he essence of a joint tenancy in equity was that each joint tenant held the whole of the beneficial interest jointly and held nothing s</w:t>
      </w:r>
      <w:r>
        <w:rPr>
          <w:rFonts w:ascii="Times New Roman" w:hAnsi="Times New Roman" w:cs="Times New Roman"/>
          <w:color w:val="1F1F1F"/>
          <w:sz w:val="24"/>
          <w:szCs w:val="24"/>
          <w:shd w:val="clear" w:color="auto" w:fill="FFFFFF"/>
        </w:rPr>
        <w:t>eparately, the statement that she</w:t>
      </w:r>
      <w:r w:rsidRPr="00354D2F">
        <w:rPr>
          <w:rFonts w:ascii="Times New Roman" w:hAnsi="Times New Roman" w:cs="Times New Roman"/>
          <w:color w:val="1F1F1F"/>
          <w:sz w:val="24"/>
          <w:szCs w:val="24"/>
          <w:shd w:val="clear" w:color="auto" w:fill="FFFFFF"/>
        </w:rPr>
        <w:t xml:space="preserve"> had a "half share" to be dealt with was inconsistent with the continuing existence of a joint tenancy in equity. </w:t>
      </w:r>
      <w:r w:rsidR="00382323">
        <w:rPr>
          <w:rFonts w:ascii="Times New Roman" w:hAnsi="Times New Roman" w:cs="Times New Roman"/>
          <w:color w:val="1F1F1F"/>
          <w:sz w:val="24"/>
          <w:szCs w:val="24"/>
          <w:shd w:val="clear" w:color="auto" w:fill="FFFFFF"/>
        </w:rPr>
        <w:t>Moreover, t</w:t>
      </w:r>
      <w:r w:rsidRPr="00354D2F">
        <w:rPr>
          <w:rFonts w:ascii="Times New Roman" w:hAnsi="Times New Roman" w:cs="Times New Roman"/>
          <w:color w:val="1F1F1F"/>
          <w:sz w:val="24"/>
          <w:szCs w:val="24"/>
          <w:shd w:val="clear" w:color="auto" w:fill="FFFFFF"/>
        </w:rPr>
        <w:t xml:space="preserve">he creation of a half share was the inevitable consequence of the severance of the joint tenancy in equity where there were two joint tenants. </w:t>
      </w:r>
      <w:r w:rsidR="008632EA">
        <w:rPr>
          <w:rFonts w:ascii="Times New Roman" w:hAnsi="Times New Roman" w:cs="Times New Roman"/>
          <w:color w:val="1F1F1F"/>
          <w:sz w:val="24"/>
          <w:szCs w:val="24"/>
          <w:shd w:val="clear" w:color="auto" w:fill="FFFFFF"/>
        </w:rPr>
        <w:t>His Lordship stated</w:t>
      </w:r>
      <w:r w:rsidR="00E96DFE">
        <w:rPr>
          <w:rFonts w:ascii="Times New Roman" w:hAnsi="Times New Roman" w:cs="Times New Roman"/>
          <w:color w:val="1F1F1F"/>
          <w:sz w:val="24"/>
          <w:szCs w:val="24"/>
          <w:shd w:val="clear" w:color="auto" w:fill="FFFFFF"/>
        </w:rPr>
        <w:t>:</w:t>
      </w:r>
      <w:r w:rsidR="008632EA">
        <w:rPr>
          <w:rStyle w:val="FootnoteReference"/>
          <w:rFonts w:ascii="Times New Roman" w:hAnsi="Times New Roman" w:cs="Times New Roman"/>
          <w:color w:val="1F1F1F"/>
          <w:sz w:val="24"/>
          <w:szCs w:val="24"/>
          <w:shd w:val="clear" w:color="auto" w:fill="FFFFFF"/>
        </w:rPr>
        <w:footnoteReference w:id="12"/>
      </w:r>
    </w:p>
    <w:p w14:paraId="6426FC59" w14:textId="77777777" w:rsidR="00E96DFE" w:rsidRDefault="00E96DFE" w:rsidP="00DB6D60">
      <w:pPr>
        <w:jc w:val="both"/>
        <w:rPr>
          <w:rFonts w:ascii="Times New Roman" w:hAnsi="Times New Roman" w:cs="Times New Roman"/>
          <w:sz w:val="24"/>
          <w:szCs w:val="24"/>
        </w:rPr>
      </w:pPr>
      <w:r>
        <w:rPr>
          <w:rFonts w:ascii="Times New Roman" w:hAnsi="Times New Roman" w:cs="Times New Roman"/>
          <w:sz w:val="24"/>
          <w:szCs w:val="24"/>
        </w:rPr>
        <w:tab/>
      </w:r>
      <w:r w:rsidRPr="00E96DFE">
        <w:rPr>
          <w:rFonts w:ascii="Times New Roman" w:hAnsi="Times New Roman" w:cs="Times New Roman"/>
          <w:sz w:val="24"/>
          <w:szCs w:val="24"/>
        </w:rPr>
        <w:t xml:space="preserve">The declaration is in writing and signed by both Mr </w:t>
      </w:r>
      <w:proofErr w:type="spellStart"/>
      <w:r w:rsidRPr="00E96DFE">
        <w:rPr>
          <w:rFonts w:ascii="Times New Roman" w:hAnsi="Times New Roman" w:cs="Times New Roman"/>
          <w:sz w:val="24"/>
          <w:szCs w:val="24"/>
        </w:rPr>
        <w:t>Wallbank</w:t>
      </w:r>
      <w:proofErr w:type="spellEnd"/>
      <w:r w:rsidRPr="00E96DFE">
        <w:rPr>
          <w:rFonts w:ascii="Times New Roman" w:hAnsi="Times New Roman" w:cs="Times New Roman"/>
          <w:sz w:val="24"/>
          <w:szCs w:val="24"/>
        </w:rPr>
        <w:t xml:space="preserve"> and Mrs Price. If, </w:t>
      </w:r>
      <w:r>
        <w:rPr>
          <w:rFonts w:ascii="Times New Roman" w:hAnsi="Times New Roman" w:cs="Times New Roman"/>
          <w:sz w:val="24"/>
          <w:szCs w:val="24"/>
        </w:rPr>
        <w:tab/>
      </w:r>
      <w:r w:rsidRPr="00E96DFE">
        <w:rPr>
          <w:rFonts w:ascii="Times New Roman" w:hAnsi="Times New Roman" w:cs="Times New Roman"/>
          <w:sz w:val="24"/>
          <w:szCs w:val="24"/>
        </w:rPr>
        <w:t xml:space="preserve">therefore, it purports to be a declaration of trust or a disposition of an equitable </w:t>
      </w:r>
      <w:r>
        <w:rPr>
          <w:rFonts w:ascii="Times New Roman" w:hAnsi="Times New Roman" w:cs="Times New Roman"/>
          <w:sz w:val="24"/>
          <w:szCs w:val="24"/>
        </w:rPr>
        <w:tab/>
      </w:r>
      <w:r w:rsidRPr="00E96DFE">
        <w:rPr>
          <w:rFonts w:ascii="Times New Roman" w:hAnsi="Times New Roman" w:cs="Times New Roman"/>
          <w:sz w:val="24"/>
          <w:szCs w:val="24"/>
        </w:rPr>
        <w:t>interest it satisfies the fo</w:t>
      </w:r>
      <w:r w:rsidR="003114D6">
        <w:rPr>
          <w:rFonts w:ascii="Times New Roman" w:hAnsi="Times New Roman" w:cs="Times New Roman"/>
          <w:sz w:val="24"/>
          <w:szCs w:val="24"/>
        </w:rPr>
        <w:t>rmal requirements of section 53</w:t>
      </w:r>
      <w:r w:rsidRPr="00E96DFE">
        <w:rPr>
          <w:rFonts w:ascii="Times New Roman" w:hAnsi="Times New Roman" w:cs="Times New Roman"/>
          <w:sz w:val="24"/>
          <w:szCs w:val="24"/>
        </w:rPr>
        <w:t xml:space="preserve">(1) (b) and (c) of the Law of </w:t>
      </w:r>
      <w:r>
        <w:rPr>
          <w:rFonts w:ascii="Times New Roman" w:hAnsi="Times New Roman" w:cs="Times New Roman"/>
          <w:sz w:val="24"/>
          <w:szCs w:val="24"/>
        </w:rPr>
        <w:tab/>
      </w:r>
      <w:r w:rsidRPr="00E96DFE">
        <w:rPr>
          <w:rFonts w:ascii="Times New Roman" w:hAnsi="Times New Roman" w:cs="Times New Roman"/>
          <w:sz w:val="24"/>
          <w:szCs w:val="24"/>
        </w:rPr>
        <w:t>Property Act 1925</w:t>
      </w:r>
      <w:r>
        <w:rPr>
          <w:rFonts w:ascii="Times New Roman" w:hAnsi="Times New Roman" w:cs="Times New Roman"/>
          <w:sz w:val="24"/>
          <w:szCs w:val="24"/>
        </w:rPr>
        <w:t>."</w:t>
      </w:r>
    </w:p>
    <w:p w14:paraId="46ABD187" w14:textId="77777777" w:rsidR="00E96DFE" w:rsidRDefault="00E96DFE" w:rsidP="00DB6D60">
      <w:pPr>
        <w:jc w:val="both"/>
        <w:rPr>
          <w:rFonts w:ascii="Times New Roman" w:hAnsi="Times New Roman" w:cs="Times New Roman"/>
          <w:sz w:val="24"/>
          <w:szCs w:val="24"/>
        </w:rPr>
      </w:pPr>
      <w:r>
        <w:rPr>
          <w:rFonts w:ascii="Times New Roman" w:hAnsi="Times New Roman" w:cs="Times New Roman"/>
          <w:sz w:val="24"/>
          <w:szCs w:val="24"/>
        </w:rPr>
        <w:t>And</w:t>
      </w:r>
      <w:r w:rsidR="008632EA">
        <w:rPr>
          <w:rFonts w:ascii="Times New Roman" w:hAnsi="Times New Roman" w:cs="Times New Roman"/>
          <w:sz w:val="24"/>
          <w:szCs w:val="24"/>
        </w:rPr>
        <w:t xml:space="preserve"> later in his judgment, his Lordship stated:</w:t>
      </w:r>
      <w:r w:rsidR="008632EA">
        <w:rPr>
          <w:rStyle w:val="FootnoteReference"/>
          <w:rFonts w:ascii="Times New Roman" w:hAnsi="Times New Roman" w:cs="Times New Roman"/>
          <w:sz w:val="24"/>
          <w:szCs w:val="24"/>
        </w:rPr>
        <w:footnoteReference w:id="13"/>
      </w:r>
    </w:p>
    <w:p w14:paraId="4891F0CC" w14:textId="77777777" w:rsidR="00C46C9C" w:rsidRDefault="002013D0" w:rsidP="00DB6D60">
      <w:pPr>
        <w:jc w:val="both"/>
        <w:rPr>
          <w:rFonts w:ascii="Times New Roman" w:hAnsi="Times New Roman" w:cs="Times New Roman"/>
          <w:sz w:val="24"/>
          <w:szCs w:val="24"/>
        </w:rPr>
      </w:pPr>
      <w:r>
        <w:rPr>
          <w:rFonts w:ascii="Times New Roman" w:hAnsi="Times New Roman" w:cs="Times New Roman"/>
          <w:sz w:val="24"/>
          <w:szCs w:val="24"/>
        </w:rPr>
        <w:tab/>
        <w:t>"</w:t>
      </w:r>
      <w:r w:rsidRPr="002013D0">
        <w:rPr>
          <w:rFonts w:ascii="Times New Roman" w:hAnsi="Times New Roman" w:cs="Times New Roman"/>
          <w:sz w:val="24"/>
          <w:szCs w:val="24"/>
        </w:rPr>
        <w:t xml:space="preserve">The orthodox way by which one joint tenant confers rights on another joint tenant is </w:t>
      </w:r>
      <w:r>
        <w:rPr>
          <w:rFonts w:ascii="Times New Roman" w:hAnsi="Times New Roman" w:cs="Times New Roman"/>
          <w:sz w:val="24"/>
          <w:szCs w:val="24"/>
        </w:rPr>
        <w:tab/>
      </w:r>
      <w:r w:rsidRPr="002013D0">
        <w:rPr>
          <w:rFonts w:ascii="Times New Roman" w:hAnsi="Times New Roman" w:cs="Times New Roman"/>
          <w:sz w:val="24"/>
          <w:szCs w:val="24"/>
        </w:rPr>
        <w:t>not by gran</w:t>
      </w:r>
      <w:r>
        <w:rPr>
          <w:rFonts w:ascii="Times New Roman" w:hAnsi="Times New Roman" w:cs="Times New Roman"/>
          <w:sz w:val="24"/>
          <w:szCs w:val="24"/>
        </w:rPr>
        <w:t xml:space="preserve">t or conveyance but by release . . . </w:t>
      </w:r>
      <w:r w:rsidRPr="002013D0">
        <w:rPr>
          <w:rFonts w:ascii="Times New Roman" w:hAnsi="Times New Roman" w:cs="Times New Roman"/>
          <w:sz w:val="24"/>
          <w:szCs w:val="24"/>
        </w:rPr>
        <w:t xml:space="preserve">Fairly read, I conclude that in principle </w:t>
      </w:r>
      <w:r>
        <w:rPr>
          <w:rFonts w:ascii="Times New Roman" w:hAnsi="Times New Roman" w:cs="Times New Roman"/>
          <w:sz w:val="24"/>
          <w:szCs w:val="24"/>
        </w:rPr>
        <w:tab/>
        <w:t>[Susan]</w:t>
      </w:r>
      <w:r w:rsidRPr="002013D0">
        <w:rPr>
          <w:rFonts w:ascii="Times New Roman" w:hAnsi="Times New Roman" w:cs="Times New Roman"/>
          <w:sz w:val="24"/>
          <w:szCs w:val="24"/>
        </w:rPr>
        <w:t xml:space="preserve"> intended to give up her beneficial interest in the property. If the declaration </w:t>
      </w:r>
      <w:r>
        <w:rPr>
          <w:rFonts w:ascii="Times New Roman" w:hAnsi="Times New Roman" w:cs="Times New Roman"/>
          <w:sz w:val="24"/>
          <w:szCs w:val="24"/>
        </w:rPr>
        <w:tab/>
      </w:r>
      <w:r w:rsidRPr="002013D0">
        <w:rPr>
          <w:rFonts w:ascii="Times New Roman" w:hAnsi="Times New Roman" w:cs="Times New Roman"/>
          <w:sz w:val="24"/>
          <w:szCs w:val="24"/>
        </w:rPr>
        <w:t xml:space="preserve">had stopped at that point it would have taken effect as a release in favour of Mr </w:t>
      </w:r>
      <w:r>
        <w:rPr>
          <w:rFonts w:ascii="Times New Roman" w:hAnsi="Times New Roman" w:cs="Times New Roman"/>
          <w:sz w:val="24"/>
          <w:szCs w:val="24"/>
        </w:rPr>
        <w:tab/>
      </w:r>
      <w:proofErr w:type="spellStart"/>
      <w:r w:rsidRPr="002013D0">
        <w:rPr>
          <w:rFonts w:ascii="Times New Roman" w:hAnsi="Times New Roman" w:cs="Times New Roman"/>
          <w:sz w:val="24"/>
          <w:szCs w:val="24"/>
        </w:rPr>
        <w:t>Wallbank</w:t>
      </w:r>
      <w:proofErr w:type="spellEnd"/>
      <w:r w:rsidRPr="002013D0">
        <w:rPr>
          <w:rFonts w:ascii="Times New Roman" w:hAnsi="Times New Roman" w:cs="Times New Roman"/>
          <w:sz w:val="24"/>
          <w:szCs w:val="24"/>
        </w:rPr>
        <w:t>. But the legal estate remained vested i</w:t>
      </w:r>
      <w:r>
        <w:rPr>
          <w:rFonts w:ascii="Times New Roman" w:hAnsi="Times New Roman" w:cs="Times New Roman"/>
          <w:sz w:val="24"/>
          <w:szCs w:val="24"/>
        </w:rPr>
        <w:t xml:space="preserve">n both Mr </w:t>
      </w:r>
      <w:proofErr w:type="spellStart"/>
      <w:r>
        <w:rPr>
          <w:rFonts w:ascii="Times New Roman" w:hAnsi="Times New Roman" w:cs="Times New Roman"/>
          <w:sz w:val="24"/>
          <w:szCs w:val="24"/>
        </w:rPr>
        <w:t>Wallbank</w:t>
      </w:r>
      <w:proofErr w:type="spellEnd"/>
      <w:r>
        <w:rPr>
          <w:rFonts w:ascii="Times New Roman" w:hAnsi="Times New Roman" w:cs="Times New Roman"/>
          <w:sz w:val="24"/>
          <w:szCs w:val="24"/>
        </w:rPr>
        <w:t xml:space="preserve"> and [Susan]</w:t>
      </w:r>
      <w:r w:rsidRPr="002013D0">
        <w:rPr>
          <w:rFonts w:ascii="Times New Roman" w:hAnsi="Times New Roman" w:cs="Times New Roman"/>
          <w:sz w:val="24"/>
          <w:szCs w:val="24"/>
        </w:rPr>
        <w:t xml:space="preserve"> and </w:t>
      </w:r>
      <w:r>
        <w:rPr>
          <w:rFonts w:ascii="Times New Roman" w:hAnsi="Times New Roman" w:cs="Times New Roman"/>
          <w:sz w:val="24"/>
          <w:szCs w:val="24"/>
        </w:rPr>
        <w:tab/>
      </w:r>
      <w:r w:rsidRPr="002013D0">
        <w:rPr>
          <w:rFonts w:ascii="Times New Roman" w:hAnsi="Times New Roman" w:cs="Times New Roman"/>
          <w:sz w:val="24"/>
          <w:szCs w:val="24"/>
        </w:rPr>
        <w:t>consequently the release affected the beneficial interest alone</w:t>
      </w:r>
      <w:r>
        <w:rPr>
          <w:rFonts w:ascii="Times New Roman" w:hAnsi="Times New Roman" w:cs="Times New Roman"/>
          <w:sz w:val="24"/>
          <w:szCs w:val="24"/>
        </w:rPr>
        <w:t>."</w:t>
      </w:r>
    </w:p>
    <w:p w14:paraId="21CFAA43" w14:textId="77777777" w:rsidR="00C46C9C" w:rsidRDefault="00C46C9C" w:rsidP="00DB6D60">
      <w:pPr>
        <w:jc w:val="both"/>
        <w:rPr>
          <w:rFonts w:ascii="Times New Roman" w:hAnsi="Times New Roman" w:cs="Times New Roman"/>
          <w:sz w:val="24"/>
          <w:szCs w:val="24"/>
        </w:rPr>
      </w:pPr>
      <w:r>
        <w:rPr>
          <w:rFonts w:ascii="Times New Roman" w:hAnsi="Times New Roman" w:cs="Times New Roman"/>
          <w:sz w:val="24"/>
          <w:szCs w:val="24"/>
        </w:rPr>
        <w:tab/>
        <w:t>"The creation of a 'half share'</w:t>
      </w:r>
      <w:r w:rsidRPr="00C46C9C">
        <w:rPr>
          <w:rFonts w:ascii="Times New Roman" w:hAnsi="Times New Roman" w:cs="Times New Roman"/>
          <w:sz w:val="24"/>
          <w:szCs w:val="24"/>
        </w:rPr>
        <w:t xml:space="preserve"> is the inevitable consequence of the severance of a joint </w:t>
      </w:r>
      <w:r>
        <w:rPr>
          <w:rFonts w:ascii="Times New Roman" w:hAnsi="Times New Roman" w:cs="Times New Roman"/>
          <w:sz w:val="24"/>
          <w:szCs w:val="24"/>
        </w:rPr>
        <w:tab/>
      </w:r>
      <w:r w:rsidRPr="00C46C9C">
        <w:rPr>
          <w:rFonts w:ascii="Times New Roman" w:hAnsi="Times New Roman" w:cs="Times New Roman"/>
          <w:sz w:val="24"/>
          <w:szCs w:val="24"/>
        </w:rPr>
        <w:t xml:space="preserve">tenancy in equity where there are two joint tenants. Since there was no temporal </w:t>
      </w:r>
      <w:r>
        <w:rPr>
          <w:rFonts w:ascii="Times New Roman" w:hAnsi="Times New Roman" w:cs="Times New Roman"/>
          <w:sz w:val="24"/>
          <w:szCs w:val="24"/>
        </w:rPr>
        <w:tab/>
      </w:r>
      <w:r w:rsidRPr="00C46C9C">
        <w:rPr>
          <w:rFonts w:ascii="Times New Roman" w:hAnsi="Times New Roman" w:cs="Times New Roman"/>
          <w:sz w:val="24"/>
          <w:szCs w:val="24"/>
        </w:rPr>
        <w:t xml:space="preserve">limitation on Mr </w:t>
      </w:r>
      <w:proofErr w:type="spellStart"/>
      <w:r w:rsidRPr="00C46C9C">
        <w:rPr>
          <w:rFonts w:ascii="Times New Roman" w:hAnsi="Times New Roman" w:cs="Times New Roman"/>
          <w:sz w:val="24"/>
          <w:szCs w:val="24"/>
        </w:rPr>
        <w:t>Wallbank’s</w:t>
      </w:r>
      <w:proofErr w:type="spellEnd"/>
      <w:r w:rsidRPr="00C46C9C">
        <w:rPr>
          <w:rFonts w:ascii="Times New Roman" w:hAnsi="Times New Roman" w:cs="Times New Roman"/>
          <w:sz w:val="24"/>
          <w:szCs w:val="24"/>
        </w:rPr>
        <w:t xml:space="preserve"> exercise of discretion, it seems to me that the declaration </w:t>
      </w:r>
      <w:r>
        <w:rPr>
          <w:rFonts w:ascii="Times New Roman" w:hAnsi="Times New Roman" w:cs="Times New Roman"/>
          <w:sz w:val="24"/>
          <w:szCs w:val="24"/>
        </w:rPr>
        <w:tab/>
      </w:r>
      <w:r w:rsidRPr="00C46C9C">
        <w:rPr>
          <w:rFonts w:ascii="Times New Roman" w:hAnsi="Times New Roman" w:cs="Times New Roman"/>
          <w:sz w:val="24"/>
          <w:szCs w:val="24"/>
        </w:rPr>
        <w:t xml:space="preserve">must be construed as having immediate effect. The declaration was signed not only by </w:t>
      </w:r>
      <w:r>
        <w:rPr>
          <w:rFonts w:ascii="Times New Roman" w:hAnsi="Times New Roman" w:cs="Times New Roman"/>
          <w:sz w:val="24"/>
          <w:szCs w:val="24"/>
        </w:rPr>
        <w:tab/>
        <w:t>[Susan]</w:t>
      </w:r>
      <w:r w:rsidRPr="00C46C9C">
        <w:rPr>
          <w:rFonts w:ascii="Times New Roman" w:hAnsi="Times New Roman" w:cs="Times New Roman"/>
          <w:sz w:val="24"/>
          <w:szCs w:val="24"/>
        </w:rPr>
        <w:t xml:space="preserve"> but by Mr </w:t>
      </w:r>
      <w:proofErr w:type="spellStart"/>
      <w:r w:rsidRPr="00C46C9C">
        <w:rPr>
          <w:rFonts w:ascii="Times New Roman" w:hAnsi="Times New Roman" w:cs="Times New Roman"/>
          <w:sz w:val="24"/>
          <w:szCs w:val="24"/>
        </w:rPr>
        <w:t>Wallbank</w:t>
      </w:r>
      <w:proofErr w:type="spellEnd"/>
      <w:r w:rsidRPr="00C46C9C">
        <w:rPr>
          <w:rFonts w:ascii="Times New Roman" w:hAnsi="Times New Roman" w:cs="Times New Roman"/>
          <w:sz w:val="24"/>
          <w:szCs w:val="24"/>
        </w:rPr>
        <w:t xml:space="preserve"> as well. In my judgment it amounts to an agreement </w:t>
      </w:r>
      <w:r>
        <w:rPr>
          <w:rFonts w:ascii="Times New Roman" w:hAnsi="Times New Roman" w:cs="Times New Roman"/>
          <w:sz w:val="24"/>
          <w:szCs w:val="24"/>
        </w:rPr>
        <w:tab/>
      </w:r>
      <w:r w:rsidRPr="00C46C9C">
        <w:rPr>
          <w:rFonts w:ascii="Times New Roman" w:hAnsi="Times New Roman" w:cs="Times New Roman"/>
          <w:sz w:val="24"/>
          <w:szCs w:val="24"/>
        </w:rPr>
        <w:t>between the two joint tenants. I consider therefore that the join</w:t>
      </w:r>
      <w:r>
        <w:rPr>
          <w:rFonts w:ascii="Times New Roman" w:hAnsi="Times New Roman" w:cs="Times New Roman"/>
          <w:sz w:val="24"/>
          <w:szCs w:val="24"/>
        </w:rPr>
        <w:t xml:space="preserve">t tenancy in equity was </w:t>
      </w:r>
      <w:r>
        <w:rPr>
          <w:rFonts w:ascii="Times New Roman" w:hAnsi="Times New Roman" w:cs="Times New Roman"/>
          <w:sz w:val="24"/>
          <w:szCs w:val="24"/>
        </w:rPr>
        <w:tab/>
        <w:t>severed."</w:t>
      </w:r>
    </w:p>
    <w:p w14:paraId="36C39240" w14:textId="77777777" w:rsidR="00850CC3" w:rsidRPr="00850CC3" w:rsidRDefault="00850CC3" w:rsidP="00850CC3">
      <w:pPr>
        <w:shd w:val="clear" w:color="auto" w:fill="FFFFFF"/>
        <w:jc w:val="both"/>
        <w:textAlignment w:val="baseline"/>
        <w:rPr>
          <w:rFonts w:ascii="Times New Roman" w:hAnsi="Times New Roman" w:cs="Times New Roman"/>
          <w:color w:val="1F1F1F"/>
          <w:sz w:val="24"/>
          <w:szCs w:val="24"/>
        </w:rPr>
      </w:pPr>
      <w:r w:rsidRPr="00850CC3">
        <w:rPr>
          <w:rFonts w:ascii="Times New Roman" w:hAnsi="Times New Roman" w:cs="Times New Roman"/>
          <w:color w:val="1F1F1F"/>
          <w:sz w:val="24"/>
          <w:szCs w:val="24"/>
        </w:rPr>
        <w:t xml:space="preserve">However, the declaration did not create an </w:t>
      </w:r>
      <w:r>
        <w:rPr>
          <w:rFonts w:ascii="Times New Roman" w:hAnsi="Times New Roman" w:cs="Times New Roman"/>
          <w:color w:val="1F1F1F"/>
          <w:sz w:val="24"/>
          <w:szCs w:val="24"/>
        </w:rPr>
        <w:t>immediately vested interest in the two daughters</w:t>
      </w:r>
      <w:r w:rsidRPr="00850CC3">
        <w:rPr>
          <w:rFonts w:ascii="Times New Roman" w:hAnsi="Times New Roman" w:cs="Times New Roman"/>
          <w:color w:val="1F1F1F"/>
          <w:sz w:val="24"/>
          <w:szCs w:val="24"/>
        </w:rPr>
        <w:t>. The cor</w:t>
      </w:r>
      <w:r>
        <w:rPr>
          <w:rFonts w:ascii="Times New Roman" w:hAnsi="Times New Roman" w:cs="Times New Roman"/>
          <w:color w:val="1F1F1F"/>
          <w:sz w:val="24"/>
          <w:szCs w:val="24"/>
        </w:rPr>
        <w:t>rect interpretation was that their</w:t>
      </w:r>
      <w:r w:rsidRPr="00850CC3">
        <w:rPr>
          <w:rFonts w:ascii="Times New Roman" w:hAnsi="Times New Roman" w:cs="Times New Roman"/>
          <w:color w:val="1F1F1F"/>
          <w:sz w:val="24"/>
          <w:szCs w:val="24"/>
        </w:rPr>
        <w:t xml:space="preserve"> share would not vest until either th</w:t>
      </w:r>
      <w:r>
        <w:rPr>
          <w:rFonts w:ascii="Times New Roman" w:hAnsi="Times New Roman" w:cs="Times New Roman"/>
          <w:color w:val="1F1F1F"/>
          <w:sz w:val="24"/>
          <w:szCs w:val="24"/>
        </w:rPr>
        <w:t>e property was disposed of, or Martin</w:t>
      </w:r>
      <w:r w:rsidRPr="00850CC3">
        <w:rPr>
          <w:rFonts w:ascii="Times New Roman" w:hAnsi="Times New Roman" w:cs="Times New Roman"/>
          <w:color w:val="1F1F1F"/>
          <w:sz w:val="24"/>
          <w:szCs w:val="24"/>
        </w:rPr>
        <w:t xml:space="preserve"> exercised a discretion in their favour. In the interim</w:t>
      </w:r>
      <w:r>
        <w:rPr>
          <w:rFonts w:ascii="Times New Roman" w:hAnsi="Times New Roman" w:cs="Times New Roman"/>
          <w:color w:val="1F1F1F"/>
          <w:sz w:val="24"/>
          <w:szCs w:val="24"/>
        </w:rPr>
        <w:t>, the property belonged to him</w:t>
      </w:r>
      <w:r w:rsidRPr="00850CC3">
        <w:rPr>
          <w:rFonts w:ascii="Times New Roman" w:hAnsi="Times New Roman" w:cs="Times New Roman"/>
          <w:color w:val="1F1F1F"/>
          <w:sz w:val="24"/>
          <w:szCs w:val="24"/>
        </w:rPr>
        <w:t xml:space="preserve"> as a result of the release contained in the first part of the declaration. On his death intestate</w:t>
      </w:r>
      <w:r>
        <w:rPr>
          <w:rFonts w:ascii="Times New Roman" w:hAnsi="Times New Roman" w:cs="Times New Roman"/>
          <w:color w:val="1F1F1F"/>
          <w:sz w:val="24"/>
          <w:szCs w:val="24"/>
        </w:rPr>
        <w:t>,</w:t>
      </w:r>
      <w:r w:rsidRPr="00850CC3">
        <w:rPr>
          <w:rFonts w:ascii="Times New Roman" w:hAnsi="Times New Roman" w:cs="Times New Roman"/>
          <w:color w:val="1F1F1F"/>
          <w:sz w:val="24"/>
          <w:szCs w:val="24"/>
        </w:rPr>
        <w:t xml:space="preserve"> it passed toget</w:t>
      </w:r>
      <w:r>
        <w:rPr>
          <w:rFonts w:ascii="Times New Roman" w:hAnsi="Times New Roman" w:cs="Times New Roman"/>
          <w:color w:val="1F1F1F"/>
          <w:sz w:val="24"/>
          <w:szCs w:val="24"/>
        </w:rPr>
        <w:t>her with his own half share to the two daughters</w:t>
      </w:r>
      <w:r w:rsidRPr="00850CC3">
        <w:rPr>
          <w:rFonts w:ascii="Times New Roman" w:hAnsi="Times New Roman" w:cs="Times New Roman"/>
          <w:color w:val="1F1F1F"/>
          <w:sz w:val="24"/>
          <w:szCs w:val="24"/>
        </w:rPr>
        <w:t xml:space="preserve">. </w:t>
      </w:r>
      <w:r>
        <w:rPr>
          <w:rFonts w:ascii="Times New Roman" w:hAnsi="Times New Roman" w:cs="Times New Roman"/>
          <w:color w:val="1F1F1F"/>
          <w:sz w:val="24"/>
          <w:szCs w:val="24"/>
        </w:rPr>
        <w:t xml:space="preserve">Accordingly, he </w:t>
      </w:r>
      <w:r w:rsidRPr="00850CC3">
        <w:rPr>
          <w:rFonts w:ascii="Times New Roman" w:hAnsi="Times New Roman" w:cs="Times New Roman"/>
          <w:color w:val="1F1F1F"/>
          <w:sz w:val="24"/>
          <w:szCs w:val="24"/>
        </w:rPr>
        <w:t>was ordered to execute such documents as were necess</w:t>
      </w:r>
      <w:r>
        <w:rPr>
          <w:rFonts w:ascii="Times New Roman" w:hAnsi="Times New Roman" w:cs="Times New Roman"/>
          <w:color w:val="1F1F1F"/>
          <w:sz w:val="24"/>
          <w:szCs w:val="24"/>
        </w:rPr>
        <w:t>ary to transfer legal title to them</w:t>
      </w:r>
      <w:r w:rsidRPr="00850CC3">
        <w:rPr>
          <w:rFonts w:ascii="Times New Roman" w:hAnsi="Times New Roman" w:cs="Times New Roman"/>
          <w:color w:val="1F1F1F"/>
          <w:sz w:val="24"/>
          <w:szCs w:val="24"/>
        </w:rPr>
        <w:t>.</w:t>
      </w:r>
    </w:p>
    <w:p w14:paraId="07CE66CA" w14:textId="77777777" w:rsidR="00A11967" w:rsidRDefault="00A11967" w:rsidP="00DB6D60">
      <w:pPr>
        <w:jc w:val="both"/>
        <w:rPr>
          <w:rFonts w:ascii="Times New Roman" w:hAnsi="Times New Roman" w:cs="Times New Roman"/>
          <w:sz w:val="24"/>
          <w:szCs w:val="24"/>
        </w:rPr>
      </w:pPr>
    </w:p>
    <w:p w14:paraId="1449F614" w14:textId="77777777" w:rsidR="00CE3554" w:rsidRPr="00CE3554" w:rsidRDefault="00CE3554" w:rsidP="00DB6D60">
      <w:pPr>
        <w:jc w:val="both"/>
        <w:rPr>
          <w:rFonts w:ascii="Times New Roman" w:hAnsi="Times New Roman" w:cs="Times New Roman"/>
          <w:b/>
          <w:sz w:val="24"/>
          <w:szCs w:val="24"/>
        </w:rPr>
      </w:pPr>
      <w:r w:rsidRPr="00CE3554">
        <w:rPr>
          <w:rFonts w:ascii="Times New Roman" w:hAnsi="Times New Roman" w:cs="Times New Roman"/>
          <w:b/>
          <w:sz w:val="24"/>
          <w:szCs w:val="24"/>
        </w:rPr>
        <w:t>What formality is required for a release?</w:t>
      </w:r>
    </w:p>
    <w:p w14:paraId="7472148F" w14:textId="77777777" w:rsidR="003114D6" w:rsidRDefault="00CE3554" w:rsidP="00DB6D60">
      <w:pPr>
        <w:jc w:val="both"/>
        <w:rPr>
          <w:rFonts w:ascii="Times New Roman" w:hAnsi="Times New Roman" w:cs="Times New Roman"/>
          <w:color w:val="1F1F1F"/>
          <w:sz w:val="24"/>
          <w:szCs w:val="24"/>
          <w:shd w:val="clear" w:color="auto" w:fill="FFFFFF"/>
        </w:rPr>
      </w:pPr>
      <w:r>
        <w:rPr>
          <w:rFonts w:ascii="Times New Roman" w:hAnsi="Times New Roman" w:cs="Times New Roman"/>
          <w:sz w:val="24"/>
          <w:szCs w:val="24"/>
        </w:rPr>
        <w:t>This will depend, of course, on the subject-matter of the release. If A holds a joint tenancy of the legal estate in land, a deed of release will be requi</w:t>
      </w:r>
      <w:r w:rsidR="00BA6DA5">
        <w:rPr>
          <w:rFonts w:ascii="Times New Roman" w:hAnsi="Times New Roman" w:cs="Times New Roman"/>
          <w:sz w:val="24"/>
          <w:szCs w:val="24"/>
        </w:rPr>
        <w:t xml:space="preserve">red in order to comply with s.52(1) of the 1925 Act which provides that a deed is necessary for the purpose of conveying a legal </w:t>
      </w:r>
      <w:r w:rsidR="00CE0ED2">
        <w:rPr>
          <w:rFonts w:ascii="Times New Roman" w:hAnsi="Times New Roman" w:cs="Times New Roman"/>
          <w:sz w:val="24"/>
          <w:szCs w:val="24"/>
        </w:rPr>
        <w:t xml:space="preserve"> </w:t>
      </w:r>
      <w:r w:rsidR="003B1C3F">
        <w:rPr>
          <w:rFonts w:ascii="Times New Roman" w:hAnsi="Times New Roman" w:cs="Times New Roman"/>
          <w:sz w:val="24"/>
          <w:szCs w:val="24"/>
        </w:rPr>
        <w:t>interest</w:t>
      </w:r>
      <w:r w:rsidR="00BA6DA5">
        <w:rPr>
          <w:rFonts w:ascii="Times New Roman" w:hAnsi="Times New Roman" w:cs="Times New Roman"/>
          <w:sz w:val="24"/>
          <w:szCs w:val="24"/>
        </w:rPr>
        <w:t xml:space="preserve"> in land.</w:t>
      </w:r>
      <w:r w:rsidR="00FB631A">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It is noteworthy, in this connection, that in </w:t>
      </w:r>
      <w:r w:rsidRPr="00CE3554">
        <w:rPr>
          <w:rFonts w:ascii="Times New Roman" w:hAnsi="Times New Roman" w:cs="Times New Roman"/>
          <w:i/>
          <w:sz w:val="24"/>
          <w:szCs w:val="24"/>
        </w:rPr>
        <w:t>Burton</w:t>
      </w:r>
      <w:r>
        <w:rPr>
          <w:rFonts w:ascii="Times New Roman" w:hAnsi="Times New Roman" w:cs="Times New Roman"/>
          <w:sz w:val="24"/>
          <w:szCs w:val="24"/>
        </w:rPr>
        <w:t xml:space="preserve"> a deed of release was used</w:t>
      </w:r>
      <w:r w:rsidR="00A87EA8">
        <w:rPr>
          <w:rFonts w:ascii="Times New Roman" w:hAnsi="Times New Roman" w:cs="Times New Roman"/>
          <w:sz w:val="24"/>
          <w:szCs w:val="24"/>
        </w:rPr>
        <w:t xml:space="preserve"> for the </w:t>
      </w:r>
      <w:r w:rsidR="00A87EA8">
        <w:rPr>
          <w:rFonts w:ascii="Times New Roman" w:hAnsi="Times New Roman" w:cs="Times New Roman"/>
          <w:color w:val="1F1F1F"/>
          <w:sz w:val="24"/>
          <w:szCs w:val="24"/>
          <w:shd w:val="clear" w:color="auto" w:fill="FFFFFF"/>
        </w:rPr>
        <w:t>transfer of the legal estate</w:t>
      </w:r>
      <w:r w:rsidR="00A87EA8" w:rsidRPr="00D14A32">
        <w:rPr>
          <w:rFonts w:ascii="Times New Roman" w:hAnsi="Times New Roman" w:cs="Times New Roman"/>
          <w:color w:val="1F1F1F"/>
          <w:sz w:val="24"/>
          <w:szCs w:val="24"/>
          <w:shd w:val="clear" w:color="auto" w:fill="FFFFFF"/>
        </w:rPr>
        <w:t xml:space="preserve"> in the </w:t>
      </w:r>
      <w:r w:rsidR="00A87EA8">
        <w:rPr>
          <w:rFonts w:ascii="Times New Roman" w:hAnsi="Times New Roman" w:cs="Times New Roman"/>
          <w:color w:val="1F1F1F"/>
          <w:sz w:val="24"/>
          <w:szCs w:val="24"/>
          <w:shd w:val="clear" w:color="auto" w:fill="FFFFFF"/>
        </w:rPr>
        <w:t xml:space="preserve">joint secure </w:t>
      </w:r>
      <w:r w:rsidR="00A87EA8" w:rsidRPr="00D14A32">
        <w:rPr>
          <w:rFonts w:ascii="Times New Roman" w:hAnsi="Times New Roman" w:cs="Times New Roman"/>
          <w:color w:val="1F1F1F"/>
          <w:sz w:val="24"/>
          <w:szCs w:val="24"/>
          <w:shd w:val="clear" w:color="auto" w:fill="FFFFFF"/>
        </w:rPr>
        <w:t>ten</w:t>
      </w:r>
      <w:r w:rsidR="00A87EA8">
        <w:rPr>
          <w:rFonts w:ascii="Times New Roman" w:hAnsi="Times New Roman" w:cs="Times New Roman"/>
          <w:color w:val="1F1F1F"/>
          <w:sz w:val="24"/>
          <w:szCs w:val="24"/>
          <w:shd w:val="clear" w:color="auto" w:fill="FFFFFF"/>
        </w:rPr>
        <w:t xml:space="preserve">ancy held by the parties. </w:t>
      </w:r>
      <w:r w:rsidR="00CE0ED2">
        <w:rPr>
          <w:rFonts w:ascii="Times New Roman" w:hAnsi="Times New Roman" w:cs="Times New Roman"/>
          <w:color w:val="1F1F1F"/>
          <w:sz w:val="24"/>
          <w:szCs w:val="24"/>
          <w:shd w:val="clear" w:color="auto" w:fill="FFFFFF"/>
        </w:rPr>
        <w:t xml:space="preserve">Indeed, this would appear to be the only means by which a joint tenant can extinguish his interest under a joint tenancy of a legal estate in favour of his other joint tenants given that severance of a </w:t>
      </w:r>
      <w:r w:rsidR="00377D15">
        <w:rPr>
          <w:rFonts w:ascii="Times New Roman" w:hAnsi="Times New Roman" w:cs="Times New Roman"/>
          <w:color w:val="1F1F1F"/>
          <w:sz w:val="24"/>
          <w:szCs w:val="24"/>
          <w:shd w:val="clear" w:color="auto" w:fill="FFFFFF"/>
        </w:rPr>
        <w:t xml:space="preserve">legal </w:t>
      </w:r>
      <w:r w:rsidR="00CE0ED2">
        <w:rPr>
          <w:rFonts w:ascii="Times New Roman" w:hAnsi="Times New Roman" w:cs="Times New Roman"/>
          <w:color w:val="1F1F1F"/>
          <w:sz w:val="24"/>
          <w:szCs w:val="24"/>
          <w:shd w:val="clear" w:color="auto" w:fill="FFFFFF"/>
        </w:rPr>
        <w:t>joint tenanc</w:t>
      </w:r>
      <w:r w:rsidR="00377D15">
        <w:rPr>
          <w:rFonts w:ascii="Times New Roman" w:hAnsi="Times New Roman" w:cs="Times New Roman"/>
          <w:color w:val="1F1F1F"/>
          <w:sz w:val="24"/>
          <w:szCs w:val="24"/>
          <w:shd w:val="clear" w:color="auto" w:fill="FFFFFF"/>
        </w:rPr>
        <w:t xml:space="preserve">y </w:t>
      </w:r>
      <w:r w:rsidR="00CE0ED2">
        <w:rPr>
          <w:rFonts w:ascii="Times New Roman" w:hAnsi="Times New Roman" w:cs="Times New Roman"/>
          <w:color w:val="1F1F1F"/>
          <w:sz w:val="24"/>
          <w:szCs w:val="24"/>
          <w:shd w:val="clear" w:color="auto" w:fill="FFFFFF"/>
        </w:rPr>
        <w:t xml:space="preserve">(so as to create a tenancy in common) is expressly prohibited under s.36(2) of the 1925 Act. By contrast, as we have seen, two or more joint tenants may convey (as opposed to release) their </w:t>
      </w:r>
      <w:r w:rsidR="00377D15">
        <w:rPr>
          <w:rFonts w:ascii="Times New Roman" w:hAnsi="Times New Roman" w:cs="Times New Roman"/>
          <w:color w:val="1F1F1F"/>
          <w:sz w:val="24"/>
          <w:szCs w:val="24"/>
          <w:shd w:val="clear" w:color="auto" w:fill="FFFFFF"/>
        </w:rPr>
        <w:t xml:space="preserve">legal </w:t>
      </w:r>
      <w:r w:rsidR="00CE0ED2">
        <w:rPr>
          <w:rFonts w:ascii="Times New Roman" w:hAnsi="Times New Roman" w:cs="Times New Roman"/>
          <w:color w:val="1F1F1F"/>
          <w:sz w:val="24"/>
          <w:szCs w:val="24"/>
          <w:shd w:val="clear" w:color="auto" w:fill="FFFFFF"/>
        </w:rPr>
        <w:t>interest to another joint tenant by virtue of s.72(4) of the 1925 Act.</w:t>
      </w:r>
    </w:p>
    <w:p w14:paraId="578BB419" w14:textId="77777777" w:rsidR="003114D6" w:rsidRDefault="00A87EA8" w:rsidP="00DB6D60">
      <w:pPr>
        <w:jc w:val="both"/>
        <w:rPr>
          <w:rFonts w:ascii="Times New Roman" w:hAnsi="Times New Roman" w:cs="Times New Roman"/>
          <w:sz w:val="24"/>
          <w:szCs w:val="24"/>
        </w:rPr>
      </w:pPr>
      <w:r>
        <w:rPr>
          <w:rFonts w:ascii="Times New Roman" w:hAnsi="Times New Roman" w:cs="Times New Roman"/>
          <w:color w:val="1F1F1F"/>
          <w:sz w:val="24"/>
          <w:szCs w:val="24"/>
          <w:shd w:val="clear" w:color="auto" w:fill="FFFFFF"/>
        </w:rPr>
        <w:t>If, on the other hand, A holds a joint tenancy of an equitable interest in land, the release must be in writing complying with s.53(1)</w:t>
      </w:r>
      <w:r w:rsidR="00BA6DA5">
        <w:rPr>
          <w:rFonts w:ascii="Times New Roman" w:hAnsi="Times New Roman" w:cs="Times New Roman"/>
          <w:color w:val="1F1F1F"/>
          <w:sz w:val="24"/>
          <w:szCs w:val="24"/>
          <w:shd w:val="clear" w:color="auto" w:fill="FFFFFF"/>
        </w:rPr>
        <w:t xml:space="preserve">(a) and </w:t>
      </w:r>
      <w:r>
        <w:rPr>
          <w:rFonts w:ascii="Times New Roman" w:hAnsi="Times New Roman" w:cs="Times New Roman"/>
          <w:color w:val="1F1F1F"/>
          <w:sz w:val="24"/>
          <w:szCs w:val="24"/>
          <w:shd w:val="clear" w:color="auto" w:fill="FFFFFF"/>
        </w:rPr>
        <w:t xml:space="preserve">(c) of the 1925 Act.  Thus, in </w:t>
      </w:r>
      <w:r w:rsidRPr="00A87EA8">
        <w:rPr>
          <w:rFonts w:ascii="Times New Roman" w:hAnsi="Times New Roman" w:cs="Times New Roman"/>
          <w:i/>
          <w:color w:val="1F1F1F"/>
          <w:sz w:val="24"/>
          <w:szCs w:val="24"/>
          <w:shd w:val="clear" w:color="auto" w:fill="FFFFFF"/>
        </w:rPr>
        <w:t>Hudson</w:t>
      </w:r>
      <w:r>
        <w:rPr>
          <w:rFonts w:ascii="Times New Roman" w:hAnsi="Times New Roman" w:cs="Times New Roman"/>
          <w:color w:val="1F1F1F"/>
          <w:sz w:val="24"/>
          <w:szCs w:val="24"/>
          <w:shd w:val="clear" w:color="auto" w:fill="FFFFFF"/>
        </w:rPr>
        <w:t xml:space="preserve">, </w:t>
      </w:r>
      <w:r w:rsidR="00302FE4">
        <w:rPr>
          <w:rFonts w:ascii="Times New Roman" w:hAnsi="Times New Roman" w:cs="Times New Roman"/>
          <w:color w:val="1F1F1F"/>
          <w:sz w:val="24"/>
          <w:szCs w:val="24"/>
          <w:shd w:val="clear" w:color="auto" w:fill="FFFFFF"/>
        </w:rPr>
        <w:t xml:space="preserve">as we have seen, </w:t>
      </w:r>
      <w:r w:rsidR="00302FE4" w:rsidRPr="00302FE4">
        <w:rPr>
          <w:rFonts w:ascii="Times New Roman" w:hAnsi="Times New Roman" w:cs="Times New Roman"/>
          <w:color w:val="1F1F1F"/>
          <w:sz w:val="24"/>
          <w:szCs w:val="24"/>
          <w:shd w:val="clear" w:color="auto" w:fill="FFFFFF"/>
        </w:rPr>
        <w:t>the</w:t>
      </w:r>
      <w:r w:rsidR="00302FE4" w:rsidRPr="00302FE4">
        <w:rPr>
          <w:rFonts w:ascii="Times New Roman" w:hAnsi="Times New Roman" w:cs="Times New Roman"/>
          <w:sz w:val="24"/>
          <w:szCs w:val="24"/>
        </w:rPr>
        <w:t xml:space="preserve"> release of an equitable interest in property by one joint tenant to the o</w:t>
      </w:r>
      <w:r w:rsidR="00582D5E">
        <w:rPr>
          <w:rFonts w:ascii="Times New Roman" w:hAnsi="Times New Roman" w:cs="Times New Roman"/>
          <w:sz w:val="24"/>
          <w:szCs w:val="24"/>
        </w:rPr>
        <w:t>ther joint tenant under s.</w:t>
      </w:r>
      <w:r w:rsidR="00302FE4" w:rsidRPr="00302FE4">
        <w:rPr>
          <w:rFonts w:ascii="Times New Roman" w:hAnsi="Times New Roman" w:cs="Times New Roman"/>
          <w:sz w:val="24"/>
          <w:szCs w:val="24"/>
        </w:rPr>
        <w:t>36</w:t>
      </w:r>
      <w:r w:rsidR="00582D5E">
        <w:rPr>
          <w:rFonts w:ascii="Times New Roman" w:hAnsi="Times New Roman" w:cs="Times New Roman"/>
          <w:sz w:val="24"/>
          <w:szCs w:val="24"/>
        </w:rPr>
        <w:t xml:space="preserve">(2) of the </w:t>
      </w:r>
      <w:r w:rsidR="00302FE4">
        <w:rPr>
          <w:rFonts w:ascii="Times New Roman" w:hAnsi="Times New Roman" w:cs="Times New Roman"/>
          <w:sz w:val="24"/>
          <w:szCs w:val="24"/>
        </w:rPr>
        <w:t xml:space="preserve">1925 </w:t>
      </w:r>
      <w:r w:rsidR="00582D5E">
        <w:rPr>
          <w:rFonts w:ascii="Times New Roman" w:hAnsi="Times New Roman" w:cs="Times New Roman"/>
          <w:sz w:val="24"/>
          <w:szCs w:val="24"/>
        </w:rPr>
        <w:t xml:space="preserve">Act </w:t>
      </w:r>
      <w:r w:rsidR="00302FE4">
        <w:rPr>
          <w:rFonts w:ascii="Times New Roman" w:hAnsi="Times New Roman" w:cs="Times New Roman"/>
          <w:sz w:val="24"/>
          <w:szCs w:val="24"/>
        </w:rPr>
        <w:t xml:space="preserve">was capable of being </w:t>
      </w:r>
      <w:r w:rsidR="00DE6B86">
        <w:rPr>
          <w:rFonts w:ascii="Times New Roman" w:hAnsi="Times New Roman" w:cs="Times New Roman"/>
          <w:sz w:val="24"/>
          <w:szCs w:val="24"/>
        </w:rPr>
        <w:t xml:space="preserve">a </w:t>
      </w:r>
      <w:r w:rsidR="00302FE4">
        <w:rPr>
          <w:rFonts w:ascii="Times New Roman" w:hAnsi="Times New Roman" w:cs="Times New Roman"/>
          <w:sz w:val="24"/>
          <w:szCs w:val="24"/>
        </w:rPr>
        <w:t xml:space="preserve">disposition </w:t>
      </w:r>
      <w:r w:rsidR="00302FE4" w:rsidRPr="00302FE4">
        <w:rPr>
          <w:rFonts w:ascii="Times New Roman" w:hAnsi="Times New Roman" w:cs="Times New Roman"/>
          <w:sz w:val="24"/>
          <w:szCs w:val="24"/>
        </w:rPr>
        <w:t xml:space="preserve">of an </w:t>
      </w:r>
      <w:r w:rsidR="00302FE4">
        <w:rPr>
          <w:rFonts w:ascii="Times New Roman" w:hAnsi="Times New Roman" w:cs="Times New Roman"/>
          <w:sz w:val="24"/>
          <w:szCs w:val="24"/>
        </w:rPr>
        <w:t xml:space="preserve">equitable interest in land </w:t>
      </w:r>
      <w:r w:rsidR="00302FE4" w:rsidRPr="00302FE4">
        <w:rPr>
          <w:rFonts w:ascii="Times New Roman" w:hAnsi="Times New Roman" w:cs="Times New Roman"/>
          <w:sz w:val="24"/>
          <w:szCs w:val="24"/>
        </w:rPr>
        <w:t>provided that, in accordance with the formal requi</w:t>
      </w:r>
      <w:r w:rsidR="00302FE4">
        <w:rPr>
          <w:rFonts w:ascii="Times New Roman" w:hAnsi="Times New Roman" w:cs="Times New Roman"/>
          <w:sz w:val="24"/>
          <w:szCs w:val="24"/>
        </w:rPr>
        <w:t xml:space="preserve">rements of </w:t>
      </w:r>
      <w:r w:rsidR="00BA6DA5">
        <w:rPr>
          <w:rFonts w:ascii="Times New Roman" w:hAnsi="Times New Roman" w:cs="Times New Roman"/>
          <w:sz w:val="24"/>
          <w:szCs w:val="24"/>
        </w:rPr>
        <w:t>s.53(1)</w:t>
      </w:r>
      <w:r w:rsidR="00302FE4" w:rsidRPr="00302FE4">
        <w:rPr>
          <w:rFonts w:ascii="Times New Roman" w:hAnsi="Times New Roman" w:cs="Times New Roman"/>
          <w:sz w:val="24"/>
          <w:szCs w:val="24"/>
        </w:rPr>
        <w:t xml:space="preserve">, </w:t>
      </w:r>
      <w:r w:rsidR="00DE6B86">
        <w:rPr>
          <w:rFonts w:ascii="Times New Roman" w:hAnsi="Times New Roman" w:cs="Times New Roman"/>
          <w:sz w:val="24"/>
          <w:szCs w:val="24"/>
        </w:rPr>
        <w:t>it</w:t>
      </w:r>
      <w:r w:rsidR="00302FE4" w:rsidRPr="00302FE4">
        <w:rPr>
          <w:rFonts w:ascii="Times New Roman" w:hAnsi="Times New Roman" w:cs="Times New Roman"/>
          <w:sz w:val="24"/>
          <w:szCs w:val="24"/>
        </w:rPr>
        <w:t xml:space="preserve"> was in writing and signed by the relevant person</w:t>
      </w:r>
      <w:r w:rsidR="00302FE4">
        <w:rPr>
          <w:rFonts w:ascii="Times New Roman" w:hAnsi="Times New Roman" w:cs="Times New Roman"/>
          <w:sz w:val="24"/>
          <w:szCs w:val="24"/>
        </w:rPr>
        <w:t>.</w:t>
      </w:r>
      <w:r w:rsidR="00582D5E">
        <w:rPr>
          <w:rFonts w:ascii="Times New Roman" w:hAnsi="Times New Roman" w:cs="Times New Roman"/>
          <w:sz w:val="24"/>
          <w:szCs w:val="24"/>
        </w:rPr>
        <w:t xml:space="preserve"> </w:t>
      </w:r>
      <w:r w:rsidR="00560FE3">
        <w:rPr>
          <w:rFonts w:ascii="Times New Roman" w:hAnsi="Times New Roman" w:cs="Times New Roman"/>
          <w:sz w:val="24"/>
          <w:szCs w:val="24"/>
        </w:rPr>
        <w:t>Significantly, t</w:t>
      </w:r>
      <w:r w:rsidR="00031865">
        <w:rPr>
          <w:rFonts w:ascii="Times New Roman" w:hAnsi="Times New Roman" w:cs="Times New Roman"/>
          <w:sz w:val="24"/>
          <w:szCs w:val="24"/>
        </w:rPr>
        <w:t xml:space="preserve">he electronic exchange </w:t>
      </w:r>
      <w:r w:rsidR="00560FE3">
        <w:rPr>
          <w:rFonts w:ascii="Times New Roman" w:hAnsi="Times New Roman" w:cs="Times New Roman"/>
          <w:sz w:val="24"/>
          <w:szCs w:val="24"/>
        </w:rPr>
        <w:t>o</w:t>
      </w:r>
      <w:r w:rsidR="00031865">
        <w:rPr>
          <w:rFonts w:ascii="Times New Roman" w:hAnsi="Times New Roman" w:cs="Times New Roman"/>
          <w:sz w:val="24"/>
          <w:szCs w:val="24"/>
        </w:rPr>
        <w:t>f emails was held sufficient for this purpose.</w:t>
      </w:r>
    </w:p>
    <w:p w14:paraId="2589108E" w14:textId="77777777" w:rsidR="00F31FE8" w:rsidRPr="00A809D8" w:rsidRDefault="00F31FE8" w:rsidP="00DB6D60">
      <w:pPr>
        <w:jc w:val="both"/>
        <w:rPr>
          <w:rFonts w:ascii="Times New Roman" w:hAnsi="Times New Roman" w:cs="Times New Roman"/>
          <w:b/>
          <w:sz w:val="24"/>
          <w:szCs w:val="24"/>
        </w:rPr>
      </w:pPr>
      <w:r>
        <w:rPr>
          <w:rFonts w:ascii="Times New Roman" w:hAnsi="Times New Roman" w:cs="Times New Roman"/>
          <w:sz w:val="24"/>
          <w:szCs w:val="24"/>
        </w:rPr>
        <w:t xml:space="preserve">If A holds a joint tenancy of </w:t>
      </w:r>
      <w:r w:rsidRPr="00F31FE8">
        <w:rPr>
          <w:rFonts w:ascii="Times New Roman" w:hAnsi="Times New Roman" w:cs="Times New Roman"/>
          <w:i/>
          <w:sz w:val="24"/>
          <w:szCs w:val="24"/>
        </w:rPr>
        <w:t>both</w:t>
      </w:r>
      <w:r>
        <w:rPr>
          <w:rFonts w:ascii="Times New Roman" w:hAnsi="Times New Roman" w:cs="Times New Roman"/>
          <w:sz w:val="24"/>
          <w:szCs w:val="24"/>
        </w:rPr>
        <w:t xml:space="preserve"> the legal estate and equitable interest, the deed of release will operate to extinguish both titles simultaneously.</w:t>
      </w:r>
      <w:r w:rsidR="00BF309F">
        <w:rPr>
          <w:rFonts w:ascii="Times New Roman" w:hAnsi="Times New Roman" w:cs="Times New Roman"/>
          <w:sz w:val="24"/>
          <w:szCs w:val="24"/>
        </w:rPr>
        <w:t xml:space="preserve"> In this connection, s.53(1)(c) of the 1925 Act will not apply as the equitable </w:t>
      </w:r>
      <w:r w:rsidR="00A470C1">
        <w:rPr>
          <w:rFonts w:ascii="Times New Roman" w:hAnsi="Times New Roman" w:cs="Times New Roman"/>
          <w:sz w:val="24"/>
          <w:szCs w:val="24"/>
        </w:rPr>
        <w:t xml:space="preserve">interest </w:t>
      </w:r>
      <w:r w:rsidR="00BF309F">
        <w:rPr>
          <w:rFonts w:ascii="Times New Roman" w:hAnsi="Times New Roman" w:cs="Times New Roman"/>
          <w:sz w:val="24"/>
          <w:szCs w:val="24"/>
        </w:rPr>
        <w:t>is subsumed within the legal title</w:t>
      </w:r>
      <w:r w:rsidR="00813490">
        <w:rPr>
          <w:rFonts w:ascii="Times New Roman" w:hAnsi="Times New Roman" w:cs="Times New Roman"/>
          <w:sz w:val="24"/>
          <w:szCs w:val="24"/>
        </w:rPr>
        <w:t>.</w:t>
      </w:r>
      <w:r w:rsidR="00813490">
        <w:rPr>
          <w:rStyle w:val="FootnoteReference"/>
          <w:rFonts w:ascii="Times New Roman" w:hAnsi="Times New Roman" w:cs="Times New Roman"/>
          <w:sz w:val="24"/>
          <w:szCs w:val="24"/>
        </w:rPr>
        <w:footnoteReference w:id="15"/>
      </w:r>
    </w:p>
    <w:p w14:paraId="164CD987" w14:textId="77777777" w:rsidR="00C92AFF" w:rsidRDefault="00582D5E" w:rsidP="00DB6D60">
      <w:pPr>
        <w:jc w:val="both"/>
        <w:rPr>
          <w:rFonts w:ascii="Times New Roman" w:hAnsi="Times New Roman" w:cs="Times New Roman"/>
          <w:sz w:val="24"/>
          <w:szCs w:val="24"/>
        </w:rPr>
      </w:pPr>
      <w:r>
        <w:rPr>
          <w:rFonts w:ascii="Times New Roman" w:hAnsi="Times New Roman" w:cs="Times New Roman"/>
          <w:sz w:val="24"/>
          <w:szCs w:val="24"/>
        </w:rPr>
        <w:t xml:space="preserve">Alternatively, if A jointly owns legal title to personal property </w:t>
      </w:r>
      <w:r w:rsidR="003114D6">
        <w:rPr>
          <w:rFonts w:ascii="Times New Roman" w:hAnsi="Times New Roman" w:cs="Times New Roman"/>
          <w:sz w:val="24"/>
          <w:szCs w:val="24"/>
        </w:rPr>
        <w:t>(for example, a car or furniture)</w:t>
      </w:r>
      <w:r>
        <w:rPr>
          <w:rFonts w:ascii="Times New Roman" w:hAnsi="Times New Roman" w:cs="Times New Roman"/>
          <w:sz w:val="24"/>
          <w:szCs w:val="24"/>
        </w:rPr>
        <w:t>, the release will, it is submitted, be valid if a deed of gift is used or A has the intention to give the property coupled with delivery of possession of the chattel to B</w:t>
      </w:r>
      <w:r w:rsidR="008632EA">
        <w:rPr>
          <w:rFonts w:ascii="Times New Roman" w:hAnsi="Times New Roman" w:cs="Times New Roman"/>
          <w:sz w:val="24"/>
          <w:szCs w:val="24"/>
        </w:rPr>
        <w:t>.</w:t>
      </w:r>
      <w:r w:rsidR="008632EA">
        <w:rPr>
          <w:rStyle w:val="FootnoteReference"/>
          <w:rFonts w:ascii="Times New Roman" w:hAnsi="Times New Roman" w:cs="Times New Roman"/>
          <w:sz w:val="24"/>
          <w:szCs w:val="24"/>
        </w:rPr>
        <w:footnoteReference w:id="16"/>
      </w:r>
      <w:r w:rsidR="00217EF3">
        <w:rPr>
          <w:rFonts w:ascii="Times New Roman" w:hAnsi="Times New Roman" w:cs="Times New Roman"/>
          <w:sz w:val="24"/>
          <w:szCs w:val="24"/>
        </w:rPr>
        <w:t xml:space="preserve"> </w:t>
      </w:r>
      <w:r w:rsidR="00752BC9">
        <w:rPr>
          <w:rFonts w:ascii="Times New Roman" w:hAnsi="Times New Roman" w:cs="Times New Roman"/>
          <w:sz w:val="24"/>
          <w:szCs w:val="24"/>
        </w:rPr>
        <w:t xml:space="preserve"> Thus, for example, if A holds a joint savings account with B, A will release his interest </w:t>
      </w:r>
      <w:r w:rsidR="0031485E">
        <w:rPr>
          <w:rFonts w:ascii="Times New Roman" w:hAnsi="Times New Roman" w:cs="Times New Roman"/>
          <w:sz w:val="24"/>
          <w:szCs w:val="24"/>
        </w:rPr>
        <w:t xml:space="preserve">in the joint savings to B </w:t>
      </w:r>
      <w:r w:rsidR="00752BC9">
        <w:rPr>
          <w:rFonts w:ascii="Times New Roman" w:hAnsi="Times New Roman" w:cs="Times New Roman"/>
          <w:sz w:val="24"/>
          <w:szCs w:val="24"/>
        </w:rPr>
        <w:t xml:space="preserve"> by </w:t>
      </w:r>
      <w:r w:rsidR="0031485E">
        <w:rPr>
          <w:rFonts w:ascii="Times New Roman" w:hAnsi="Times New Roman" w:cs="Times New Roman"/>
          <w:sz w:val="24"/>
          <w:szCs w:val="24"/>
        </w:rPr>
        <w:t xml:space="preserve">simply </w:t>
      </w:r>
      <w:r w:rsidR="00A470C1">
        <w:rPr>
          <w:rFonts w:ascii="Times New Roman" w:hAnsi="Times New Roman" w:cs="Times New Roman"/>
          <w:sz w:val="24"/>
          <w:szCs w:val="24"/>
        </w:rPr>
        <w:t xml:space="preserve">complying with </w:t>
      </w:r>
      <w:r w:rsidR="007923AD">
        <w:rPr>
          <w:rFonts w:ascii="Times New Roman" w:hAnsi="Times New Roman" w:cs="Times New Roman"/>
          <w:sz w:val="24"/>
          <w:szCs w:val="24"/>
        </w:rPr>
        <w:t>whatever</w:t>
      </w:r>
      <w:r w:rsidR="00752BC9">
        <w:rPr>
          <w:rFonts w:ascii="Times New Roman" w:hAnsi="Times New Roman" w:cs="Times New Roman"/>
          <w:sz w:val="24"/>
          <w:szCs w:val="24"/>
        </w:rPr>
        <w:t xml:space="preserve"> internal process </w:t>
      </w:r>
      <w:r w:rsidR="007923AD">
        <w:rPr>
          <w:rFonts w:ascii="Times New Roman" w:hAnsi="Times New Roman" w:cs="Times New Roman"/>
          <w:sz w:val="24"/>
          <w:szCs w:val="24"/>
        </w:rPr>
        <w:t xml:space="preserve">is </w:t>
      </w:r>
      <w:r w:rsidR="00752BC9">
        <w:rPr>
          <w:rFonts w:ascii="Times New Roman" w:hAnsi="Times New Roman" w:cs="Times New Roman"/>
          <w:sz w:val="24"/>
          <w:szCs w:val="24"/>
        </w:rPr>
        <w:t>required by the bank.</w:t>
      </w:r>
    </w:p>
    <w:p w14:paraId="1D41BD87" w14:textId="77777777" w:rsidR="00AD19E6" w:rsidRDefault="00AD19E6" w:rsidP="00DB6D60">
      <w:pPr>
        <w:jc w:val="both"/>
        <w:rPr>
          <w:rFonts w:ascii="Times New Roman" w:hAnsi="Times New Roman" w:cs="Times New Roman"/>
          <w:b/>
          <w:sz w:val="24"/>
          <w:szCs w:val="24"/>
        </w:rPr>
      </w:pPr>
    </w:p>
    <w:p w14:paraId="7E10A155" w14:textId="77777777" w:rsidR="00C92AFF" w:rsidRPr="00C92AFF" w:rsidRDefault="00C92AFF" w:rsidP="00DB6D60">
      <w:pPr>
        <w:jc w:val="both"/>
        <w:rPr>
          <w:rFonts w:ascii="Times New Roman" w:hAnsi="Times New Roman" w:cs="Times New Roman"/>
          <w:b/>
          <w:sz w:val="24"/>
          <w:szCs w:val="24"/>
        </w:rPr>
      </w:pPr>
      <w:r w:rsidRPr="00C92AFF">
        <w:rPr>
          <w:rFonts w:ascii="Times New Roman" w:hAnsi="Times New Roman" w:cs="Times New Roman"/>
          <w:b/>
          <w:sz w:val="24"/>
          <w:szCs w:val="24"/>
        </w:rPr>
        <w:t>Conclusion</w:t>
      </w:r>
    </w:p>
    <w:p w14:paraId="5F0A2A0C" w14:textId="77777777" w:rsidR="00E10B10" w:rsidRPr="00E10B10" w:rsidRDefault="00C92AFF" w:rsidP="00E10B10">
      <w:pPr>
        <w:jc w:val="both"/>
        <w:rPr>
          <w:rFonts w:ascii="Times New Roman" w:hAnsi="Times New Roman" w:cs="Times New Roman"/>
          <w:sz w:val="24"/>
          <w:szCs w:val="24"/>
        </w:rPr>
      </w:pPr>
      <w:r>
        <w:rPr>
          <w:rFonts w:ascii="Times New Roman" w:hAnsi="Times New Roman" w:cs="Times New Roman"/>
          <w:sz w:val="24"/>
          <w:szCs w:val="24"/>
        </w:rPr>
        <w:t xml:space="preserve">There is no doubt that the mechanism of a release remains a useful means by which a joint tenant of a legal estate may </w:t>
      </w:r>
      <w:r w:rsidR="00877A36">
        <w:rPr>
          <w:rFonts w:ascii="Times New Roman" w:hAnsi="Times New Roman" w:cs="Times New Roman"/>
          <w:sz w:val="24"/>
          <w:szCs w:val="24"/>
        </w:rPr>
        <w:t xml:space="preserve">unilaterally </w:t>
      </w:r>
      <w:r>
        <w:rPr>
          <w:rFonts w:ascii="Times New Roman" w:hAnsi="Times New Roman" w:cs="Times New Roman"/>
          <w:sz w:val="24"/>
          <w:szCs w:val="24"/>
        </w:rPr>
        <w:t>extinguish his legal interest in favour of the other joint tenants</w:t>
      </w:r>
      <w:r w:rsidR="00327B0E">
        <w:rPr>
          <w:rFonts w:ascii="Times New Roman" w:hAnsi="Times New Roman" w:cs="Times New Roman"/>
          <w:sz w:val="24"/>
          <w:szCs w:val="24"/>
        </w:rPr>
        <w:t xml:space="preserve"> despite holding an undivided share in the land.</w:t>
      </w:r>
      <w:r>
        <w:rPr>
          <w:rFonts w:ascii="Times New Roman" w:hAnsi="Times New Roman" w:cs="Times New Roman"/>
          <w:sz w:val="24"/>
          <w:szCs w:val="24"/>
        </w:rPr>
        <w:t xml:space="preserve"> </w:t>
      </w:r>
      <w:r w:rsidR="00327B0E">
        <w:rPr>
          <w:rFonts w:ascii="Times New Roman" w:hAnsi="Times New Roman" w:cs="Times New Roman"/>
          <w:sz w:val="24"/>
          <w:szCs w:val="24"/>
        </w:rPr>
        <w:t xml:space="preserve"> Significantly, n</w:t>
      </w:r>
      <w:r>
        <w:rPr>
          <w:rFonts w:ascii="Times New Roman" w:hAnsi="Times New Roman" w:cs="Times New Roman"/>
          <w:sz w:val="24"/>
          <w:szCs w:val="24"/>
        </w:rPr>
        <w:t xml:space="preserve">either a grant </w:t>
      </w:r>
      <w:r w:rsidR="00877A36">
        <w:rPr>
          <w:rFonts w:ascii="Times New Roman" w:hAnsi="Times New Roman" w:cs="Times New Roman"/>
          <w:sz w:val="24"/>
          <w:szCs w:val="24"/>
        </w:rPr>
        <w:t>n</w:t>
      </w:r>
      <w:r>
        <w:rPr>
          <w:rFonts w:ascii="Times New Roman" w:hAnsi="Times New Roman" w:cs="Times New Roman"/>
          <w:sz w:val="24"/>
          <w:szCs w:val="24"/>
        </w:rPr>
        <w:t xml:space="preserve">or severance is open to him given these methods are </w:t>
      </w:r>
      <w:r w:rsidR="006B6BC7">
        <w:rPr>
          <w:rFonts w:ascii="Times New Roman" w:hAnsi="Times New Roman" w:cs="Times New Roman"/>
          <w:sz w:val="24"/>
          <w:szCs w:val="24"/>
        </w:rPr>
        <w:t xml:space="preserve">expressly </w:t>
      </w:r>
      <w:r>
        <w:rPr>
          <w:rFonts w:ascii="Times New Roman" w:hAnsi="Times New Roman" w:cs="Times New Roman"/>
          <w:sz w:val="24"/>
          <w:szCs w:val="24"/>
        </w:rPr>
        <w:t xml:space="preserve">prohibited by virtue of the 1925 Act. </w:t>
      </w:r>
      <w:r w:rsidR="00F34E5E">
        <w:rPr>
          <w:rFonts w:ascii="Times New Roman" w:hAnsi="Times New Roman" w:cs="Times New Roman"/>
          <w:sz w:val="24"/>
          <w:szCs w:val="24"/>
        </w:rPr>
        <w:t>Moreover, no particular form of words is required for a release.</w:t>
      </w:r>
      <w:r w:rsidR="009B28D5">
        <w:rPr>
          <w:rStyle w:val="FootnoteReference"/>
          <w:rFonts w:ascii="Times New Roman" w:hAnsi="Times New Roman" w:cs="Times New Roman"/>
          <w:sz w:val="24"/>
          <w:szCs w:val="24"/>
        </w:rPr>
        <w:footnoteReference w:id="17"/>
      </w:r>
      <w:r w:rsidR="00F34E5E">
        <w:rPr>
          <w:rFonts w:ascii="Times New Roman" w:hAnsi="Times New Roman" w:cs="Times New Roman"/>
          <w:sz w:val="24"/>
          <w:szCs w:val="24"/>
        </w:rPr>
        <w:t xml:space="preserve"> In </w:t>
      </w:r>
      <w:r w:rsidR="00F34E5E" w:rsidRPr="00F34E5E">
        <w:rPr>
          <w:rFonts w:ascii="Times New Roman" w:hAnsi="Times New Roman" w:cs="Times New Roman"/>
          <w:i/>
          <w:sz w:val="24"/>
          <w:szCs w:val="24"/>
        </w:rPr>
        <w:t>Burton</w:t>
      </w:r>
      <w:r w:rsidR="00F34E5E">
        <w:rPr>
          <w:rFonts w:ascii="Times New Roman" w:hAnsi="Times New Roman" w:cs="Times New Roman"/>
          <w:sz w:val="24"/>
          <w:szCs w:val="24"/>
        </w:rPr>
        <w:t>, as we have seen, the words used were "</w:t>
      </w:r>
      <w:r w:rsidR="00F34E5E" w:rsidRPr="004809FF">
        <w:rPr>
          <w:rFonts w:ascii="Times New Roman" w:hAnsi="Times New Roman" w:cs="Times New Roman"/>
          <w:sz w:val="24"/>
          <w:szCs w:val="24"/>
        </w:rPr>
        <w:t>hereby rele</w:t>
      </w:r>
      <w:r w:rsidR="00F34E5E">
        <w:rPr>
          <w:rFonts w:ascii="Times New Roman" w:hAnsi="Times New Roman" w:cs="Times New Roman"/>
          <w:sz w:val="24"/>
          <w:szCs w:val="24"/>
        </w:rPr>
        <w:t xml:space="preserve">ases [the] legal and beneficial </w:t>
      </w:r>
      <w:r w:rsidR="00F34E5E" w:rsidRPr="004809FF">
        <w:rPr>
          <w:rFonts w:ascii="Times New Roman" w:hAnsi="Times New Roman" w:cs="Times New Roman"/>
          <w:sz w:val="24"/>
          <w:szCs w:val="24"/>
        </w:rPr>
        <w:t xml:space="preserve">interest under this </w:t>
      </w:r>
      <w:r w:rsidR="00F34E5E">
        <w:rPr>
          <w:rFonts w:ascii="Times New Roman" w:hAnsi="Times New Roman" w:cs="Times New Roman"/>
          <w:sz w:val="24"/>
          <w:szCs w:val="24"/>
        </w:rPr>
        <w:t xml:space="preserve">joint tenancy". In </w:t>
      </w:r>
      <w:r w:rsidR="00F34E5E" w:rsidRPr="00F34E5E">
        <w:rPr>
          <w:rFonts w:ascii="Times New Roman" w:hAnsi="Times New Roman" w:cs="Times New Roman"/>
          <w:i/>
          <w:sz w:val="24"/>
          <w:szCs w:val="24"/>
        </w:rPr>
        <w:t>Hudson</w:t>
      </w:r>
      <w:r w:rsidR="00F34E5E">
        <w:rPr>
          <w:rFonts w:ascii="Times New Roman" w:hAnsi="Times New Roman" w:cs="Times New Roman"/>
          <w:sz w:val="24"/>
          <w:szCs w:val="24"/>
        </w:rPr>
        <w:t>, i</w:t>
      </w:r>
      <w:r w:rsidR="00F34E5E" w:rsidRPr="003A71B5">
        <w:rPr>
          <w:rFonts w:ascii="Times New Roman" w:hAnsi="Times New Roman" w:cs="Times New Roman"/>
          <w:sz w:val="24"/>
          <w:szCs w:val="24"/>
        </w:rPr>
        <w:t>n tw</w:t>
      </w:r>
      <w:r w:rsidR="008673BC">
        <w:rPr>
          <w:rFonts w:ascii="Times New Roman" w:hAnsi="Times New Roman" w:cs="Times New Roman"/>
          <w:sz w:val="24"/>
          <w:szCs w:val="24"/>
        </w:rPr>
        <w:t>o emails, the claimant stated in</w:t>
      </w:r>
      <w:r w:rsidR="00F34E5E" w:rsidRPr="003A71B5">
        <w:rPr>
          <w:rFonts w:ascii="Times New Roman" w:hAnsi="Times New Roman" w:cs="Times New Roman"/>
          <w:sz w:val="24"/>
          <w:szCs w:val="24"/>
        </w:rPr>
        <w:t xml:space="preserve"> regar</w:t>
      </w:r>
      <w:r w:rsidR="00F34E5E">
        <w:rPr>
          <w:rFonts w:ascii="Times New Roman" w:hAnsi="Times New Roman" w:cs="Times New Roman"/>
          <w:sz w:val="24"/>
          <w:szCs w:val="24"/>
        </w:rPr>
        <w:t>d to the house that he wanted "none of the proceeds", urged the defendant to "take it" and said that he had "</w:t>
      </w:r>
      <w:r w:rsidR="00F34E5E" w:rsidRPr="003A71B5">
        <w:rPr>
          <w:rFonts w:ascii="Times New Roman" w:hAnsi="Times New Roman" w:cs="Times New Roman"/>
          <w:sz w:val="24"/>
          <w:szCs w:val="24"/>
        </w:rPr>
        <w:t>no inter</w:t>
      </w:r>
      <w:r w:rsidR="00F34E5E">
        <w:rPr>
          <w:rFonts w:ascii="Times New Roman" w:hAnsi="Times New Roman" w:cs="Times New Roman"/>
          <w:sz w:val="24"/>
          <w:szCs w:val="24"/>
        </w:rPr>
        <w:t>est whatsoever in the house"</w:t>
      </w:r>
      <w:r w:rsidR="008C6CAF">
        <w:rPr>
          <w:rFonts w:ascii="Times New Roman" w:hAnsi="Times New Roman" w:cs="Times New Roman"/>
          <w:sz w:val="24"/>
          <w:szCs w:val="24"/>
        </w:rPr>
        <w:t>. Both emails contained</w:t>
      </w:r>
      <w:r w:rsidR="00F34E5E">
        <w:rPr>
          <w:rFonts w:ascii="Times New Roman" w:hAnsi="Times New Roman" w:cs="Times New Roman"/>
          <w:sz w:val="24"/>
          <w:szCs w:val="24"/>
        </w:rPr>
        <w:t xml:space="preserve"> the claimant's first </w:t>
      </w:r>
      <w:r w:rsidR="00F34E5E" w:rsidRPr="003A71B5">
        <w:rPr>
          <w:rFonts w:ascii="Times New Roman" w:hAnsi="Times New Roman" w:cs="Times New Roman"/>
          <w:sz w:val="24"/>
          <w:szCs w:val="24"/>
        </w:rPr>
        <w:t>name.</w:t>
      </w:r>
      <w:r w:rsidR="00E10B10">
        <w:rPr>
          <w:rFonts w:ascii="Times New Roman" w:hAnsi="Times New Roman" w:cs="Times New Roman"/>
          <w:sz w:val="24"/>
          <w:szCs w:val="24"/>
        </w:rPr>
        <w:t xml:space="preserve"> In </w:t>
      </w:r>
      <w:proofErr w:type="spellStart"/>
      <w:r w:rsidR="00E10B10" w:rsidRPr="008B077E">
        <w:rPr>
          <w:rFonts w:ascii="Times New Roman" w:hAnsi="Times New Roman" w:cs="Times New Roman"/>
          <w:i/>
          <w:sz w:val="24"/>
          <w:szCs w:val="24"/>
        </w:rPr>
        <w:t>Wallbank</w:t>
      </w:r>
      <w:proofErr w:type="spellEnd"/>
      <w:r w:rsidR="00E10B10">
        <w:rPr>
          <w:rFonts w:ascii="Times New Roman" w:hAnsi="Times New Roman" w:cs="Times New Roman"/>
          <w:sz w:val="24"/>
          <w:szCs w:val="24"/>
        </w:rPr>
        <w:t xml:space="preserve">, the release was to be found in </w:t>
      </w:r>
      <w:r w:rsidR="00E10B10" w:rsidRPr="00AF1904">
        <w:rPr>
          <w:rFonts w:ascii="Times New Roman" w:hAnsi="Times New Roman" w:cs="Times New Roman"/>
          <w:sz w:val="24"/>
          <w:szCs w:val="24"/>
        </w:rPr>
        <w:t>a handwritten d</w:t>
      </w:r>
      <w:r w:rsidR="00E10B10">
        <w:rPr>
          <w:rFonts w:ascii="Times New Roman" w:hAnsi="Times New Roman" w:cs="Times New Roman"/>
          <w:sz w:val="24"/>
          <w:szCs w:val="24"/>
        </w:rPr>
        <w:t>ocument stating that the outgoing partner had "</w:t>
      </w:r>
      <w:r w:rsidR="00E10B10" w:rsidRPr="00AF1904">
        <w:rPr>
          <w:rFonts w:ascii="Times New Roman" w:hAnsi="Times New Roman" w:cs="Times New Roman"/>
          <w:sz w:val="24"/>
          <w:szCs w:val="24"/>
        </w:rPr>
        <w:t>voluntarily agreed to vacate the above premises and also to forfeit any monies or profit in any</w:t>
      </w:r>
      <w:r w:rsidR="00E10B10">
        <w:rPr>
          <w:rFonts w:ascii="Times New Roman" w:hAnsi="Times New Roman" w:cs="Times New Roman"/>
          <w:sz w:val="24"/>
          <w:szCs w:val="24"/>
        </w:rPr>
        <w:t xml:space="preserve"> </w:t>
      </w:r>
      <w:r w:rsidR="00E10B10" w:rsidRPr="00AF1904">
        <w:rPr>
          <w:rFonts w:ascii="Times New Roman" w:hAnsi="Times New Roman" w:cs="Times New Roman"/>
          <w:sz w:val="24"/>
          <w:szCs w:val="24"/>
        </w:rPr>
        <w:t>way connected with this property</w:t>
      </w:r>
      <w:r w:rsidR="00E10B10">
        <w:rPr>
          <w:rFonts w:ascii="Times New Roman" w:hAnsi="Times New Roman" w:cs="Times New Roman"/>
          <w:sz w:val="24"/>
          <w:szCs w:val="24"/>
        </w:rPr>
        <w:t>"</w:t>
      </w:r>
      <w:r w:rsidR="00E10B10" w:rsidRPr="00AF1904">
        <w:rPr>
          <w:rFonts w:ascii="Times New Roman" w:hAnsi="Times New Roman" w:cs="Times New Roman"/>
          <w:sz w:val="24"/>
          <w:szCs w:val="24"/>
        </w:rPr>
        <w:t xml:space="preserve"> and</w:t>
      </w:r>
      <w:r w:rsidR="008C6CAF">
        <w:rPr>
          <w:rFonts w:ascii="Times New Roman" w:hAnsi="Times New Roman" w:cs="Times New Roman"/>
          <w:sz w:val="24"/>
          <w:szCs w:val="24"/>
        </w:rPr>
        <w:t>,</w:t>
      </w:r>
      <w:r w:rsidR="00E10B10" w:rsidRPr="00AF1904">
        <w:rPr>
          <w:rFonts w:ascii="Times New Roman" w:hAnsi="Times New Roman" w:cs="Times New Roman"/>
          <w:sz w:val="24"/>
          <w:szCs w:val="24"/>
        </w:rPr>
        <w:t xml:space="preserve"> by </w:t>
      </w:r>
      <w:r w:rsidR="008B077E">
        <w:rPr>
          <w:rFonts w:ascii="Times New Roman" w:hAnsi="Times New Roman" w:cs="Times New Roman"/>
          <w:sz w:val="24"/>
          <w:szCs w:val="24"/>
        </w:rPr>
        <w:t>signing the</w:t>
      </w:r>
      <w:r w:rsidR="00E10B10">
        <w:rPr>
          <w:rFonts w:ascii="Times New Roman" w:hAnsi="Times New Roman" w:cs="Times New Roman"/>
          <w:sz w:val="24"/>
          <w:szCs w:val="24"/>
        </w:rPr>
        <w:t xml:space="preserve"> declaration</w:t>
      </w:r>
      <w:r w:rsidR="008C6CAF">
        <w:rPr>
          <w:rFonts w:ascii="Times New Roman" w:hAnsi="Times New Roman" w:cs="Times New Roman"/>
          <w:sz w:val="24"/>
          <w:szCs w:val="24"/>
        </w:rPr>
        <w:t>,</w:t>
      </w:r>
      <w:r w:rsidR="00E10B10">
        <w:rPr>
          <w:rFonts w:ascii="Times New Roman" w:hAnsi="Times New Roman" w:cs="Times New Roman"/>
          <w:sz w:val="24"/>
          <w:szCs w:val="24"/>
        </w:rPr>
        <w:t xml:space="preserve"> </w:t>
      </w:r>
      <w:r w:rsidR="00786AF8">
        <w:rPr>
          <w:rFonts w:ascii="Times New Roman" w:hAnsi="Times New Roman" w:cs="Times New Roman"/>
          <w:sz w:val="24"/>
          <w:szCs w:val="24"/>
        </w:rPr>
        <w:t xml:space="preserve">she </w:t>
      </w:r>
      <w:r w:rsidR="008B077E">
        <w:rPr>
          <w:rFonts w:ascii="Times New Roman" w:hAnsi="Times New Roman" w:cs="Times New Roman"/>
          <w:sz w:val="24"/>
          <w:szCs w:val="24"/>
        </w:rPr>
        <w:t xml:space="preserve">intended to </w:t>
      </w:r>
      <w:r w:rsidR="00E10B10">
        <w:rPr>
          <w:rFonts w:ascii="Times New Roman" w:hAnsi="Times New Roman" w:cs="Times New Roman"/>
          <w:sz w:val="24"/>
          <w:szCs w:val="24"/>
        </w:rPr>
        <w:t>"</w:t>
      </w:r>
      <w:r w:rsidR="00E10B10" w:rsidRPr="00AF1904">
        <w:rPr>
          <w:rFonts w:ascii="Times New Roman" w:hAnsi="Times New Roman" w:cs="Times New Roman"/>
          <w:sz w:val="24"/>
          <w:szCs w:val="24"/>
        </w:rPr>
        <w:t>revoke any rights in the disposal of the above property</w:t>
      </w:r>
      <w:r w:rsidR="00E10B10">
        <w:rPr>
          <w:rFonts w:ascii="Times New Roman" w:hAnsi="Times New Roman" w:cs="Times New Roman"/>
          <w:sz w:val="24"/>
          <w:szCs w:val="24"/>
        </w:rPr>
        <w:t>"</w:t>
      </w:r>
      <w:r w:rsidR="00E10B10" w:rsidRPr="00AF1904">
        <w:rPr>
          <w:rFonts w:ascii="Times New Roman" w:hAnsi="Times New Roman" w:cs="Times New Roman"/>
          <w:sz w:val="24"/>
          <w:szCs w:val="24"/>
        </w:rPr>
        <w:t xml:space="preserve">. </w:t>
      </w:r>
      <w:r w:rsidR="00BE2444">
        <w:rPr>
          <w:rFonts w:ascii="Times New Roman" w:hAnsi="Times New Roman" w:cs="Times New Roman"/>
          <w:sz w:val="24"/>
          <w:szCs w:val="24"/>
        </w:rPr>
        <w:t xml:space="preserve"> </w:t>
      </w:r>
    </w:p>
    <w:p w14:paraId="23FBE50E" w14:textId="77777777" w:rsidR="008538F9" w:rsidRDefault="00C92AFF" w:rsidP="009A177F">
      <w:pPr>
        <w:jc w:val="both"/>
        <w:rPr>
          <w:rFonts w:ascii="Times New Roman" w:hAnsi="Times New Roman" w:cs="Times New Roman"/>
          <w:sz w:val="24"/>
          <w:szCs w:val="24"/>
        </w:rPr>
      </w:pPr>
      <w:r>
        <w:rPr>
          <w:rFonts w:ascii="Times New Roman" w:hAnsi="Times New Roman" w:cs="Times New Roman"/>
          <w:sz w:val="24"/>
          <w:szCs w:val="24"/>
        </w:rPr>
        <w:t>Less significant, however, is the power of an equitable joint tenant to release his interest g</w:t>
      </w:r>
      <w:r w:rsidR="007B18FB">
        <w:rPr>
          <w:rFonts w:ascii="Times New Roman" w:hAnsi="Times New Roman" w:cs="Times New Roman"/>
          <w:sz w:val="24"/>
          <w:szCs w:val="24"/>
        </w:rPr>
        <w:t xml:space="preserve">iven that he may do so by </w:t>
      </w:r>
      <w:r>
        <w:rPr>
          <w:rFonts w:ascii="Times New Roman" w:hAnsi="Times New Roman" w:cs="Times New Roman"/>
          <w:sz w:val="24"/>
          <w:szCs w:val="24"/>
        </w:rPr>
        <w:t>more conventional means involvin</w:t>
      </w:r>
      <w:r w:rsidR="007B18FB">
        <w:rPr>
          <w:rFonts w:ascii="Times New Roman" w:hAnsi="Times New Roman" w:cs="Times New Roman"/>
          <w:sz w:val="24"/>
          <w:szCs w:val="24"/>
        </w:rPr>
        <w:t xml:space="preserve">g </w:t>
      </w:r>
      <w:r>
        <w:rPr>
          <w:rFonts w:ascii="Times New Roman" w:hAnsi="Times New Roman" w:cs="Times New Roman"/>
          <w:sz w:val="24"/>
          <w:szCs w:val="24"/>
        </w:rPr>
        <w:t>a severance of the joint tenancy in equity under s.36(2).</w:t>
      </w:r>
      <w:r w:rsidR="007B18FB">
        <w:rPr>
          <w:rFonts w:ascii="Times New Roman" w:hAnsi="Times New Roman" w:cs="Times New Roman"/>
          <w:sz w:val="24"/>
          <w:szCs w:val="24"/>
        </w:rPr>
        <w:t xml:space="preserve"> O</w:t>
      </w:r>
      <w:r w:rsidR="00B82CE3">
        <w:rPr>
          <w:rFonts w:ascii="Times New Roman" w:hAnsi="Times New Roman" w:cs="Times New Roman"/>
          <w:sz w:val="24"/>
          <w:szCs w:val="24"/>
        </w:rPr>
        <w:t xml:space="preserve">ther methods of severance may </w:t>
      </w:r>
      <w:r w:rsidR="007B18FB">
        <w:rPr>
          <w:rFonts w:ascii="Times New Roman" w:hAnsi="Times New Roman" w:cs="Times New Roman"/>
          <w:sz w:val="24"/>
          <w:szCs w:val="24"/>
        </w:rPr>
        <w:t xml:space="preserve">also </w:t>
      </w:r>
      <w:r w:rsidR="00B82CE3">
        <w:rPr>
          <w:rFonts w:ascii="Times New Roman" w:hAnsi="Times New Roman" w:cs="Times New Roman"/>
          <w:sz w:val="24"/>
          <w:szCs w:val="24"/>
        </w:rPr>
        <w:t>be open to him</w:t>
      </w:r>
      <w:r w:rsidR="007B18FB">
        <w:rPr>
          <w:rFonts w:ascii="Times New Roman" w:hAnsi="Times New Roman" w:cs="Times New Roman"/>
          <w:sz w:val="24"/>
          <w:szCs w:val="24"/>
        </w:rPr>
        <w:t>, n</w:t>
      </w:r>
      <w:r w:rsidR="00B82CE3">
        <w:rPr>
          <w:rFonts w:ascii="Times New Roman" w:hAnsi="Times New Roman" w:cs="Times New Roman"/>
          <w:sz w:val="24"/>
          <w:szCs w:val="24"/>
        </w:rPr>
        <w:t>amely, (1) an act operating on his own share; (2) mutual agreement; or (3) any course of dealing sufficient to indicate that the interests of all joint tenants are mutually treated as constituting a tenancy in common.</w:t>
      </w:r>
      <w:r w:rsidR="007B18FB">
        <w:rPr>
          <w:rStyle w:val="FootnoteReference"/>
          <w:rFonts w:ascii="Times New Roman" w:hAnsi="Times New Roman" w:cs="Times New Roman"/>
          <w:sz w:val="24"/>
          <w:szCs w:val="24"/>
        </w:rPr>
        <w:footnoteReference w:id="18"/>
      </w:r>
      <w:r w:rsidR="008E266A">
        <w:rPr>
          <w:rFonts w:ascii="Times New Roman" w:hAnsi="Times New Roman" w:cs="Times New Roman"/>
          <w:sz w:val="24"/>
          <w:szCs w:val="24"/>
        </w:rPr>
        <w:t xml:space="preserve"> </w:t>
      </w:r>
      <w:r w:rsidR="008C6CAF">
        <w:rPr>
          <w:rFonts w:ascii="Times New Roman" w:hAnsi="Times New Roman" w:cs="Times New Roman"/>
          <w:sz w:val="24"/>
          <w:szCs w:val="24"/>
        </w:rPr>
        <w:t>Nevertheless, t</w:t>
      </w:r>
      <w:r w:rsidR="00BE2444">
        <w:rPr>
          <w:rFonts w:ascii="Times New Roman" w:hAnsi="Times New Roman" w:cs="Times New Roman"/>
          <w:sz w:val="24"/>
          <w:szCs w:val="24"/>
        </w:rPr>
        <w:t xml:space="preserve">he </w:t>
      </w:r>
      <w:r w:rsidR="008E266A">
        <w:rPr>
          <w:rFonts w:ascii="Times New Roman" w:hAnsi="Times New Roman" w:cs="Times New Roman"/>
          <w:sz w:val="24"/>
          <w:szCs w:val="24"/>
        </w:rPr>
        <w:t xml:space="preserve">importance of a release in this context should not be underestimated given the </w:t>
      </w:r>
      <w:r w:rsidR="00BE2444">
        <w:rPr>
          <w:rFonts w:ascii="Times New Roman" w:hAnsi="Times New Roman" w:cs="Times New Roman"/>
          <w:sz w:val="24"/>
          <w:szCs w:val="24"/>
        </w:rPr>
        <w:t xml:space="preserve">decision in </w:t>
      </w:r>
      <w:r w:rsidR="00BE2444" w:rsidRPr="008538F9">
        <w:rPr>
          <w:rFonts w:ascii="Times New Roman" w:hAnsi="Times New Roman" w:cs="Times New Roman"/>
          <w:i/>
          <w:sz w:val="24"/>
          <w:szCs w:val="24"/>
        </w:rPr>
        <w:t>Hudson</w:t>
      </w:r>
      <w:r w:rsidR="00BE2444">
        <w:rPr>
          <w:rFonts w:ascii="Times New Roman" w:hAnsi="Times New Roman" w:cs="Times New Roman"/>
          <w:sz w:val="24"/>
          <w:szCs w:val="24"/>
        </w:rPr>
        <w:t>,</w:t>
      </w:r>
      <w:r w:rsidR="008E266A">
        <w:rPr>
          <w:rFonts w:ascii="Times New Roman" w:hAnsi="Times New Roman" w:cs="Times New Roman"/>
          <w:sz w:val="24"/>
          <w:szCs w:val="24"/>
        </w:rPr>
        <w:t xml:space="preserve"> where </w:t>
      </w:r>
      <w:r w:rsidR="008538F9">
        <w:rPr>
          <w:rFonts w:ascii="Times New Roman" w:hAnsi="Times New Roman" w:cs="Times New Roman"/>
          <w:sz w:val="24"/>
          <w:szCs w:val="24"/>
        </w:rPr>
        <w:t xml:space="preserve">the use of informal words </w:t>
      </w:r>
      <w:r w:rsidR="008E266A">
        <w:rPr>
          <w:rFonts w:ascii="Times New Roman" w:hAnsi="Times New Roman" w:cs="Times New Roman"/>
          <w:sz w:val="24"/>
          <w:szCs w:val="24"/>
        </w:rPr>
        <w:t xml:space="preserve">were held to give </w:t>
      </w:r>
      <w:r w:rsidR="008538F9">
        <w:rPr>
          <w:rFonts w:ascii="Times New Roman" w:hAnsi="Times New Roman" w:cs="Times New Roman"/>
          <w:sz w:val="24"/>
          <w:szCs w:val="24"/>
        </w:rPr>
        <w:t xml:space="preserve">rise to a valid release </w:t>
      </w:r>
      <w:r w:rsidR="008E266A">
        <w:rPr>
          <w:rFonts w:ascii="Times New Roman" w:hAnsi="Times New Roman" w:cs="Times New Roman"/>
          <w:sz w:val="24"/>
          <w:szCs w:val="24"/>
        </w:rPr>
        <w:t xml:space="preserve">despite the absence of </w:t>
      </w:r>
      <w:r w:rsidR="008538F9">
        <w:rPr>
          <w:rFonts w:ascii="Times New Roman" w:hAnsi="Times New Roman" w:cs="Times New Roman"/>
          <w:sz w:val="24"/>
          <w:szCs w:val="24"/>
        </w:rPr>
        <w:t xml:space="preserve">a formal severance of </w:t>
      </w:r>
      <w:r w:rsidR="008E266A">
        <w:rPr>
          <w:rFonts w:ascii="Times New Roman" w:hAnsi="Times New Roman" w:cs="Times New Roman"/>
          <w:sz w:val="24"/>
          <w:szCs w:val="24"/>
        </w:rPr>
        <w:t>the</w:t>
      </w:r>
      <w:r w:rsidR="008538F9">
        <w:rPr>
          <w:rFonts w:ascii="Times New Roman" w:hAnsi="Times New Roman" w:cs="Times New Roman"/>
          <w:sz w:val="24"/>
          <w:szCs w:val="24"/>
        </w:rPr>
        <w:t xml:space="preserve"> joint tenancy</w:t>
      </w:r>
      <w:r w:rsidR="008E266A">
        <w:rPr>
          <w:rFonts w:ascii="Times New Roman" w:hAnsi="Times New Roman" w:cs="Times New Roman"/>
          <w:sz w:val="24"/>
          <w:szCs w:val="24"/>
        </w:rPr>
        <w:t>.</w:t>
      </w:r>
      <w:r w:rsidR="00FD3AB2">
        <w:rPr>
          <w:rFonts w:ascii="Times New Roman" w:hAnsi="Times New Roman" w:cs="Times New Roman"/>
          <w:sz w:val="24"/>
          <w:szCs w:val="24"/>
        </w:rPr>
        <w:t xml:space="preserve"> To this extent, the device of </w:t>
      </w:r>
      <w:r w:rsidR="008C6CAF">
        <w:rPr>
          <w:rFonts w:ascii="Times New Roman" w:hAnsi="Times New Roman" w:cs="Times New Roman"/>
          <w:sz w:val="24"/>
          <w:szCs w:val="24"/>
        </w:rPr>
        <w:t>a</w:t>
      </w:r>
      <w:r w:rsidR="00FD3AB2">
        <w:rPr>
          <w:rFonts w:ascii="Times New Roman" w:hAnsi="Times New Roman" w:cs="Times New Roman"/>
          <w:sz w:val="24"/>
          <w:szCs w:val="24"/>
        </w:rPr>
        <w:t xml:space="preserve"> release</w:t>
      </w:r>
      <w:r w:rsidR="00786AF8">
        <w:rPr>
          <w:rFonts w:ascii="Times New Roman" w:hAnsi="Times New Roman" w:cs="Times New Roman"/>
          <w:sz w:val="24"/>
          <w:szCs w:val="24"/>
        </w:rPr>
        <w:t xml:space="preserve">, albeit in limited circumstances, </w:t>
      </w:r>
      <w:r w:rsidR="00FD3AB2">
        <w:rPr>
          <w:rFonts w:ascii="Times New Roman" w:hAnsi="Times New Roman" w:cs="Times New Roman"/>
          <w:sz w:val="24"/>
          <w:szCs w:val="24"/>
        </w:rPr>
        <w:t>continue</w:t>
      </w:r>
      <w:r w:rsidR="00786AF8">
        <w:rPr>
          <w:rFonts w:ascii="Times New Roman" w:hAnsi="Times New Roman" w:cs="Times New Roman"/>
          <w:sz w:val="24"/>
          <w:szCs w:val="24"/>
        </w:rPr>
        <w:t>s</w:t>
      </w:r>
      <w:r w:rsidR="00FD3AB2">
        <w:rPr>
          <w:rFonts w:ascii="Times New Roman" w:hAnsi="Times New Roman" w:cs="Times New Roman"/>
          <w:sz w:val="24"/>
          <w:szCs w:val="24"/>
        </w:rPr>
        <w:t xml:space="preserve"> to have </w:t>
      </w:r>
      <w:r w:rsidR="00692F31">
        <w:rPr>
          <w:rFonts w:ascii="Times New Roman" w:hAnsi="Times New Roman" w:cs="Times New Roman"/>
          <w:sz w:val="24"/>
          <w:szCs w:val="24"/>
        </w:rPr>
        <w:t xml:space="preserve">a useful role to play in </w:t>
      </w:r>
      <w:r w:rsidR="00FC4533">
        <w:rPr>
          <w:rFonts w:ascii="Times New Roman" w:hAnsi="Times New Roman" w:cs="Times New Roman"/>
          <w:sz w:val="24"/>
          <w:szCs w:val="24"/>
        </w:rPr>
        <w:t xml:space="preserve">modern </w:t>
      </w:r>
      <w:r w:rsidR="00692F31">
        <w:rPr>
          <w:rFonts w:ascii="Times New Roman" w:hAnsi="Times New Roman" w:cs="Times New Roman"/>
          <w:sz w:val="24"/>
          <w:szCs w:val="24"/>
        </w:rPr>
        <w:t>co-ownership</w:t>
      </w:r>
      <w:r w:rsidR="00FC4533">
        <w:rPr>
          <w:rFonts w:ascii="Times New Roman" w:hAnsi="Times New Roman" w:cs="Times New Roman"/>
          <w:sz w:val="24"/>
          <w:szCs w:val="24"/>
        </w:rPr>
        <w:t xml:space="preserve"> law.</w:t>
      </w:r>
      <w:r w:rsidR="00692F31">
        <w:rPr>
          <w:rFonts w:ascii="Times New Roman" w:hAnsi="Times New Roman" w:cs="Times New Roman"/>
          <w:sz w:val="24"/>
          <w:szCs w:val="24"/>
        </w:rPr>
        <w:t xml:space="preserve"> </w:t>
      </w:r>
    </w:p>
    <w:p w14:paraId="118F03A2" w14:textId="77777777" w:rsidR="009A177F" w:rsidRDefault="009A177F" w:rsidP="009A177F">
      <w:pPr>
        <w:jc w:val="both"/>
        <w:rPr>
          <w:rFonts w:ascii="Times New Roman" w:hAnsi="Times New Roman" w:cs="Times New Roman"/>
          <w:sz w:val="24"/>
          <w:szCs w:val="24"/>
        </w:rPr>
      </w:pPr>
      <w:r>
        <w:rPr>
          <w:rFonts w:ascii="Times New Roman" w:hAnsi="Times New Roman" w:cs="Times New Roman"/>
          <w:sz w:val="24"/>
          <w:szCs w:val="24"/>
        </w:rPr>
        <w:t>A tenant in common</w:t>
      </w:r>
      <w:r w:rsidR="002F72FA">
        <w:rPr>
          <w:rFonts w:ascii="Times New Roman" w:hAnsi="Times New Roman" w:cs="Times New Roman"/>
          <w:sz w:val="24"/>
          <w:szCs w:val="24"/>
        </w:rPr>
        <w:t xml:space="preserve">, on the other hand, </w:t>
      </w:r>
      <w:r>
        <w:rPr>
          <w:rFonts w:ascii="Times New Roman" w:hAnsi="Times New Roman" w:cs="Times New Roman"/>
          <w:sz w:val="24"/>
          <w:szCs w:val="24"/>
        </w:rPr>
        <w:t xml:space="preserve">cannot release his share to the other tenants; instead, he </w:t>
      </w:r>
      <w:r w:rsidR="006B6BC7">
        <w:rPr>
          <w:rFonts w:ascii="Times New Roman" w:hAnsi="Times New Roman" w:cs="Times New Roman"/>
          <w:sz w:val="24"/>
          <w:szCs w:val="24"/>
        </w:rPr>
        <w:t>will have</w:t>
      </w:r>
      <w:r>
        <w:rPr>
          <w:rFonts w:ascii="Times New Roman" w:hAnsi="Times New Roman" w:cs="Times New Roman"/>
          <w:sz w:val="24"/>
          <w:szCs w:val="24"/>
        </w:rPr>
        <w:t xml:space="preserve"> to assign his equitable interest in writing to the other tenants complying with s.53(1)(c). </w:t>
      </w:r>
      <w:r w:rsidR="00213A9E">
        <w:rPr>
          <w:rFonts w:ascii="Times New Roman" w:hAnsi="Times New Roman" w:cs="Times New Roman"/>
          <w:sz w:val="24"/>
          <w:szCs w:val="24"/>
        </w:rPr>
        <w:t>In this connection, the concept of a release is confined to joint tenancies only.</w:t>
      </w:r>
    </w:p>
    <w:sectPr w:rsidR="009A177F" w:rsidSect="003C3C0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F38D" w14:textId="77777777" w:rsidR="00244ACA" w:rsidRDefault="00244ACA" w:rsidP="002750BE">
      <w:pPr>
        <w:spacing w:after="0" w:line="240" w:lineRule="auto"/>
      </w:pPr>
      <w:r>
        <w:separator/>
      </w:r>
    </w:p>
  </w:endnote>
  <w:endnote w:type="continuationSeparator" w:id="0">
    <w:p w14:paraId="712812A6" w14:textId="77777777" w:rsidR="00244ACA" w:rsidRDefault="00244ACA" w:rsidP="0027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5302" w14:textId="77777777" w:rsidR="002750BE" w:rsidRDefault="00275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042920"/>
      <w:docPartObj>
        <w:docPartGallery w:val="Page Numbers (Bottom of Page)"/>
        <w:docPartUnique/>
      </w:docPartObj>
    </w:sdtPr>
    <w:sdtContent>
      <w:p w14:paraId="453D6200" w14:textId="77777777" w:rsidR="002750BE" w:rsidRDefault="00000000">
        <w:pPr>
          <w:pStyle w:val="Footer"/>
          <w:jc w:val="center"/>
        </w:pPr>
        <w:r>
          <w:fldChar w:fldCharType="begin"/>
        </w:r>
        <w:r>
          <w:instrText xml:space="preserve"> PAGE   \* MERGEFORMAT </w:instrText>
        </w:r>
        <w:r>
          <w:fldChar w:fldCharType="separate"/>
        </w:r>
        <w:r w:rsidR="008673BC">
          <w:rPr>
            <w:noProof/>
          </w:rPr>
          <w:t>6</w:t>
        </w:r>
        <w:r>
          <w:rPr>
            <w:noProof/>
          </w:rPr>
          <w:fldChar w:fldCharType="end"/>
        </w:r>
      </w:p>
    </w:sdtContent>
  </w:sdt>
  <w:p w14:paraId="5EE58200" w14:textId="77777777" w:rsidR="002750BE" w:rsidRDefault="00275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62F7" w14:textId="77777777" w:rsidR="002750BE" w:rsidRDefault="00275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A085" w14:textId="77777777" w:rsidR="00244ACA" w:rsidRDefault="00244ACA" w:rsidP="002750BE">
      <w:pPr>
        <w:spacing w:after="0" w:line="240" w:lineRule="auto"/>
      </w:pPr>
      <w:r>
        <w:separator/>
      </w:r>
    </w:p>
  </w:footnote>
  <w:footnote w:type="continuationSeparator" w:id="0">
    <w:p w14:paraId="6D9BE46A" w14:textId="77777777" w:rsidR="00244ACA" w:rsidRDefault="00244ACA" w:rsidP="002750BE">
      <w:pPr>
        <w:spacing w:after="0" w:line="240" w:lineRule="auto"/>
      </w:pPr>
      <w:r>
        <w:continuationSeparator/>
      </w:r>
    </w:p>
  </w:footnote>
  <w:footnote w:id="1">
    <w:p w14:paraId="3694B1A9" w14:textId="77777777" w:rsidR="00C62616" w:rsidRDefault="00C62616">
      <w:pPr>
        <w:pStyle w:val="FootnoteText"/>
      </w:pPr>
      <w:r>
        <w:rPr>
          <w:rStyle w:val="FootnoteReference"/>
        </w:rPr>
        <w:footnoteRef/>
      </w:r>
      <w:r>
        <w:t xml:space="preserve"> See, </w:t>
      </w:r>
      <w:proofErr w:type="spellStart"/>
      <w:r>
        <w:t>Megarry</w:t>
      </w:r>
      <w:proofErr w:type="spellEnd"/>
      <w:r>
        <w:t xml:space="preserve"> &amp; Wade, </w:t>
      </w:r>
      <w:r w:rsidRPr="008F585B">
        <w:rPr>
          <w:i/>
        </w:rPr>
        <w:t>The Law of Real Property</w:t>
      </w:r>
      <w:r>
        <w:t>, (10th ed., 2024), pp. 553-554.</w:t>
      </w:r>
    </w:p>
  </w:footnote>
  <w:footnote w:id="2">
    <w:p w14:paraId="01706E2D" w14:textId="77777777" w:rsidR="00D92E95" w:rsidRDefault="00D92E95" w:rsidP="00CF51BF">
      <w:pPr>
        <w:pStyle w:val="FootnoteText"/>
        <w:jc w:val="both"/>
      </w:pPr>
      <w:r>
        <w:rPr>
          <w:rStyle w:val="FootnoteReference"/>
        </w:rPr>
        <w:footnoteRef/>
      </w:r>
      <w:r>
        <w:t xml:space="preserve"> Prior to 1926, such a grant was inoperative but took effect as a release: </w:t>
      </w:r>
      <w:r w:rsidRPr="00D92E95">
        <w:rPr>
          <w:i/>
        </w:rPr>
        <w:t>Eustace v Scawen</w:t>
      </w:r>
      <w:r>
        <w:t xml:space="preserve"> (1624)  Co Jac 696; </w:t>
      </w:r>
      <w:r w:rsidRPr="00D92E95">
        <w:rPr>
          <w:i/>
        </w:rPr>
        <w:t>Chester v Williams</w:t>
      </w:r>
      <w:r>
        <w:t xml:space="preserve"> (1670) </w:t>
      </w:r>
      <w:proofErr w:type="spellStart"/>
      <w:r>
        <w:t>Wms</w:t>
      </w:r>
      <w:proofErr w:type="spellEnd"/>
      <w:r>
        <w:t xml:space="preserve"> Saund 96.</w:t>
      </w:r>
      <w:r w:rsidR="00FF04EA">
        <w:t xml:space="preserve"> Interestingly, any purported disclaimer to which the other joint tenants are parties will also be construed as a release: </w:t>
      </w:r>
      <w:r w:rsidR="00FF04EA" w:rsidRPr="00FF04EA">
        <w:rPr>
          <w:i/>
        </w:rPr>
        <w:t>Re Schar</w:t>
      </w:r>
      <w:r w:rsidR="00FF04EA">
        <w:t xml:space="preserve"> [1951] Ch 280.</w:t>
      </w:r>
    </w:p>
  </w:footnote>
  <w:footnote w:id="3">
    <w:p w14:paraId="513F564A" w14:textId="77777777" w:rsidR="00315FDE" w:rsidRDefault="00315FDE" w:rsidP="0096273B">
      <w:pPr>
        <w:pStyle w:val="FootnoteText"/>
        <w:jc w:val="both"/>
      </w:pPr>
      <w:r>
        <w:rPr>
          <w:rStyle w:val="FootnoteReference"/>
        </w:rPr>
        <w:footnoteRef/>
      </w:r>
      <w:r>
        <w:t xml:space="preserve"> See,</w:t>
      </w:r>
      <w:r w:rsidR="0096273B">
        <w:t xml:space="preserve"> </w:t>
      </w:r>
      <w:r>
        <w:t xml:space="preserve">Williams, </w:t>
      </w:r>
      <w:r w:rsidRPr="0096273B">
        <w:rPr>
          <w:i/>
        </w:rPr>
        <w:t>Principles of the Law of Real Property</w:t>
      </w:r>
      <w:r>
        <w:t>, (24th ed., 1926), at p. 200: " . . . this release operates rather as an extinguishment of right than as a conveyance; for the whole estate is already supposed to be vested in each joint tenant, as well as his own proportion."</w:t>
      </w:r>
    </w:p>
  </w:footnote>
  <w:footnote w:id="4">
    <w:p w14:paraId="05DE3997" w14:textId="77777777" w:rsidR="008F585B" w:rsidRDefault="008F585B">
      <w:pPr>
        <w:pStyle w:val="FootnoteText"/>
      </w:pPr>
      <w:r>
        <w:rPr>
          <w:rStyle w:val="FootnoteReference"/>
        </w:rPr>
        <w:footnoteRef/>
      </w:r>
      <w:r>
        <w:t xml:space="preserve"> See, </w:t>
      </w:r>
      <w:proofErr w:type="spellStart"/>
      <w:r>
        <w:t>Megarry</w:t>
      </w:r>
      <w:proofErr w:type="spellEnd"/>
      <w:r>
        <w:t xml:space="preserve"> &amp; Wade, </w:t>
      </w:r>
      <w:r w:rsidRPr="008F585B">
        <w:rPr>
          <w:i/>
        </w:rPr>
        <w:t>The Law of Real Property</w:t>
      </w:r>
      <w:r>
        <w:t>, (10th ed., 2024), pp. 553-554.</w:t>
      </w:r>
    </w:p>
  </w:footnote>
  <w:footnote w:id="5">
    <w:p w14:paraId="39541997" w14:textId="77777777" w:rsidR="00196252" w:rsidRDefault="00196252">
      <w:pPr>
        <w:pStyle w:val="FootnoteText"/>
      </w:pPr>
      <w:r>
        <w:rPr>
          <w:rStyle w:val="FootnoteReference"/>
        </w:rPr>
        <w:footnoteRef/>
      </w:r>
      <w:r>
        <w:t xml:space="preserve"> [2002] 2 AC 399.</w:t>
      </w:r>
    </w:p>
  </w:footnote>
  <w:footnote w:id="6">
    <w:p w14:paraId="6A66977C" w14:textId="77777777" w:rsidR="00C814C4" w:rsidRDefault="00C814C4" w:rsidP="006E1D4E">
      <w:pPr>
        <w:pStyle w:val="FootnoteText"/>
        <w:jc w:val="both"/>
      </w:pPr>
      <w:r>
        <w:rPr>
          <w:rStyle w:val="FootnoteReference"/>
        </w:rPr>
        <w:footnoteRef/>
      </w:r>
      <w:r>
        <w:t xml:space="preserve"> </w:t>
      </w:r>
      <w:r w:rsidR="006E1D4E">
        <w:t xml:space="preserve">If the object of the release is a transfer of the legal estate under a lease by one or more joint tenants to the other(s), the landlord's consent will be required under the terms of the lease containing a </w:t>
      </w:r>
      <w:r w:rsidR="00A37209">
        <w:t xml:space="preserve">qualified </w:t>
      </w:r>
      <w:r w:rsidR="006E1D4E">
        <w:t>covenant</w:t>
      </w:r>
      <w:r w:rsidR="00A37209">
        <w:t xml:space="preserve"> </w:t>
      </w:r>
      <w:r w:rsidR="006E1D4E">
        <w:t>against assignment.</w:t>
      </w:r>
      <w:r w:rsidR="001C3635">
        <w:t xml:space="preserve"> In </w:t>
      </w:r>
      <w:r w:rsidR="001C3635" w:rsidRPr="001C3635">
        <w:rPr>
          <w:i/>
        </w:rPr>
        <w:t xml:space="preserve">Burton v Camden London Borough Council </w:t>
      </w:r>
      <w:r w:rsidR="001C3635">
        <w:t>[2000] 2 AC 399, the Council would not agree to the transfer, so a deed of release was prepared to try and resolve this difficulty. In the result, the deed of release was held by the majority of the House of Lords to operate as a purported assignment and, hence, contravened s.91(1) of the Housing Act 1985.</w:t>
      </w:r>
    </w:p>
  </w:footnote>
  <w:footnote w:id="7">
    <w:p w14:paraId="7CCE63E2" w14:textId="77777777" w:rsidR="00196252" w:rsidRDefault="00196252">
      <w:pPr>
        <w:pStyle w:val="FootnoteText"/>
      </w:pPr>
      <w:r>
        <w:rPr>
          <w:rStyle w:val="FootnoteReference"/>
        </w:rPr>
        <w:footnoteRef/>
      </w:r>
      <w:r>
        <w:t xml:space="preserve"> </w:t>
      </w:r>
      <w:r w:rsidR="00EC0879">
        <w:t>[2002] 2 AC 399</w:t>
      </w:r>
      <w:r>
        <w:t>, at 405.</w:t>
      </w:r>
    </w:p>
  </w:footnote>
  <w:footnote w:id="8">
    <w:p w14:paraId="14DACE43" w14:textId="77777777" w:rsidR="00196252" w:rsidRDefault="00196252">
      <w:pPr>
        <w:pStyle w:val="FootnoteText"/>
      </w:pPr>
      <w:r>
        <w:rPr>
          <w:rStyle w:val="FootnoteReference"/>
        </w:rPr>
        <w:footnoteRef/>
      </w:r>
      <w:r>
        <w:t xml:space="preserve"> </w:t>
      </w:r>
      <w:r w:rsidRPr="00196252">
        <w:rPr>
          <w:i/>
        </w:rPr>
        <w:t>Ibid</w:t>
      </w:r>
      <w:r>
        <w:t>, at 408.</w:t>
      </w:r>
    </w:p>
  </w:footnote>
  <w:footnote w:id="9">
    <w:p w14:paraId="2927AF3E" w14:textId="77777777" w:rsidR="008632EA" w:rsidRDefault="008632EA">
      <w:pPr>
        <w:pStyle w:val="FootnoteText"/>
      </w:pPr>
      <w:r>
        <w:rPr>
          <w:rStyle w:val="FootnoteReference"/>
        </w:rPr>
        <w:footnoteRef/>
      </w:r>
      <w:r>
        <w:t xml:space="preserve"> [2023] KB 345.</w:t>
      </w:r>
    </w:p>
  </w:footnote>
  <w:footnote w:id="10">
    <w:p w14:paraId="727A9B43" w14:textId="77777777" w:rsidR="00850CC3" w:rsidRDefault="00850CC3" w:rsidP="00850CC3">
      <w:pPr>
        <w:pStyle w:val="FootnoteText"/>
      </w:pPr>
      <w:r>
        <w:rPr>
          <w:rStyle w:val="FootnoteReference"/>
        </w:rPr>
        <w:footnoteRef/>
      </w:r>
      <w:r>
        <w:t xml:space="preserve"> [1740] Vol. III, at p. 206.</w:t>
      </w:r>
    </w:p>
  </w:footnote>
  <w:footnote w:id="11">
    <w:p w14:paraId="64A34CF4" w14:textId="77777777" w:rsidR="008632EA" w:rsidRDefault="008632EA" w:rsidP="003E06AA">
      <w:pPr>
        <w:pStyle w:val="FootnoteText"/>
        <w:jc w:val="both"/>
      </w:pPr>
      <w:r>
        <w:rPr>
          <w:rStyle w:val="FootnoteReference"/>
        </w:rPr>
        <w:footnoteRef/>
      </w:r>
      <w:r>
        <w:t xml:space="preserve"> [2007] EWHC 3001 (Ch).</w:t>
      </w:r>
      <w:r w:rsidR="003E06AA">
        <w:t xml:space="preserve"> See</w:t>
      </w:r>
      <w:r w:rsidR="000E19D9">
        <w:t xml:space="preserve"> further</w:t>
      </w:r>
      <w:r w:rsidR="003E06AA">
        <w:t xml:space="preserve">, J. Brown, "Interpreting </w:t>
      </w:r>
      <w:r w:rsidR="0073253F">
        <w:t>'</w:t>
      </w:r>
      <w:r w:rsidR="003E06AA">
        <w:t>DIY</w:t>
      </w:r>
      <w:r w:rsidR="0073253F">
        <w:t>'</w:t>
      </w:r>
      <w:r w:rsidR="003E06AA">
        <w:t xml:space="preserve"> Documents: Severance, Release, Trusts, Certainty, Vesting and Undue Influence", (2008) 72 Conv. 336.</w:t>
      </w:r>
    </w:p>
  </w:footnote>
  <w:footnote w:id="12">
    <w:p w14:paraId="67CC10F8" w14:textId="77777777" w:rsidR="008632EA" w:rsidRDefault="008632EA">
      <w:pPr>
        <w:pStyle w:val="FootnoteText"/>
      </w:pPr>
      <w:r>
        <w:rPr>
          <w:rStyle w:val="FootnoteReference"/>
        </w:rPr>
        <w:footnoteRef/>
      </w:r>
      <w:r>
        <w:t xml:space="preserve"> </w:t>
      </w:r>
      <w:r w:rsidR="0031485E">
        <w:t>[2007] EWHC 3001 (Ch</w:t>
      </w:r>
      <w:r>
        <w:t>, at [46].</w:t>
      </w:r>
    </w:p>
  </w:footnote>
  <w:footnote w:id="13">
    <w:p w14:paraId="1AB3DC41" w14:textId="77777777" w:rsidR="008632EA" w:rsidRDefault="008632EA">
      <w:pPr>
        <w:pStyle w:val="FootnoteText"/>
      </w:pPr>
      <w:r>
        <w:rPr>
          <w:rStyle w:val="FootnoteReference"/>
        </w:rPr>
        <w:footnoteRef/>
      </w:r>
      <w:r>
        <w:t xml:space="preserve"> </w:t>
      </w:r>
      <w:r w:rsidRPr="008632EA">
        <w:rPr>
          <w:i/>
        </w:rPr>
        <w:t>Ibid</w:t>
      </w:r>
      <w:r>
        <w:t>, at [47] and [49], respectively.</w:t>
      </w:r>
    </w:p>
  </w:footnote>
  <w:footnote w:id="14">
    <w:p w14:paraId="01155B25" w14:textId="77777777" w:rsidR="00FB631A" w:rsidRDefault="00FB631A" w:rsidP="000B283B">
      <w:pPr>
        <w:pStyle w:val="FootnoteText"/>
        <w:jc w:val="both"/>
      </w:pPr>
      <w:r>
        <w:rPr>
          <w:rStyle w:val="FootnoteReference"/>
        </w:rPr>
        <w:footnoteRef/>
      </w:r>
      <w:r>
        <w:t xml:space="preserve"> Section 52(1) of the Law of Property Act 1925 states: "</w:t>
      </w:r>
      <w:r w:rsidR="000B283B">
        <w:t>All conveyances of land or of any interest therein</w:t>
      </w:r>
      <w:r w:rsidR="007E6D24">
        <w:t xml:space="preserve"> </w:t>
      </w:r>
      <w:r w:rsidR="000B283B">
        <w:t>are void for the purpose of conveying</w:t>
      </w:r>
      <w:r w:rsidR="007E6D24">
        <w:t xml:space="preserve"> </w:t>
      </w:r>
      <w:r w:rsidR="000B283B">
        <w:t>or creating a legal estate unless made by deed."</w:t>
      </w:r>
      <w:r w:rsidR="007E6D24">
        <w:t xml:space="preserve"> In order for the release to have effect in relation to registered land, an application to </w:t>
      </w:r>
      <w:r w:rsidR="00A11967">
        <w:t>HM</w:t>
      </w:r>
      <w:r w:rsidR="007E6D24">
        <w:t xml:space="preserve"> Land Registry will be required in order to pass the legal title.</w:t>
      </w:r>
      <w:r w:rsidR="000C5D33">
        <w:t xml:space="preserve"> If the land is unregistered, the release may well trigger an application for </w:t>
      </w:r>
      <w:r w:rsidR="00A11967">
        <w:t xml:space="preserve">first </w:t>
      </w:r>
      <w:r w:rsidR="000C5D33">
        <w:t>registr</w:t>
      </w:r>
      <w:r w:rsidR="00A809D8">
        <w:t>a</w:t>
      </w:r>
      <w:r w:rsidR="000C5D33">
        <w:t>tion.</w:t>
      </w:r>
      <w:r w:rsidR="00387BFF">
        <w:t xml:space="preserve"> The same principle will apply to the release of shares requiring  an amendment to the </w:t>
      </w:r>
      <w:r w:rsidR="00A11967">
        <w:t xml:space="preserve">company's </w:t>
      </w:r>
      <w:r w:rsidR="00387BFF">
        <w:t>share register.</w:t>
      </w:r>
    </w:p>
  </w:footnote>
  <w:footnote w:id="15">
    <w:p w14:paraId="2B565064" w14:textId="77777777" w:rsidR="00813490" w:rsidRDefault="00813490" w:rsidP="00813490">
      <w:pPr>
        <w:pStyle w:val="FootnoteText"/>
        <w:jc w:val="both"/>
      </w:pPr>
      <w:r>
        <w:rPr>
          <w:rStyle w:val="FootnoteReference"/>
        </w:rPr>
        <w:footnoteRef/>
      </w:r>
      <w:r>
        <w:t xml:space="preserve"> See, </w:t>
      </w:r>
      <w:proofErr w:type="spellStart"/>
      <w:r w:rsidRPr="00813490">
        <w:rPr>
          <w:i/>
        </w:rPr>
        <w:t>Vandervell</w:t>
      </w:r>
      <w:proofErr w:type="spellEnd"/>
      <w:r w:rsidRPr="00813490">
        <w:rPr>
          <w:i/>
        </w:rPr>
        <w:t xml:space="preserve"> v IRC</w:t>
      </w:r>
      <w:r>
        <w:t xml:space="preserve"> [1967] 2 AC 291, (beneficiary of a bare trust entitled to direct  the trustee to transfer the legal title to the trust property and there was no need for a separate disposition to transfer the equitable title).</w:t>
      </w:r>
    </w:p>
  </w:footnote>
  <w:footnote w:id="16">
    <w:p w14:paraId="2956DDC7" w14:textId="77777777" w:rsidR="008632EA" w:rsidRPr="00B82CE3" w:rsidRDefault="008632EA" w:rsidP="00813490">
      <w:pPr>
        <w:spacing w:after="0" w:line="240" w:lineRule="auto"/>
        <w:jc w:val="both"/>
        <w:rPr>
          <w:rFonts w:cs="Times New Roman"/>
          <w:sz w:val="20"/>
          <w:szCs w:val="20"/>
        </w:rPr>
      </w:pPr>
      <w:r>
        <w:rPr>
          <w:rStyle w:val="FootnoteReference"/>
        </w:rPr>
        <w:footnoteRef/>
      </w:r>
      <w:r>
        <w:t xml:space="preserve"> </w:t>
      </w:r>
      <w:r w:rsidRPr="008632EA">
        <w:rPr>
          <w:rFonts w:cs="Times New Roman"/>
          <w:sz w:val="20"/>
          <w:szCs w:val="20"/>
        </w:rPr>
        <w:t xml:space="preserve">See, </w:t>
      </w:r>
      <w:r w:rsidRPr="008632EA">
        <w:rPr>
          <w:rFonts w:cs="Times New Roman"/>
          <w:i/>
          <w:sz w:val="20"/>
          <w:szCs w:val="20"/>
        </w:rPr>
        <w:t>Re Cole</w:t>
      </w:r>
      <w:r w:rsidRPr="008632EA">
        <w:rPr>
          <w:rFonts w:cs="Times New Roman"/>
          <w:sz w:val="20"/>
          <w:szCs w:val="20"/>
        </w:rPr>
        <w:t xml:space="preserve"> [1964] Ch 175, where Pearson LJ stated, at 191: "it has been established that oral words of gift, or even written words of gift not embodied in a deed or will, are not sufficient to make an effective gift unless there has been or is delivery of possession to the </w:t>
      </w:r>
      <w:proofErr w:type="spellStart"/>
      <w:r w:rsidRPr="008632EA">
        <w:rPr>
          <w:rFonts w:cs="Times New Roman"/>
          <w:sz w:val="20"/>
          <w:szCs w:val="20"/>
        </w:rPr>
        <w:t>donee</w:t>
      </w:r>
      <w:proofErr w:type="spellEnd"/>
      <w:r w:rsidRPr="008632EA">
        <w:rPr>
          <w:rFonts w:cs="Times New Roman"/>
          <w:sz w:val="20"/>
          <w:szCs w:val="20"/>
        </w:rPr>
        <w:t>."</w:t>
      </w:r>
    </w:p>
  </w:footnote>
  <w:footnote w:id="17">
    <w:p w14:paraId="0486EB48" w14:textId="77777777" w:rsidR="009B28D5" w:rsidRPr="009B28D5" w:rsidRDefault="009B28D5" w:rsidP="0029765B">
      <w:pPr>
        <w:spacing w:after="0" w:line="240" w:lineRule="auto"/>
        <w:jc w:val="both"/>
        <w:rPr>
          <w:rFonts w:ascii="Times New Roman" w:hAnsi="Times New Roman" w:cs="Times New Roman"/>
          <w:i/>
          <w:sz w:val="20"/>
          <w:szCs w:val="20"/>
        </w:rPr>
      </w:pPr>
      <w:r>
        <w:rPr>
          <w:rStyle w:val="FootnoteReference"/>
        </w:rPr>
        <w:footnoteRef/>
      </w:r>
      <w:r>
        <w:t xml:space="preserve"> </w:t>
      </w:r>
      <w:r w:rsidRPr="009B28D5">
        <w:rPr>
          <w:sz w:val="20"/>
          <w:szCs w:val="20"/>
        </w:rPr>
        <w:t xml:space="preserve">See, </w:t>
      </w:r>
      <w:r w:rsidRPr="009B28D5">
        <w:rPr>
          <w:i/>
          <w:sz w:val="20"/>
          <w:szCs w:val="20"/>
        </w:rPr>
        <w:t>William Brandt's Sons &amp; Co v Dunlop Rubber Co L</w:t>
      </w:r>
      <w:r w:rsidRPr="009B28D5">
        <w:rPr>
          <w:sz w:val="20"/>
          <w:szCs w:val="20"/>
        </w:rPr>
        <w:t xml:space="preserve">td [1905] AC 454, </w:t>
      </w:r>
      <w:r w:rsidR="0029765B">
        <w:rPr>
          <w:sz w:val="20"/>
          <w:szCs w:val="20"/>
        </w:rPr>
        <w:t xml:space="preserve">at </w:t>
      </w:r>
      <w:r w:rsidRPr="009B28D5">
        <w:rPr>
          <w:sz w:val="20"/>
          <w:szCs w:val="20"/>
        </w:rPr>
        <w:t xml:space="preserve">462: "It may be couched in the language of command. It may be a courteous request. It may assume the form of mere permission", per Lord </w:t>
      </w:r>
      <w:proofErr w:type="spellStart"/>
      <w:r w:rsidRPr="009B28D5">
        <w:rPr>
          <w:sz w:val="20"/>
          <w:szCs w:val="20"/>
        </w:rPr>
        <w:t>Macnaghten</w:t>
      </w:r>
      <w:proofErr w:type="spellEnd"/>
      <w:r>
        <w:rPr>
          <w:sz w:val="20"/>
          <w:szCs w:val="20"/>
        </w:rPr>
        <w:t>.</w:t>
      </w:r>
    </w:p>
  </w:footnote>
  <w:footnote w:id="18">
    <w:p w14:paraId="46FCEC08" w14:textId="77777777" w:rsidR="007B18FB" w:rsidRDefault="007B18FB" w:rsidP="009B28D5">
      <w:pPr>
        <w:pStyle w:val="FootnoteText"/>
      </w:pPr>
      <w:r>
        <w:rPr>
          <w:rStyle w:val="FootnoteReference"/>
        </w:rPr>
        <w:footnoteRef/>
      </w:r>
      <w:r>
        <w:t xml:space="preserve"> </w:t>
      </w:r>
      <w:r w:rsidRPr="007B18FB">
        <w:rPr>
          <w:i/>
        </w:rPr>
        <w:t>Williams v Hensman</w:t>
      </w:r>
      <w:r>
        <w:t xml:space="preserve"> (1861) 1 J &amp; H 546, at 557-558; 70 ER 862, at 867.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0A26" w14:textId="77777777" w:rsidR="002750BE" w:rsidRDefault="00275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7B0B" w14:textId="77777777" w:rsidR="002750BE" w:rsidRDefault="00275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6904" w14:textId="77777777" w:rsidR="002750BE" w:rsidRDefault="002750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78"/>
    <w:rsid w:val="000030F9"/>
    <w:rsid w:val="00023F82"/>
    <w:rsid w:val="00030C72"/>
    <w:rsid w:val="00031865"/>
    <w:rsid w:val="00041748"/>
    <w:rsid w:val="00045419"/>
    <w:rsid w:val="00046E7B"/>
    <w:rsid w:val="00053575"/>
    <w:rsid w:val="000764E2"/>
    <w:rsid w:val="0008154C"/>
    <w:rsid w:val="000A2C4D"/>
    <w:rsid w:val="000A68A4"/>
    <w:rsid w:val="000B2494"/>
    <w:rsid w:val="000B283B"/>
    <w:rsid w:val="000C5D33"/>
    <w:rsid w:val="000E19D9"/>
    <w:rsid w:val="000E415E"/>
    <w:rsid w:val="000E6D67"/>
    <w:rsid w:val="000F1959"/>
    <w:rsid w:val="0010204B"/>
    <w:rsid w:val="00106704"/>
    <w:rsid w:val="001212F2"/>
    <w:rsid w:val="00130829"/>
    <w:rsid w:val="00154C05"/>
    <w:rsid w:val="00180DE6"/>
    <w:rsid w:val="00196252"/>
    <w:rsid w:val="001C34FA"/>
    <w:rsid w:val="001C3635"/>
    <w:rsid w:val="001D47A4"/>
    <w:rsid w:val="001D601D"/>
    <w:rsid w:val="002013D0"/>
    <w:rsid w:val="00204FF1"/>
    <w:rsid w:val="00213A9E"/>
    <w:rsid w:val="002153A8"/>
    <w:rsid w:val="00217EF3"/>
    <w:rsid w:val="00244ACA"/>
    <w:rsid w:val="00253FF0"/>
    <w:rsid w:val="00265017"/>
    <w:rsid w:val="002663B5"/>
    <w:rsid w:val="00271C27"/>
    <w:rsid w:val="002750BE"/>
    <w:rsid w:val="00280795"/>
    <w:rsid w:val="0029765B"/>
    <w:rsid w:val="002D1861"/>
    <w:rsid w:val="002F72FA"/>
    <w:rsid w:val="00302FE4"/>
    <w:rsid w:val="003114D6"/>
    <w:rsid w:val="0031485E"/>
    <w:rsid w:val="00315FDE"/>
    <w:rsid w:val="00327B0E"/>
    <w:rsid w:val="00330931"/>
    <w:rsid w:val="003328C3"/>
    <w:rsid w:val="00354D2F"/>
    <w:rsid w:val="00377D15"/>
    <w:rsid w:val="00382323"/>
    <w:rsid w:val="00382796"/>
    <w:rsid w:val="00387BFF"/>
    <w:rsid w:val="00390F75"/>
    <w:rsid w:val="003A71B5"/>
    <w:rsid w:val="003B1C3F"/>
    <w:rsid w:val="003C23CE"/>
    <w:rsid w:val="003C3C06"/>
    <w:rsid w:val="003C7F29"/>
    <w:rsid w:val="003E06AA"/>
    <w:rsid w:val="00402916"/>
    <w:rsid w:val="00424A0C"/>
    <w:rsid w:val="00425547"/>
    <w:rsid w:val="00440ECC"/>
    <w:rsid w:val="00467110"/>
    <w:rsid w:val="004735B6"/>
    <w:rsid w:val="004809FF"/>
    <w:rsid w:val="00504EEB"/>
    <w:rsid w:val="00543069"/>
    <w:rsid w:val="00560FE3"/>
    <w:rsid w:val="0056151B"/>
    <w:rsid w:val="005662A8"/>
    <w:rsid w:val="00582D5E"/>
    <w:rsid w:val="00597661"/>
    <w:rsid w:val="005C664D"/>
    <w:rsid w:val="005D31E3"/>
    <w:rsid w:val="006009C5"/>
    <w:rsid w:val="0061104B"/>
    <w:rsid w:val="00621795"/>
    <w:rsid w:val="00663F88"/>
    <w:rsid w:val="0069104A"/>
    <w:rsid w:val="00692F31"/>
    <w:rsid w:val="00693D2D"/>
    <w:rsid w:val="006B6BC7"/>
    <w:rsid w:val="006E1D4E"/>
    <w:rsid w:val="006E3492"/>
    <w:rsid w:val="006E37E9"/>
    <w:rsid w:val="006E657E"/>
    <w:rsid w:val="007147A1"/>
    <w:rsid w:val="00723173"/>
    <w:rsid w:val="0073253F"/>
    <w:rsid w:val="0074456D"/>
    <w:rsid w:val="00752BC9"/>
    <w:rsid w:val="00784080"/>
    <w:rsid w:val="00786AF8"/>
    <w:rsid w:val="00790BA0"/>
    <w:rsid w:val="007923AD"/>
    <w:rsid w:val="007A667A"/>
    <w:rsid w:val="007B0545"/>
    <w:rsid w:val="007B18FB"/>
    <w:rsid w:val="007D6963"/>
    <w:rsid w:val="007E6D24"/>
    <w:rsid w:val="00805968"/>
    <w:rsid w:val="00813490"/>
    <w:rsid w:val="00850CC3"/>
    <w:rsid w:val="00851153"/>
    <w:rsid w:val="008519CD"/>
    <w:rsid w:val="008538F9"/>
    <w:rsid w:val="00861AB0"/>
    <w:rsid w:val="008632EA"/>
    <w:rsid w:val="008673BC"/>
    <w:rsid w:val="00871F35"/>
    <w:rsid w:val="00877A36"/>
    <w:rsid w:val="008B077E"/>
    <w:rsid w:val="008C6CAF"/>
    <w:rsid w:val="008E266A"/>
    <w:rsid w:val="008E7932"/>
    <w:rsid w:val="008F585B"/>
    <w:rsid w:val="00952278"/>
    <w:rsid w:val="0096273B"/>
    <w:rsid w:val="0096734F"/>
    <w:rsid w:val="00983443"/>
    <w:rsid w:val="009A177F"/>
    <w:rsid w:val="009B28D5"/>
    <w:rsid w:val="009C4BA9"/>
    <w:rsid w:val="009E17CC"/>
    <w:rsid w:val="009E6AB4"/>
    <w:rsid w:val="009F0E3B"/>
    <w:rsid w:val="009F7A21"/>
    <w:rsid w:val="00A00547"/>
    <w:rsid w:val="00A11967"/>
    <w:rsid w:val="00A33BFC"/>
    <w:rsid w:val="00A37209"/>
    <w:rsid w:val="00A470C1"/>
    <w:rsid w:val="00A56990"/>
    <w:rsid w:val="00A725E3"/>
    <w:rsid w:val="00A809D8"/>
    <w:rsid w:val="00A8299A"/>
    <w:rsid w:val="00A87EA8"/>
    <w:rsid w:val="00AB0614"/>
    <w:rsid w:val="00AB4DF0"/>
    <w:rsid w:val="00AD0571"/>
    <w:rsid w:val="00AD19E6"/>
    <w:rsid w:val="00AD26A1"/>
    <w:rsid w:val="00AF1904"/>
    <w:rsid w:val="00AF57CE"/>
    <w:rsid w:val="00B62CC0"/>
    <w:rsid w:val="00B82CE3"/>
    <w:rsid w:val="00BA6DA5"/>
    <w:rsid w:val="00BC168B"/>
    <w:rsid w:val="00BC2691"/>
    <w:rsid w:val="00BE2444"/>
    <w:rsid w:val="00BE57AC"/>
    <w:rsid w:val="00BE7D88"/>
    <w:rsid w:val="00BF309F"/>
    <w:rsid w:val="00C24E07"/>
    <w:rsid w:val="00C46C9C"/>
    <w:rsid w:val="00C62616"/>
    <w:rsid w:val="00C638C7"/>
    <w:rsid w:val="00C814C4"/>
    <w:rsid w:val="00C92AFF"/>
    <w:rsid w:val="00CB3A75"/>
    <w:rsid w:val="00CE0ED2"/>
    <w:rsid w:val="00CE3554"/>
    <w:rsid w:val="00CF51BF"/>
    <w:rsid w:val="00D14A32"/>
    <w:rsid w:val="00D6401C"/>
    <w:rsid w:val="00D70699"/>
    <w:rsid w:val="00D92E95"/>
    <w:rsid w:val="00DB6D60"/>
    <w:rsid w:val="00DE6B86"/>
    <w:rsid w:val="00E04449"/>
    <w:rsid w:val="00E10B10"/>
    <w:rsid w:val="00E24385"/>
    <w:rsid w:val="00E4117D"/>
    <w:rsid w:val="00E96DFE"/>
    <w:rsid w:val="00EA1D6B"/>
    <w:rsid w:val="00EB2A2C"/>
    <w:rsid w:val="00EC0879"/>
    <w:rsid w:val="00ED63EA"/>
    <w:rsid w:val="00F16ACE"/>
    <w:rsid w:val="00F1731B"/>
    <w:rsid w:val="00F31FE8"/>
    <w:rsid w:val="00F34E5E"/>
    <w:rsid w:val="00FB631A"/>
    <w:rsid w:val="00FC4533"/>
    <w:rsid w:val="00FD3AB2"/>
    <w:rsid w:val="00FE3A8E"/>
    <w:rsid w:val="00FF0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0CA6"/>
  <w15:docId w15:val="{0FEF014B-0EDB-4909-A4E7-59F2F113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691"/>
    <w:rPr>
      <w:color w:val="0000FF"/>
      <w:u w:val="single"/>
    </w:rPr>
  </w:style>
  <w:style w:type="paragraph" w:styleId="Header">
    <w:name w:val="header"/>
    <w:basedOn w:val="Normal"/>
    <w:link w:val="HeaderChar"/>
    <w:uiPriority w:val="99"/>
    <w:semiHidden/>
    <w:unhideWhenUsed/>
    <w:rsid w:val="002750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50BE"/>
  </w:style>
  <w:style w:type="paragraph" w:styleId="Footer">
    <w:name w:val="footer"/>
    <w:basedOn w:val="Normal"/>
    <w:link w:val="FooterChar"/>
    <w:uiPriority w:val="99"/>
    <w:unhideWhenUsed/>
    <w:rsid w:val="00275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0BE"/>
  </w:style>
  <w:style w:type="paragraph" w:styleId="FootnoteText">
    <w:name w:val="footnote text"/>
    <w:basedOn w:val="Normal"/>
    <w:link w:val="FootnoteTextChar"/>
    <w:uiPriority w:val="99"/>
    <w:semiHidden/>
    <w:unhideWhenUsed/>
    <w:rsid w:val="001962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252"/>
    <w:rPr>
      <w:sz w:val="20"/>
      <w:szCs w:val="20"/>
    </w:rPr>
  </w:style>
  <w:style w:type="character" w:styleId="FootnoteReference">
    <w:name w:val="footnote reference"/>
    <w:basedOn w:val="DefaultParagraphFont"/>
    <w:uiPriority w:val="99"/>
    <w:semiHidden/>
    <w:unhideWhenUsed/>
    <w:rsid w:val="00196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5720">
      <w:bodyDiv w:val="1"/>
      <w:marLeft w:val="0"/>
      <w:marRight w:val="0"/>
      <w:marTop w:val="0"/>
      <w:marBottom w:val="0"/>
      <w:divBdr>
        <w:top w:val="none" w:sz="0" w:space="0" w:color="auto"/>
        <w:left w:val="none" w:sz="0" w:space="0" w:color="auto"/>
        <w:bottom w:val="none" w:sz="0" w:space="0" w:color="auto"/>
        <w:right w:val="none" w:sz="0" w:space="0" w:color="auto"/>
      </w:divBdr>
    </w:div>
    <w:div w:id="1074090385">
      <w:bodyDiv w:val="1"/>
      <w:marLeft w:val="0"/>
      <w:marRight w:val="0"/>
      <w:marTop w:val="0"/>
      <w:marBottom w:val="0"/>
      <w:divBdr>
        <w:top w:val="none" w:sz="0" w:space="0" w:color="auto"/>
        <w:left w:val="none" w:sz="0" w:space="0" w:color="auto"/>
        <w:bottom w:val="none" w:sz="0" w:space="0" w:color="auto"/>
        <w:right w:val="none" w:sz="0" w:space="0" w:color="auto"/>
      </w:divBdr>
      <w:divsChild>
        <w:div w:id="39597508">
          <w:marLeft w:val="0"/>
          <w:marRight w:val="0"/>
          <w:marTop w:val="0"/>
          <w:marBottom w:val="0"/>
          <w:divBdr>
            <w:top w:val="none" w:sz="0" w:space="0" w:color="auto"/>
            <w:left w:val="none" w:sz="0" w:space="0" w:color="auto"/>
            <w:bottom w:val="none" w:sz="0" w:space="0" w:color="auto"/>
            <w:right w:val="none" w:sz="0" w:space="0" w:color="auto"/>
          </w:divBdr>
        </w:div>
        <w:div w:id="758402485">
          <w:marLeft w:val="0"/>
          <w:marRight w:val="0"/>
          <w:marTop w:val="0"/>
          <w:marBottom w:val="0"/>
          <w:divBdr>
            <w:top w:val="none" w:sz="0" w:space="0" w:color="auto"/>
            <w:left w:val="none" w:sz="0" w:space="0" w:color="auto"/>
            <w:bottom w:val="none" w:sz="0" w:space="0" w:color="auto"/>
            <w:right w:val="none" w:sz="0" w:space="0" w:color="auto"/>
          </w:divBdr>
        </w:div>
      </w:divsChild>
    </w:div>
    <w:div w:id="1151824421">
      <w:bodyDiv w:val="1"/>
      <w:marLeft w:val="0"/>
      <w:marRight w:val="0"/>
      <w:marTop w:val="0"/>
      <w:marBottom w:val="0"/>
      <w:divBdr>
        <w:top w:val="none" w:sz="0" w:space="0" w:color="auto"/>
        <w:left w:val="none" w:sz="0" w:space="0" w:color="auto"/>
        <w:bottom w:val="none" w:sz="0" w:space="0" w:color="auto"/>
        <w:right w:val="none" w:sz="0" w:space="0" w:color="auto"/>
      </w:divBdr>
      <w:divsChild>
        <w:div w:id="1435400247">
          <w:marLeft w:val="0"/>
          <w:marRight w:val="0"/>
          <w:marTop w:val="0"/>
          <w:marBottom w:val="0"/>
          <w:divBdr>
            <w:top w:val="none" w:sz="0" w:space="0" w:color="auto"/>
            <w:left w:val="none" w:sz="0" w:space="0" w:color="auto"/>
            <w:bottom w:val="none" w:sz="0" w:space="0" w:color="auto"/>
            <w:right w:val="none" w:sz="0" w:space="0" w:color="auto"/>
          </w:divBdr>
        </w:div>
      </w:divsChild>
    </w:div>
    <w:div w:id="1891067181">
      <w:bodyDiv w:val="1"/>
      <w:marLeft w:val="0"/>
      <w:marRight w:val="0"/>
      <w:marTop w:val="0"/>
      <w:marBottom w:val="0"/>
      <w:divBdr>
        <w:top w:val="none" w:sz="0" w:space="0" w:color="auto"/>
        <w:left w:val="none" w:sz="0" w:space="0" w:color="auto"/>
        <w:bottom w:val="none" w:sz="0" w:space="0" w:color="auto"/>
        <w:right w:val="none" w:sz="0" w:space="0" w:color="auto"/>
      </w:divBdr>
      <w:divsChild>
        <w:div w:id="1657413587">
          <w:marLeft w:val="0"/>
          <w:marRight w:val="0"/>
          <w:marTop w:val="0"/>
          <w:marBottom w:val="0"/>
          <w:divBdr>
            <w:top w:val="none" w:sz="0" w:space="0" w:color="auto"/>
            <w:left w:val="none" w:sz="0" w:space="0" w:color="auto"/>
            <w:bottom w:val="none" w:sz="0" w:space="0" w:color="auto"/>
            <w:right w:val="none" w:sz="0" w:space="0" w:color="auto"/>
          </w:divBdr>
          <w:divsChild>
            <w:div w:id="14334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E0D83-0C65-4A5E-9707-57EFC766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James Brown</cp:lastModifiedBy>
  <cp:revision>2</cp:revision>
  <cp:lastPrinted>2024-11-04T09:54:00Z</cp:lastPrinted>
  <dcterms:created xsi:type="dcterms:W3CDTF">2024-11-18T07:04:00Z</dcterms:created>
  <dcterms:modified xsi:type="dcterms:W3CDTF">2024-11-18T07:04:00Z</dcterms:modified>
</cp:coreProperties>
</file>