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C4CA" w14:textId="13A9DBDB" w:rsidR="000B3236" w:rsidRPr="003A4F79" w:rsidRDefault="000B3236" w:rsidP="00AB1084">
      <w:pPr>
        <w:pStyle w:val="Title"/>
        <w:rPr>
          <w:sz w:val="32"/>
          <w:szCs w:val="32"/>
        </w:rPr>
      </w:pPr>
      <w:bookmarkStart w:id="0" w:name="_GoBack"/>
      <w:bookmarkEnd w:id="0"/>
      <w:r w:rsidRPr="003A4F79">
        <w:rPr>
          <w:sz w:val="32"/>
          <w:szCs w:val="32"/>
        </w:rPr>
        <w:t>Primacy in Stock Market Participation:</w:t>
      </w:r>
    </w:p>
    <w:p w14:paraId="246613CD" w14:textId="1F78E649" w:rsidR="00C16766" w:rsidRPr="003A4F79" w:rsidRDefault="000B3236" w:rsidP="00AB1084">
      <w:pPr>
        <w:pStyle w:val="Title"/>
        <w:rPr>
          <w:sz w:val="32"/>
          <w:szCs w:val="32"/>
        </w:rPr>
      </w:pPr>
      <w:r w:rsidRPr="003A4F79">
        <w:rPr>
          <w:sz w:val="32"/>
          <w:szCs w:val="32"/>
        </w:rPr>
        <w:t xml:space="preserve">The Effect of </w:t>
      </w:r>
      <w:r w:rsidR="00FC42FE" w:rsidRPr="003A4F79">
        <w:rPr>
          <w:sz w:val="32"/>
          <w:szCs w:val="32"/>
        </w:rPr>
        <w:t xml:space="preserve">Initial Returns </w:t>
      </w:r>
      <w:r w:rsidRPr="003A4F79">
        <w:rPr>
          <w:sz w:val="32"/>
          <w:szCs w:val="32"/>
        </w:rPr>
        <w:t>on</w:t>
      </w:r>
      <w:r w:rsidR="00FC42FE" w:rsidRPr="003A4F79">
        <w:rPr>
          <w:sz w:val="32"/>
          <w:szCs w:val="32"/>
        </w:rPr>
        <w:t xml:space="preserve"> </w:t>
      </w:r>
      <w:r w:rsidRPr="003A4F79">
        <w:rPr>
          <w:sz w:val="32"/>
          <w:szCs w:val="32"/>
        </w:rPr>
        <w:t xml:space="preserve">Market </w:t>
      </w:r>
      <w:r w:rsidR="00FC42FE" w:rsidRPr="003A4F79">
        <w:rPr>
          <w:sz w:val="32"/>
          <w:szCs w:val="32"/>
        </w:rPr>
        <w:t>Re-</w:t>
      </w:r>
      <w:r w:rsidR="00A30B9D" w:rsidRPr="003A4F79">
        <w:rPr>
          <w:sz w:val="32"/>
          <w:szCs w:val="32"/>
        </w:rPr>
        <w:t>E</w:t>
      </w:r>
      <w:r w:rsidR="00D37A83" w:rsidRPr="003A4F79">
        <w:rPr>
          <w:sz w:val="32"/>
          <w:szCs w:val="32"/>
        </w:rPr>
        <w:t>ntry</w:t>
      </w:r>
      <w:r w:rsidRPr="003A4F79">
        <w:rPr>
          <w:sz w:val="32"/>
          <w:szCs w:val="32"/>
        </w:rPr>
        <w:t xml:space="preserve"> Decisions</w:t>
      </w:r>
    </w:p>
    <w:p w14:paraId="08405BAB" w14:textId="77777777" w:rsidR="00BD7FB6" w:rsidRPr="003A4F79" w:rsidRDefault="00BD7FB6" w:rsidP="00290F9F">
      <w:pPr>
        <w:pStyle w:val="Subtitle"/>
      </w:pPr>
    </w:p>
    <w:p w14:paraId="6434D65A" w14:textId="34DC734F" w:rsidR="00C16766" w:rsidRPr="003A4F79" w:rsidRDefault="00C16766" w:rsidP="00290F9F">
      <w:pPr>
        <w:pStyle w:val="Subtitle"/>
      </w:pPr>
      <w:r w:rsidRPr="003A4F79">
        <w:t>Abstract</w:t>
      </w:r>
    </w:p>
    <w:p w14:paraId="686092A8" w14:textId="2CE02E9C" w:rsidR="00B0309C" w:rsidRPr="003A4F79" w:rsidRDefault="00514C43" w:rsidP="00290F9F">
      <w:pPr>
        <w:pStyle w:val="NoIndentNormal"/>
        <w:rPr>
          <w:rFonts w:eastAsia="Batang"/>
        </w:rPr>
      </w:pPr>
      <w:r w:rsidRPr="003A4F79">
        <w:rPr>
          <w:rFonts w:eastAsia="Batang"/>
          <w:szCs w:val="23"/>
        </w:rPr>
        <w:t>We examine</w:t>
      </w:r>
      <w:r w:rsidR="00E9070F" w:rsidRPr="003A4F79">
        <w:rPr>
          <w:rFonts w:eastAsia="Batang"/>
          <w:szCs w:val="23"/>
        </w:rPr>
        <w:t xml:space="preserve"> </w:t>
      </w:r>
      <w:r w:rsidR="001172BB" w:rsidRPr="003A4F79">
        <w:rPr>
          <w:rFonts w:eastAsia="Batang"/>
          <w:szCs w:val="23"/>
        </w:rPr>
        <w:t xml:space="preserve">whether </w:t>
      </w:r>
      <w:r w:rsidR="001172BB" w:rsidRPr="003A4F79">
        <w:rPr>
          <w:lang w:eastAsia="en-GB"/>
        </w:rPr>
        <w:t>initial returns</w:t>
      </w:r>
      <w:r w:rsidRPr="003A4F79">
        <w:rPr>
          <w:szCs w:val="23"/>
        </w:rPr>
        <w:t xml:space="preserve"> </w:t>
      </w:r>
      <w:r w:rsidR="00186953" w:rsidRPr="003A4F79">
        <w:rPr>
          <w:szCs w:val="23"/>
        </w:rPr>
        <w:t>influence investors</w:t>
      </w:r>
      <w:r w:rsidRPr="003A4F79">
        <w:rPr>
          <w:szCs w:val="23"/>
        </w:rPr>
        <w:t>’</w:t>
      </w:r>
      <w:r w:rsidR="00186953" w:rsidRPr="003A4F79">
        <w:rPr>
          <w:szCs w:val="23"/>
        </w:rPr>
        <w:t xml:space="preserve"> decision</w:t>
      </w:r>
      <w:r w:rsidRPr="003A4F79">
        <w:rPr>
          <w:szCs w:val="23"/>
        </w:rPr>
        <w:t>s</w:t>
      </w:r>
      <w:r w:rsidR="00186953" w:rsidRPr="003A4F79">
        <w:rPr>
          <w:szCs w:val="23"/>
        </w:rPr>
        <w:t xml:space="preserve"> to return to the stock market </w:t>
      </w:r>
      <w:r w:rsidR="0097340F" w:rsidRPr="003A4F79">
        <w:rPr>
          <w:szCs w:val="23"/>
        </w:rPr>
        <w:t xml:space="preserve">following </w:t>
      </w:r>
      <w:r w:rsidR="00186953" w:rsidRPr="003A4F79">
        <w:rPr>
          <w:szCs w:val="23"/>
        </w:rPr>
        <w:t>withdraw</w:t>
      </w:r>
      <w:r w:rsidR="0097340F" w:rsidRPr="003A4F79">
        <w:rPr>
          <w:szCs w:val="23"/>
        </w:rPr>
        <w:t>al</w:t>
      </w:r>
      <w:r w:rsidR="00186953" w:rsidRPr="003A4F79">
        <w:rPr>
          <w:szCs w:val="23"/>
        </w:rPr>
        <w:t xml:space="preserve">. </w:t>
      </w:r>
      <w:r w:rsidRPr="003A4F79">
        <w:rPr>
          <w:szCs w:val="23"/>
        </w:rPr>
        <w:t xml:space="preserve">Using </w:t>
      </w:r>
      <w:r w:rsidR="00C83244" w:rsidRPr="003A4F79">
        <w:rPr>
          <w:szCs w:val="23"/>
        </w:rPr>
        <w:t xml:space="preserve">a survival analysis technique to estimate </w:t>
      </w:r>
      <w:r w:rsidR="0097340F" w:rsidRPr="003A4F79">
        <w:rPr>
          <w:rFonts w:eastAsia="Batang"/>
          <w:szCs w:val="23"/>
        </w:rPr>
        <w:t>Finnish retail investors’</w:t>
      </w:r>
      <w:r w:rsidR="0097340F" w:rsidRPr="003A4F79" w:rsidDel="0097340F">
        <w:rPr>
          <w:szCs w:val="23"/>
        </w:rPr>
        <w:t xml:space="preserve"> </w:t>
      </w:r>
      <w:r w:rsidR="00C83244" w:rsidRPr="003A4F79">
        <w:rPr>
          <w:szCs w:val="23"/>
        </w:rPr>
        <w:t xml:space="preserve">likelihood of stock market re-entry </w:t>
      </w:r>
      <w:r w:rsidRPr="003A4F79">
        <w:rPr>
          <w:rFonts w:eastAsia="Batang"/>
          <w:szCs w:val="23"/>
        </w:rPr>
        <w:t>reveals</w:t>
      </w:r>
      <w:r w:rsidR="004E07CE" w:rsidRPr="003A4F79">
        <w:rPr>
          <w:rFonts w:eastAsia="Batang"/>
          <w:szCs w:val="23"/>
        </w:rPr>
        <w:t xml:space="preserve"> </w:t>
      </w:r>
      <w:r w:rsidR="00E9070F" w:rsidRPr="003A4F79">
        <w:rPr>
          <w:rFonts w:eastAsia="Batang"/>
          <w:szCs w:val="23"/>
        </w:rPr>
        <w:t>that investors</w:t>
      </w:r>
      <w:r w:rsidR="006367E1" w:rsidRPr="003A4F79">
        <w:rPr>
          <w:rFonts w:eastAsia="Batang"/>
          <w:szCs w:val="23"/>
        </w:rPr>
        <w:t xml:space="preserve"> who experience </w:t>
      </w:r>
      <w:r w:rsidR="00353BF6" w:rsidRPr="003A4F79">
        <w:rPr>
          <w:rFonts w:eastAsia="Batang"/>
          <w:szCs w:val="23"/>
        </w:rPr>
        <w:t>lower</w:t>
      </w:r>
      <w:r w:rsidR="004C1428" w:rsidRPr="003A4F79">
        <w:rPr>
          <w:rFonts w:eastAsia="Batang"/>
          <w:szCs w:val="23"/>
        </w:rPr>
        <w:t xml:space="preserve"> initial returns </w:t>
      </w:r>
      <w:r w:rsidR="00353BF6" w:rsidRPr="003A4F79">
        <w:rPr>
          <w:rFonts w:eastAsia="Batang"/>
          <w:szCs w:val="23"/>
        </w:rPr>
        <w:t>are less likely to return</w:t>
      </w:r>
      <w:r w:rsidRPr="003A4F79">
        <w:rPr>
          <w:rFonts w:eastAsia="Batang"/>
          <w:szCs w:val="23"/>
        </w:rPr>
        <w:t>,</w:t>
      </w:r>
      <w:r w:rsidR="00457201" w:rsidRPr="003A4F79">
        <w:rPr>
          <w:rFonts w:eastAsia="Batang"/>
          <w:szCs w:val="23"/>
        </w:rPr>
        <w:t xml:space="preserve"> </w:t>
      </w:r>
      <w:r w:rsidR="00A81A7A" w:rsidRPr="003A4F79">
        <w:rPr>
          <w:rFonts w:eastAsia="Batang"/>
          <w:szCs w:val="23"/>
        </w:rPr>
        <w:t xml:space="preserve">even after controlling for </w:t>
      </w:r>
      <w:r w:rsidR="00AD71FF" w:rsidRPr="003A4F79">
        <w:rPr>
          <w:rFonts w:eastAsia="Batang"/>
          <w:szCs w:val="23"/>
        </w:rPr>
        <w:t>returns in the last month</w:t>
      </w:r>
      <w:r w:rsidRPr="003A4F79">
        <w:rPr>
          <w:rFonts w:eastAsia="Batang"/>
          <w:szCs w:val="23"/>
        </w:rPr>
        <w:t xml:space="preserve"> </w:t>
      </w:r>
      <w:r w:rsidR="00D66A9A" w:rsidRPr="003A4F79">
        <w:rPr>
          <w:rFonts w:eastAsia="Batang"/>
          <w:szCs w:val="23"/>
        </w:rPr>
        <w:t>and</w:t>
      </w:r>
      <w:r w:rsidR="00206A2C" w:rsidRPr="003A4F79">
        <w:rPr>
          <w:rFonts w:eastAsia="Batang"/>
          <w:szCs w:val="23"/>
        </w:rPr>
        <w:t xml:space="preserve"> </w:t>
      </w:r>
      <w:r w:rsidR="006065E2" w:rsidRPr="003A4F79">
        <w:rPr>
          <w:rFonts w:eastAsia="Batang"/>
          <w:szCs w:val="23"/>
        </w:rPr>
        <w:t xml:space="preserve">average </w:t>
      </w:r>
      <w:r w:rsidR="00D4480F" w:rsidRPr="003A4F79">
        <w:rPr>
          <w:rFonts w:eastAsia="Batang"/>
          <w:szCs w:val="23"/>
        </w:rPr>
        <w:t xml:space="preserve">monthly </w:t>
      </w:r>
      <w:r w:rsidR="006065E2" w:rsidRPr="003A4F79">
        <w:rPr>
          <w:rFonts w:eastAsia="Batang"/>
          <w:szCs w:val="23"/>
        </w:rPr>
        <w:t xml:space="preserve">returns </w:t>
      </w:r>
      <w:r w:rsidR="00831C02" w:rsidRPr="003A4F79">
        <w:rPr>
          <w:rFonts w:eastAsia="Batang"/>
          <w:szCs w:val="23"/>
        </w:rPr>
        <w:t xml:space="preserve">for </w:t>
      </w:r>
      <w:r w:rsidR="00D4480F" w:rsidRPr="003A4F79">
        <w:rPr>
          <w:rFonts w:eastAsia="Batang"/>
          <w:szCs w:val="23"/>
        </w:rPr>
        <w:t xml:space="preserve">the </w:t>
      </w:r>
      <w:r w:rsidRPr="003A4F79">
        <w:rPr>
          <w:rFonts w:eastAsia="Batang"/>
          <w:szCs w:val="23"/>
        </w:rPr>
        <w:t>duration</w:t>
      </w:r>
      <w:r w:rsidR="00D4480F" w:rsidRPr="003A4F79">
        <w:rPr>
          <w:rFonts w:eastAsia="Batang"/>
          <w:szCs w:val="23"/>
        </w:rPr>
        <w:t xml:space="preserve"> </w:t>
      </w:r>
      <w:r w:rsidR="009B779C" w:rsidRPr="003A4F79">
        <w:rPr>
          <w:rFonts w:eastAsia="Batang"/>
          <w:szCs w:val="23"/>
        </w:rPr>
        <w:t>of investing</w:t>
      </w:r>
      <w:r w:rsidR="002E0391" w:rsidRPr="003A4F79">
        <w:rPr>
          <w:rFonts w:eastAsia="Batang"/>
          <w:szCs w:val="23"/>
        </w:rPr>
        <w:t xml:space="preserve">. </w:t>
      </w:r>
      <w:r w:rsidRPr="003A4F79">
        <w:rPr>
          <w:rFonts w:eastAsia="Batang"/>
          <w:szCs w:val="23"/>
        </w:rPr>
        <w:t>This</w:t>
      </w:r>
      <w:r w:rsidR="00793043" w:rsidRPr="003A4F79">
        <w:rPr>
          <w:rFonts w:eastAsia="Batang"/>
          <w:szCs w:val="23"/>
        </w:rPr>
        <w:t xml:space="preserve"> </w:t>
      </w:r>
      <w:r w:rsidR="006211B4" w:rsidRPr="003A4F79">
        <w:rPr>
          <w:rFonts w:eastAsia="Batang"/>
          <w:szCs w:val="23"/>
        </w:rPr>
        <w:t xml:space="preserve">primacy </w:t>
      </w:r>
      <w:r w:rsidR="00B707F7" w:rsidRPr="003A4F79">
        <w:rPr>
          <w:rFonts w:eastAsia="Batang"/>
          <w:szCs w:val="23"/>
        </w:rPr>
        <w:t xml:space="preserve">effect is </w:t>
      </w:r>
      <w:r w:rsidR="009E5397" w:rsidRPr="003A4F79">
        <w:rPr>
          <w:rFonts w:eastAsia="Batang"/>
          <w:szCs w:val="23"/>
        </w:rPr>
        <w:t xml:space="preserve">robust to </w:t>
      </w:r>
      <w:r w:rsidR="00B91287" w:rsidRPr="003A4F79">
        <w:rPr>
          <w:rFonts w:eastAsia="Batang"/>
          <w:szCs w:val="23"/>
        </w:rPr>
        <w:t xml:space="preserve">accounting </w:t>
      </w:r>
      <w:r w:rsidR="009E5397" w:rsidRPr="003A4F79">
        <w:rPr>
          <w:rFonts w:eastAsia="Batang"/>
          <w:szCs w:val="23"/>
        </w:rPr>
        <w:t xml:space="preserve">for endogeneity </w:t>
      </w:r>
      <w:r w:rsidRPr="003A4F79">
        <w:rPr>
          <w:rFonts w:eastAsia="Batang"/>
          <w:szCs w:val="23"/>
        </w:rPr>
        <w:t xml:space="preserve">in </w:t>
      </w:r>
      <w:r w:rsidR="00BC031A" w:rsidRPr="003A4F79">
        <w:rPr>
          <w:rFonts w:eastAsia="Batang"/>
          <w:szCs w:val="23"/>
        </w:rPr>
        <w:t>investors</w:t>
      </w:r>
      <w:r w:rsidRPr="003A4F79">
        <w:rPr>
          <w:rFonts w:eastAsia="Batang"/>
          <w:szCs w:val="23"/>
        </w:rPr>
        <w:t>’</w:t>
      </w:r>
      <w:r w:rsidR="00BC031A" w:rsidRPr="003A4F79">
        <w:rPr>
          <w:rFonts w:eastAsia="Batang"/>
          <w:szCs w:val="23"/>
        </w:rPr>
        <w:t xml:space="preserve"> </w:t>
      </w:r>
      <w:r w:rsidR="0097340F" w:rsidRPr="003A4F79">
        <w:rPr>
          <w:rFonts w:eastAsia="Batang"/>
          <w:szCs w:val="23"/>
        </w:rPr>
        <w:t xml:space="preserve">exit </w:t>
      </w:r>
      <w:r w:rsidR="00BC031A" w:rsidRPr="003A4F79">
        <w:rPr>
          <w:rFonts w:eastAsia="Batang"/>
          <w:szCs w:val="23"/>
        </w:rPr>
        <w:t>decision</w:t>
      </w:r>
      <w:r w:rsidRPr="003A4F79">
        <w:rPr>
          <w:rFonts w:eastAsia="Batang"/>
          <w:szCs w:val="23"/>
        </w:rPr>
        <w:t>s</w:t>
      </w:r>
      <w:r w:rsidR="006211B4" w:rsidRPr="003A4F79">
        <w:rPr>
          <w:rFonts w:eastAsia="Batang"/>
          <w:szCs w:val="23"/>
        </w:rPr>
        <w:t>, and other behavioural biases such as recency and saliency of investment experience</w:t>
      </w:r>
      <w:r w:rsidR="00233B5F" w:rsidRPr="003A4F79">
        <w:rPr>
          <w:rFonts w:eastAsia="Batang"/>
          <w:szCs w:val="23"/>
        </w:rPr>
        <w:t xml:space="preserve">. </w:t>
      </w:r>
      <w:r w:rsidR="0097340F" w:rsidRPr="003A4F79">
        <w:rPr>
          <w:rFonts w:eastAsia="Batang"/>
          <w:szCs w:val="23"/>
        </w:rPr>
        <w:t>I</w:t>
      </w:r>
      <w:r w:rsidR="005204E8" w:rsidRPr="003A4F79">
        <w:rPr>
          <w:rFonts w:eastAsia="Batang"/>
          <w:szCs w:val="23"/>
        </w:rPr>
        <w:t xml:space="preserve">ndividual investors </w:t>
      </w:r>
      <w:r w:rsidR="0097340F" w:rsidRPr="003A4F79">
        <w:rPr>
          <w:rFonts w:eastAsia="Batang"/>
          <w:szCs w:val="23"/>
        </w:rPr>
        <w:t xml:space="preserve">appear to be </w:t>
      </w:r>
      <w:r w:rsidR="00931354" w:rsidRPr="003A4F79">
        <w:rPr>
          <w:rFonts w:eastAsia="Batang"/>
          <w:szCs w:val="23"/>
        </w:rPr>
        <w:t xml:space="preserve">subject to </w:t>
      </w:r>
      <w:r w:rsidR="0062481E" w:rsidRPr="003A4F79">
        <w:rPr>
          <w:rFonts w:eastAsia="Batang"/>
          <w:szCs w:val="23"/>
        </w:rPr>
        <w:t xml:space="preserve">the </w:t>
      </w:r>
      <w:r w:rsidR="00931354" w:rsidRPr="003A4F79">
        <w:rPr>
          <w:rFonts w:eastAsia="Batang"/>
          <w:szCs w:val="23"/>
        </w:rPr>
        <w:t xml:space="preserve">primacy bias and tend to </w:t>
      </w:r>
      <w:r w:rsidR="001B25D2" w:rsidRPr="003A4F79">
        <w:rPr>
          <w:rFonts w:eastAsia="Batang"/>
          <w:szCs w:val="23"/>
        </w:rPr>
        <w:t>put a significant weight on ini</w:t>
      </w:r>
      <w:r w:rsidR="00931354" w:rsidRPr="003A4F79">
        <w:rPr>
          <w:rFonts w:eastAsia="Batang"/>
          <w:szCs w:val="23"/>
        </w:rPr>
        <w:t>tial experience</w:t>
      </w:r>
      <w:r w:rsidR="00D66A9A" w:rsidRPr="003A4F79">
        <w:rPr>
          <w:rFonts w:eastAsia="Batang"/>
          <w:szCs w:val="23"/>
        </w:rPr>
        <w:t>s</w:t>
      </w:r>
      <w:r w:rsidRPr="003A4F79">
        <w:rPr>
          <w:rFonts w:eastAsia="Batang"/>
          <w:szCs w:val="23"/>
        </w:rPr>
        <w:t xml:space="preserve"> i</w:t>
      </w:r>
      <w:r w:rsidR="004B66AC" w:rsidRPr="003A4F79">
        <w:rPr>
          <w:rFonts w:eastAsia="Batang"/>
          <w:szCs w:val="23"/>
        </w:rPr>
        <w:t>n re-entry decisions</w:t>
      </w:r>
      <w:r w:rsidR="00931354" w:rsidRPr="003A4F79">
        <w:rPr>
          <w:rFonts w:eastAsia="Batang"/>
          <w:szCs w:val="23"/>
        </w:rPr>
        <w:t>.</w:t>
      </w:r>
    </w:p>
    <w:p w14:paraId="0D1FA353" w14:textId="77777777" w:rsidR="00AB1084" w:rsidRPr="003A4F79" w:rsidRDefault="00AB1084" w:rsidP="00290F9F">
      <w:pPr>
        <w:pStyle w:val="NoIndentNormal"/>
        <w:rPr>
          <w:sz w:val="28"/>
          <w:szCs w:val="24"/>
        </w:rPr>
      </w:pPr>
    </w:p>
    <w:p w14:paraId="7A3B45E6" w14:textId="20EC1FB3" w:rsidR="00AB1084" w:rsidRPr="003A4F79" w:rsidRDefault="00AB1084" w:rsidP="00290F9F">
      <w:pPr>
        <w:pStyle w:val="NoIndentNormal"/>
      </w:pPr>
      <w:r w:rsidRPr="003A4F79">
        <w:t>Keywords</w:t>
      </w:r>
      <w:r w:rsidR="00C16766" w:rsidRPr="003A4F79">
        <w:t xml:space="preserve">: </w:t>
      </w:r>
      <w:r w:rsidRPr="003A4F79">
        <w:t xml:space="preserve">Individual </w:t>
      </w:r>
      <w:r w:rsidR="00035EE6" w:rsidRPr="003A4F79">
        <w:t>investor behavio</w:t>
      </w:r>
      <w:r w:rsidR="00100E81" w:rsidRPr="003A4F79">
        <w:t>u</w:t>
      </w:r>
      <w:r w:rsidR="00035EE6" w:rsidRPr="003A4F79">
        <w:t>r</w:t>
      </w:r>
      <w:r w:rsidRPr="003A4F79">
        <w:t xml:space="preserve">; Stock </w:t>
      </w:r>
      <w:r w:rsidR="00035EE6" w:rsidRPr="003A4F79">
        <w:t>market participation</w:t>
      </w:r>
      <w:r w:rsidRPr="003A4F79">
        <w:t xml:space="preserve">; Experiential </w:t>
      </w:r>
      <w:r w:rsidR="00654A17" w:rsidRPr="003A4F79">
        <w:t>learning</w:t>
      </w:r>
      <w:r w:rsidRPr="003A4F79">
        <w:t xml:space="preserve">; Primacy </w:t>
      </w:r>
      <w:r w:rsidR="003A4373" w:rsidRPr="003A4F79">
        <w:t>effect</w:t>
      </w:r>
      <w:r w:rsidRPr="003A4F79">
        <w:t xml:space="preserve">; Stock </w:t>
      </w:r>
      <w:r w:rsidR="002F5EB9" w:rsidRPr="003A4F79">
        <w:t xml:space="preserve">market </w:t>
      </w:r>
      <w:r w:rsidR="00445CCB" w:rsidRPr="003A4F79">
        <w:t>re-entry decision</w:t>
      </w:r>
    </w:p>
    <w:p w14:paraId="4BE7184B" w14:textId="1A0E59B6" w:rsidR="00524791" w:rsidRPr="003A4F79" w:rsidRDefault="00A94E37" w:rsidP="00290F9F">
      <w:pPr>
        <w:pStyle w:val="NoIndentNormal"/>
      </w:pPr>
      <w:r w:rsidRPr="003A4F79">
        <w:t>JEL Classification</w:t>
      </w:r>
      <w:r w:rsidR="00C569E5" w:rsidRPr="003A4F79">
        <w:t>s</w:t>
      </w:r>
      <w:r w:rsidRPr="003A4F79">
        <w:t xml:space="preserve">: </w:t>
      </w:r>
      <w:r w:rsidR="00D52110" w:rsidRPr="003A4F79">
        <w:t xml:space="preserve">G00, G02, </w:t>
      </w:r>
      <w:r w:rsidRPr="003A4F79">
        <w:t>G10, G1</w:t>
      </w:r>
      <w:r w:rsidR="00D52110" w:rsidRPr="003A4F79">
        <w:t>1</w:t>
      </w:r>
    </w:p>
    <w:p w14:paraId="613678BB" w14:textId="77777777" w:rsidR="004D61CC" w:rsidRPr="003A4F79" w:rsidRDefault="004D61CC" w:rsidP="00290F9F">
      <w:pPr>
        <w:pStyle w:val="FigureNotes"/>
        <w:rPr>
          <w:lang w:val="en-GB" w:eastAsia="it-IT"/>
        </w:rPr>
      </w:pPr>
      <w:r w:rsidRPr="003A4F79">
        <w:rPr>
          <w:lang w:val="en-GB" w:eastAsia="it-IT"/>
        </w:rPr>
        <w:br w:type="page"/>
      </w:r>
    </w:p>
    <w:p w14:paraId="27A1905F" w14:textId="01269A72" w:rsidR="00AB1084" w:rsidRPr="003A4F79" w:rsidRDefault="00AB1084" w:rsidP="00290F9F">
      <w:pPr>
        <w:pStyle w:val="Heading1"/>
        <w:rPr>
          <w:lang w:val="en-GB" w:eastAsia="it-IT"/>
        </w:rPr>
      </w:pPr>
      <w:r w:rsidRPr="003A4F79">
        <w:rPr>
          <w:lang w:val="en-GB" w:eastAsia="it-IT"/>
        </w:rPr>
        <w:lastRenderedPageBreak/>
        <w:t>1. Introduction</w:t>
      </w:r>
    </w:p>
    <w:p w14:paraId="17E1B8E0" w14:textId="6A8F0074" w:rsidR="00A53956" w:rsidRPr="003A4F79" w:rsidRDefault="00093C3A">
      <w:pPr>
        <w:rPr>
          <w:szCs w:val="24"/>
        </w:rPr>
      </w:pPr>
      <w:r w:rsidRPr="003A4F79">
        <w:t>Individuals have become</w:t>
      </w:r>
      <w:r w:rsidR="00DC650A" w:rsidRPr="003A4F79">
        <w:t xml:space="preserve"> </w:t>
      </w:r>
      <w:r w:rsidR="0003718B" w:rsidRPr="003A4F79">
        <w:t xml:space="preserve">increasingly </w:t>
      </w:r>
      <w:r w:rsidR="00DC650A" w:rsidRPr="003A4F79">
        <w:t xml:space="preserve">responsible </w:t>
      </w:r>
      <w:r w:rsidR="0097340F" w:rsidRPr="003A4F79">
        <w:t>for</w:t>
      </w:r>
      <w:r w:rsidR="00C56DC6" w:rsidRPr="003A4F79">
        <w:t xml:space="preserve"> making</w:t>
      </w:r>
      <w:r w:rsidR="00DC650A" w:rsidRPr="003A4F79">
        <w:t xml:space="preserve"> their own financial decision</w:t>
      </w:r>
      <w:r w:rsidR="00EA6DD2" w:rsidRPr="003A4F79">
        <w:t>s</w:t>
      </w:r>
      <w:r w:rsidR="00DC650A" w:rsidRPr="003A4F79">
        <w:t xml:space="preserve"> to smooth </w:t>
      </w:r>
      <w:r w:rsidR="00D66A9A" w:rsidRPr="003A4F79">
        <w:t xml:space="preserve">their </w:t>
      </w:r>
      <w:r w:rsidR="00045251" w:rsidRPr="003A4F79">
        <w:t>consumption</w:t>
      </w:r>
      <w:r w:rsidR="00DC650A" w:rsidRPr="003A4F79">
        <w:t xml:space="preserve"> over </w:t>
      </w:r>
      <w:r w:rsidR="005E27D5" w:rsidRPr="003A4F79">
        <w:t xml:space="preserve">their </w:t>
      </w:r>
      <w:r w:rsidR="00DC650A" w:rsidRPr="003A4F79">
        <w:t>lifetime</w:t>
      </w:r>
      <w:r w:rsidR="0097340F" w:rsidRPr="003A4F79">
        <w:t>s</w:t>
      </w:r>
      <w:r w:rsidR="00DC650A" w:rsidRPr="003A4F79">
        <w:t>.</w:t>
      </w:r>
      <w:r w:rsidR="009611DC" w:rsidRPr="003A4F79">
        <w:t xml:space="preserve"> </w:t>
      </w:r>
      <w:r w:rsidR="0097340F" w:rsidRPr="003A4F79">
        <w:t>D</w:t>
      </w:r>
      <w:r w:rsidR="00D14B81" w:rsidRPr="003A4F79">
        <w:t>irect investment</w:t>
      </w:r>
      <w:r w:rsidR="00A8619C" w:rsidRPr="003A4F79">
        <w:t>s</w:t>
      </w:r>
      <w:r w:rsidR="00D14B81" w:rsidRPr="003A4F79">
        <w:t xml:space="preserve"> in </w:t>
      </w:r>
      <w:r w:rsidR="000466AE" w:rsidRPr="003A4F79">
        <w:t>stock</w:t>
      </w:r>
      <w:r w:rsidR="00512087" w:rsidRPr="003A4F79">
        <w:t xml:space="preserve"> markets </w:t>
      </w:r>
      <w:r w:rsidR="00A8619C" w:rsidRPr="003A4F79">
        <w:t>are</w:t>
      </w:r>
      <w:r w:rsidR="0097340F" w:rsidRPr="003A4F79">
        <w:t xml:space="preserve"> </w:t>
      </w:r>
      <w:r w:rsidR="00512087" w:rsidRPr="003A4F79">
        <w:t>an important vehicle</w:t>
      </w:r>
      <w:r w:rsidR="0097340F" w:rsidRPr="003A4F79">
        <w:t xml:space="preserve"> for this purpose</w:t>
      </w:r>
      <w:r w:rsidR="00512087" w:rsidRPr="003A4F79">
        <w:t xml:space="preserve"> </w:t>
      </w:r>
      <w:r w:rsidR="00A8049B" w:rsidRPr="003A4F79">
        <w:t>since</w:t>
      </w:r>
      <w:r w:rsidR="00423C03" w:rsidRPr="003A4F79">
        <w:t xml:space="preserve"> </w:t>
      </w:r>
      <w:r w:rsidR="00A8619C" w:rsidRPr="003A4F79">
        <w:t>they</w:t>
      </w:r>
      <w:r w:rsidR="00B927D4" w:rsidRPr="003A4F79">
        <w:t xml:space="preserve"> </w:t>
      </w:r>
      <w:r w:rsidR="00423C03" w:rsidRPr="003A4F79">
        <w:t>offer an equity premium</w:t>
      </w:r>
      <w:r w:rsidR="00E75076" w:rsidRPr="003A4F79">
        <w:t xml:space="preserve"> especially </w:t>
      </w:r>
      <w:r w:rsidR="0097340F" w:rsidRPr="003A4F79">
        <w:t xml:space="preserve">in </w:t>
      </w:r>
      <w:r w:rsidR="00E75076" w:rsidRPr="003A4F79">
        <w:t>the longer term</w:t>
      </w:r>
      <w:r w:rsidR="006558FA" w:rsidRPr="003A4F79">
        <w:t xml:space="preserve">. </w:t>
      </w:r>
      <w:r w:rsidR="006558FA" w:rsidRPr="003A4F79">
        <w:rPr>
          <w:szCs w:val="24"/>
        </w:rPr>
        <w:t>I</w:t>
      </w:r>
      <w:r w:rsidR="00E21B89" w:rsidRPr="003A4F79">
        <w:rPr>
          <w:szCs w:val="24"/>
        </w:rPr>
        <w:t xml:space="preserve">ndividuals’ </w:t>
      </w:r>
      <w:r w:rsidR="00723A1A" w:rsidRPr="003A4F79">
        <w:rPr>
          <w:szCs w:val="24"/>
        </w:rPr>
        <w:t xml:space="preserve">direct equity ownership </w:t>
      </w:r>
      <w:r w:rsidR="00E21B89" w:rsidRPr="003A4F79">
        <w:rPr>
          <w:szCs w:val="24"/>
        </w:rPr>
        <w:t xml:space="preserve">is </w:t>
      </w:r>
      <w:r w:rsidR="006558FA" w:rsidRPr="003A4F79">
        <w:rPr>
          <w:szCs w:val="24"/>
        </w:rPr>
        <w:t xml:space="preserve">however </w:t>
      </w:r>
      <w:r w:rsidR="00723A1A" w:rsidRPr="003A4F79">
        <w:rPr>
          <w:szCs w:val="24"/>
        </w:rPr>
        <w:t>decreasing</w:t>
      </w:r>
      <w:r w:rsidR="006558FA" w:rsidRPr="003A4F79">
        <w:rPr>
          <w:szCs w:val="24"/>
        </w:rPr>
        <w:t xml:space="preserve"> over time</w:t>
      </w:r>
      <w:r w:rsidR="00723A1A" w:rsidRPr="003A4F79">
        <w:rPr>
          <w:szCs w:val="24"/>
        </w:rPr>
        <w:t xml:space="preserve"> </w:t>
      </w:r>
      <w:r w:rsidR="00E21B89" w:rsidRPr="003A4F79">
        <w:rPr>
          <w:szCs w:val="24"/>
        </w:rPr>
        <w:t>while institutional investors’ participation</w:t>
      </w:r>
      <w:r w:rsidR="00B14516" w:rsidRPr="003A4F79">
        <w:rPr>
          <w:szCs w:val="24"/>
        </w:rPr>
        <w:t xml:space="preserve"> in the stock market</w:t>
      </w:r>
      <w:r w:rsidR="00E21B89" w:rsidRPr="003A4F79">
        <w:rPr>
          <w:szCs w:val="24"/>
        </w:rPr>
        <w:t xml:space="preserve"> is </w:t>
      </w:r>
      <w:r w:rsidR="001815D1" w:rsidRPr="003A4F79">
        <w:rPr>
          <w:szCs w:val="24"/>
        </w:rPr>
        <w:t xml:space="preserve">markedly </w:t>
      </w:r>
      <w:r w:rsidR="00E21B89" w:rsidRPr="003A4F79">
        <w:rPr>
          <w:szCs w:val="24"/>
        </w:rPr>
        <w:t>increasing (Chordia</w:t>
      </w:r>
      <w:r w:rsidR="00A51D16" w:rsidRPr="003A4F79">
        <w:rPr>
          <w:szCs w:val="24"/>
        </w:rPr>
        <w:t xml:space="preserve">, Roll, and </w:t>
      </w:r>
      <w:r w:rsidR="00A51D16" w:rsidRPr="003A4F79">
        <w:t>Subrahmanyam</w:t>
      </w:r>
      <w:r w:rsidR="00221119" w:rsidRPr="003A4F79">
        <w:t>,</w:t>
      </w:r>
      <w:r w:rsidR="00E21B89" w:rsidRPr="003A4F79">
        <w:rPr>
          <w:szCs w:val="24"/>
        </w:rPr>
        <w:t xml:space="preserve"> 2011). Extant literature examines the underlying reasons for this trend</w:t>
      </w:r>
      <w:r w:rsidR="007531DB" w:rsidRPr="003A4F79">
        <w:rPr>
          <w:szCs w:val="24"/>
        </w:rPr>
        <w:t>,</w:t>
      </w:r>
      <w:r w:rsidR="00E21B89" w:rsidRPr="003A4F79">
        <w:rPr>
          <w:szCs w:val="24"/>
        </w:rPr>
        <w:t xml:space="preserve"> suggest</w:t>
      </w:r>
      <w:r w:rsidR="007531DB" w:rsidRPr="003A4F79">
        <w:rPr>
          <w:szCs w:val="24"/>
        </w:rPr>
        <w:t>ing</w:t>
      </w:r>
      <w:r w:rsidR="00E21B89" w:rsidRPr="003A4F79">
        <w:rPr>
          <w:szCs w:val="24"/>
        </w:rPr>
        <w:t xml:space="preserve"> that individual investors are particular</w:t>
      </w:r>
      <w:r w:rsidR="001815D1" w:rsidRPr="003A4F79">
        <w:rPr>
          <w:szCs w:val="24"/>
        </w:rPr>
        <w:t>ly subject</w:t>
      </w:r>
      <w:r w:rsidR="00E21B89" w:rsidRPr="003A4F79">
        <w:rPr>
          <w:szCs w:val="24"/>
        </w:rPr>
        <w:t xml:space="preserve"> to noise trading which involves making unproductive </w:t>
      </w:r>
      <w:r w:rsidR="00971284" w:rsidRPr="003A4F79">
        <w:rPr>
          <w:szCs w:val="24"/>
        </w:rPr>
        <w:t xml:space="preserve">investment </w:t>
      </w:r>
      <w:r w:rsidR="00E21B89" w:rsidRPr="003A4F79">
        <w:rPr>
          <w:szCs w:val="24"/>
        </w:rPr>
        <w:t>decisions (</w:t>
      </w:r>
      <w:r w:rsidR="00E21B89" w:rsidRPr="003A4F79">
        <w:rPr>
          <w:szCs w:val="24"/>
          <w:shd w:val="clear" w:color="auto" w:fill="FFFFFF"/>
        </w:rPr>
        <w:t>De Bondt, 1998)</w:t>
      </w:r>
      <w:r w:rsidR="00A07CFE" w:rsidRPr="003A4F79">
        <w:rPr>
          <w:szCs w:val="24"/>
          <w:shd w:val="clear" w:color="auto" w:fill="FFFFFF"/>
        </w:rPr>
        <w:t>. Investment mistakes</w:t>
      </w:r>
      <w:r w:rsidR="00A07CFE" w:rsidRPr="003A4F79">
        <w:rPr>
          <w:szCs w:val="24"/>
        </w:rPr>
        <w:t xml:space="preserve"> by individuals </w:t>
      </w:r>
      <w:r w:rsidR="00B64B52" w:rsidRPr="003A4F79">
        <w:rPr>
          <w:szCs w:val="24"/>
        </w:rPr>
        <w:t xml:space="preserve">may </w:t>
      </w:r>
      <w:r w:rsidR="00A07CFE" w:rsidRPr="003A4F79">
        <w:rPr>
          <w:szCs w:val="24"/>
        </w:rPr>
        <w:t>lead</w:t>
      </w:r>
      <w:r w:rsidR="00E21B89" w:rsidRPr="003A4F79">
        <w:rPr>
          <w:szCs w:val="24"/>
        </w:rPr>
        <w:t xml:space="preserve"> </w:t>
      </w:r>
      <w:r w:rsidR="00A07CFE" w:rsidRPr="003A4F79">
        <w:rPr>
          <w:szCs w:val="24"/>
        </w:rPr>
        <w:t xml:space="preserve">them to </w:t>
      </w:r>
      <w:r w:rsidR="00E21B89" w:rsidRPr="003A4F79">
        <w:rPr>
          <w:szCs w:val="24"/>
        </w:rPr>
        <w:t xml:space="preserve">either </w:t>
      </w:r>
      <w:r w:rsidR="0048752D" w:rsidRPr="003A4F79">
        <w:rPr>
          <w:szCs w:val="24"/>
        </w:rPr>
        <w:t xml:space="preserve">delegate the management of their finances </w:t>
      </w:r>
      <w:r w:rsidR="00AD3C50" w:rsidRPr="003A4F79">
        <w:rPr>
          <w:szCs w:val="24"/>
        </w:rPr>
        <w:t>to</w:t>
      </w:r>
      <w:r w:rsidR="0048752D" w:rsidRPr="003A4F79">
        <w:rPr>
          <w:szCs w:val="24"/>
        </w:rPr>
        <w:t xml:space="preserve"> mutual funds (</w:t>
      </w:r>
      <w:r w:rsidR="0048752D" w:rsidRPr="003A4F79">
        <w:rPr>
          <w:szCs w:val="24"/>
          <w:shd w:val="clear" w:color="auto" w:fill="FFFFFF"/>
        </w:rPr>
        <w:t xml:space="preserve">Gruber, 1996), or </w:t>
      </w:r>
      <w:r w:rsidR="00E21B89" w:rsidRPr="003A4F79">
        <w:rPr>
          <w:szCs w:val="24"/>
        </w:rPr>
        <w:t xml:space="preserve">leave the </w:t>
      </w:r>
      <w:r w:rsidR="0048752D" w:rsidRPr="003A4F79">
        <w:rPr>
          <w:szCs w:val="24"/>
        </w:rPr>
        <w:t xml:space="preserve">stock </w:t>
      </w:r>
      <w:r w:rsidR="00E21B89" w:rsidRPr="003A4F79">
        <w:rPr>
          <w:szCs w:val="24"/>
        </w:rPr>
        <w:t>market altogether (Stambaugh</w:t>
      </w:r>
      <w:r w:rsidR="00EE22ED" w:rsidRPr="003A4F79">
        <w:rPr>
          <w:szCs w:val="24"/>
        </w:rPr>
        <w:t>,</w:t>
      </w:r>
      <w:r w:rsidR="00E21B89" w:rsidRPr="003A4F79">
        <w:rPr>
          <w:szCs w:val="24"/>
        </w:rPr>
        <w:t xml:space="preserve"> 2014)</w:t>
      </w:r>
      <w:r w:rsidR="0048752D" w:rsidRPr="003A4F79">
        <w:rPr>
          <w:szCs w:val="24"/>
        </w:rPr>
        <w:t>.</w:t>
      </w:r>
      <w:r w:rsidR="004E078E" w:rsidRPr="003A4F79">
        <w:rPr>
          <w:szCs w:val="24"/>
        </w:rPr>
        <w:t xml:space="preserve"> </w:t>
      </w:r>
      <w:r w:rsidR="00B30890" w:rsidRPr="003A4F79">
        <w:rPr>
          <w:szCs w:val="24"/>
        </w:rPr>
        <w:t>The behavio</w:t>
      </w:r>
      <w:r w:rsidR="00AC048A" w:rsidRPr="003A4F79">
        <w:rPr>
          <w:szCs w:val="24"/>
        </w:rPr>
        <w:t>u</w:t>
      </w:r>
      <w:r w:rsidR="00B30890" w:rsidRPr="003A4F79">
        <w:rPr>
          <w:szCs w:val="24"/>
        </w:rPr>
        <w:t xml:space="preserve">ral finance literature points to a number of psychological factors that may cause individuals to make </w:t>
      </w:r>
      <w:r w:rsidR="0060353B" w:rsidRPr="003A4F79">
        <w:rPr>
          <w:szCs w:val="24"/>
        </w:rPr>
        <w:t xml:space="preserve">irrational </w:t>
      </w:r>
      <w:r w:rsidR="00D557AF" w:rsidRPr="003A4F79">
        <w:rPr>
          <w:szCs w:val="24"/>
        </w:rPr>
        <w:t xml:space="preserve">investment </w:t>
      </w:r>
      <w:r w:rsidR="00E21B89" w:rsidRPr="003A4F79">
        <w:rPr>
          <w:szCs w:val="24"/>
        </w:rPr>
        <w:t>decisions</w:t>
      </w:r>
      <w:r w:rsidR="00490E76" w:rsidRPr="003A4F79">
        <w:rPr>
          <w:szCs w:val="24"/>
        </w:rPr>
        <w:t>.</w:t>
      </w:r>
      <w:r w:rsidR="00490E76" w:rsidRPr="003A4F79">
        <w:rPr>
          <w:rStyle w:val="FootnoteReference"/>
          <w:szCs w:val="24"/>
        </w:rPr>
        <w:footnoteReference w:id="1"/>
      </w:r>
      <w:r w:rsidR="00490E76" w:rsidRPr="003A4F79">
        <w:t xml:space="preserve"> It also suggests </w:t>
      </w:r>
      <w:r w:rsidR="00534F63" w:rsidRPr="003A4F79">
        <w:t xml:space="preserve">that </w:t>
      </w:r>
      <w:r w:rsidR="00490E76" w:rsidRPr="003A4F79">
        <w:t xml:space="preserve">these psychological biases are </w:t>
      </w:r>
      <w:r w:rsidR="003576A5" w:rsidRPr="003A4F79">
        <w:t xml:space="preserve">persistent and </w:t>
      </w:r>
      <w:r w:rsidR="00490E76" w:rsidRPr="003A4F79">
        <w:t xml:space="preserve">not easily eliminated by investors’ learning and experience </w:t>
      </w:r>
      <w:r w:rsidR="00181E2C" w:rsidRPr="003A4F79">
        <w:rPr>
          <w:szCs w:val="24"/>
        </w:rPr>
        <w:t>(Baltussen, 2009).</w:t>
      </w:r>
      <w:r w:rsidR="00D531A0" w:rsidRPr="003A4F79">
        <w:rPr>
          <w:szCs w:val="24"/>
        </w:rPr>
        <w:t xml:space="preserve"> </w:t>
      </w:r>
      <w:r w:rsidR="00D557AF" w:rsidRPr="003A4F79">
        <w:rPr>
          <w:szCs w:val="24"/>
        </w:rPr>
        <w:t xml:space="preserve">In this paper, we </w:t>
      </w:r>
      <w:r w:rsidR="004E5069" w:rsidRPr="003A4F79">
        <w:rPr>
          <w:szCs w:val="24"/>
        </w:rPr>
        <w:t xml:space="preserve">contribute to this literature by </w:t>
      </w:r>
      <w:r w:rsidR="00D557AF" w:rsidRPr="003A4F79">
        <w:rPr>
          <w:szCs w:val="24"/>
        </w:rPr>
        <w:t>focus</w:t>
      </w:r>
      <w:r w:rsidR="004E5069" w:rsidRPr="003A4F79">
        <w:rPr>
          <w:szCs w:val="24"/>
        </w:rPr>
        <w:t>ing</w:t>
      </w:r>
      <w:r w:rsidR="00D557AF" w:rsidRPr="003A4F79">
        <w:rPr>
          <w:szCs w:val="24"/>
        </w:rPr>
        <w:t xml:space="preserve"> on yet another psychological factor, namely </w:t>
      </w:r>
      <w:r w:rsidR="00D557AF" w:rsidRPr="003A4F79">
        <w:rPr>
          <w:i/>
          <w:szCs w:val="24"/>
        </w:rPr>
        <w:t>primacy bias</w:t>
      </w:r>
      <w:r w:rsidR="004562C3" w:rsidRPr="003A4F79">
        <w:rPr>
          <w:i/>
          <w:szCs w:val="24"/>
        </w:rPr>
        <w:t xml:space="preserve"> </w:t>
      </w:r>
      <w:r w:rsidR="004562C3" w:rsidRPr="003A4F79">
        <w:rPr>
          <w:szCs w:val="24"/>
        </w:rPr>
        <w:t>(</w:t>
      </w:r>
      <w:r w:rsidR="00022FE9" w:rsidRPr="003A4F79">
        <w:t xml:space="preserve">Asch, 1946; Nisbett and Ross, 1980), </w:t>
      </w:r>
      <w:r w:rsidR="004562C3" w:rsidRPr="003A4F79">
        <w:rPr>
          <w:szCs w:val="24"/>
        </w:rPr>
        <w:t xml:space="preserve">i.e., the dominance of the influence of initial </w:t>
      </w:r>
      <w:r w:rsidR="004562C3" w:rsidRPr="003A4F79">
        <w:rPr>
          <w:szCs w:val="24"/>
        </w:rPr>
        <w:lastRenderedPageBreak/>
        <w:t>experiences in final decision-making</w:t>
      </w:r>
      <w:r w:rsidR="00D557AF" w:rsidRPr="003A4F79">
        <w:rPr>
          <w:szCs w:val="24"/>
        </w:rPr>
        <w:t>, and examin</w:t>
      </w:r>
      <w:r w:rsidR="006D18A5" w:rsidRPr="003A4F79">
        <w:rPr>
          <w:szCs w:val="24"/>
        </w:rPr>
        <w:t>ing</w:t>
      </w:r>
      <w:r w:rsidR="00D557AF" w:rsidRPr="003A4F79">
        <w:rPr>
          <w:szCs w:val="24"/>
        </w:rPr>
        <w:t xml:space="preserve"> whether individual investors are subject to </w:t>
      </w:r>
      <w:r w:rsidR="001E4B7A" w:rsidRPr="003A4F79">
        <w:rPr>
          <w:szCs w:val="24"/>
        </w:rPr>
        <w:t>the</w:t>
      </w:r>
      <w:r w:rsidR="004562C3" w:rsidRPr="003A4F79">
        <w:rPr>
          <w:szCs w:val="24"/>
        </w:rPr>
        <w:t xml:space="preserve"> </w:t>
      </w:r>
      <w:r w:rsidR="00D557AF" w:rsidRPr="003A4F79">
        <w:rPr>
          <w:szCs w:val="24"/>
        </w:rPr>
        <w:t xml:space="preserve">primacy bias in </w:t>
      </w:r>
      <w:r w:rsidR="00A9717E" w:rsidRPr="003A4F79">
        <w:rPr>
          <w:szCs w:val="24"/>
        </w:rPr>
        <w:t>the</w:t>
      </w:r>
      <w:r w:rsidR="00A53956" w:rsidRPr="003A4F79">
        <w:rPr>
          <w:szCs w:val="24"/>
        </w:rPr>
        <w:t xml:space="preserve"> setting of their</w:t>
      </w:r>
      <w:r w:rsidR="00B525A4" w:rsidRPr="003A4F79">
        <w:rPr>
          <w:szCs w:val="24"/>
        </w:rPr>
        <w:t xml:space="preserve"> re-entry to the </w:t>
      </w:r>
      <w:r w:rsidR="00A53956" w:rsidRPr="003A4F79">
        <w:rPr>
          <w:szCs w:val="24"/>
        </w:rPr>
        <w:t>stock market</w:t>
      </w:r>
      <w:r w:rsidR="00B525A4" w:rsidRPr="003A4F79">
        <w:rPr>
          <w:szCs w:val="24"/>
        </w:rPr>
        <w:t xml:space="preserve"> </w:t>
      </w:r>
      <w:r w:rsidR="000829BD" w:rsidRPr="003A4F79">
        <w:rPr>
          <w:szCs w:val="24"/>
        </w:rPr>
        <w:t>following</w:t>
      </w:r>
      <w:r w:rsidR="00B525A4" w:rsidRPr="003A4F79">
        <w:rPr>
          <w:szCs w:val="24"/>
        </w:rPr>
        <w:t xml:space="preserve"> </w:t>
      </w:r>
      <w:r w:rsidR="00100E81" w:rsidRPr="003A4F79">
        <w:rPr>
          <w:szCs w:val="24"/>
        </w:rPr>
        <w:t>market exit</w:t>
      </w:r>
      <w:r w:rsidR="00A53956" w:rsidRPr="003A4F79">
        <w:rPr>
          <w:szCs w:val="24"/>
        </w:rPr>
        <w:t xml:space="preserve">. </w:t>
      </w:r>
    </w:p>
    <w:p w14:paraId="2847A262" w14:textId="0B116558" w:rsidR="0061191B" w:rsidRPr="003A4F79" w:rsidRDefault="00022FE9">
      <w:r w:rsidRPr="003A4F79">
        <w:t xml:space="preserve">Our setting of an individual investor’s re-entry decision </w:t>
      </w:r>
      <w:r w:rsidR="00EC19BB" w:rsidRPr="003A4F79">
        <w:t>would be</w:t>
      </w:r>
      <w:r w:rsidRPr="003A4F79">
        <w:t xml:space="preserve"> a good laboratory to study </w:t>
      </w:r>
      <w:r w:rsidR="00EE22ED" w:rsidRPr="003A4F79">
        <w:t>the</w:t>
      </w:r>
      <w:r w:rsidRPr="003A4F79">
        <w:t xml:space="preserve"> primacy bias because </w:t>
      </w:r>
      <w:r w:rsidR="0047271F" w:rsidRPr="003A4F79">
        <w:t>re-entry decision</w:t>
      </w:r>
      <w:r w:rsidR="00BB71D1" w:rsidRPr="003A4F79">
        <w:t>s</w:t>
      </w:r>
      <w:r w:rsidR="0047271F" w:rsidRPr="003A4F79">
        <w:t xml:space="preserve"> </w:t>
      </w:r>
      <w:r w:rsidR="00F54E8A" w:rsidRPr="003A4F79">
        <w:t>may be</w:t>
      </w:r>
      <w:r w:rsidR="0047271F" w:rsidRPr="003A4F79">
        <w:t xml:space="preserve"> </w:t>
      </w:r>
      <w:r w:rsidR="009E724C" w:rsidRPr="003A4F79">
        <w:t>affected</w:t>
      </w:r>
      <w:r w:rsidR="007B1721" w:rsidRPr="003A4F79">
        <w:t xml:space="preserve"> </w:t>
      </w:r>
      <w:r w:rsidR="00F54E8A" w:rsidRPr="003A4F79">
        <w:t xml:space="preserve">differentially </w:t>
      </w:r>
      <w:r w:rsidR="007B1721" w:rsidRPr="003A4F79">
        <w:t xml:space="preserve">by a series of multiple investment experiences during </w:t>
      </w:r>
      <w:r w:rsidR="00120478" w:rsidRPr="003A4F79">
        <w:t>the investor’s</w:t>
      </w:r>
      <w:r w:rsidR="007B1721" w:rsidRPr="003A4F79">
        <w:t xml:space="preserve"> previous participation in the stock market. </w:t>
      </w:r>
      <w:r w:rsidR="00F54E8A" w:rsidRPr="003A4F79">
        <w:t>T</w:t>
      </w:r>
      <w:r w:rsidR="00BB71D1" w:rsidRPr="003A4F79">
        <w:t xml:space="preserve">he </w:t>
      </w:r>
      <w:r w:rsidR="00702F71" w:rsidRPr="003A4F79">
        <w:t>theory of</w:t>
      </w:r>
      <w:r w:rsidR="00243FB3" w:rsidRPr="003A4F79">
        <w:t xml:space="preserve"> experiential learning</w:t>
      </w:r>
      <w:r w:rsidR="0088315B" w:rsidRPr="003A4F79">
        <w:t xml:space="preserve"> </w:t>
      </w:r>
      <w:r w:rsidR="004C4B87" w:rsidRPr="003A4F79">
        <w:t>(Luce,</w:t>
      </w:r>
      <w:r w:rsidR="00972CDA" w:rsidRPr="003A4F79">
        <w:t xml:space="preserve"> </w:t>
      </w:r>
      <w:r w:rsidR="004C4B87" w:rsidRPr="003A4F79">
        <w:t>1959</w:t>
      </w:r>
      <w:r w:rsidR="001238D9" w:rsidRPr="003A4F79">
        <w:t>; Denrell, 2007</w:t>
      </w:r>
      <w:r w:rsidR="00F54E8A" w:rsidRPr="003A4F79">
        <w:t>)</w:t>
      </w:r>
      <w:r w:rsidR="0047271F" w:rsidRPr="003A4F79">
        <w:t xml:space="preserve"> </w:t>
      </w:r>
      <w:r w:rsidR="00835455" w:rsidRPr="003A4F79">
        <w:t xml:space="preserve">posits </w:t>
      </w:r>
      <w:r w:rsidR="0047271F" w:rsidRPr="003A4F79">
        <w:t xml:space="preserve">that </w:t>
      </w:r>
      <w:r w:rsidR="00E42FB0" w:rsidRPr="003A4F79">
        <w:t>individuals</w:t>
      </w:r>
      <w:r w:rsidR="00BB71D1" w:rsidRPr="003A4F79">
        <w:t>’</w:t>
      </w:r>
      <w:r w:rsidR="00E42FB0" w:rsidRPr="003A4F79">
        <w:t xml:space="preserve"> </w:t>
      </w:r>
      <w:r w:rsidR="00476133" w:rsidRPr="003A4F79">
        <w:t xml:space="preserve">choice </w:t>
      </w:r>
      <w:r w:rsidR="00BB71D1" w:rsidRPr="003A4F79">
        <w:t>of an</w:t>
      </w:r>
      <w:r w:rsidR="003616FB" w:rsidRPr="003A4F79">
        <w:t xml:space="preserve"> </w:t>
      </w:r>
      <w:r w:rsidR="00476133" w:rsidRPr="003A4F79">
        <w:t>uncertain alternative</w:t>
      </w:r>
      <w:r w:rsidR="009324E9" w:rsidRPr="003A4F79">
        <w:t xml:space="preserve"> </w:t>
      </w:r>
      <w:r w:rsidR="00D23372" w:rsidRPr="003A4F79">
        <w:t>is</w:t>
      </w:r>
      <w:r w:rsidR="00E42FB0" w:rsidRPr="003A4F79">
        <w:t xml:space="preserve"> influenced by </w:t>
      </w:r>
      <w:r w:rsidR="00BB71D1" w:rsidRPr="003A4F79">
        <w:t xml:space="preserve">their </w:t>
      </w:r>
      <w:r w:rsidR="00701061" w:rsidRPr="003A4F79">
        <w:t xml:space="preserve">own </w:t>
      </w:r>
      <w:r w:rsidR="00E42FB0" w:rsidRPr="003A4F79">
        <w:t>experience</w:t>
      </w:r>
      <w:r w:rsidR="00430B54" w:rsidRPr="003A4F79">
        <w:t xml:space="preserve"> of having chosen </w:t>
      </w:r>
      <w:r w:rsidR="001C5EE3" w:rsidRPr="003A4F79">
        <w:t>it i</w:t>
      </w:r>
      <w:r w:rsidR="00430B54" w:rsidRPr="003A4F79">
        <w:t>n the past</w:t>
      </w:r>
      <w:r w:rsidR="00F54E8A" w:rsidRPr="003A4F79">
        <w:t>, and t</w:t>
      </w:r>
      <w:r w:rsidR="00F81851" w:rsidRPr="003A4F79">
        <w:t xml:space="preserve">he likelihood of </w:t>
      </w:r>
      <w:r w:rsidR="00060728" w:rsidRPr="003A4F79">
        <w:t xml:space="preserve">choosing </w:t>
      </w:r>
      <w:r w:rsidR="00F54E8A" w:rsidRPr="003A4F79">
        <w:t xml:space="preserve">it </w:t>
      </w:r>
      <w:r w:rsidR="00F81851" w:rsidRPr="003A4F79">
        <w:t>depend</w:t>
      </w:r>
      <w:r w:rsidR="004F365B" w:rsidRPr="003A4F79">
        <w:t>s</w:t>
      </w:r>
      <w:r w:rsidR="00F81851" w:rsidRPr="003A4F79">
        <w:t xml:space="preserve"> on </w:t>
      </w:r>
      <w:r w:rsidR="00BB71D1" w:rsidRPr="003A4F79">
        <w:t xml:space="preserve">the </w:t>
      </w:r>
      <w:r w:rsidR="004F365B" w:rsidRPr="003A4F79">
        <w:t xml:space="preserve">belief </w:t>
      </w:r>
      <w:r w:rsidR="00BB71D1" w:rsidRPr="003A4F79">
        <w:t xml:space="preserve">about </w:t>
      </w:r>
      <w:r w:rsidR="004F365B" w:rsidRPr="003A4F79">
        <w:t>t</w:t>
      </w:r>
      <w:r w:rsidR="0076639B" w:rsidRPr="003A4F79">
        <w:t>he payoff</w:t>
      </w:r>
      <w:r w:rsidR="00BB71D1" w:rsidRPr="003A4F79">
        <w:t>s</w:t>
      </w:r>
      <w:r w:rsidR="004F365B" w:rsidRPr="003A4F79">
        <w:t xml:space="preserve"> </w:t>
      </w:r>
      <w:r w:rsidR="000213FC" w:rsidRPr="003A4F79">
        <w:t xml:space="preserve">they will reap </w:t>
      </w:r>
      <w:r w:rsidR="00F54E8A" w:rsidRPr="003A4F79">
        <w:t>from the</w:t>
      </w:r>
      <w:r w:rsidR="00B7693D" w:rsidRPr="003A4F79">
        <w:t>ir</w:t>
      </w:r>
      <w:r w:rsidR="00F54E8A" w:rsidRPr="003A4F79">
        <w:t xml:space="preserve"> choice. </w:t>
      </w:r>
      <w:r w:rsidR="00B67961" w:rsidRPr="003A4F79">
        <w:t xml:space="preserve">Such </w:t>
      </w:r>
      <w:r w:rsidR="0038611F" w:rsidRPr="003A4F79">
        <w:t>belief</w:t>
      </w:r>
      <w:r w:rsidR="00B67961" w:rsidRPr="003A4F79">
        <w:t xml:space="preserve"> is formed based on </w:t>
      </w:r>
      <w:r w:rsidR="0038611F" w:rsidRPr="003A4F79">
        <w:t xml:space="preserve">a sequence of multiple </w:t>
      </w:r>
      <w:r w:rsidR="009E724C" w:rsidRPr="003A4F79">
        <w:t>experiences</w:t>
      </w:r>
      <w:r w:rsidR="0038611F" w:rsidRPr="003A4F79">
        <w:t xml:space="preserve"> </w:t>
      </w:r>
      <w:r w:rsidR="009E724C" w:rsidRPr="003A4F79">
        <w:t>with</w:t>
      </w:r>
      <w:r w:rsidR="0038611F" w:rsidRPr="003A4F79">
        <w:t xml:space="preserve"> </w:t>
      </w:r>
      <w:r w:rsidR="009C7C68" w:rsidRPr="003A4F79">
        <w:t xml:space="preserve">different </w:t>
      </w:r>
      <w:r w:rsidR="0038611F" w:rsidRPr="003A4F79">
        <w:t>payoffs,</w:t>
      </w:r>
      <w:r w:rsidR="00B67961" w:rsidRPr="003A4F79">
        <w:t xml:space="preserve"> </w:t>
      </w:r>
      <w:r w:rsidR="008A746E" w:rsidRPr="003A4F79">
        <w:t>and individuals</w:t>
      </w:r>
      <w:r w:rsidR="009E724C" w:rsidRPr="003A4F79">
        <w:t xml:space="preserve"> may </w:t>
      </w:r>
      <w:r w:rsidR="00D17836" w:rsidRPr="003A4F79">
        <w:t>not consider all experiences equally, and</w:t>
      </w:r>
      <w:r w:rsidR="008A746E" w:rsidRPr="003A4F79">
        <w:t xml:space="preserve"> hence</w:t>
      </w:r>
      <w:r w:rsidR="00D17836" w:rsidRPr="003A4F79">
        <w:t xml:space="preserve"> </w:t>
      </w:r>
      <w:r w:rsidR="009E724C" w:rsidRPr="003A4F79">
        <w:t>weigh a certain experience heavier than other</w:t>
      </w:r>
      <w:r w:rsidR="00B16C4E" w:rsidRPr="003A4F79">
        <w:t>s</w:t>
      </w:r>
      <w:r w:rsidR="009E724C" w:rsidRPr="003A4F79">
        <w:t xml:space="preserve">. </w:t>
      </w:r>
      <w:r w:rsidR="002127EF" w:rsidRPr="003A4F79">
        <w:t>T</w:t>
      </w:r>
      <w:r w:rsidR="00B67961" w:rsidRPr="003A4F79">
        <w:t xml:space="preserve">he so-called </w:t>
      </w:r>
      <w:r w:rsidR="00B67961" w:rsidRPr="003A4F79">
        <w:rPr>
          <w:i/>
        </w:rPr>
        <w:t>primacy effect</w:t>
      </w:r>
      <w:r w:rsidR="00B67961" w:rsidRPr="003A4F79">
        <w:t xml:space="preserve"> (Asch, 1946; Nisbett and Ross, 1980)</w:t>
      </w:r>
      <w:r w:rsidR="002127EF" w:rsidRPr="003A4F79">
        <w:t xml:space="preserve"> emphasize the salience of initial experiences, and posits that </w:t>
      </w:r>
      <w:r w:rsidR="0038611F" w:rsidRPr="003A4F79">
        <w:t xml:space="preserve">individuals may weigh initial observations more heavily than subsequent ones due to a cognitive bias, so their initial experiences dominate </w:t>
      </w:r>
      <w:r w:rsidR="00845E06" w:rsidRPr="003A4F79">
        <w:t xml:space="preserve">in </w:t>
      </w:r>
      <w:r w:rsidR="0038611F" w:rsidRPr="003A4F79">
        <w:t xml:space="preserve">their </w:t>
      </w:r>
      <w:r w:rsidR="00845E06" w:rsidRPr="003A4F79">
        <w:t xml:space="preserve">final </w:t>
      </w:r>
      <w:r w:rsidR="0038611F" w:rsidRPr="003A4F79">
        <w:t>decision</w:t>
      </w:r>
      <w:r w:rsidR="000213FC" w:rsidRPr="003A4F79">
        <w:t xml:space="preserve"> </w:t>
      </w:r>
      <w:r w:rsidR="00845E06" w:rsidRPr="003A4F79">
        <w:t>making.</w:t>
      </w:r>
      <w:r w:rsidR="0038611F" w:rsidRPr="003A4F79">
        <w:t xml:space="preserve"> </w:t>
      </w:r>
      <w:r w:rsidR="0062481E" w:rsidRPr="003A4F79">
        <w:t>The p</w:t>
      </w:r>
      <w:r w:rsidR="00C9194F" w:rsidRPr="003A4F79">
        <w:t xml:space="preserve">rimacy bias is in contrast with </w:t>
      </w:r>
      <w:r w:rsidR="0062481E" w:rsidRPr="003A4F79">
        <w:t xml:space="preserve">the </w:t>
      </w:r>
      <w:r w:rsidR="005F1B10" w:rsidRPr="003A4F79">
        <w:t>recency</w:t>
      </w:r>
      <w:r w:rsidR="00C9194F" w:rsidRPr="003A4F79">
        <w:t xml:space="preserve"> </w:t>
      </w:r>
      <w:r w:rsidR="0038611F" w:rsidRPr="003A4F79">
        <w:t>bias where individuals’ latest experiences dominate their decisions (Furnham</w:t>
      </w:r>
      <w:r w:rsidR="00FF66EC" w:rsidRPr="003A4F79">
        <w:t>,</w:t>
      </w:r>
      <w:r w:rsidR="0038611F" w:rsidRPr="003A4F79">
        <w:t xml:space="preserve"> 1986). </w:t>
      </w:r>
      <w:r w:rsidR="0061191B" w:rsidRPr="003A4F79">
        <w:t xml:space="preserve">Also, it is distinct from </w:t>
      </w:r>
      <w:r w:rsidR="0062481E" w:rsidRPr="003A4F79">
        <w:t xml:space="preserve">the </w:t>
      </w:r>
      <w:r w:rsidR="0061191B" w:rsidRPr="003A4F79">
        <w:t xml:space="preserve">salience bias (Bordalo, Gennaioli and Shleifer, 2012) where </w:t>
      </w:r>
      <w:r w:rsidR="0093145D" w:rsidRPr="003A4F79">
        <w:t xml:space="preserve">decision makers overweigh more </w:t>
      </w:r>
      <w:r w:rsidR="007A1716" w:rsidRPr="003A4F79">
        <w:t xml:space="preserve">salient </w:t>
      </w:r>
      <w:r w:rsidR="0093145D" w:rsidRPr="003A4F79">
        <w:t>payoffs</w:t>
      </w:r>
      <w:r w:rsidR="007A1716" w:rsidRPr="003A4F79">
        <w:t xml:space="preserve">, which </w:t>
      </w:r>
      <w:r w:rsidR="0093145D" w:rsidRPr="003A4F79">
        <w:t xml:space="preserve">are defined as the payoffs that draw their attention, such as very high or </w:t>
      </w:r>
      <w:r w:rsidR="00D84AE6" w:rsidRPr="003A4F79">
        <w:t xml:space="preserve">very </w:t>
      </w:r>
      <w:r w:rsidR="0093145D" w:rsidRPr="003A4F79">
        <w:t xml:space="preserve">low payoffs compared to the average. </w:t>
      </w:r>
    </w:p>
    <w:p w14:paraId="2A0EF969" w14:textId="6536B25F" w:rsidR="006904AD" w:rsidRPr="003A4F79" w:rsidRDefault="0038611F" w:rsidP="00C932AE">
      <w:r w:rsidRPr="003A4F79">
        <w:lastRenderedPageBreak/>
        <w:t>Previous financial studies</w:t>
      </w:r>
      <w:r w:rsidR="008F6252" w:rsidRPr="003A4F79">
        <w:t xml:space="preserve"> have</w:t>
      </w:r>
      <w:r w:rsidR="001546D5" w:rsidRPr="003A4F79">
        <w:t xml:space="preserve"> documented </w:t>
      </w:r>
      <w:r w:rsidR="00F00E1D" w:rsidRPr="003A4F79">
        <w:t xml:space="preserve">various </w:t>
      </w:r>
      <w:r w:rsidR="001546D5" w:rsidRPr="003A4F79">
        <w:t>behavio</w:t>
      </w:r>
      <w:r w:rsidR="00AC048A" w:rsidRPr="003A4F79">
        <w:t>u</w:t>
      </w:r>
      <w:r w:rsidR="001546D5" w:rsidRPr="003A4F79">
        <w:t>ral biases</w:t>
      </w:r>
      <w:r w:rsidR="00F00E1D" w:rsidRPr="003A4F79">
        <w:t xml:space="preserve"> of individual investors</w:t>
      </w:r>
      <w:r w:rsidR="001546D5" w:rsidRPr="003A4F79">
        <w:t xml:space="preserve"> based on their trading patterns.</w:t>
      </w:r>
      <w:r w:rsidR="000819D5" w:rsidRPr="003A4F79">
        <w:t xml:space="preserve"> </w:t>
      </w:r>
      <w:r w:rsidR="001A4ABF" w:rsidRPr="003A4F79">
        <w:t>Regarding</w:t>
      </w:r>
      <w:r w:rsidR="000819D5" w:rsidRPr="003A4F79">
        <w:t xml:space="preserve"> </w:t>
      </w:r>
      <w:r w:rsidR="001A4ABF" w:rsidRPr="003A4F79">
        <w:t xml:space="preserve">the </w:t>
      </w:r>
      <w:r w:rsidR="000819D5" w:rsidRPr="003A4F79">
        <w:t>information processing</w:t>
      </w:r>
      <w:r w:rsidR="001A4ABF" w:rsidRPr="003A4F79">
        <w:t>-</w:t>
      </w:r>
      <w:r w:rsidR="000819D5" w:rsidRPr="003A4F79">
        <w:t>related</w:t>
      </w:r>
      <w:r w:rsidR="001A4ABF" w:rsidRPr="003A4F79">
        <w:t xml:space="preserve"> biases</w:t>
      </w:r>
      <w:r w:rsidR="000819D5" w:rsidRPr="003A4F79">
        <w:t xml:space="preserve"> in particular, the recency effect is verified in a laboratory setting of auction markets (Tuttle, Coller and Burton, 1997),</w:t>
      </w:r>
      <w:r w:rsidR="00353DF0" w:rsidRPr="003A4F79">
        <w:t xml:space="preserve"> and the salience effect is documented in Barber and Odean (2006) </w:t>
      </w:r>
      <w:r w:rsidR="00614431" w:rsidRPr="003A4F79">
        <w:t xml:space="preserve">and Hartzmark (2015), </w:t>
      </w:r>
      <w:r w:rsidR="00786EE9" w:rsidRPr="003A4F79">
        <w:t xml:space="preserve">both of </w:t>
      </w:r>
      <w:r w:rsidR="00614431" w:rsidRPr="003A4F79">
        <w:t xml:space="preserve">which </w:t>
      </w:r>
      <w:r w:rsidR="00F271A2" w:rsidRPr="003A4F79">
        <w:t>show</w:t>
      </w:r>
      <w:r w:rsidR="00786EE9" w:rsidRPr="003A4F79">
        <w:t xml:space="preserve"> that </w:t>
      </w:r>
      <w:r w:rsidR="00614431" w:rsidRPr="003A4F79">
        <w:t>individuals tend to trade the attention-grabbing stocks</w:t>
      </w:r>
      <w:r w:rsidR="00786EE9" w:rsidRPr="003A4F79">
        <w:t>, such as</w:t>
      </w:r>
      <w:r w:rsidR="00614431" w:rsidRPr="003A4F79">
        <w:t xml:space="preserve"> high volatility ones</w:t>
      </w:r>
      <w:r w:rsidR="00786EE9" w:rsidRPr="003A4F79">
        <w:t>,</w:t>
      </w:r>
      <w:r w:rsidR="00353DF0" w:rsidRPr="003A4F79">
        <w:t xml:space="preserve"> and</w:t>
      </w:r>
      <w:r w:rsidR="00614431" w:rsidRPr="003A4F79">
        <w:t xml:space="preserve"> </w:t>
      </w:r>
      <w:r w:rsidR="00786EE9" w:rsidRPr="003A4F79">
        <w:t>best- or worst performed stocks</w:t>
      </w:r>
      <w:r w:rsidR="00122551" w:rsidRPr="003A4F79">
        <w:t xml:space="preserve"> in their portfolio. </w:t>
      </w:r>
      <w:r w:rsidR="00B063D2" w:rsidRPr="003A4F79">
        <w:t>As for the primacy effect</w:t>
      </w:r>
      <w:r w:rsidR="00C932AE" w:rsidRPr="003A4F79">
        <w:t xml:space="preserve">, </w:t>
      </w:r>
      <w:r w:rsidRPr="003A4F79">
        <w:t xml:space="preserve">Kaustia and </w:t>
      </w:r>
      <w:r w:rsidR="00954189" w:rsidRPr="003A4F79">
        <w:t>Knüpfer</w:t>
      </w:r>
      <w:r w:rsidR="00B063D2" w:rsidRPr="003A4F79">
        <w:t xml:space="preserve"> (</w:t>
      </w:r>
      <w:r w:rsidRPr="003A4F79">
        <w:t>2008</w:t>
      </w:r>
      <w:r w:rsidR="00B063D2" w:rsidRPr="003A4F79">
        <w:t>) investigate</w:t>
      </w:r>
      <w:r w:rsidR="00614431" w:rsidRPr="003A4F79">
        <w:t xml:space="preserve"> </w:t>
      </w:r>
      <w:r w:rsidR="00C932AE" w:rsidRPr="003A4F79">
        <w:t>investor behavio</w:t>
      </w:r>
      <w:r w:rsidR="0062481E" w:rsidRPr="003A4F79">
        <w:t>u</w:t>
      </w:r>
      <w:r w:rsidR="00C932AE" w:rsidRPr="003A4F79">
        <w:t xml:space="preserve">r of subscribing </w:t>
      </w:r>
      <w:r w:rsidR="00B063D2" w:rsidRPr="003A4F79">
        <w:t>an</w:t>
      </w:r>
      <w:r w:rsidRPr="003A4F79">
        <w:t xml:space="preserve"> IPO</w:t>
      </w:r>
      <w:r w:rsidR="00C932AE" w:rsidRPr="003A4F79">
        <w:t xml:space="preserve">, and </w:t>
      </w:r>
      <w:r w:rsidR="00FB6A68" w:rsidRPr="003A4F79">
        <w:t>Carney and Banaji</w:t>
      </w:r>
      <w:r w:rsidR="00C932AE" w:rsidRPr="003A4F79">
        <w:t xml:space="preserve"> (201</w:t>
      </w:r>
      <w:r w:rsidR="00FB6A68" w:rsidRPr="003A4F79">
        <w:t>2</w:t>
      </w:r>
      <w:r w:rsidR="00C932AE" w:rsidRPr="003A4F79">
        <w:t xml:space="preserve">) </w:t>
      </w:r>
      <w:r w:rsidR="00504A6C" w:rsidRPr="003A4F79">
        <w:t>document it for the consumer behavio</w:t>
      </w:r>
      <w:r w:rsidR="0062481E" w:rsidRPr="003A4F79">
        <w:t>u</w:t>
      </w:r>
      <w:r w:rsidR="00504A6C" w:rsidRPr="003A4F79">
        <w:t>r in a laboratory setting</w:t>
      </w:r>
      <w:r w:rsidR="00C932AE" w:rsidRPr="003A4F79">
        <w:t xml:space="preserve">. </w:t>
      </w:r>
      <w:r w:rsidRPr="003A4F79">
        <w:t>We</w:t>
      </w:r>
      <w:r w:rsidR="00CC7722" w:rsidRPr="003A4F79">
        <w:t xml:space="preserve"> </w:t>
      </w:r>
      <w:r w:rsidRPr="003A4F79">
        <w:t>contribut</w:t>
      </w:r>
      <w:r w:rsidR="00CC7722" w:rsidRPr="003A4F79">
        <w:t>e t</w:t>
      </w:r>
      <w:r w:rsidR="00F2242D" w:rsidRPr="003A4F79">
        <w:t xml:space="preserve">o </w:t>
      </w:r>
      <w:r w:rsidRPr="003A4F79">
        <w:t xml:space="preserve">this literature by </w:t>
      </w:r>
      <w:r w:rsidR="00E22236" w:rsidRPr="003A4F79">
        <w:t>showing</w:t>
      </w:r>
      <w:r w:rsidRPr="003A4F79">
        <w:t xml:space="preserve"> the primacy effect in the entry and exit decisions of retail investors</w:t>
      </w:r>
      <w:r w:rsidR="0062711C" w:rsidRPr="003A4F79">
        <w:t xml:space="preserve"> investing in the stock market</w:t>
      </w:r>
      <w:r w:rsidRPr="003A4F79">
        <w:t>. We provide evidence that the primacy effect documented in our study prevails when we control for the most recent</w:t>
      </w:r>
      <w:r w:rsidR="00490386" w:rsidRPr="003A4F79">
        <w:t xml:space="preserve"> </w:t>
      </w:r>
      <w:r w:rsidRPr="003A4F79">
        <w:t>information.</w:t>
      </w:r>
      <w:r w:rsidR="00E22236" w:rsidRPr="003A4F79">
        <w:t xml:space="preserve"> </w:t>
      </w:r>
      <w:r w:rsidRPr="003A4F79">
        <w:t>Furthermore, our results are robust to the salience of the initial experiences (the extent to which they are different than other experiences)</w:t>
      </w:r>
      <w:r w:rsidR="009719BF" w:rsidRPr="003A4F79">
        <w:t>.</w:t>
      </w:r>
      <w:r w:rsidRPr="003A4F79">
        <w:t xml:space="preserve"> We also provide evidence that the primacy effect we document is the violation of rational behavio</w:t>
      </w:r>
      <w:r w:rsidR="0062481E" w:rsidRPr="003A4F79">
        <w:t>u</w:t>
      </w:r>
      <w:r w:rsidRPr="003A4F79">
        <w:t xml:space="preserve">r rather than rational learning about skill. </w:t>
      </w:r>
    </w:p>
    <w:p w14:paraId="4EDF1A10" w14:textId="4A54E44D" w:rsidR="00370A9C" w:rsidRPr="003A4F79" w:rsidRDefault="002E5071">
      <w:r w:rsidRPr="003A4F79">
        <w:t xml:space="preserve">Based on the theory of experience sampling and </w:t>
      </w:r>
      <w:r w:rsidR="004A1DB0" w:rsidRPr="003A4F79">
        <w:t xml:space="preserve">the </w:t>
      </w:r>
      <w:r w:rsidRPr="003A4F79">
        <w:t xml:space="preserve">primacy effect, we hypothesize that </w:t>
      </w:r>
      <w:r w:rsidR="009359E0" w:rsidRPr="003A4F79">
        <w:t xml:space="preserve">investment returns </w:t>
      </w:r>
      <w:r w:rsidR="009359E0" w:rsidRPr="003A4F79">
        <w:rPr>
          <w:rFonts w:eastAsia="Batang"/>
        </w:rPr>
        <w:t>in the first month of investing</w:t>
      </w:r>
      <w:r w:rsidR="00406225" w:rsidRPr="003A4F79">
        <w:t xml:space="preserve"> – </w:t>
      </w:r>
      <w:r w:rsidR="009359E0" w:rsidRPr="003A4F79">
        <w:t xml:space="preserve">referred to as </w:t>
      </w:r>
      <w:r w:rsidR="009359E0" w:rsidRPr="003A4F79">
        <w:rPr>
          <w:i/>
        </w:rPr>
        <w:t>initial returns</w:t>
      </w:r>
      <w:r w:rsidR="00406225" w:rsidRPr="003A4F79">
        <w:t xml:space="preserve"> – </w:t>
      </w:r>
      <w:r w:rsidR="004A1DB0" w:rsidRPr="003A4F79">
        <w:t xml:space="preserve">will </w:t>
      </w:r>
      <w:r w:rsidR="009359E0" w:rsidRPr="003A4F79">
        <w:t xml:space="preserve">have a </w:t>
      </w:r>
      <w:r w:rsidRPr="003A4F79">
        <w:t xml:space="preserve">significant </w:t>
      </w:r>
      <w:r w:rsidR="009359E0" w:rsidRPr="003A4F79">
        <w:t>influence on</w:t>
      </w:r>
      <w:r w:rsidRPr="003A4F79">
        <w:t xml:space="preserve"> the likelihood of re-entry</w:t>
      </w:r>
      <w:r w:rsidR="004A1DB0" w:rsidRPr="003A4F79">
        <w:t>,</w:t>
      </w:r>
      <w:r w:rsidRPr="003A4F79">
        <w:t xml:space="preserve"> </w:t>
      </w:r>
      <w:r w:rsidR="009359E0" w:rsidRPr="003A4F79">
        <w:t xml:space="preserve">even after controlling for </w:t>
      </w:r>
      <w:r w:rsidR="00CB62F8" w:rsidRPr="003A4F79">
        <w:t>a</w:t>
      </w:r>
      <w:r w:rsidR="00714AC0" w:rsidRPr="003A4F79">
        <w:t>v</w:t>
      </w:r>
      <w:r w:rsidR="00CB62F8" w:rsidRPr="003A4F79">
        <w:t>erage</w:t>
      </w:r>
      <w:r w:rsidRPr="003A4F79">
        <w:t xml:space="preserve"> </w:t>
      </w:r>
      <w:r w:rsidR="00827721" w:rsidRPr="003A4F79">
        <w:t xml:space="preserve">returns in all </w:t>
      </w:r>
      <w:r w:rsidR="009359E0" w:rsidRPr="003A4F79">
        <w:t>month</w:t>
      </w:r>
      <w:r w:rsidR="00827721" w:rsidRPr="003A4F79">
        <w:t>s</w:t>
      </w:r>
      <w:r w:rsidR="009359E0" w:rsidRPr="003A4F79">
        <w:t xml:space="preserve"> of invest</w:t>
      </w:r>
      <w:r w:rsidR="00A91F51" w:rsidRPr="003A4F79">
        <w:t xml:space="preserve">ment </w:t>
      </w:r>
      <w:r w:rsidR="00D81BE1" w:rsidRPr="003A4F79">
        <w:t xml:space="preserve">during the entire period of market participation </w:t>
      </w:r>
      <w:r w:rsidR="00E45728" w:rsidRPr="003A4F79">
        <w:t>(</w:t>
      </w:r>
      <w:r w:rsidR="00E45728" w:rsidRPr="003A4F79">
        <w:rPr>
          <w:i/>
        </w:rPr>
        <w:t>all returns</w:t>
      </w:r>
      <w:r w:rsidR="00E45728" w:rsidRPr="003A4F79">
        <w:t>)</w:t>
      </w:r>
      <w:r w:rsidR="009359E0" w:rsidRPr="003A4F79">
        <w:rPr>
          <w:i/>
        </w:rPr>
        <w:t>.</w:t>
      </w:r>
      <w:r w:rsidR="00EE3180" w:rsidRPr="003A4F79">
        <w:rPr>
          <w:i/>
        </w:rPr>
        <w:t xml:space="preserve"> </w:t>
      </w:r>
      <w:r w:rsidR="002D691B" w:rsidRPr="003A4F79">
        <w:t xml:space="preserve">We test our prediction </w:t>
      </w:r>
      <w:r w:rsidR="00E0729C" w:rsidRPr="003A4F79">
        <w:t xml:space="preserve">by applying </w:t>
      </w:r>
      <w:r w:rsidR="004A1DB0" w:rsidRPr="003A4F79">
        <w:t xml:space="preserve">a </w:t>
      </w:r>
      <w:r w:rsidR="002D691B" w:rsidRPr="003A4F79">
        <w:t>survival analysis</w:t>
      </w:r>
      <w:r w:rsidR="00A62057" w:rsidRPr="003A4F79">
        <w:t xml:space="preserve"> technique</w:t>
      </w:r>
      <w:r w:rsidR="002D691B" w:rsidRPr="003A4F79">
        <w:t xml:space="preserve"> </w:t>
      </w:r>
      <w:r w:rsidR="00E0729C" w:rsidRPr="003A4F79">
        <w:t xml:space="preserve">to </w:t>
      </w:r>
      <w:r w:rsidR="002D691B" w:rsidRPr="003A4F79">
        <w:t xml:space="preserve">the </w:t>
      </w:r>
      <w:r w:rsidR="00E0729C" w:rsidRPr="003A4F79">
        <w:t xml:space="preserve">transaction data of individual </w:t>
      </w:r>
      <w:r w:rsidR="00B44C7D" w:rsidRPr="003A4F79">
        <w:t>investors</w:t>
      </w:r>
      <w:r w:rsidR="002754D4" w:rsidRPr="003A4F79">
        <w:t>, cover</w:t>
      </w:r>
      <w:r w:rsidR="004A1DB0" w:rsidRPr="003A4F79">
        <w:t>ing</w:t>
      </w:r>
      <w:r w:rsidR="002754D4" w:rsidRPr="003A4F79">
        <w:t xml:space="preserve"> every </w:t>
      </w:r>
      <w:r w:rsidR="002754D4" w:rsidRPr="003A4F79">
        <w:lastRenderedPageBreak/>
        <w:t xml:space="preserve">transaction by every investor in Finland </w:t>
      </w:r>
      <w:r w:rsidR="002D691B" w:rsidRPr="003A4F79">
        <w:t xml:space="preserve">from </w:t>
      </w:r>
      <w:r w:rsidR="00B3391C" w:rsidRPr="003A4F79">
        <w:t xml:space="preserve">1995 </w:t>
      </w:r>
      <w:r w:rsidR="004A1DB0" w:rsidRPr="003A4F79">
        <w:t xml:space="preserve">to </w:t>
      </w:r>
      <w:r w:rsidR="00B3391C" w:rsidRPr="003A4F79">
        <w:t>2003</w:t>
      </w:r>
      <w:r w:rsidR="00D74482" w:rsidRPr="003A4F79">
        <w:t xml:space="preserve">. </w:t>
      </w:r>
      <w:r w:rsidR="00A15E55" w:rsidRPr="003A4F79">
        <w:t xml:space="preserve">Our final sample consists of </w:t>
      </w:r>
      <w:r w:rsidR="00A15E55" w:rsidRPr="003A4F79">
        <w:rPr>
          <w:lang w:eastAsia="en-GB"/>
        </w:rPr>
        <w:t>276,470 investor</w:t>
      </w:r>
      <w:r w:rsidR="007C2D12" w:rsidRPr="003A4F79">
        <w:rPr>
          <w:lang w:eastAsia="en-GB"/>
        </w:rPr>
        <w:t xml:space="preserve"> </w:t>
      </w:r>
      <w:r w:rsidR="00E90EE0" w:rsidRPr="003A4F79">
        <w:rPr>
          <w:lang w:eastAsia="en-GB"/>
        </w:rPr>
        <w:t>months</w:t>
      </w:r>
      <w:r w:rsidR="004A1DB0" w:rsidRPr="003A4F79">
        <w:rPr>
          <w:lang w:eastAsia="en-GB"/>
        </w:rPr>
        <w:t>,</w:t>
      </w:r>
      <w:r w:rsidR="00A15E55" w:rsidRPr="003A4F79">
        <w:rPr>
          <w:lang w:eastAsia="en-GB"/>
        </w:rPr>
        <w:t xml:space="preserve"> with 9,435 investors who</w:t>
      </w:r>
      <w:r w:rsidR="00E90EE0" w:rsidRPr="003A4F79">
        <w:rPr>
          <w:lang w:eastAsia="en-GB"/>
        </w:rPr>
        <w:t xml:space="preserve"> </w:t>
      </w:r>
      <w:r w:rsidR="00DD33C0" w:rsidRPr="003A4F79">
        <w:rPr>
          <w:lang w:eastAsia="en-GB"/>
        </w:rPr>
        <w:t xml:space="preserve">once exited the stock market. </w:t>
      </w:r>
      <w:r w:rsidR="004A1DB0" w:rsidRPr="003A4F79">
        <w:rPr>
          <w:lang w:eastAsia="en-GB"/>
        </w:rPr>
        <w:t>As we are interested in</w:t>
      </w:r>
      <w:r w:rsidR="00894694" w:rsidRPr="003A4F79">
        <w:rPr>
          <w:lang w:eastAsia="en-GB"/>
        </w:rPr>
        <w:t xml:space="preserve"> the </w:t>
      </w:r>
      <w:r w:rsidR="00894694" w:rsidRPr="003A4F79">
        <w:rPr>
          <w:i/>
          <w:lang w:eastAsia="en-GB"/>
        </w:rPr>
        <w:t>time</w:t>
      </w:r>
      <w:r w:rsidR="00894694" w:rsidRPr="003A4F79">
        <w:rPr>
          <w:lang w:eastAsia="en-GB"/>
        </w:rPr>
        <w:t xml:space="preserve"> </w:t>
      </w:r>
      <w:r w:rsidR="004A1DB0" w:rsidRPr="003A4F79">
        <w:rPr>
          <w:lang w:eastAsia="en-GB"/>
        </w:rPr>
        <w:t xml:space="preserve">that elapses </w:t>
      </w:r>
      <w:r w:rsidR="00894694" w:rsidRPr="003A4F79">
        <w:rPr>
          <w:lang w:eastAsia="en-GB"/>
        </w:rPr>
        <w:t>until an investor re-enter</w:t>
      </w:r>
      <w:r w:rsidR="004A1DB0" w:rsidRPr="003A4F79">
        <w:rPr>
          <w:lang w:eastAsia="en-GB"/>
        </w:rPr>
        <w:t>s</w:t>
      </w:r>
      <w:r w:rsidR="00894694" w:rsidRPr="003A4F79">
        <w:rPr>
          <w:lang w:eastAsia="en-GB"/>
        </w:rPr>
        <w:t xml:space="preserve"> the stock market, we employ a discrete-time (</w:t>
      </w:r>
      <w:r w:rsidR="0067505D" w:rsidRPr="003A4F79">
        <w:rPr>
          <w:lang w:eastAsia="en-GB"/>
        </w:rPr>
        <w:t xml:space="preserve">or </w:t>
      </w:r>
      <w:r w:rsidR="00894694" w:rsidRPr="003A4F79">
        <w:rPr>
          <w:lang w:eastAsia="en-GB"/>
        </w:rPr>
        <w:t xml:space="preserve">monthly) hazard model as our main </w:t>
      </w:r>
      <w:r w:rsidR="004A1DB0" w:rsidRPr="003A4F79">
        <w:rPr>
          <w:lang w:eastAsia="en-GB"/>
        </w:rPr>
        <w:t xml:space="preserve">analysis </w:t>
      </w:r>
      <w:r w:rsidR="00894694" w:rsidRPr="003A4F79">
        <w:rPr>
          <w:lang w:eastAsia="en-GB"/>
        </w:rPr>
        <w:t>method</w:t>
      </w:r>
      <w:r w:rsidR="004A1DB0" w:rsidRPr="003A4F79">
        <w:rPr>
          <w:lang w:eastAsia="en-GB"/>
        </w:rPr>
        <w:t>. W</w:t>
      </w:r>
      <w:r w:rsidR="00432628" w:rsidRPr="003A4F79">
        <w:rPr>
          <w:lang w:eastAsia="en-GB"/>
        </w:rPr>
        <w:t xml:space="preserve">e </w:t>
      </w:r>
      <w:r w:rsidR="00C33704" w:rsidRPr="003A4F79">
        <w:rPr>
          <w:lang w:eastAsia="en-GB"/>
        </w:rPr>
        <w:t xml:space="preserve">estimate </w:t>
      </w:r>
      <w:r w:rsidR="004A1DB0" w:rsidRPr="003A4F79">
        <w:rPr>
          <w:lang w:eastAsia="en-GB"/>
        </w:rPr>
        <w:t xml:space="preserve">this </w:t>
      </w:r>
      <w:r w:rsidR="00C33704" w:rsidRPr="003A4F79">
        <w:rPr>
          <w:lang w:eastAsia="en-GB"/>
        </w:rPr>
        <w:t>using a multi-period logit regression</w:t>
      </w:r>
      <w:r w:rsidR="00BA7089" w:rsidRPr="003A4F79">
        <w:rPr>
          <w:lang w:eastAsia="en-GB"/>
        </w:rPr>
        <w:t xml:space="preserve"> with both time-varying and time-invariant covariates</w:t>
      </w:r>
      <w:r w:rsidR="004A1DB0" w:rsidRPr="003A4F79">
        <w:rPr>
          <w:lang w:eastAsia="en-GB"/>
        </w:rPr>
        <w:t>,</w:t>
      </w:r>
      <w:r w:rsidR="00E46F49" w:rsidRPr="003A4F79">
        <w:rPr>
          <w:lang w:eastAsia="en-GB"/>
        </w:rPr>
        <w:t xml:space="preserve"> as well as various fixed effects</w:t>
      </w:r>
      <w:r w:rsidR="00C33704" w:rsidRPr="003A4F79">
        <w:rPr>
          <w:lang w:eastAsia="en-GB"/>
        </w:rPr>
        <w:t>.</w:t>
      </w:r>
      <w:r w:rsidR="00767FBC" w:rsidRPr="003A4F79">
        <w:rPr>
          <w:rStyle w:val="FootnoteReference"/>
          <w:lang w:eastAsia="en-GB"/>
        </w:rPr>
        <w:footnoteReference w:id="2"/>
      </w:r>
      <w:r w:rsidR="0078318C" w:rsidRPr="003A4F79">
        <w:rPr>
          <w:lang w:eastAsia="en-GB"/>
        </w:rPr>
        <w:t xml:space="preserve"> </w:t>
      </w:r>
      <w:r w:rsidR="00B86412" w:rsidRPr="003A4F79">
        <w:rPr>
          <w:lang w:eastAsia="en-GB"/>
        </w:rPr>
        <w:t xml:space="preserve">Essentially, </w:t>
      </w:r>
      <w:r w:rsidR="00C569E5" w:rsidRPr="003A4F79">
        <w:rPr>
          <w:lang w:eastAsia="en-GB"/>
        </w:rPr>
        <w:t xml:space="preserve">the </w:t>
      </w:r>
      <w:r w:rsidR="00B86412" w:rsidRPr="003A4F79">
        <w:rPr>
          <w:lang w:eastAsia="en-GB"/>
        </w:rPr>
        <w:t>variable</w:t>
      </w:r>
      <w:r w:rsidR="0098105B" w:rsidRPr="003A4F79">
        <w:rPr>
          <w:lang w:eastAsia="en-GB"/>
        </w:rPr>
        <w:t>s</w:t>
      </w:r>
      <w:r w:rsidR="00B86412" w:rsidRPr="003A4F79">
        <w:rPr>
          <w:lang w:eastAsia="en-GB"/>
        </w:rPr>
        <w:t xml:space="preserve"> </w:t>
      </w:r>
      <w:r w:rsidR="00E64B80" w:rsidRPr="003A4F79">
        <w:rPr>
          <w:lang w:eastAsia="en-GB"/>
        </w:rPr>
        <w:t xml:space="preserve">we use </w:t>
      </w:r>
      <w:r w:rsidR="00C569E5" w:rsidRPr="003A4F79">
        <w:rPr>
          <w:lang w:eastAsia="en-GB"/>
        </w:rPr>
        <w:t>to</w:t>
      </w:r>
      <w:r w:rsidR="00E64B80" w:rsidRPr="003A4F79">
        <w:rPr>
          <w:lang w:eastAsia="en-GB"/>
        </w:rPr>
        <w:t xml:space="preserve"> </w:t>
      </w:r>
      <w:r w:rsidR="00D1542B" w:rsidRPr="003A4F79">
        <w:rPr>
          <w:lang w:eastAsia="en-GB"/>
        </w:rPr>
        <w:t xml:space="preserve">measure </w:t>
      </w:r>
      <w:r w:rsidR="00317B97" w:rsidRPr="003A4F79">
        <w:rPr>
          <w:lang w:eastAsia="en-GB"/>
        </w:rPr>
        <w:t>investors</w:t>
      </w:r>
      <w:r w:rsidR="007C2D12" w:rsidRPr="003A4F79">
        <w:rPr>
          <w:lang w:eastAsia="en-GB"/>
        </w:rPr>
        <w:t>’</w:t>
      </w:r>
      <w:r w:rsidR="00317B97" w:rsidRPr="003A4F79">
        <w:rPr>
          <w:lang w:eastAsia="en-GB"/>
        </w:rPr>
        <w:t xml:space="preserve"> </w:t>
      </w:r>
      <w:r w:rsidR="00E64B80" w:rsidRPr="003A4F79">
        <w:rPr>
          <w:lang w:eastAsia="en-GB"/>
        </w:rPr>
        <w:t xml:space="preserve">experience of </w:t>
      </w:r>
      <w:r w:rsidR="0098105B" w:rsidRPr="003A4F79">
        <w:rPr>
          <w:lang w:eastAsia="en-GB"/>
        </w:rPr>
        <w:t xml:space="preserve">stock </w:t>
      </w:r>
      <w:r w:rsidR="00C569E5" w:rsidRPr="003A4F79">
        <w:rPr>
          <w:lang w:eastAsia="en-GB"/>
        </w:rPr>
        <w:t xml:space="preserve">investment, </w:t>
      </w:r>
      <w:r w:rsidR="00B86412" w:rsidRPr="003A4F79">
        <w:rPr>
          <w:lang w:eastAsia="en-GB"/>
        </w:rPr>
        <w:t xml:space="preserve">including our main variable, </w:t>
      </w:r>
      <w:r w:rsidR="00B86412" w:rsidRPr="003A4F79">
        <w:rPr>
          <w:i/>
          <w:lang w:eastAsia="en-GB"/>
        </w:rPr>
        <w:t>initial returns</w:t>
      </w:r>
      <w:r w:rsidR="0027099D" w:rsidRPr="003A4F79">
        <w:rPr>
          <w:i/>
          <w:lang w:eastAsia="en-GB"/>
        </w:rPr>
        <w:t>,</w:t>
      </w:r>
      <w:r w:rsidR="0098105B" w:rsidRPr="003A4F79">
        <w:rPr>
          <w:i/>
          <w:lang w:eastAsia="en-GB"/>
        </w:rPr>
        <w:t xml:space="preserve"> </w:t>
      </w:r>
      <w:r w:rsidR="00E64B80" w:rsidRPr="003A4F79">
        <w:rPr>
          <w:lang w:eastAsia="en-GB"/>
        </w:rPr>
        <w:t>serve as time-invariant covariate</w:t>
      </w:r>
      <w:r w:rsidR="00C569E5" w:rsidRPr="003A4F79">
        <w:rPr>
          <w:lang w:eastAsia="en-GB"/>
        </w:rPr>
        <w:t>s</w:t>
      </w:r>
      <w:r w:rsidR="00E64B80" w:rsidRPr="003A4F79">
        <w:rPr>
          <w:lang w:eastAsia="en-GB"/>
        </w:rPr>
        <w:t xml:space="preserve"> in our regression.</w:t>
      </w:r>
    </w:p>
    <w:p w14:paraId="3645F129" w14:textId="5AA407B1" w:rsidR="00901277" w:rsidRPr="003A4F79" w:rsidRDefault="00A43283">
      <w:r w:rsidRPr="003A4F79">
        <w:t xml:space="preserve">Our </w:t>
      </w:r>
      <w:r w:rsidR="004F2ADB" w:rsidRPr="003A4F79">
        <w:t>main empirical finding</w:t>
      </w:r>
      <w:r w:rsidR="00FA7C72" w:rsidRPr="003A4F79">
        <w:t xml:space="preserve"> </w:t>
      </w:r>
      <w:r w:rsidR="00C569E5" w:rsidRPr="003A4F79">
        <w:t xml:space="preserve">is </w:t>
      </w:r>
      <w:r w:rsidR="005C78A6" w:rsidRPr="003A4F79">
        <w:t xml:space="preserve">that </w:t>
      </w:r>
      <w:r w:rsidR="00874012" w:rsidRPr="003A4F79">
        <w:t xml:space="preserve">initial </w:t>
      </w:r>
      <w:r w:rsidR="00B3391C" w:rsidRPr="003A4F79">
        <w:t xml:space="preserve">returns </w:t>
      </w:r>
      <w:r w:rsidR="005C78A6" w:rsidRPr="003A4F79">
        <w:t>strong</w:t>
      </w:r>
      <w:r w:rsidR="00C569E5" w:rsidRPr="003A4F79">
        <w:t>ly</w:t>
      </w:r>
      <w:r w:rsidR="005C78A6" w:rsidRPr="003A4F79">
        <w:t xml:space="preserve"> influence investors</w:t>
      </w:r>
      <w:r w:rsidR="00C569E5" w:rsidRPr="003A4F79">
        <w:t>’</w:t>
      </w:r>
      <w:r w:rsidR="005C78A6" w:rsidRPr="003A4F79">
        <w:t xml:space="preserve"> decision</w:t>
      </w:r>
      <w:r w:rsidR="00C569E5" w:rsidRPr="003A4F79">
        <w:t>s</w:t>
      </w:r>
      <w:r w:rsidR="005C78A6" w:rsidRPr="003A4F79">
        <w:t xml:space="preserve"> to return </w:t>
      </w:r>
      <w:r w:rsidR="001876DC" w:rsidRPr="003A4F79">
        <w:t xml:space="preserve">to </w:t>
      </w:r>
      <w:r w:rsidR="005C78A6" w:rsidRPr="003A4F79">
        <w:t>the market</w:t>
      </w:r>
      <w:r w:rsidR="00840031" w:rsidRPr="003A4F79">
        <w:t xml:space="preserve"> after withdrawing from it</w:t>
      </w:r>
      <w:r w:rsidR="005C78A6" w:rsidRPr="003A4F79">
        <w:t>. More sp</w:t>
      </w:r>
      <w:r w:rsidR="00B3391C" w:rsidRPr="003A4F79">
        <w:t>e</w:t>
      </w:r>
      <w:r w:rsidR="005C78A6" w:rsidRPr="003A4F79">
        <w:t xml:space="preserve">cifically, </w:t>
      </w:r>
      <w:r w:rsidR="00FB2AC4" w:rsidRPr="003A4F79">
        <w:rPr>
          <w:rFonts w:eastAsia="Batang"/>
        </w:rPr>
        <w:t xml:space="preserve">investors who experience lower returns in the first month of investing and subsequently exit the market are less likely to </w:t>
      </w:r>
      <w:r w:rsidR="007C2D12" w:rsidRPr="003A4F79">
        <w:rPr>
          <w:rFonts w:eastAsia="Batang"/>
        </w:rPr>
        <w:t xml:space="preserve">re-enter </w:t>
      </w:r>
      <w:r w:rsidR="00FB2AC4" w:rsidRPr="003A4F79">
        <w:rPr>
          <w:rFonts w:eastAsia="Batang"/>
        </w:rPr>
        <w:t xml:space="preserve">than </w:t>
      </w:r>
      <w:r w:rsidR="00C569E5" w:rsidRPr="003A4F79">
        <w:rPr>
          <w:rFonts w:eastAsia="Batang"/>
        </w:rPr>
        <w:t xml:space="preserve">those </w:t>
      </w:r>
      <w:r w:rsidR="00FB2AC4" w:rsidRPr="003A4F79">
        <w:rPr>
          <w:rFonts w:eastAsia="Batang"/>
        </w:rPr>
        <w:t xml:space="preserve">who </w:t>
      </w:r>
      <w:r w:rsidR="00C569E5" w:rsidRPr="003A4F79">
        <w:rPr>
          <w:rFonts w:eastAsia="Batang"/>
        </w:rPr>
        <w:t xml:space="preserve">receive </w:t>
      </w:r>
      <w:r w:rsidR="00FB2AC4" w:rsidRPr="003A4F79">
        <w:rPr>
          <w:rFonts w:eastAsia="Batang"/>
        </w:rPr>
        <w:t>higher initial returns and also exit the market</w:t>
      </w:r>
      <w:r w:rsidR="00235CFE" w:rsidRPr="003A4F79">
        <w:rPr>
          <w:rFonts w:eastAsia="Batang"/>
        </w:rPr>
        <w:t xml:space="preserve">. </w:t>
      </w:r>
      <w:r w:rsidR="008A69C3" w:rsidRPr="003A4F79">
        <w:rPr>
          <w:rFonts w:eastAsia="Batang"/>
        </w:rPr>
        <w:t>Th</w:t>
      </w:r>
      <w:r w:rsidR="00234D6E" w:rsidRPr="003A4F79">
        <w:rPr>
          <w:rFonts w:eastAsia="Batang"/>
        </w:rPr>
        <w:t>e</w:t>
      </w:r>
      <w:r w:rsidR="008A69C3" w:rsidRPr="003A4F79">
        <w:rPr>
          <w:rFonts w:eastAsia="Batang"/>
        </w:rPr>
        <w:t xml:space="preserve"> positive relation between </w:t>
      </w:r>
      <w:r w:rsidR="00387435" w:rsidRPr="003A4F79">
        <w:rPr>
          <w:rFonts w:eastAsia="Batang"/>
        </w:rPr>
        <w:t>initial returns and the hazard probability</w:t>
      </w:r>
      <w:r w:rsidR="00BA7B4F" w:rsidRPr="003A4F79">
        <w:rPr>
          <w:rFonts w:eastAsia="Batang"/>
        </w:rPr>
        <w:t xml:space="preserve"> of re-entry remains very strong</w:t>
      </w:r>
      <w:r w:rsidR="00C569E5" w:rsidRPr="003A4F79">
        <w:rPr>
          <w:rFonts w:eastAsia="Batang"/>
        </w:rPr>
        <w:t>,</w:t>
      </w:r>
      <w:r w:rsidR="00BA7B4F" w:rsidRPr="003A4F79">
        <w:rPr>
          <w:rFonts w:eastAsia="Batang"/>
        </w:rPr>
        <w:t xml:space="preserve"> even after controlling for </w:t>
      </w:r>
      <w:r w:rsidR="00E450E9" w:rsidRPr="003A4F79">
        <w:rPr>
          <w:rFonts w:eastAsia="Batang"/>
          <w:i/>
        </w:rPr>
        <w:t>recent returns</w:t>
      </w:r>
      <w:r w:rsidR="00E450E9" w:rsidRPr="003A4F79">
        <w:rPr>
          <w:rFonts w:eastAsia="Batang"/>
        </w:rPr>
        <w:t xml:space="preserve"> (i.e., returns in the last month of investing) </w:t>
      </w:r>
      <w:r w:rsidR="00C569E5" w:rsidRPr="003A4F79">
        <w:rPr>
          <w:rFonts w:eastAsia="Batang"/>
        </w:rPr>
        <w:t>and</w:t>
      </w:r>
      <w:r w:rsidR="00E45728" w:rsidRPr="003A4F79">
        <w:rPr>
          <w:rFonts w:eastAsia="Batang"/>
        </w:rPr>
        <w:t xml:space="preserve"> </w:t>
      </w:r>
      <w:r w:rsidR="00F362E8" w:rsidRPr="003A4F79">
        <w:rPr>
          <w:rFonts w:eastAsia="Batang"/>
          <w:i/>
        </w:rPr>
        <w:t>all</w:t>
      </w:r>
      <w:r w:rsidR="00E450E9" w:rsidRPr="003A4F79">
        <w:rPr>
          <w:rFonts w:eastAsia="Batang"/>
          <w:i/>
        </w:rPr>
        <w:t xml:space="preserve"> returns</w:t>
      </w:r>
      <w:r w:rsidR="00CB2820" w:rsidRPr="003A4F79">
        <w:rPr>
          <w:rFonts w:eastAsia="Batang"/>
        </w:rPr>
        <w:t xml:space="preserve"> (i.e., average returns in all months of investing)</w:t>
      </w:r>
      <w:r w:rsidR="00E450E9" w:rsidRPr="003A4F79">
        <w:rPr>
          <w:rFonts w:eastAsia="Batang"/>
        </w:rPr>
        <w:t>.</w:t>
      </w:r>
      <w:r w:rsidR="005749A0" w:rsidRPr="003A4F79">
        <w:rPr>
          <w:rFonts w:eastAsia="Batang"/>
        </w:rPr>
        <w:t xml:space="preserve"> </w:t>
      </w:r>
      <w:r w:rsidR="00C569E5" w:rsidRPr="003A4F79">
        <w:t>W</w:t>
      </w:r>
      <w:r w:rsidR="00046278" w:rsidRPr="003A4F79">
        <w:t>e</w:t>
      </w:r>
      <w:r w:rsidR="0049155F" w:rsidRPr="003A4F79">
        <w:t xml:space="preserve"> </w:t>
      </w:r>
      <w:r w:rsidR="00C569E5" w:rsidRPr="003A4F79">
        <w:t xml:space="preserve">also </w:t>
      </w:r>
      <w:r w:rsidR="0049155F" w:rsidRPr="003A4F79">
        <w:t>examin</w:t>
      </w:r>
      <w:r w:rsidR="00046278" w:rsidRPr="003A4F79">
        <w:t>e whether</w:t>
      </w:r>
      <w:r w:rsidR="0049155F" w:rsidRPr="003A4F79">
        <w:t xml:space="preserve"> </w:t>
      </w:r>
      <w:r w:rsidR="005A6585" w:rsidRPr="003A4F79">
        <w:t xml:space="preserve">initial returns affect </w:t>
      </w:r>
      <w:r w:rsidR="005528A7" w:rsidRPr="003A4F79">
        <w:t>investors</w:t>
      </w:r>
      <w:r w:rsidR="00C569E5" w:rsidRPr="003A4F79">
        <w:t>’</w:t>
      </w:r>
      <w:r w:rsidR="005528A7" w:rsidRPr="003A4F79">
        <w:t xml:space="preserve"> re-entry decision</w:t>
      </w:r>
      <w:r w:rsidR="00C569E5" w:rsidRPr="003A4F79">
        <w:t>s</w:t>
      </w:r>
      <w:r w:rsidR="005528A7" w:rsidRPr="003A4F79">
        <w:t xml:space="preserve"> asymmetric</w:t>
      </w:r>
      <w:r w:rsidR="00C569E5" w:rsidRPr="003A4F79">
        <w:t>ally;</w:t>
      </w:r>
      <w:r w:rsidR="005A6585" w:rsidRPr="003A4F79">
        <w:t xml:space="preserve"> that is</w:t>
      </w:r>
      <w:r w:rsidR="00EC536F" w:rsidRPr="003A4F79">
        <w:t>,</w:t>
      </w:r>
      <w:r w:rsidR="005A6585" w:rsidRPr="003A4F79">
        <w:t xml:space="preserve"> whether the likelihood of re-entry is more sensitive </w:t>
      </w:r>
      <w:r w:rsidR="0063684F" w:rsidRPr="003A4F79">
        <w:t xml:space="preserve">to initial returns </w:t>
      </w:r>
      <w:r w:rsidR="00C01948" w:rsidRPr="003A4F79">
        <w:t xml:space="preserve">when the returns are </w:t>
      </w:r>
      <w:r w:rsidR="005A6585" w:rsidRPr="003A4F79">
        <w:t xml:space="preserve">positive </w:t>
      </w:r>
      <w:r w:rsidR="001676EE" w:rsidRPr="003A4F79">
        <w:t>(gains)</w:t>
      </w:r>
      <w:r w:rsidR="009B7634" w:rsidRPr="003A4F79">
        <w:t xml:space="preserve"> </w:t>
      </w:r>
      <w:r w:rsidR="005A6585" w:rsidRPr="003A4F79">
        <w:t xml:space="preserve">than when they are negative </w:t>
      </w:r>
      <w:r w:rsidR="001676EE" w:rsidRPr="003A4F79">
        <w:t>(losses)</w:t>
      </w:r>
      <w:r w:rsidR="005A6585" w:rsidRPr="003A4F79">
        <w:t>, or vice versa</w:t>
      </w:r>
      <w:r w:rsidR="009B7634" w:rsidRPr="003A4F79">
        <w:t>.</w:t>
      </w:r>
      <w:r w:rsidR="002E4C58" w:rsidRPr="003A4F79">
        <w:t xml:space="preserve"> </w:t>
      </w:r>
      <w:r w:rsidR="00BB6F43" w:rsidRPr="003A4F79">
        <w:t>O</w:t>
      </w:r>
      <w:r w:rsidR="004D5E12" w:rsidRPr="003A4F79">
        <w:t xml:space="preserve">ur </w:t>
      </w:r>
      <w:r w:rsidR="004D5E12" w:rsidRPr="003A4F79">
        <w:lastRenderedPageBreak/>
        <w:t xml:space="preserve">regression results </w:t>
      </w:r>
      <w:r w:rsidR="00C569E5" w:rsidRPr="003A4F79">
        <w:t xml:space="preserve">show </w:t>
      </w:r>
      <w:r w:rsidR="00514EEA" w:rsidRPr="003A4F79">
        <w:t xml:space="preserve">that </w:t>
      </w:r>
      <w:r w:rsidR="004D5E12" w:rsidRPr="003A4F79">
        <w:t>the slope</w:t>
      </w:r>
      <w:r w:rsidR="00514EEA" w:rsidRPr="003A4F79">
        <w:t>s</w:t>
      </w:r>
      <w:r w:rsidR="004D5E12" w:rsidRPr="003A4F79">
        <w:t xml:space="preserve"> (sensitivity) of re-entry</w:t>
      </w:r>
      <w:r w:rsidR="00654A8F" w:rsidRPr="003A4F79">
        <w:t xml:space="preserve"> odds</w:t>
      </w:r>
      <w:r w:rsidR="004D5E12" w:rsidRPr="003A4F79">
        <w:t xml:space="preserve"> </w:t>
      </w:r>
      <w:r w:rsidR="00547C4F" w:rsidRPr="003A4F79">
        <w:t>as a function of initial returns</w:t>
      </w:r>
      <w:r w:rsidR="00514EEA" w:rsidRPr="003A4F79">
        <w:t xml:space="preserve"> are not the same</w:t>
      </w:r>
      <w:r w:rsidR="004D5E12" w:rsidRPr="003A4F79">
        <w:t xml:space="preserve">, and </w:t>
      </w:r>
      <w:r w:rsidR="00C569E5" w:rsidRPr="003A4F79">
        <w:t>are</w:t>
      </w:r>
      <w:r w:rsidR="004D5E12" w:rsidRPr="003A4F79">
        <w:t xml:space="preserve"> steeper when the returns are positive.</w:t>
      </w:r>
      <w:r w:rsidR="004715F7" w:rsidRPr="003A4F79">
        <w:t xml:space="preserve"> </w:t>
      </w:r>
      <w:r w:rsidR="00F84CCF" w:rsidRPr="003A4F79">
        <w:t xml:space="preserve">This </w:t>
      </w:r>
      <w:r w:rsidR="006D7866" w:rsidRPr="003A4F79">
        <w:t xml:space="preserve">asymmetric pattern </w:t>
      </w:r>
      <w:r w:rsidR="005E4A6C" w:rsidRPr="003A4F79">
        <w:t>o</w:t>
      </w:r>
      <w:r w:rsidR="007C2D12" w:rsidRPr="003A4F79">
        <w:t>f</w:t>
      </w:r>
      <w:r w:rsidR="006D7866" w:rsidRPr="003A4F79">
        <w:t xml:space="preserve"> investor</w:t>
      </w:r>
      <w:r w:rsidR="005E4A6C" w:rsidRPr="003A4F79">
        <w:t>s’</w:t>
      </w:r>
      <w:r w:rsidR="006D7866" w:rsidRPr="003A4F79">
        <w:t xml:space="preserve"> </w:t>
      </w:r>
      <w:r w:rsidR="005E4A6C" w:rsidRPr="003A4F79">
        <w:t xml:space="preserve">responses </w:t>
      </w:r>
      <w:r w:rsidR="006D7866" w:rsidRPr="003A4F79">
        <w:t>to initial returns</w:t>
      </w:r>
      <w:r w:rsidR="00BC73B8" w:rsidRPr="003A4F79">
        <w:t xml:space="preserve"> with respect to re-entry decision</w:t>
      </w:r>
      <w:r w:rsidR="005E4A6C" w:rsidRPr="003A4F79">
        <w:t>s</w:t>
      </w:r>
      <w:r w:rsidR="00BC73B8" w:rsidRPr="003A4F79">
        <w:t xml:space="preserve"> </w:t>
      </w:r>
      <w:r w:rsidR="00057C61" w:rsidRPr="003A4F79">
        <w:t xml:space="preserve">is </w:t>
      </w:r>
      <w:r w:rsidR="00432E49" w:rsidRPr="003A4F79">
        <w:t xml:space="preserve">in line with the prediction of </w:t>
      </w:r>
      <w:r w:rsidR="007C2D12" w:rsidRPr="003A4F79">
        <w:t xml:space="preserve">the </w:t>
      </w:r>
      <w:r w:rsidR="00F84CCF" w:rsidRPr="003A4F79">
        <w:rPr>
          <w:i/>
        </w:rPr>
        <w:t>self-attribution</w:t>
      </w:r>
      <w:r w:rsidR="00057C61" w:rsidRPr="003A4F79">
        <w:t xml:space="preserve"> </w:t>
      </w:r>
      <w:r w:rsidR="008651B5" w:rsidRPr="003A4F79">
        <w:t xml:space="preserve">or </w:t>
      </w:r>
      <w:r w:rsidR="008651B5" w:rsidRPr="003A4F79">
        <w:rPr>
          <w:i/>
        </w:rPr>
        <w:t>self-serving</w:t>
      </w:r>
      <w:r w:rsidR="008651B5" w:rsidRPr="003A4F79">
        <w:t xml:space="preserve"> </w:t>
      </w:r>
      <w:r w:rsidR="005E4A6C" w:rsidRPr="003A4F79">
        <w:t xml:space="preserve">model </w:t>
      </w:r>
      <w:r w:rsidR="00F84CCF" w:rsidRPr="003A4F79">
        <w:t>(</w:t>
      </w:r>
      <w:r w:rsidR="00543C6E" w:rsidRPr="003A4F79">
        <w:t>Daniel</w:t>
      </w:r>
      <w:r w:rsidR="00406225" w:rsidRPr="003A4F79">
        <w:t>, Hirshleifer, and Subrahmanaym</w:t>
      </w:r>
      <w:r w:rsidR="00543C6E" w:rsidRPr="003A4F79">
        <w:t>, 1998; Gervais and Odean, 2001</w:t>
      </w:r>
      <w:r w:rsidR="002A391E" w:rsidRPr="003A4F79">
        <w:t>)</w:t>
      </w:r>
      <w:r w:rsidR="00754854" w:rsidRPr="003A4F79">
        <w:t xml:space="preserve">. </w:t>
      </w:r>
      <w:r w:rsidR="00E954D9" w:rsidRPr="003A4F79">
        <w:t>This theory posits that</w:t>
      </w:r>
      <w:r w:rsidR="005E4A6C" w:rsidRPr="003A4F79">
        <w:t>,</w:t>
      </w:r>
      <w:r w:rsidR="00E954D9" w:rsidRPr="003A4F79">
        <w:t xml:space="preserve"> </w:t>
      </w:r>
      <w:r w:rsidR="00057C61" w:rsidRPr="003A4F79">
        <w:t xml:space="preserve">in </w:t>
      </w:r>
      <w:r w:rsidR="008651B5" w:rsidRPr="003A4F79">
        <w:t>recalling and interpreting the factors involved in their successes and failures</w:t>
      </w:r>
      <w:r w:rsidR="00E954D9" w:rsidRPr="003A4F79">
        <w:t xml:space="preserve">, </w:t>
      </w:r>
      <w:r w:rsidR="00864566" w:rsidRPr="003A4F79">
        <w:t>individual</w:t>
      </w:r>
      <w:r w:rsidR="005E4A6C" w:rsidRPr="003A4F79">
        <w:t>s</w:t>
      </w:r>
      <w:r w:rsidR="00864566" w:rsidRPr="003A4F79">
        <w:t xml:space="preserve"> tend to attribute successes to </w:t>
      </w:r>
      <w:r w:rsidR="005E4A6C" w:rsidRPr="003A4F79">
        <w:t xml:space="preserve">their </w:t>
      </w:r>
      <w:r w:rsidR="00432E49" w:rsidRPr="003A4F79">
        <w:t xml:space="preserve">own </w:t>
      </w:r>
      <w:r w:rsidR="00864566" w:rsidRPr="003A4F79">
        <w:t xml:space="preserve">skill </w:t>
      </w:r>
      <w:r w:rsidR="00432E49" w:rsidRPr="003A4F79">
        <w:t>bu</w:t>
      </w:r>
      <w:r w:rsidR="00357577" w:rsidRPr="003A4F79">
        <w:t xml:space="preserve">t ascribe failures to bad luck. </w:t>
      </w:r>
      <w:r w:rsidR="0045452D" w:rsidRPr="003A4F79">
        <w:t>Consequently</w:t>
      </w:r>
      <w:r w:rsidR="00357577" w:rsidRPr="003A4F79">
        <w:t xml:space="preserve">, positive </w:t>
      </w:r>
      <w:r w:rsidR="00147937" w:rsidRPr="003A4F79">
        <w:t xml:space="preserve">initial </w:t>
      </w:r>
      <w:r w:rsidR="00357577" w:rsidRPr="003A4F79">
        <w:t xml:space="preserve">returns </w:t>
      </w:r>
      <w:r w:rsidR="00E954D9" w:rsidRPr="003A4F79">
        <w:t xml:space="preserve">may </w:t>
      </w:r>
      <w:r w:rsidR="00357577" w:rsidRPr="003A4F79">
        <w:t>enhance investors</w:t>
      </w:r>
      <w:r w:rsidR="00D0565D" w:rsidRPr="003A4F79">
        <w:t>’</w:t>
      </w:r>
      <w:r w:rsidR="00357577" w:rsidRPr="003A4F79">
        <w:t xml:space="preserve"> perception</w:t>
      </w:r>
      <w:r w:rsidR="00D0565D" w:rsidRPr="003A4F79">
        <w:t>s</w:t>
      </w:r>
      <w:r w:rsidR="00357577" w:rsidRPr="003A4F79">
        <w:t xml:space="preserve"> of </w:t>
      </w:r>
      <w:r w:rsidR="00D0565D" w:rsidRPr="003A4F79">
        <w:t xml:space="preserve">their </w:t>
      </w:r>
      <w:r w:rsidR="00E954D9" w:rsidRPr="003A4F79">
        <w:t xml:space="preserve">own </w:t>
      </w:r>
      <w:r w:rsidR="00357577" w:rsidRPr="003A4F79">
        <w:t>skill</w:t>
      </w:r>
      <w:r w:rsidR="00D0565D" w:rsidRPr="003A4F79">
        <w:t>, making them respond</w:t>
      </w:r>
      <w:r w:rsidR="00C7061F" w:rsidRPr="003A4F79">
        <w:t xml:space="preserve"> more sensitive</w:t>
      </w:r>
      <w:r w:rsidR="00D0565D" w:rsidRPr="003A4F79">
        <w:t>ly</w:t>
      </w:r>
      <w:r w:rsidR="00C7061F" w:rsidRPr="003A4F79">
        <w:t xml:space="preserve"> to returns.</w:t>
      </w:r>
    </w:p>
    <w:p w14:paraId="54098FC8" w14:textId="35699678" w:rsidR="00E1397F" w:rsidRPr="003A4F79" w:rsidRDefault="00085D74">
      <w:r w:rsidRPr="003A4F79">
        <w:t xml:space="preserve">A potential </w:t>
      </w:r>
      <w:r w:rsidR="00007901" w:rsidRPr="003A4F79">
        <w:t xml:space="preserve">concern </w:t>
      </w:r>
      <w:r w:rsidRPr="003A4F79">
        <w:t xml:space="preserve">here may pertain to </w:t>
      </w:r>
      <w:r w:rsidR="002B32E8" w:rsidRPr="003A4F79">
        <w:t xml:space="preserve">our selection of investors </w:t>
      </w:r>
      <w:r w:rsidR="00264075" w:rsidRPr="003A4F79">
        <w:t>in</w:t>
      </w:r>
      <w:r w:rsidR="002B32E8" w:rsidRPr="003A4F79">
        <w:t>to the</w:t>
      </w:r>
      <w:r w:rsidR="00A46DBC" w:rsidRPr="003A4F79">
        <w:t xml:space="preserve"> </w:t>
      </w:r>
      <w:r w:rsidR="008B2F17" w:rsidRPr="003A4F79">
        <w:t>final</w:t>
      </w:r>
      <w:r w:rsidR="002B32E8" w:rsidRPr="003A4F79">
        <w:t xml:space="preserve"> </w:t>
      </w:r>
      <w:r w:rsidR="00E1397F" w:rsidRPr="003A4F79">
        <w:t>sample</w:t>
      </w:r>
      <w:r w:rsidR="002B32E8" w:rsidRPr="003A4F79">
        <w:t>.</w:t>
      </w:r>
      <w:r w:rsidR="00E1397F" w:rsidRPr="003A4F79">
        <w:t xml:space="preserve"> </w:t>
      </w:r>
      <w:r w:rsidR="008041E4" w:rsidRPr="003A4F79">
        <w:t xml:space="preserve">Our </w:t>
      </w:r>
      <w:r w:rsidR="00BF788C" w:rsidRPr="003A4F79">
        <w:t>sample comprises</w:t>
      </w:r>
      <w:r w:rsidR="002B32E8" w:rsidRPr="003A4F79">
        <w:t xml:space="preserve"> </w:t>
      </w:r>
      <w:r w:rsidR="00E1397F" w:rsidRPr="003A4F79">
        <w:t xml:space="preserve">investors </w:t>
      </w:r>
      <w:r w:rsidR="00264075" w:rsidRPr="003A4F79">
        <w:t xml:space="preserve">who </w:t>
      </w:r>
      <w:r w:rsidR="00BE1B4D" w:rsidRPr="003A4F79">
        <w:t xml:space="preserve">once </w:t>
      </w:r>
      <w:r w:rsidR="00E1397F" w:rsidRPr="003A4F79">
        <w:t>exit</w:t>
      </w:r>
      <w:r w:rsidR="00BE1B4D" w:rsidRPr="003A4F79">
        <w:t>ed</w:t>
      </w:r>
      <w:r w:rsidR="00E1397F" w:rsidRPr="003A4F79">
        <w:t xml:space="preserve"> the stock market</w:t>
      </w:r>
      <w:r w:rsidR="00264075" w:rsidRPr="003A4F79">
        <w:t xml:space="preserve"> </w:t>
      </w:r>
      <w:r w:rsidR="00BF788C" w:rsidRPr="003A4F79">
        <w:t>as</w:t>
      </w:r>
      <w:r w:rsidR="00264075" w:rsidRPr="003A4F79">
        <w:t xml:space="preserve"> </w:t>
      </w:r>
      <w:r w:rsidR="00F57985" w:rsidRPr="003A4F79">
        <w:t>they</w:t>
      </w:r>
      <w:r w:rsidR="00303A50" w:rsidRPr="003A4F79">
        <w:t xml:space="preserve"> are investors </w:t>
      </w:r>
      <w:r w:rsidR="008277FA" w:rsidRPr="003A4F79">
        <w:t>we can</w:t>
      </w:r>
      <w:r w:rsidR="00303A50" w:rsidRPr="003A4F79">
        <w:t xml:space="preserve"> </w:t>
      </w:r>
      <w:r w:rsidR="00BF788C" w:rsidRPr="003A4F79">
        <w:t xml:space="preserve">observe a re-entry </w:t>
      </w:r>
      <w:r w:rsidR="00303A50" w:rsidRPr="003A4F79">
        <w:t>for</w:t>
      </w:r>
      <w:r w:rsidR="008277FA" w:rsidRPr="003A4F79">
        <w:t xml:space="preserve">. </w:t>
      </w:r>
      <w:r w:rsidR="00432719" w:rsidRPr="003A4F79">
        <w:t xml:space="preserve">Since </w:t>
      </w:r>
      <w:r w:rsidR="00356F99" w:rsidRPr="003A4F79">
        <w:t>t</w:t>
      </w:r>
      <w:r w:rsidR="00D0565D" w:rsidRPr="003A4F79">
        <w:t>he</w:t>
      </w:r>
      <w:r w:rsidR="00432719" w:rsidRPr="003A4F79">
        <w:t xml:space="preserve"> investor’s</w:t>
      </w:r>
      <w:r w:rsidR="00E1397F" w:rsidRPr="003A4F79">
        <w:t xml:space="preserve"> decision to </w:t>
      </w:r>
      <w:r w:rsidR="00432719" w:rsidRPr="003A4F79">
        <w:t>exit is not</w:t>
      </w:r>
      <w:r w:rsidR="002B32E8" w:rsidRPr="003A4F79">
        <w:t xml:space="preserve"> </w:t>
      </w:r>
      <w:r w:rsidR="00E1397F" w:rsidRPr="003A4F79">
        <w:t>random</w:t>
      </w:r>
      <w:r w:rsidR="00DE2AA6" w:rsidRPr="003A4F79">
        <w:t>ly assigned</w:t>
      </w:r>
      <w:r w:rsidR="002E775A" w:rsidRPr="003A4F79">
        <w:t>, the</w:t>
      </w:r>
      <w:r w:rsidR="00432719" w:rsidRPr="003A4F79">
        <w:t xml:space="preserve"> estimation</w:t>
      </w:r>
      <w:r w:rsidR="000F1F0F" w:rsidRPr="003A4F79">
        <w:t xml:space="preserve"> </w:t>
      </w:r>
      <w:r w:rsidR="007F74A1" w:rsidRPr="003A4F79">
        <w:t xml:space="preserve">of re-entry probability </w:t>
      </w:r>
      <w:r w:rsidR="000F1F0F" w:rsidRPr="003A4F79">
        <w:t>based on th</w:t>
      </w:r>
      <w:r w:rsidR="00EE44E0" w:rsidRPr="003A4F79">
        <w:t xml:space="preserve">is </w:t>
      </w:r>
      <w:r w:rsidR="000F1F0F" w:rsidRPr="003A4F79">
        <w:t>subpopulation</w:t>
      </w:r>
      <w:r w:rsidR="00EE44E0" w:rsidRPr="003A4F79">
        <w:t xml:space="preserve"> of investors </w:t>
      </w:r>
      <w:r w:rsidR="00432719" w:rsidRPr="003A4F79">
        <w:t xml:space="preserve">may introduce </w:t>
      </w:r>
      <w:r w:rsidR="00F57985" w:rsidRPr="003A4F79">
        <w:t xml:space="preserve">a </w:t>
      </w:r>
      <w:r w:rsidR="00432719" w:rsidRPr="003A4F79">
        <w:t xml:space="preserve">bias. </w:t>
      </w:r>
      <w:r w:rsidR="00E1397F" w:rsidRPr="003A4F79">
        <w:t>To alleviate this concern, we employ He</w:t>
      </w:r>
      <w:r w:rsidR="007C3709" w:rsidRPr="003A4F79">
        <w:t>c</w:t>
      </w:r>
      <w:r w:rsidR="00E1397F" w:rsidRPr="003A4F79">
        <w:t xml:space="preserve">kman’s (1976) two-stage model to control for endogeneity </w:t>
      </w:r>
      <w:r w:rsidR="00D0565D" w:rsidRPr="003A4F79">
        <w:t>in</w:t>
      </w:r>
      <w:r w:rsidR="00E1397F" w:rsidRPr="003A4F79">
        <w:t xml:space="preserve"> investors</w:t>
      </w:r>
      <w:r w:rsidR="00D0565D" w:rsidRPr="003A4F79">
        <w:t>’</w:t>
      </w:r>
      <w:r w:rsidR="00E1397F" w:rsidRPr="003A4F79">
        <w:t xml:space="preserve"> exit decision</w:t>
      </w:r>
      <w:r w:rsidR="00D0565D" w:rsidRPr="003A4F79">
        <w:t>s</w:t>
      </w:r>
      <w:r w:rsidR="00E1397F" w:rsidRPr="003A4F79">
        <w:t>.</w:t>
      </w:r>
      <w:r w:rsidR="002A26D4" w:rsidRPr="003A4F79">
        <w:rPr>
          <w:rStyle w:val="FootnoteReference"/>
        </w:rPr>
        <w:footnoteReference w:id="3"/>
      </w:r>
      <w:r w:rsidR="00485FFB" w:rsidRPr="003A4F79">
        <w:t xml:space="preserve"> Not only exit decisions but also initial </w:t>
      </w:r>
      <w:r w:rsidR="00EC708B" w:rsidRPr="003A4F79">
        <w:t>entry decision</w:t>
      </w:r>
      <w:r w:rsidR="00862836" w:rsidRPr="003A4F79">
        <w:t>s</w:t>
      </w:r>
      <w:r w:rsidR="00EC708B" w:rsidRPr="003A4F79">
        <w:t xml:space="preserve"> </w:t>
      </w:r>
      <w:r w:rsidR="00FA1CED" w:rsidRPr="003A4F79">
        <w:t>could</w:t>
      </w:r>
      <w:r w:rsidR="00EC708B" w:rsidRPr="003A4F79">
        <w:t xml:space="preserve"> be </w:t>
      </w:r>
      <w:r w:rsidR="00305822" w:rsidRPr="003A4F79">
        <w:t xml:space="preserve">endogenous </w:t>
      </w:r>
      <w:r w:rsidR="00FA1CED" w:rsidRPr="003A4F79">
        <w:t xml:space="preserve">as </w:t>
      </w:r>
      <w:r w:rsidR="00EC708B" w:rsidRPr="003A4F79">
        <w:t xml:space="preserve">it </w:t>
      </w:r>
      <w:r w:rsidR="00EE4232" w:rsidRPr="003A4F79">
        <w:t>may be</w:t>
      </w:r>
      <w:r w:rsidR="00EC708B" w:rsidRPr="003A4F79">
        <w:t xml:space="preserve"> </w:t>
      </w:r>
      <w:r w:rsidR="00FA1CED" w:rsidRPr="003A4F79">
        <w:t xml:space="preserve">related to </w:t>
      </w:r>
      <w:r w:rsidR="00EC708B" w:rsidRPr="003A4F79">
        <w:t>in</w:t>
      </w:r>
      <w:r w:rsidR="00753039" w:rsidRPr="003A4F79">
        <w:t>dividuals</w:t>
      </w:r>
      <w:r w:rsidR="00AF555B" w:rsidRPr="003A4F79">
        <w:t>’</w:t>
      </w:r>
      <w:r w:rsidR="00753039" w:rsidRPr="003A4F79">
        <w:t xml:space="preserve"> </w:t>
      </w:r>
      <w:r w:rsidR="00EC708B" w:rsidRPr="003A4F79">
        <w:t xml:space="preserve">risk-preference, </w:t>
      </w:r>
      <w:r w:rsidR="00753039" w:rsidRPr="003A4F79">
        <w:t>investing style (e.g., momentum/contrarian-, or value/growth investing)</w:t>
      </w:r>
      <w:r w:rsidR="007C5286" w:rsidRPr="003A4F79">
        <w:t>,</w:t>
      </w:r>
      <w:r w:rsidR="00753039" w:rsidRPr="003A4F79">
        <w:t xml:space="preserve"> </w:t>
      </w:r>
      <w:r w:rsidR="00EC708B" w:rsidRPr="003A4F79">
        <w:t xml:space="preserve">or macroeconomic environment (see, e.g. works cited in Campbell, 2006; Badarinza, Campbell and Ramadorai, 2016). To </w:t>
      </w:r>
      <w:r w:rsidR="000E3882" w:rsidRPr="003A4F79">
        <w:t xml:space="preserve">deal with this issue, </w:t>
      </w:r>
      <w:r w:rsidR="00EC708B" w:rsidRPr="003A4F79">
        <w:t xml:space="preserve">we try to control for </w:t>
      </w:r>
      <w:r w:rsidR="007C5286" w:rsidRPr="003A4F79">
        <w:t xml:space="preserve">the </w:t>
      </w:r>
      <w:r w:rsidR="007C5286" w:rsidRPr="003A4F79">
        <w:lastRenderedPageBreak/>
        <w:t xml:space="preserve">initial stock’s </w:t>
      </w:r>
      <w:r w:rsidR="00EC708B" w:rsidRPr="003A4F79">
        <w:t xml:space="preserve">characteristics </w:t>
      </w:r>
      <w:r w:rsidR="007C5286" w:rsidRPr="003A4F79">
        <w:t>(such as idiosyncratic volatility/skewness, past performance, and book-to-market ratio)</w:t>
      </w:r>
      <w:r w:rsidR="000E3882" w:rsidRPr="003A4F79">
        <w:t>, which should reflect investors’ risk preference</w:t>
      </w:r>
      <w:r w:rsidR="00A16987" w:rsidRPr="003A4F79">
        <w:t xml:space="preserve"> and style investing</w:t>
      </w:r>
      <w:r w:rsidR="000E3882" w:rsidRPr="003A4F79">
        <w:t xml:space="preserve"> to </w:t>
      </w:r>
      <w:r w:rsidR="00B0676B" w:rsidRPr="003A4F79">
        <w:t xml:space="preserve">a certain </w:t>
      </w:r>
      <w:r w:rsidR="000E3882" w:rsidRPr="003A4F79">
        <w:t>extent.</w:t>
      </w:r>
      <w:r w:rsidR="0094571A" w:rsidRPr="003A4F79">
        <w:t xml:space="preserve"> We also control for the stock market returns around initial entry to account for the effect of macroeconomic conditions. </w:t>
      </w:r>
      <w:r w:rsidR="0093564B" w:rsidRPr="003A4F79">
        <w:t>Our main</w:t>
      </w:r>
      <w:r w:rsidR="00EC708B" w:rsidRPr="003A4F79">
        <w:t xml:space="preserve"> results</w:t>
      </w:r>
      <w:r w:rsidR="0093564B" w:rsidRPr="003A4F79">
        <w:t xml:space="preserve"> of</w:t>
      </w:r>
      <w:r w:rsidR="00EC708B" w:rsidRPr="003A4F79">
        <w:t xml:space="preserve"> the initial return – re-entry relation is robust to </w:t>
      </w:r>
      <w:r w:rsidR="00AF4389" w:rsidRPr="003A4F79">
        <w:t xml:space="preserve">these </w:t>
      </w:r>
      <w:r w:rsidR="00EC708B" w:rsidRPr="003A4F79">
        <w:t xml:space="preserve">treatments </w:t>
      </w:r>
      <w:r w:rsidR="0015733C" w:rsidRPr="003A4F79">
        <w:t xml:space="preserve">designed </w:t>
      </w:r>
      <w:r w:rsidR="0093564B" w:rsidRPr="003A4F79">
        <w:t xml:space="preserve">to </w:t>
      </w:r>
      <w:r w:rsidR="00EC708B" w:rsidRPr="003A4F79">
        <w:t xml:space="preserve">account for </w:t>
      </w:r>
      <w:r w:rsidR="0093564B" w:rsidRPr="003A4F79">
        <w:t>the potential sample selection issue</w:t>
      </w:r>
      <w:r w:rsidR="00EC708B" w:rsidRPr="003A4F79">
        <w:t>.</w:t>
      </w:r>
    </w:p>
    <w:p w14:paraId="2D426870" w14:textId="7293E29A" w:rsidR="00C1706A" w:rsidRPr="003A4F79" w:rsidRDefault="004855C2" w:rsidP="00290F9F">
      <w:r w:rsidRPr="003A4F79">
        <w:t>W</w:t>
      </w:r>
      <w:r w:rsidR="00EA2E85" w:rsidRPr="003A4F79">
        <w:t xml:space="preserve">e </w:t>
      </w:r>
      <w:r w:rsidR="00F20AE8" w:rsidRPr="003A4F79">
        <w:t xml:space="preserve">provide </w:t>
      </w:r>
      <w:r w:rsidR="006719F4" w:rsidRPr="003A4F79">
        <w:t>discuss</w:t>
      </w:r>
      <w:r w:rsidR="00F20AE8" w:rsidRPr="003A4F79">
        <w:t>ion about</w:t>
      </w:r>
      <w:r w:rsidR="006719F4" w:rsidRPr="003A4F79">
        <w:t xml:space="preserve"> </w:t>
      </w:r>
      <w:r w:rsidR="0053066E" w:rsidRPr="003A4F79">
        <w:t>some alternative explanations for our findings</w:t>
      </w:r>
      <w:r w:rsidR="000242AF" w:rsidRPr="003A4F79">
        <w:t>.</w:t>
      </w:r>
      <w:r w:rsidR="00021A39" w:rsidRPr="003A4F79">
        <w:t xml:space="preserve"> </w:t>
      </w:r>
      <w:r w:rsidR="006D3B9A" w:rsidRPr="003A4F79">
        <w:t>The f</w:t>
      </w:r>
      <w:r w:rsidR="003B54D3" w:rsidRPr="003A4F79">
        <w:t>irst</w:t>
      </w:r>
      <w:r w:rsidR="006D3B9A" w:rsidRPr="003A4F79">
        <w:t xml:space="preserve"> </w:t>
      </w:r>
      <w:r w:rsidR="003B54D3" w:rsidRPr="003A4F79">
        <w:t xml:space="preserve">is </w:t>
      </w:r>
      <w:r w:rsidR="00D56181" w:rsidRPr="003A4F79">
        <w:t>the</w:t>
      </w:r>
      <w:r w:rsidR="00976C2F" w:rsidRPr="003A4F79">
        <w:t xml:space="preserve"> confounding effect of investor wealth</w:t>
      </w:r>
      <w:r w:rsidR="0097712E" w:rsidRPr="003A4F79">
        <w:t>. A</w:t>
      </w:r>
      <w:r w:rsidR="00D56181" w:rsidRPr="003A4F79">
        <w:t>fter a large initial loss</w:t>
      </w:r>
      <w:r w:rsidR="007B317E" w:rsidRPr="003A4F79">
        <w:t>,</w:t>
      </w:r>
      <w:r w:rsidR="00D56181" w:rsidRPr="003A4F79">
        <w:t xml:space="preserve"> investor</w:t>
      </w:r>
      <w:r w:rsidR="00D0565D" w:rsidRPr="003A4F79">
        <w:t>s</w:t>
      </w:r>
      <w:r w:rsidR="00D56181" w:rsidRPr="003A4F79">
        <w:t xml:space="preserve"> may not </w:t>
      </w:r>
      <w:r w:rsidR="00D0565D" w:rsidRPr="003A4F79">
        <w:t xml:space="preserve">be able to </w:t>
      </w:r>
      <w:r w:rsidR="00D56181" w:rsidRPr="003A4F79">
        <w:t xml:space="preserve">afford to </w:t>
      </w:r>
      <w:r w:rsidR="004017A8" w:rsidRPr="003A4F79">
        <w:t>return</w:t>
      </w:r>
      <w:r w:rsidR="00D56181" w:rsidRPr="003A4F79">
        <w:t xml:space="preserve"> </w:t>
      </w:r>
      <w:r w:rsidR="00D13A44" w:rsidRPr="003A4F79">
        <w:t>to the market</w:t>
      </w:r>
      <w:r w:rsidR="00D0565D" w:rsidRPr="003A4F79">
        <w:t>,</w:t>
      </w:r>
      <w:r w:rsidR="00D13A44" w:rsidRPr="003A4F79">
        <w:t xml:space="preserve"> </w:t>
      </w:r>
      <w:r w:rsidR="00D56181" w:rsidRPr="003A4F79">
        <w:t xml:space="preserve">even if </w:t>
      </w:r>
      <w:r w:rsidR="00D0565D" w:rsidRPr="003A4F79">
        <w:t xml:space="preserve">they </w:t>
      </w:r>
      <w:r w:rsidR="00D56181" w:rsidRPr="003A4F79">
        <w:t xml:space="preserve">wish to invest in </w:t>
      </w:r>
      <w:r w:rsidR="00D0565D" w:rsidRPr="003A4F79">
        <w:t>it</w:t>
      </w:r>
      <w:r w:rsidR="00D56181" w:rsidRPr="003A4F79">
        <w:t xml:space="preserve">. </w:t>
      </w:r>
      <w:r w:rsidR="00D0565D" w:rsidRPr="003A4F79">
        <w:t xml:space="preserve">In addition to using a </w:t>
      </w:r>
      <w:r w:rsidR="00022371" w:rsidRPr="003A4F79">
        <w:t>statistical technique to deal with th</w:t>
      </w:r>
      <w:r w:rsidR="00E6342C" w:rsidRPr="003A4F79">
        <w:t>is concern</w:t>
      </w:r>
      <w:r w:rsidR="00924A41" w:rsidRPr="003A4F79">
        <w:t xml:space="preserve"> (i.e., fixed effects</w:t>
      </w:r>
      <w:r w:rsidR="00944913" w:rsidRPr="003A4F79">
        <w:t xml:space="preserve"> such as investment size</w:t>
      </w:r>
      <w:r w:rsidR="00B37A8B" w:rsidRPr="003A4F79">
        <w:t xml:space="preserve"> and </w:t>
      </w:r>
      <w:r w:rsidR="00944913" w:rsidRPr="003A4F79">
        <w:t>zip code</w:t>
      </w:r>
      <w:r w:rsidR="00924A41" w:rsidRPr="003A4F79">
        <w:t>)</w:t>
      </w:r>
      <w:r w:rsidR="00022371" w:rsidRPr="003A4F79">
        <w:t xml:space="preserve">, </w:t>
      </w:r>
      <w:r w:rsidR="001C3261" w:rsidRPr="003A4F79">
        <w:t xml:space="preserve">our results </w:t>
      </w:r>
      <w:r w:rsidR="00D0565D" w:rsidRPr="003A4F79">
        <w:t xml:space="preserve">are unlikely to be </w:t>
      </w:r>
      <w:r w:rsidR="001C3261" w:rsidRPr="003A4F79">
        <w:t xml:space="preserve">dominated by wealth effects </w:t>
      </w:r>
      <w:r w:rsidR="004D7859" w:rsidRPr="003A4F79">
        <w:t>because we control for return</w:t>
      </w:r>
      <w:r w:rsidR="00D0565D" w:rsidRPr="003A4F79">
        <w:t>s</w:t>
      </w:r>
      <w:r w:rsidR="004D7859" w:rsidRPr="003A4F79">
        <w:t xml:space="preserve"> </w:t>
      </w:r>
      <w:r w:rsidR="00D0565D" w:rsidRPr="003A4F79">
        <w:t>o</w:t>
      </w:r>
      <w:r w:rsidR="007C2D12" w:rsidRPr="003A4F79">
        <w:t>ver</w:t>
      </w:r>
      <w:r w:rsidR="00D0565D" w:rsidRPr="003A4F79">
        <w:t xml:space="preserve"> </w:t>
      </w:r>
      <w:r w:rsidR="004D7859" w:rsidRPr="003A4F79">
        <w:t>the entire period of investing in the stock market.</w:t>
      </w:r>
      <w:r w:rsidR="005749A0" w:rsidRPr="003A4F79">
        <w:t xml:space="preserve"> </w:t>
      </w:r>
      <w:r w:rsidR="00453633" w:rsidRPr="003A4F79">
        <w:t xml:space="preserve">The second </w:t>
      </w:r>
      <w:r w:rsidR="005637F9" w:rsidRPr="003A4F79">
        <w:t xml:space="preserve">is the </w:t>
      </w:r>
      <w:r w:rsidR="004438C3" w:rsidRPr="003A4F79">
        <w:t xml:space="preserve">possibility </w:t>
      </w:r>
      <w:r w:rsidR="00D0565D" w:rsidRPr="003A4F79">
        <w:t xml:space="preserve">that </w:t>
      </w:r>
      <w:r w:rsidR="004438C3" w:rsidRPr="003A4F79">
        <w:t xml:space="preserve">our results stem from rational learning about </w:t>
      </w:r>
      <w:r w:rsidR="00D57EDA" w:rsidRPr="003A4F79">
        <w:t xml:space="preserve">skill rather than </w:t>
      </w:r>
      <w:r w:rsidR="0062481E" w:rsidRPr="003A4F79">
        <w:t xml:space="preserve">a </w:t>
      </w:r>
      <w:r w:rsidR="00D57EDA" w:rsidRPr="003A4F79">
        <w:t>behavio</w:t>
      </w:r>
      <w:r w:rsidR="00AC048A" w:rsidRPr="003A4F79">
        <w:t>u</w:t>
      </w:r>
      <w:r w:rsidR="00D57EDA" w:rsidRPr="003A4F79">
        <w:t>ral bias</w:t>
      </w:r>
      <w:r w:rsidR="00752037" w:rsidRPr="003A4F79">
        <w:t>.</w:t>
      </w:r>
      <w:r w:rsidR="00D57EDA" w:rsidRPr="003A4F79">
        <w:t xml:space="preserve"> </w:t>
      </w:r>
      <w:r w:rsidR="00D0565D" w:rsidRPr="003A4F79">
        <w:t>In other words</w:t>
      </w:r>
      <w:r w:rsidR="004B4675" w:rsidRPr="003A4F79">
        <w:t xml:space="preserve">, </w:t>
      </w:r>
      <w:r w:rsidR="005F7D31" w:rsidRPr="003A4F79">
        <w:t>large</w:t>
      </w:r>
      <w:r w:rsidR="00DF70C3" w:rsidRPr="003A4F79">
        <w:t xml:space="preserve"> initial returns</w:t>
      </w:r>
      <w:r w:rsidR="005F7D31" w:rsidRPr="003A4F79">
        <w:t xml:space="preserve"> </w:t>
      </w:r>
      <w:r w:rsidR="00D14B85" w:rsidRPr="003A4F79">
        <w:t xml:space="preserve">may </w:t>
      </w:r>
      <w:r w:rsidR="005F7D31" w:rsidRPr="003A4F79">
        <w:t xml:space="preserve">enable </w:t>
      </w:r>
      <w:r w:rsidR="00DF70C3" w:rsidRPr="003A4F79">
        <w:t>investor</w:t>
      </w:r>
      <w:r w:rsidR="00D0565D" w:rsidRPr="003A4F79">
        <w:t>s</w:t>
      </w:r>
      <w:r w:rsidR="00DF70C3" w:rsidRPr="003A4F79">
        <w:t xml:space="preserve"> </w:t>
      </w:r>
      <w:r w:rsidR="005F7D31" w:rsidRPr="003A4F79">
        <w:t xml:space="preserve">to learn about </w:t>
      </w:r>
      <w:r w:rsidR="00D0565D" w:rsidRPr="003A4F79">
        <w:t xml:space="preserve">their </w:t>
      </w:r>
      <w:r w:rsidR="004B4675" w:rsidRPr="003A4F79">
        <w:t xml:space="preserve">inherent </w:t>
      </w:r>
      <w:r w:rsidR="005F7D31" w:rsidRPr="003A4F79">
        <w:t xml:space="preserve">investing </w:t>
      </w:r>
      <w:r w:rsidR="001039DF" w:rsidRPr="003A4F79">
        <w:t>skill</w:t>
      </w:r>
      <w:r w:rsidR="00D0565D" w:rsidRPr="003A4F79">
        <w:t>s</w:t>
      </w:r>
      <w:r w:rsidR="001039DF" w:rsidRPr="003A4F79">
        <w:t>/</w:t>
      </w:r>
      <w:r w:rsidR="00D0565D" w:rsidRPr="003A4F79">
        <w:t>abilities;</w:t>
      </w:r>
      <w:r w:rsidR="00A77C9D" w:rsidRPr="003A4F79">
        <w:t xml:space="preserve"> therefore</w:t>
      </w:r>
      <w:r w:rsidR="00814566" w:rsidRPr="003A4F79">
        <w:t xml:space="preserve">, </w:t>
      </w:r>
      <w:r w:rsidR="00C41F37" w:rsidRPr="003A4F79">
        <w:t xml:space="preserve">able </w:t>
      </w:r>
      <w:r w:rsidR="00814566" w:rsidRPr="003A4F79">
        <w:t>investor</w:t>
      </w:r>
      <w:r w:rsidR="00D0565D" w:rsidRPr="003A4F79">
        <w:t>s</w:t>
      </w:r>
      <w:r w:rsidR="00814566" w:rsidRPr="003A4F79">
        <w:t xml:space="preserve"> </w:t>
      </w:r>
      <w:r w:rsidR="00D0565D" w:rsidRPr="003A4F79">
        <w:t xml:space="preserve">have </w:t>
      </w:r>
      <w:r w:rsidR="007D0872" w:rsidRPr="003A4F79">
        <w:t>more incentives</w:t>
      </w:r>
      <w:r w:rsidR="00814566" w:rsidRPr="003A4F79">
        <w:t xml:space="preserve"> to return to the </w:t>
      </w:r>
      <w:r w:rsidR="00422A87" w:rsidRPr="003A4F79">
        <w:t xml:space="preserve">stock </w:t>
      </w:r>
      <w:r w:rsidR="00814566" w:rsidRPr="003A4F79">
        <w:t>market</w:t>
      </w:r>
      <w:r w:rsidR="00016B3E" w:rsidRPr="003A4F79">
        <w:t>.</w:t>
      </w:r>
      <w:r w:rsidR="00E22236" w:rsidRPr="003A4F79">
        <w:rPr>
          <w:rStyle w:val="FootnoteReference"/>
        </w:rPr>
        <w:t xml:space="preserve"> </w:t>
      </w:r>
      <w:r w:rsidR="00E22236" w:rsidRPr="003A4F79">
        <w:rPr>
          <w:rStyle w:val="FootnoteReference"/>
        </w:rPr>
        <w:footnoteReference w:id="4"/>
      </w:r>
      <w:r w:rsidR="00E22236" w:rsidRPr="003A4F79">
        <w:t xml:space="preserve"> A</w:t>
      </w:r>
      <w:r w:rsidR="00D45E09" w:rsidRPr="003A4F79">
        <w:t>s we control for average monthly returns during the entire holding period, our results cannot be explained</w:t>
      </w:r>
      <w:r w:rsidR="007C2D12" w:rsidRPr="003A4F79">
        <w:t xml:space="preserve"> simply</w:t>
      </w:r>
      <w:r w:rsidR="00D45E09" w:rsidRPr="003A4F79">
        <w:t xml:space="preserve"> by rational </w:t>
      </w:r>
      <w:r w:rsidR="003079AC" w:rsidRPr="003A4F79">
        <w:t>learning about skill</w:t>
      </w:r>
      <w:r w:rsidR="00D45E09" w:rsidRPr="003A4F79">
        <w:t>.</w:t>
      </w:r>
      <w:r w:rsidR="00773F82" w:rsidRPr="003A4F79">
        <w:t xml:space="preserve"> Furthermore, it make</w:t>
      </w:r>
      <w:r w:rsidR="00D0565D" w:rsidRPr="003A4F79">
        <w:t>s</w:t>
      </w:r>
      <w:r w:rsidR="00773F82" w:rsidRPr="003A4F79">
        <w:t xml:space="preserve"> </w:t>
      </w:r>
      <w:r w:rsidR="00D0565D" w:rsidRPr="003A4F79">
        <w:t xml:space="preserve">little </w:t>
      </w:r>
      <w:r w:rsidR="00773F82" w:rsidRPr="003A4F79">
        <w:t xml:space="preserve">sense that </w:t>
      </w:r>
      <w:r w:rsidR="009827FD" w:rsidRPr="003A4F79">
        <w:t>investor</w:t>
      </w:r>
      <w:r w:rsidR="00D0565D" w:rsidRPr="003A4F79">
        <w:t>s</w:t>
      </w:r>
      <w:r w:rsidR="009827FD" w:rsidRPr="003A4F79">
        <w:t xml:space="preserve"> </w:t>
      </w:r>
      <w:r w:rsidR="00D0565D" w:rsidRPr="003A4F79">
        <w:t xml:space="preserve">learn </w:t>
      </w:r>
      <w:r w:rsidR="009827FD" w:rsidRPr="003A4F79">
        <w:t xml:space="preserve">about </w:t>
      </w:r>
      <w:r w:rsidR="00D0565D" w:rsidRPr="003A4F79">
        <w:t xml:space="preserve">their </w:t>
      </w:r>
      <w:r w:rsidR="009827FD" w:rsidRPr="003A4F79">
        <w:t>skill</w:t>
      </w:r>
      <w:r w:rsidR="00D0565D" w:rsidRPr="003A4F79">
        <w:t>s</w:t>
      </w:r>
      <w:r w:rsidR="009827FD" w:rsidRPr="003A4F79">
        <w:t xml:space="preserve"> during the first month of investing</w:t>
      </w:r>
      <w:r w:rsidR="00D0565D" w:rsidRPr="003A4F79">
        <w:t>,</w:t>
      </w:r>
      <w:r w:rsidR="009827FD" w:rsidRPr="003A4F79">
        <w:t xml:space="preserve"> especially </w:t>
      </w:r>
      <w:r w:rsidR="00987CC2" w:rsidRPr="003A4F79">
        <w:t xml:space="preserve">given that </w:t>
      </w:r>
      <w:r w:rsidR="007C2D12" w:rsidRPr="003A4F79">
        <w:t xml:space="preserve">the </w:t>
      </w:r>
      <w:r w:rsidR="009827FD" w:rsidRPr="003A4F79">
        <w:t>holding periods are much longer in our sample (</w:t>
      </w:r>
      <w:r w:rsidR="00D0565D" w:rsidRPr="003A4F79">
        <w:t xml:space="preserve">mean </w:t>
      </w:r>
      <w:r w:rsidR="007C2D12" w:rsidRPr="003A4F79">
        <w:t>=</w:t>
      </w:r>
      <w:r w:rsidR="00D0565D" w:rsidRPr="003A4F79">
        <w:t xml:space="preserve"> </w:t>
      </w:r>
      <w:r w:rsidR="009827FD" w:rsidRPr="003A4F79">
        <w:t>11 months</w:t>
      </w:r>
      <w:r w:rsidR="007C2D12" w:rsidRPr="003A4F79">
        <w:t>,</w:t>
      </w:r>
      <w:r w:rsidR="009827FD" w:rsidRPr="003A4F79">
        <w:t xml:space="preserve"> </w:t>
      </w:r>
      <w:r w:rsidR="00D0565D" w:rsidRPr="003A4F79">
        <w:t xml:space="preserve">median </w:t>
      </w:r>
      <w:r w:rsidR="007C2D12" w:rsidRPr="003A4F79">
        <w:t>= 8</w:t>
      </w:r>
      <w:r w:rsidR="00D0565D" w:rsidRPr="003A4F79">
        <w:t xml:space="preserve"> </w:t>
      </w:r>
      <w:r w:rsidR="009827FD" w:rsidRPr="003A4F79">
        <w:t>months)</w:t>
      </w:r>
      <w:r w:rsidR="00F31D9C" w:rsidRPr="003A4F79">
        <w:t>.</w:t>
      </w:r>
      <w:r w:rsidR="00235735" w:rsidRPr="003A4F79">
        <w:t xml:space="preserve"> </w:t>
      </w:r>
      <w:r w:rsidR="00187833" w:rsidRPr="003A4F79">
        <w:t>Lastly, while our study analyses the exit and re</w:t>
      </w:r>
      <w:r w:rsidR="007C2D12" w:rsidRPr="003A4F79">
        <w:t>-</w:t>
      </w:r>
      <w:r w:rsidR="00187833" w:rsidRPr="003A4F79">
        <w:t xml:space="preserve">entry </w:t>
      </w:r>
      <w:r w:rsidR="00187833" w:rsidRPr="003A4F79">
        <w:lastRenderedPageBreak/>
        <w:t xml:space="preserve">decisions of investors </w:t>
      </w:r>
      <w:r w:rsidR="00D0565D" w:rsidRPr="003A4F79">
        <w:t xml:space="preserve">who </w:t>
      </w:r>
      <w:r w:rsidR="00187833" w:rsidRPr="003A4F79">
        <w:t xml:space="preserve">invest </w:t>
      </w:r>
      <w:r w:rsidR="00D0565D" w:rsidRPr="003A4F79">
        <w:t xml:space="preserve">directly </w:t>
      </w:r>
      <w:r w:rsidR="00187833" w:rsidRPr="003A4F79">
        <w:t xml:space="preserve">in the market, our </w:t>
      </w:r>
      <w:r w:rsidR="00943BCB" w:rsidRPr="003A4F79">
        <w:t>ex</w:t>
      </w:r>
      <w:r w:rsidR="002849B4" w:rsidRPr="003A4F79">
        <w:t>iting investors</w:t>
      </w:r>
      <w:r w:rsidR="00187833" w:rsidRPr="003A4F79">
        <w:t xml:space="preserve"> may have</w:t>
      </w:r>
      <w:r w:rsidR="00B22F2C" w:rsidRPr="003A4F79">
        <w:t xml:space="preserve"> switch</w:t>
      </w:r>
      <w:r w:rsidR="00187833" w:rsidRPr="003A4F79">
        <w:t>ed</w:t>
      </w:r>
      <w:r w:rsidR="00B22F2C" w:rsidRPr="003A4F79">
        <w:t xml:space="preserve"> from individual securities to diversified funds</w:t>
      </w:r>
      <w:r w:rsidR="00846B49" w:rsidRPr="003A4F79">
        <w:t xml:space="preserve">. </w:t>
      </w:r>
      <w:r w:rsidR="00300EE2" w:rsidRPr="003A4F79">
        <w:t>However</w:t>
      </w:r>
      <w:r w:rsidR="00B22F2C" w:rsidRPr="003A4F79">
        <w:t>,</w:t>
      </w:r>
      <w:r w:rsidR="00662CAE" w:rsidRPr="003A4F79">
        <w:t xml:space="preserve"> </w:t>
      </w:r>
      <w:r w:rsidR="00B22F2C" w:rsidRPr="003A4F79">
        <w:rPr>
          <w:lang w:eastAsia="en-GB"/>
        </w:rPr>
        <w:t xml:space="preserve">mutual fund investments were </w:t>
      </w:r>
      <w:r w:rsidR="00662CAE" w:rsidRPr="003A4F79">
        <w:rPr>
          <w:lang w:eastAsia="en-GB"/>
        </w:rPr>
        <w:t>very s</w:t>
      </w:r>
      <w:r w:rsidR="00B22F2C" w:rsidRPr="003A4F79">
        <w:rPr>
          <w:lang w:eastAsia="en-GB"/>
        </w:rPr>
        <w:t>m</w:t>
      </w:r>
      <w:r w:rsidR="00662CAE" w:rsidRPr="003A4F79">
        <w:rPr>
          <w:lang w:eastAsia="en-GB"/>
        </w:rPr>
        <w:t xml:space="preserve">all </w:t>
      </w:r>
      <w:r w:rsidR="00B22F2C" w:rsidRPr="003A4F79">
        <w:rPr>
          <w:lang w:eastAsia="en-GB"/>
        </w:rPr>
        <w:t xml:space="preserve">in Finland until 2003 (see e.g., </w:t>
      </w:r>
      <w:r w:rsidR="00B22F2C" w:rsidRPr="003A4F79">
        <w:t>Kaustia and Knüpfer, 2012)</w:t>
      </w:r>
      <w:r w:rsidR="00B22F2C" w:rsidRPr="003A4F79">
        <w:rPr>
          <w:lang w:eastAsia="en-GB"/>
        </w:rPr>
        <w:t>, which coincide</w:t>
      </w:r>
      <w:r w:rsidR="00392F2A" w:rsidRPr="003A4F79">
        <w:rPr>
          <w:lang w:eastAsia="en-GB"/>
        </w:rPr>
        <w:t>s</w:t>
      </w:r>
      <w:r w:rsidR="00B22F2C" w:rsidRPr="003A4F79">
        <w:rPr>
          <w:lang w:eastAsia="en-GB"/>
        </w:rPr>
        <w:t xml:space="preserve"> </w:t>
      </w:r>
      <w:r w:rsidR="00D0565D" w:rsidRPr="003A4F79">
        <w:rPr>
          <w:lang w:eastAsia="en-GB"/>
        </w:rPr>
        <w:t xml:space="preserve">with </w:t>
      </w:r>
      <w:r w:rsidR="00620E41" w:rsidRPr="003A4F79">
        <w:rPr>
          <w:lang w:eastAsia="en-GB"/>
        </w:rPr>
        <w:t xml:space="preserve">the end of </w:t>
      </w:r>
      <w:r w:rsidR="00B22F2C" w:rsidRPr="003A4F79">
        <w:rPr>
          <w:lang w:eastAsia="en-GB"/>
        </w:rPr>
        <w:t>our sample period.</w:t>
      </w:r>
      <w:r w:rsidR="000776ED" w:rsidRPr="003A4F79">
        <w:rPr>
          <w:lang w:eastAsia="en-GB"/>
        </w:rPr>
        <w:t xml:space="preserve"> Furthermore, examining direct stock investments is important</w:t>
      </w:r>
      <w:r w:rsidR="00D0565D" w:rsidRPr="003A4F79">
        <w:rPr>
          <w:lang w:eastAsia="en-GB"/>
        </w:rPr>
        <w:t>,</w:t>
      </w:r>
      <w:r w:rsidR="000776ED" w:rsidRPr="003A4F79">
        <w:rPr>
          <w:lang w:eastAsia="en-GB"/>
        </w:rPr>
        <w:t xml:space="preserve"> as research suggests several problems with mutual funds that may prevent investors from </w:t>
      </w:r>
      <w:r w:rsidR="00F7045F" w:rsidRPr="003A4F79">
        <w:rPr>
          <w:lang w:eastAsia="en-GB"/>
        </w:rPr>
        <w:t xml:space="preserve">reaping </w:t>
      </w:r>
      <w:r w:rsidR="000776ED" w:rsidRPr="003A4F79">
        <w:rPr>
          <w:lang w:eastAsia="en-GB"/>
        </w:rPr>
        <w:t>the premium</w:t>
      </w:r>
      <w:r w:rsidR="00D0565D" w:rsidRPr="003A4F79">
        <w:rPr>
          <w:lang w:eastAsia="en-GB"/>
        </w:rPr>
        <w:t>s</w:t>
      </w:r>
      <w:r w:rsidR="000776ED" w:rsidRPr="003A4F79">
        <w:rPr>
          <w:lang w:eastAsia="en-GB"/>
        </w:rPr>
        <w:t xml:space="preserve"> </w:t>
      </w:r>
      <w:r w:rsidR="00EC6058" w:rsidRPr="003A4F79">
        <w:rPr>
          <w:lang w:eastAsia="en-GB"/>
        </w:rPr>
        <w:t xml:space="preserve">offered by equity markets (see e.g., </w:t>
      </w:r>
      <w:r w:rsidR="00AF087B" w:rsidRPr="003A4F79">
        <w:rPr>
          <w:lang w:eastAsia="en-GB"/>
        </w:rPr>
        <w:t>Malkiel</w:t>
      </w:r>
      <w:r w:rsidR="00406225" w:rsidRPr="003A4F79">
        <w:t>,</w:t>
      </w:r>
      <w:r w:rsidR="00EC6058" w:rsidRPr="003A4F79">
        <w:rPr>
          <w:lang w:eastAsia="en-GB"/>
        </w:rPr>
        <w:t xml:space="preserve"> 201</w:t>
      </w:r>
      <w:r w:rsidR="00AF087B" w:rsidRPr="003A4F79">
        <w:rPr>
          <w:lang w:eastAsia="en-GB"/>
        </w:rPr>
        <w:t>3</w:t>
      </w:r>
      <w:r w:rsidR="000776ED" w:rsidRPr="003A4F79">
        <w:rPr>
          <w:lang w:eastAsia="en-GB"/>
        </w:rPr>
        <w:t>).</w:t>
      </w:r>
    </w:p>
    <w:p w14:paraId="2C666FEC" w14:textId="1C717010" w:rsidR="00E86235" w:rsidRPr="003A4F79" w:rsidRDefault="00D0565D" w:rsidP="00290F9F">
      <w:r w:rsidRPr="003A4F79">
        <w:t>O</w:t>
      </w:r>
      <w:r w:rsidR="00E86235" w:rsidRPr="003A4F79">
        <w:t xml:space="preserve">ur study </w:t>
      </w:r>
      <w:r w:rsidR="00ED79AC" w:rsidRPr="003A4F79">
        <w:t>may have</w:t>
      </w:r>
      <w:r w:rsidR="00815EB4" w:rsidRPr="003A4F79">
        <w:t xml:space="preserve"> </w:t>
      </w:r>
      <w:r w:rsidR="00E86235" w:rsidRPr="003A4F79">
        <w:t>policy implication</w:t>
      </w:r>
      <w:r w:rsidR="006011B0" w:rsidRPr="003A4F79">
        <w:t>s</w:t>
      </w:r>
      <w:r w:rsidR="00E86235" w:rsidRPr="003A4F79">
        <w:t xml:space="preserve"> regarding households’ participation in the stock market. </w:t>
      </w:r>
      <w:r w:rsidR="00DC322C" w:rsidRPr="003A4F79">
        <w:t xml:space="preserve">First, we show that investors’ exit and re-entry decisions are </w:t>
      </w:r>
      <w:r w:rsidR="0088678C" w:rsidRPr="003A4F79">
        <w:t>affected</w:t>
      </w:r>
      <w:r w:rsidR="00DC322C" w:rsidRPr="003A4F79">
        <w:t xml:space="preserve"> by a </w:t>
      </w:r>
      <w:r w:rsidR="0088678C" w:rsidRPr="003A4F79">
        <w:t>behavio</w:t>
      </w:r>
      <w:r w:rsidR="00AC048A" w:rsidRPr="003A4F79">
        <w:t>u</w:t>
      </w:r>
      <w:r w:rsidR="0088678C" w:rsidRPr="003A4F79">
        <w:t xml:space="preserve">ral </w:t>
      </w:r>
      <w:r w:rsidR="00DC322C" w:rsidRPr="003A4F79">
        <w:t xml:space="preserve">bias, namely </w:t>
      </w:r>
      <w:r w:rsidR="009A00AB" w:rsidRPr="003A4F79">
        <w:t xml:space="preserve">the </w:t>
      </w:r>
      <w:r w:rsidR="00DC322C" w:rsidRPr="003A4F79">
        <w:t xml:space="preserve">primacy effect. </w:t>
      </w:r>
      <w:r w:rsidR="009A00AB" w:rsidRPr="003A4F79">
        <w:t>O</w:t>
      </w:r>
      <w:r w:rsidR="00592602" w:rsidRPr="003A4F79">
        <w:t>ur</w:t>
      </w:r>
      <w:r w:rsidR="00DC430E" w:rsidRPr="003A4F79">
        <w:t xml:space="preserve"> result</w:t>
      </w:r>
      <w:r w:rsidR="00CC4FE5" w:rsidRPr="003A4F79">
        <w:t>s</w:t>
      </w:r>
      <w:r w:rsidR="00DC430E" w:rsidRPr="003A4F79">
        <w:t xml:space="preserve"> </w:t>
      </w:r>
      <w:r w:rsidR="009A00AB" w:rsidRPr="003A4F79">
        <w:t xml:space="preserve">also </w:t>
      </w:r>
      <w:r w:rsidR="00DC430E" w:rsidRPr="003A4F79">
        <w:t xml:space="preserve">imply that </w:t>
      </w:r>
      <w:r w:rsidR="00E86235" w:rsidRPr="003A4F79">
        <w:t xml:space="preserve">individual investors </w:t>
      </w:r>
      <w:r w:rsidR="007E106B" w:rsidRPr="003A4F79">
        <w:t xml:space="preserve">may </w:t>
      </w:r>
      <w:r w:rsidR="00E86235" w:rsidRPr="003A4F79">
        <w:t>initiate</w:t>
      </w:r>
      <w:r w:rsidR="007E106B" w:rsidRPr="003A4F79">
        <w:t xml:space="preserve"> </w:t>
      </w:r>
      <w:r w:rsidR="00E86235" w:rsidRPr="003A4F79">
        <w:t xml:space="preserve">their investing </w:t>
      </w:r>
      <w:r w:rsidR="007E106B" w:rsidRPr="003A4F79">
        <w:t>very na</w:t>
      </w:r>
      <w:r w:rsidR="009A00AB" w:rsidRPr="003A4F79">
        <w:t>ï</w:t>
      </w:r>
      <w:r w:rsidR="00100AEF" w:rsidRPr="003A4F79">
        <w:t>vely</w:t>
      </w:r>
      <w:r w:rsidR="005B4CAA" w:rsidRPr="003A4F79">
        <w:t xml:space="preserve"> for a try-out</w:t>
      </w:r>
      <w:r w:rsidR="0019541C" w:rsidRPr="003A4F79">
        <w:t xml:space="preserve">, possibly on a </w:t>
      </w:r>
      <w:r w:rsidR="004C03CD" w:rsidRPr="003A4F79">
        <w:t>“</w:t>
      </w:r>
      <w:r w:rsidR="0019541C" w:rsidRPr="003A4F79">
        <w:t>suck-it-and-</w:t>
      </w:r>
      <w:r w:rsidR="004C03CD" w:rsidRPr="003A4F79">
        <w:t xml:space="preserve">see” </w:t>
      </w:r>
      <w:r w:rsidR="0019541C" w:rsidRPr="003A4F79">
        <w:t xml:space="preserve">principle </w:t>
      </w:r>
      <w:r w:rsidR="00100AEF" w:rsidRPr="003A4F79">
        <w:t>(e.g., many of them only buy</w:t>
      </w:r>
      <w:r w:rsidR="007E106B" w:rsidRPr="003A4F79">
        <w:t xml:space="preserve"> one stock and </w:t>
      </w:r>
      <w:r w:rsidR="00E86235" w:rsidRPr="003A4F79">
        <w:t xml:space="preserve">never </w:t>
      </w:r>
      <w:r w:rsidR="007E106B" w:rsidRPr="003A4F79">
        <w:t>trade before exiting</w:t>
      </w:r>
      <w:r w:rsidR="00E86235" w:rsidRPr="003A4F79">
        <w:t>)</w:t>
      </w:r>
      <w:r w:rsidR="0019541C" w:rsidRPr="003A4F79">
        <w:t>,</w:t>
      </w:r>
      <w:r w:rsidR="007E106B" w:rsidRPr="003A4F79">
        <w:t xml:space="preserve"> </w:t>
      </w:r>
      <w:r w:rsidR="00DC430E" w:rsidRPr="003A4F79">
        <w:t xml:space="preserve">and show a </w:t>
      </w:r>
      <w:r w:rsidR="004C03CD" w:rsidRPr="003A4F79">
        <w:t>“</w:t>
      </w:r>
      <w:r w:rsidR="00DC430E" w:rsidRPr="003A4F79">
        <w:t>once-burnt-twice-</w:t>
      </w:r>
      <w:r w:rsidR="004C03CD" w:rsidRPr="003A4F79">
        <w:t xml:space="preserve">shy” </w:t>
      </w:r>
      <w:r w:rsidR="00DC430E" w:rsidRPr="003A4F79">
        <w:t>tendency</w:t>
      </w:r>
      <w:r w:rsidR="004C03CD" w:rsidRPr="003A4F79">
        <w:t xml:space="preserve"> to</w:t>
      </w:r>
      <w:r w:rsidR="00DC430E" w:rsidRPr="003A4F79">
        <w:t xml:space="preserve"> </w:t>
      </w:r>
      <w:r w:rsidR="00E86235" w:rsidRPr="003A4F79">
        <w:t>withdraw</w:t>
      </w:r>
      <w:r w:rsidR="00542DA8" w:rsidRPr="003A4F79">
        <w:t xml:space="preserve"> altogether</w:t>
      </w:r>
      <w:r w:rsidR="00E86235" w:rsidRPr="003A4F79">
        <w:t xml:space="preserve"> from the stock market</w:t>
      </w:r>
      <w:r w:rsidR="00542DA8" w:rsidRPr="003A4F79">
        <w:t xml:space="preserve"> and forgo equity premium</w:t>
      </w:r>
      <w:r w:rsidR="004C03CD" w:rsidRPr="003A4F79">
        <w:t>s</w:t>
      </w:r>
      <w:r w:rsidR="00E86235" w:rsidRPr="003A4F79">
        <w:t xml:space="preserve"> </w:t>
      </w:r>
      <w:r w:rsidR="00542DA8" w:rsidRPr="003A4F79">
        <w:t xml:space="preserve">after </w:t>
      </w:r>
      <w:r w:rsidR="004C03CD" w:rsidRPr="003A4F79">
        <w:t>an</w:t>
      </w:r>
      <w:r w:rsidR="00722E40" w:rsidRPr="003A4F79">
        <w:t xml:space="preserve"> unsuccessful try-out. </w:t>
      </w:r>
      <w:r w:rsidR="00D07BE3" w:rsidRPr="003A4F79">
        <w:t xml:space="preserve">Therefore, </w:t>
      </w:r>
      <w:r w:rsidR="004D4448" w:rsidRPr="003A4F79">
        <w:t>the market participation of these investors</w:t>
      </w:r>
      <w:r w:rsidR="004C03CD" w:rsidRPr="003A4F79">
        <w:t xml:space="preserve"> </w:t>
      </w:r>
      <w:r w:rsidR="007C2D12" w:rsidRPr="003A4F79">
        <w:t>might</w:t>
      </w:r>
      <w:r w:rsidR="004C03CD" w:rsidRPr="003A4F79">
        <w:t xml:space="preserve"> be boosted</w:t>
      </w:r>
      <w:r w:rsidR="004D4448" w:rsidRPr="003A4F79">
        <w:t xml:space="preserve"> </w:t>
      </w:r>
      <w:r w:rsidR="004C03CD" w:rsidRPr="003A4F79">
        <w:t xml:space="preserve">by </w:t>
      </w:r>
      <w:r w:rsidR="00E86235" w:rsidRPr="003A4F79">
        <w:t>financial literacy program</w:t>
      </w:r>
      <w:r w:rsidR="004C03CD" w:rsidRPr="003A4F79">
        <w:t>s</w:t>
      </w:r>
      <w:r w:rsidR="00E86235" w:rsidRPr="003A4F79">
        <w:t xml:space="preserve"> </w:t>
      </w:r>
      <w:r w:rsidR="007C2D12" w:rsidRPr="003A4F79">
        <w:t>enabling</w:t>
      </w:r>
      <w:r w:rsidR="004C03CD" w:rsidRPr="003A4F79">
        <w:t xml:space="preserve"> </w:t>
      </w:r>
      <w:r w:rsidR="00E86235" w:rsidRPr="003A4F79">
        <w:t xml:space="preserve">them to </w:t>
      </w:r>
      <w:r w:rsidR="002B2F40" w:rsidRPr="003A4F79">
        <w:t>make more informed decision</w:t>
      </w:r>
      <w:r w:rsidR="004C03CD" w:rsidRPr="003A4F79">
        <w:t>s</w:t>
      </w:r>
      <w:r w:rsidR="002B2F40" w:rsidRPr="003A4F79">
        <w:t>.</w:t>
      </w:r>
    </w:p>
    <w:p w14:paraId="02092B20" w14:textId="31581474" w:rsidR="00060B46" w:rsidRPr="003A4F79" w:rsidRDefault="0044050F" w:rsidP="00290F9F">
      <w:r w:rsidRPr="003A4F79">
        <w:t xml:space="preserve">This paper belongs to the literature </w:t>
      </w:r>
      <w:r w:rsidR="00634A41" w:rsidRPr="003A4F79">
        <w:t>on</w:t>
      </w:r>
      <w:r w:rsidRPr="003A4F79">
        <w:t xml:space="preserve"> individual investor behavio</w:t>
      </w:r>
      <w:r w:rsidR="0062481E" w:rsidRPr="003A4F79">
        <w:t>u</w:t>
      </w:r>
      <w:r w:rsidRPr="003A4F79">
        <w:t>r</w:t>
      </w:r>
      <w:r w:rsidR="00634A41" w:rsidRPr="003A4F79">
        <w:t>.</w:t>
      </w:r>
      <w:r w:rsidR="00FD4B3F" w:rsidRPr="003A4F79">
        <w:t xml:space="preserve"> For example, </w:t>
      </w:r>
      <w:r w:rsidRPr="003A4F79">
        <w:t>Strahilevitz, Odean, and Barber (2011) document investors’ reluctance to repurchase stocks previously sold at a loss. Seru, Shumway, and Stoffman (2010) find that past negative experiences of trading on the stock market induce investors to cease trading.</w:t>
      </w:r>
      <w:r w:rsidRPr="003A4F79">
        <w:rPr>
          <w:sz w:val="23"/>
        </w:rPr>
        <w:t xml:space="preserve"> </w:t>
      </w:r>
      <w:r w:rsidRPr="003A4F79">
        <w:t xml:space="preserve">Similarly, Linnainmaa (2011) concludes that investors trade to learn about their abilities and a learning-based model can generate similar trading </w:t>
      </w:r>
      <w:r w:rsidRPr="003A4F79">
        <w:lastRenderedPageBreak/>
        <w:t>patterns. Malmendier and Nagel (2011) show that individual experiences of macroeconomic shocks relating to the stock market affect stock market participation. In a savings context, Choi, Laibson, Madrian, and Metrick (2009) show that individual investors over-extrapolate from their personal return experiences. Kaustia and Knüpfer (2008) show that personal experiences of IPO returns are an important determinant of future IPO subscriptions. Exploiting randomized stocks in Indian IPO lotteries, Anagol, Balasubramaniam, and Ramadorai (2015) document that investors experiencing exogenous gains in IPO stocks tend to</w:t>
      </w:r>
      <w:r w:rsidR="003279CA" w:rsidRPr="003A4F79">
        <w:t xml:space="preserve"> increase trading in their portfolios, and tilt their portfolios towards the sector of the IPO</w:t>
      </w:r>
      <w:r w:rsidRPr="003A4F79">
        <w:t>. Campbell, Ramadorai, and Ranish (2014) show that both years of investment experience and investment returns significantly affect the investment behavio</w:t>
      </w:r>
      <w:r w:rsidR="0062481E" w:rsidRPr="003A4F79">
        <w:t>u</w:t>
      </w:r>
      <w:r w:rsidRPr="003A4F79">
        <w:t>r of inexperienced Indian retail equity investors.</w:t>
      </w:r>
      <w:r w:rsidR="00060B46" w:rsidRPr="003A4F79">
        <w:t xml:space="preserve"> Our </w:t>
      </w:r>
      <w:r w:rsidR="00BA0FFF" w:rsidRPr="003A4F79">
        <w:t>paper</w:t>
      </w:r>
      <w:r w:rsidR="00060B46" w:rsidRPr="003A4F79">
        <w:t xml:space="preserve"> is different from the previous </w:t>
      </w:r>
      <w:r w:rsidR="00BA0FFF" w:rsidRPr="003A4F79">
        <w:t>studies</w:t>
      </w:r>
      <w:r w:rsidR="00060B46" w:rsidRPr="003A4F79">
        <w:t xml:space="preserve"> in that we focus on </w:t>
      </w:r>
      <w:r w:rsidR="00EB32C2" w:rsidRPr="003A4F79">
        <w:t>the behavio</w:t>
      </w:r>
      <w:r w:rsidR="0062481E" w:rsidRPr="003A4F79">
        <w:t>u</w:t>
      </w:r>
      <w:r w:rsidR="00EB32C2" w:rsidRPr="003A4F79">
        <w:t>r of exiting and (re</w:t>
      </w:r>
      <w:r w:rsidR="00EB32C2" w:rsidRPr="003A4F79">
        <w:noBreakHyphen/>
        <w:t xml:space="preserve">)entering the stock market as a whole </w:t>
      </w:r>
      <w:r w:rsidR="00060B46" w:rsidRPr="003A4F79">
        <w:t xml:space="preserve">which is </w:t>
      </w:r>
      <w:r w:rsidR="00EB32C2" w:rsidRPr="003A4F79">
        <w:t xml:space="preserve">an important decision distinct from selling or purchasing individual securities (e.g., Strahilevitz, Odean, and Barber, 2011), or ceasing or continuing to trade securities while staying in the market (e.g., Seru, Shumway, and Stoffman, 2010; Linnainmaaa, 2011). </w:t>
      </w:r>
    </w:p>
    <w:p w14:paraId="2354347E" w14:textId="3C2F6A2E" w:rsidR="002606FE" w:rsidRPr="003A4F79" w:rsidRDefault="004C03CD" w:rsidP="00290F9F">
      <w:r w:rsidRPr="003A4F79">
        <w:t>T</w:t>
      </w:r>
      <w:r w:rsidR="002606FE" w:rsidRPr="003A4F79">
        <w:t xml:space="preserve">he </w:t>
      </w:r>
      <w:r w:rsidRPr="003A4F79">
        <w:t xml:space="preserve">remainder </w:t>
      </w:r>
      <w:r w:rsidR="002606FE" w:rsidRPr="003A4F79">
        <w:t xml:space="preserve">of </w:t>
      </w:r>
      <w:r w:rsidR="007C2D12" w:rsidRPr="003A4F79">
        <w:t xml:space="preserve">this </w:t>
      </w:r>
      <w:r w:rsidR="002606FE" w:rsidRPr="003A4F79">
        <w:t xml:space="preserve">paper </w:t>
      </w:r>
      <w:r w:rsidRPr="003A4F79">
        <w:t xml:space="preserve">proceeds </w:t>
      </w:r>
      <w:r w:rsidR="002606FE" w:rsidRPr="003A4F79">
        <w:t>as follows</w:t>
      </w:r>
      <w:r w:rsidR="00C048A5" w:rsidRPr="003A4F79">
        <w:t xml:space="preserve">. </w:t>
      </w:r>
      <w:r w:rsidR="00BA6BA4" w:rsidRPr="003A4F79">
        <w:t xml:space="preserve">Section </w:t>
      </w:r>
      <w:r w:rsidR="0075080C" w:rsidRPr="003A4F79">
        <w:t>2</w:t>
      </w:r>
      <w:r w:rsidR="002E5EC1" w:rsidRPr="003A4F79">
        <w:t xml:space="preserve"> surveys the literature </w:t>
      </w:r>
      <w:r w:rsidRPr="003A4F79">
        <w:t xml:space="preserve">on the </w:t>
      </w:r>
      <w:r w:rsidR="002E5EC1" w:rsidRPr="003A4F79">
        <w:t xml:space="preserve">primacy effect, and Section </w:t>
      </w:r>
      <w:r w:rsidR="0075080C" w:rsidRPr="003A4F79">
        <w:t>3</w:t>
      </w:r>
      <w:r w:rsidRPr="003A4F79">
        <w:t xml:space="preserve"> explains</w:t>
      </w:r>
      <w:r w:rsidR="00BA6BA4" w:rsidRPr="003A4F79">
        <w:t xml:space="preserve"> the model </w:t>
      </w:r>
      <w:r w:rsidR="002E5EC1" w:rsidRPr="003A4F79">
        <w:t xml:space="preserve">of experience sampling </w:t>
      </w:r>
      <w:r w:rsidR="00BA6BA4" w:rsidRPr="003A4F79">
        <w:t>for</w:t>
      </w:r>
      <w:r w:rsidR="00DC3131" w:rsidRPr="003A4F79">
        <w:t xml:space="preserve"> </w:t>
      </w:r>
      <w:r w:rsidR="002E5EC1" w:rsidRPr="003A4F79">
        <w:t>stock market re-entry to develop testable hypotheses.</w:t>
      </w:r>
      <w:r w:rsidR="00BA6BA4" w:rsidRPr="003A4F79">
        <w:t xml:space="preserve"> </w:t>
      </w:r>
      <w:r w:rsidR="002606FE" w:rsidRPr="003A4F79">
        <w:t xml:space="preserve">In Section </w:t>
      </w:r>
      <w:r w:rsidR="0075080C" w:rsidRPr="003A4F79">
        <w:t>4</w:t>
      </w:r>
      <w:r w:rsidR="002606FE" w:rsidRPr="003A4F79">
        <w:t xml:space="preserve">, we </w:t>
      </w:r>
      <w:r w:rsidR="00F30756" w:rsidRPr="003A4F79">
        <w:t xml:space="preserve">describe </w:t>
      </w:r>
      <w:r w:rsidR="002606FE" w:rsidRPr="003A4F79">
        <w:t>the data</w:t>
      </w:r>
      <w:r w:rsidR="00FC380A" w:rsidRPr="003A4F79">
        <w:t xml:space="preserve">, </w:t>
      </w:r>
      <w:r w:rsidR="00F30756" w:rsidRPr="003A4F79">
        <w:t>sample construction</w:t>
      </w:r>
      <w:r w:rsidR="00FC380A" w:rsidRPr="003A4F79">
        <w:t>, and our main variables</w:t>
      </w:r>
      <w:r w:rsidR="002606FE" w:rsidRPr="003A4F79">
        <w:t xml:space="preserve">. Section </w:t>
      </w:r>
      <w:r w:rsidR="0075080C" w:rsidRPr="003A4F79">
        <w:t>5</w:t>
      </w:r>
      <w:r w:rsidR="002606FE" w:rsidRPr="003A4F79">
        <w:t xml:space="preserve"> presents </w:t>
      </w:r>
      <w:r w:rsidRPr="003A4F79">
        <w:t xml:space="preserve">the </w:t>
      </w:r>
      <w:r w:rsidR="00930475" w:rsidRPr="003A4F79">
        <w:t>main empirical results</w:t>
      </w:r>
      <w:r w:rsidR="00FA3380" w:rsidRPr="003A4F79">
        <w:t xml:space="preserve">, and </w:t>
      </w:r>
      <w:r w:rsidR="002606FE" w:rsidRPr="003A4F79">
        <w:t xml:space="preserve">Section </w:t>
      </w:r>
      <w:r w:rsidR="0075080C" w:rsidRPr="003A4F79">
        <w:t>6</w:t>
      </w:r>
      <w:r w:rsidR="00FA3380" w:rsidRPr="003A4F79">
        <w:t xml:space="preserve"> </w:t>
      </w:r>
      <w:r w:rsidR="006C53D0" w:rsidRPr="003A4F79">
        <w:t xml:space="preserve">presents the </w:t>
      </w:r>
      <w:r w:rsidR="006C53D0" w:rsidRPr="003A4F79">
        <w:lastRenderedPageBreak/>
        <w:t xml:space="preserve">results of Heckman’s (1976) two-stage model to deal with the selection issue. </w:t>
      </w:r>
      <w:r w:rsidR="002606FE" w:rsidRPr="003A4F79">
        <w:t xml:space="preserve">Section </w:t>
      </w:r>
      <w:r w:rsidR="0075080C" w:rsidRPr="003A4F79">
        <w:t>7</w:t>
      </w:r>
      <w:r w:rsidR="002606FE" w:rsidRPr="003A4F79">
        <w:t xml:space="preserve"> </w:t>
      </w:r>
      <w:r w:rsidR="006C53D0" w:rsidRPr="003A4F79">
        <w:t>discuss</w:t>
      </w:r>
      <w:r w:rsidR="00662500" w:rsidRPr="003A4F79">
        <w:t>es</w:t>
      </w:r>
      <w:r w:rsidR="006C53D0" w:rsidRPr="003A4F79">
        <w:t xml:space="preserve"> </w:t>
      </w:r>
      <w:r w:rsidR="007F3DD9" w:rsidRPr="003A4F79">
        <w:t>some alternative explanations for our findings</w:t>
      </w:r>
      <w:r w:rsidR="006C53D0" w:rsidRPr="003A4F79">
        <w:t>, and</w:t>
      </w:r>
      <w:r w:rsidR="002606FE" w:rsidRPr="003A4F79">
        <w:t xml:space="preserve"> Section </w:t>
      </w:r>
      <w:r w:rsidR="0075080C" w:rsidRPr="003A4F79">
        <w:t>8</w:t>
      </w:r>
      <w:r w:rsidRPr="003A4F79">
        <w:t xml:space="preserve"> draws conclusions</w:t>
      </w:r>
      <w:r w:rsidR="002606FE" w:rsidRPr="003A4F79">
        <w:t>.</w:t>
      </w:r>
    </w:p>
    <w:p w14:paraId="51BD1F43" w14:textId="7ED2B4DC" w:rsidR="00C16507" w:rsidRPr="003A4F79" w:rsidRDefault="00AB1084" w:rsidP="00290F9F">
      <w:pPr>
        <w:pStyle w:val="Heading1"/>
      </w:pPr>
      <w:r w:rsidRPr="003A4F79">
        <w:t>2</w:t>
      </w:r>
      <w:r w:rsidR="004D61CC" w:rsidRPr="003A4F79">
        <w:t xml:space="preserve">. </w:t>
      </w:r>
      <w:r w:rsidR="00C16507" w:rsidRPr="003A4F79">
        <w:t xml:space="preserve">Related </w:t>
      </w:r>
      <w:r w:rsidR="004D61CC" w:rsidRPr="003A4F79">
        <w:t>literature</w:t>
      </w:r>
      <w:r w:rsidR="00C16507" w:rsidRPr="003A4F79">
        <w:t>: Primacy</w:t>
      </w:r>
      <w:r w:rsidR="00DC4EA1" w:rsidRPr="003A4F79">
        <w:t xml:space="preserve">, </w:t>
      </w:r>
      <w:r w:rsidR="00DD0DBB" w:rsidRPr="003A4F79">
        <w:t>recency</w:t>
      </w:r>
      <w:r w:rsidR="00DC4EA1" w:rsidRPr="003A4F79">
        <w:t xml:space="preserve">, </w:t>
      </w:r>
      <w:r w:rsidR="00DD0DBB" w:rsidRPr="003A4F79">
        <w:t>and salienc</w:t>
      </w:r>
      <w:r w:rsidR="0024308E" w:rsidRPr="003A4F79">
        <w:t>e</w:t>
      </w:r>
      <w:r w:rsidR="00DD0DBB" w:rsidRPr="003A4F79">
        <w:t xml:space="preserve"> effect</w:t>
      </w:r>
      <w:r w:rsidR="00DC4EA1" w:rsidRPr="003A4F79">
        <w:t>s</w:t>
      </w:r>
    </w:p>
    <w:p w14:paraId="4784705D" w14:textId="283DBC32" w:rsidR="00C16507" w:rsidRPr="003A4F79" w:rsidRDefault="00C16507" w:rsidP="00290F9F">
      <w:r w:rsidRPr="003A4F79">
        <w:t xml:space="preserve">Decision-making models supported by experimental evidence </w:t>
      </w:r>
      <w:r w:rsidR="004C03CD" w:rsidRPr="003A4F79">
        <w:t xml:space="preserve">propose </w:t>
      </w:r>
      <w:r w:rsidRPr="003A4F79">
        <w:t xml:space="preserve">that information presented early on </w:t>
      </w:r>
      <w:r w:rsidR="00314A9C" w:rsidRPr="003A4F79">
        <w:t>and</w:t>
      </w:r>
      <w:r w:rsidRPr="003A4F79">
        <w:t xml:space="preserve"> initial experience</w:t>
      </w:r>
      <w:r w:rsidR="00314A9C" w:rsidRPr="003A4F79">
        <w:t>s</w:t>
      </w:r>
      <w:r w:rsidRPr="003A4F79">
        <w:t xml:space="preserve"> with the decision task </w:t>
      </w:r>
      <w:r w:rsidR="004C03CD" w:rsidRPr="003A4F79">
        <w:t xml:space="preserve">have </w:t>
      </w:r>
      <w:r w:rsidRPr="003A4F79">
        <w:t>a dominant influence on final judgment</w:t>
      </w:r>
      <w:r w:rsidR="004C03CD" w:rsidRPr="003A4F79">
        <w:t>s. This</w:t>
      </w:r>
      <w:r w:rsidRPr="003A4F79">
        <w:t xml:space="preserve"> is often </w:t>
      </w:r>
      <w:r w:rsidR="004C03CD" w:rsidRPr="003A4F79">
        <w:t xml:space="preserve">referred to </w:t>
      </w:r>
      <w:r w:rsidRPr="003A4F79">
        <w:t xml:space="preserve">as the </w:t>
      </w:r>
      <w:r w:rsidRPr="003A4F79">
        <w:rPr>
          <w:i/>
        </w:rPr>
        <w:t>primacy effect</w:t>
      </w:r>
      <w:r w:rsidRPr="003A4F79">
        <w:t xml:space="preserve"> (Asch, 1946; Jones</w:t>
      </w:r>
      <w:r w:rsidR="00406225" w:rsidRPr="003A4F79">
        <w:t>, Rock, Shaver, Goethals, and Ward</w:t>
      </w:r>
      <w:r w:rsidRPr="003A4F79">
        <w:t xml:space="preserve">, 1968; Hogarth and Einhorn, 1992; Nisbett and Ross, 1980). For example, Nisbett and Ross (1980) argue that people are “theorists” in their approach to information </w:t>
      </w:r>
      <w:r w:rsidR="004C03CD" w:rsidRPr="003A4F79">
        <w:t xml:space="preserve">on </w:t>
      </w:r>
      <w:r w:rsidRPr="003A4F79">
        <w:t xml:space="preserve">the social and physical world; information presented early on serves as raw material for inferences and biases </w:t>
      </w:r>
      <w:r w:rsidR="004C03CD" w:rsidRPr="003A4F79">
        <w:t xml:space="preserve">in </w:t>
      </w:r>
      <w:r w:rsidRPr="003A4F79">
        <w:t>interpretation</w:t>
      </w:r>
      <w:r w:rsidR="004C03CD" w:rsidRPr="003A4F79">
        <w:t>s</w:t>
      </w:r>
      <w:r w:rsidRPr="003A4F79">
        <w:t xml:space="preserve"> of later information. </w:t>
      </w:r>
      <w:r w:rsidR="00705D74" w:rsidRPr="003A4F79">
        <w:t>L</w:t>
      </w:r>
      <w:r w:rsidRPr="003A4F79">
        <w:t xml:space="preserve">iterature </w:t>
      </w:r>
      <w:r w:rsidR="004C03CD" w:rsidRPr="003A4F79">
        <w:t>on</w:t>
      </w:r>
      <w:r w:rsidR="00705D74" w:rsidRPr="003A4F79">
        <w:t xml:space="preserve"> the</w:t>
      </w:r>
      <w:r w:rsidR="004C03CD" w:rsidRPr="003A4F79">
        <w:t xml:space="preserve"> </w:t>
      </w:r>
      <w:r w:rsidRPr="003A4F79">
        <w:t>primacy effect in extensive series tasks highlights that participants’ attention, and thus sensitivity, to later information decays over time, causing them to rely more heavily on initial information in their final judgments (e.g., Pinsker, 2011).</w:t>
      </w:r>
      <w:r w:rsidR="007136A4" w:rsidRPr="003A4F79">
        <w:t xml:space="preserve"> </w:t>
      </w:r>
      <w:r w:rsidRPr="003A4F79">
        <w:t>In a self-evaluation context, Feldman and Bernstein (1978) argue that primacy effects can be predicted only for abilities in which individual</w:t>
      </w:r>
      <w:r w:rsidR="00FE10EA" w:rsidRPr="003A4F79">
        <w:t>s</w:t>
      </w:r>
      <w:r w:rsidRPr="003A4F79">
        <w:t xml:space="preserve"> </w:t>
      </w:r>
      <w:r w:rsidR="00FE10EA" w:rsidRPr="003A4F79">
        <w:t xml:space="preserve">have </w:t>
      </w:r>
      <w:r w:rsidRPr="003A4F79">
        <w:t xml:space="preserve">no prior experience or knowledge regarding </w:t>
      </w:r>
      <w:r w:rsidR="00FE10EA" w:rsidRPr="003A4F79">
        <w:t>their</w:t>
      </w:r>
      <w:r w:rsidRPr="003A4F79">
        <w:t xml:space="preserve"> own performance. In </w:t>
      </w:r>
      <w:r w:rsidR="00FE10EA" w:rsidRPr="003A4F79">
        <w:t xml:space="preserve">such </w:t>
      </w:r>
      <w:r w:rsidRPr="003A4F79">
        <w:t>instances, the individual</w:t>
      </w:r>
      <w:r w:rsidR="00FE10EA" w:rsidRPr="003A4F79">
        <w:t>s</w:t>
      </w:r>
      <w:r w:rsidRPr="003A4F79">
        <w:t xml:space="preserve"> </w:t>
      </w:r>
      <w:r w:rsidR="00FE10EA" w:rsidRPr="003A4F79">
        <w:t xml:space="preserve">have </w:t>
      </w:r>
      <w:r w:rsidRPr="003A4F79">
        <w:t>not established a referent, and the</w:t>
      </w:r>
      <w:r w:rsidR="00FE10EA" w:rsidRPr="003A4F79">
        <w:t>ir</w:t>
      </w:r>
      <w:r w:rsidRPr="003A4F79">
        <w:t xml:space="preserve"> self-attribution</w:t>
      </w:r>
      <w:r w:rsidR="00FE10EA" w:rsidRPr="003A4F79">
        <w:t>s</w:t>
      </w:r>
      <w:r w:rsidRPr="003A4F79">
        <w:t xml:space="preserve"> of ability </w:t>
      </w:r>
      <w:r w:rsidR="00FE10EA" w:rsidRPr="003A4F79">
        <w:t xml:space="preserve">are </w:t>
      </w:r>
      <w:r w:rsidRPr="003A4F79">
        <w:t xml:space="preserve">likely </w:t>
      </w:r>
      <w:r w:rsidR="00FE10EA" w:rsidRPr="003A4F79">
        <w:t xml:space="preserve">to </w:t>
      </w:r>
      <w:r w:rsidRPr="003A4F79">
        <w:t xml:space="preserve">be based on their initial performance. </w:t>
      </w:r>
    </w:p>
    <w:p w14:paraId="6850DF11" w14:textId="383EF6DE" w:rsidR="00C16507" w:rsidRPr="003A4F79" w:rsidRDefault="00C16507" w:rsidP="00290F9F">
      <w:r w:rsidRPr="003A4F79">
        <w:t xml:space="preserve">Models </w:t>
      </w:r>
      <w:r w:rsidR="00FE10EA" w:rsidRPr="003A4F79">
        <w:t xml:space="preserve">of </w:t>
      </w:r>
      <w:r w:rsidRPr="003A4F79">
        <w:t>judgment and decision making also suggest that information presented later on may have a significant effect on final judgment</w:t>
      </w:r>
      <w:r w:rsidR="00FE10EA" w:rsidRPr="003A4F79">
        <w:t>s. This is referred to</w:t>
      </w:r>
      <w:r w:rsidRPr="003A4F79">
        <w:t xml:space="preserve"> as the </w:t>
      </w:r>
      <w:r w:rsidRPr="003A4F79">
        <w:rPr>
          <w:i/>
        </w:rPr>
        <w:t>recency effect</w:t>
      </w:r>
      <w:r w:rsidR="00CF21A0" w:rsidRPr="003A4F79">
        <w:t>, and</w:t>
      </w:r>
      <w:r w:rsidRPr="003A4F79">
        <w:t xml:space="preserve"> is especially </w:t>
      </w:r>
      <w:r w:rsidR="00CF21A0" w:rsidRPr="003A4F79">
        <w:t>true</w:t>
      </w:r>
      <w:r w:rsidRPr="003A4F79">
        <w:t xml:space="preserve"> when special memory constraints favor the </w:t>
      </w:r>
      <w:r w:rsidRPr="003A4F79">
        <w:lastRenderedPageBreak/>
        <w:t xml:space="preserve">recall of information presented later on, </w:t>
      </w:r>
      <w:r w:rsidR="00CF21A0" w:rsidRPr="003A4F79">
        <w:t xml:space="preserve">when </w:t>
      </w:r>
      <w:r w:rsidRPr="003A4F79">
        <w:t xml:space="preserve">circumstances </w:t>
      </w:r>
      <w:r w:rsidR="00CF21A0" w:rsidRPr="003A4F79">
        <w:t xml:space="preserve">produce </w:t>
      </w:r>
      <w:r w:rsidRPr="003A4F79">
        <w:t xml:space="preserve">strong contrast effects, </w:t>
      </w:r>
      <w:r w:rsidR="00CF21A0" w:rsidRPr="003A4F79">
        <w:t xml:space="preserve">or when faced with </w:t>
      </w:r>
      <w:r w:rsidRPr="003A4F79">
        <w:t>an object or process</w:t>
      </w:r>
      <w:r w:rsidR="00CF21A0" w:rsidRPr="003A4F79">
        <w:t xml:space="preserve"> </w:t>
      </w:r>
      <w:r w:rsidRPr="003A4F79">
        <w:t>that can be presumed to be capable of changing over time (Ashton and Ashton, 1988; Tuttle</w:t>
      </w:r>
      <w:r w:rsidR="00406225" w:rsidRPr="003A4F79">
        <w:t>, Coller, and Burton</w:t>
      </w:r>
      <w:r w:rsidRPr="003A4F79">
        <w:t>, 1997).</w:t>
      </w:r>
      <w:r w:rsidR="000A64CF" w:rsidRPr="003A4F79">
        <w:t xml:space="preserve"> </w:t>
      </w:r>
      <w:r w:rsidRPr="003A4F79">
        <w:t xml:space="preserve">Hogarth and Einhorn (1992) propose </w:t>
      </w:r>
      <w:r w:rsidR="00CF21A0" w:rsidRPr="003A4F79">
        <w:t xml:space="preserve">a </w:t>
      </w:r>
      <w:r w:rsidRPr="003A4F79">
        <w:t xml:space="preserve">belief adjustment model to explain the order effect on judgments. They </w:t>
      </w:r>
      <w:r w:rsidR="00CF21A0" w:rsidRPr="003A4F79">
        <w:t xml:space="preserve">propose </w:t>
      </w:r>
      <w:r w:rsidRPr="003A4F79">
        <w:t>that individual</w:t>
      </w:r>
      <w:r w:rsidR="00CF21A0" w:rsidRPr="003A4F79">
        <w:t>s</w:t>
      </w:r>
      <w:r w:rsidRPr="003A4F79">
        <w:t xml:space="preserve"> build initial anchor</w:t>
      </w:r>
      <w:r w:rsidR="00CF21A0" w:rsidRPr="003A4F79">
        <w:t>s</w:t>
      </w:r>
      <w:r w:rsidRPr="003A4F79">
        <w:t xml:space="preserve"> after reading </w:t>
      </w:r>
      <w:r w:rsidR="00CF21A0" w:rsidRPr="003A4F79">
        <w:t xml:space="preserve">a </w:t>
      </w:r>
      <w:r w:rsidRPr="003A4F79">
        <w:t>first piece of information</w:t>
      </w:r>
      <w:r w:rsidR="00CF21A0" w:rsidRPr="003A4F79">
        <w:t>,</w:t>
      </w:r>
      <w:r w:rsidRPr="003A4F79">
        <w:t xml:space="preserve"> and </w:t>
      </w:r>
      <w:r w:rsidR="00705D74" w:rsidRPr="003A4F79">
        <w:t xml:space="preserve">that </w:t>
      </w:r>
      <w:r w:rsidRPr="003A4F79">
        <w:t>the</w:t>
      </w:r>
      <w:r w:rsidR="00CF21A0" w:rsidRPr="003A4F79">
        <w:t>se</w:t>
      </w:r>
      <w:r w:rsidRPr="003A4F79">
        <w:t xml:space="preserve"> anchor</w:t>
      </w:r>
      <w:r w:rsidR="00CF21A0" w:rsidRPr="003A4F79">
        <w:t>s</w:t>
      </w:r>
      <w:r w:rsidRPr="003A4F79">
        <w:t xml:space="preserve"> </w:t>
      </w:r>
      <w:r w:rsidR="00705D74" w:rsidRPr="003A4F79">
        <w:t>are</w:t>
      </w:r>
      <w:r w:rsidRPr="003A4F79">
        <w:t xml:space="preserve"> </w:t>
      </w:r>
      <w:r w:rsidR="00CF21A0" w:rsidRPr="003A4F79">
        <w:t xml:space="preserve">continuously </w:t>
      </w:r>
      <w:r w:rsidRPr="003A4F79">
        <w:t xml:space="preserve">updated based on subsequent information. </w:t>
      </w:r>
      <w:r w:rsidR="00CF21A0" w:rsidRPr="003A4F79">
        <w:t>The authors suggest that, w</w:t>
      </w:r>
      <w:r w:rsidRPr="003A4F79">
        <w:t xml:space="preserve">hen people change their beliefs after integrating each piece of evidence in a given sequence, the recency effect dominates when the number of pieces to be evaluated is low; otherwise, the primacy effect tends to dominate. On the other hand, when people change their beliefs only at the end of the sequence, the primacy effect dominates unless the amount of information presented is large and highly complex. Hence, it is </w:t>
      </w:r>
      <w:r w:rsidR="00CF21A0" w:rsidRPr="003A4F79">
        <w:t>open to</w:t>
      </w:r>
      <w:r w:rsidRPr="003A4F79">
        <w:t xml:space="preserve"> question whether</w:t>
      </w:r>
      <w:r w:rsidR="00705D74" w:rsidRPr="003A4F79">
        <w:t xml:space="preserve"> or not</w:t>
      </w:r>
      <w:r w:rsidRPr="003A4F79">
        <w:t xml:space="preserve"> </w:t>
      </w:r>
      <w:r w:rsidR="009D1CB7" w:rsidRPr="003A4F79">
        <w:t xml:space="preserve">the </w:t>
      </w:r>
      <w:r w:rsidRPr="003A4F79">
        <w:t xml:space="preserve">primacy bias has a first-order effect in </w:t>
      </w:r>
      <w:r w:rsidR="00CF21A0" w:rsidRPr="003A4F79">
        <w:t>all</w:t>
      </w:r>
      <w:r w:rsidRPr="003A4F79">
        <w:t xml:space="preserve"> financial decision-making setting</w:t>
      </w:r>
      <w:r w:rsidR="00CF21A0" w:rsidRPr="003A4F79">
        <w:t>s</w:t>
      </w:r>
      <w:r w:rsidRPr="003A4F79">
        <w:t xml:space="preserve"> and</w:t>
      </w:r>
      <w:r w:rsidR="00CF21A0" w:rsidRPr="003A4F79">
        <w:t>,</w:t>
      </w:r>
      <w:r w:rsidRPr="003A4F79">
        <w:t xml:space="preserve"> in particular, in the context of stock market participation.</w:t>
      </w:r>
    </w:p>
    <w:p w14:paraId="385F051F" w14:textId="0C67FC78" w:rsidR="00F404CF" w:rsidRPr="003A4F79" w:rsidRDefault="00DC4EA1" w:rsidP="00DC4EA1">
      <w:pPr>
        <w:pStyle w:val="Heading1"/>
        <w:ind w:firstLine="720"/>
        <w:rPr>
          <w:b w:val="0"/>
          <w:bCs w:val="0"/>
          <w:sz w:val="24"/>
          <w:szCs w:val="23"/>
        </w:rPr>
      </w:pPr>
      <w:r w:rsidRPr="003A4F79">
        <w:rPr>
          <w:b w:val="0"/>
          <w:bCs w:val="0"/>
          <w:sz w:val="24"/>
          <w:szCs w:val="23"/>
        </w:rPr>
        <w:t>Another related phenomenon which may influence investors’ judgments in a series of observations is the salienc</w:t>
      </w:r>
      <w:r w:rsidR="0024308E" w:rsidRPr="003A4F79">
        <w:rPr>
          <w:b w:val="0"/>
          <w:bCs w:val="0"/>
          <w:sz w:val="24"/>
          <w:szCs w:val="23"/>
        </w:rPr>
        <w:t>e</w:t>
      </w:r>
      <w:r w:rsidRPr="003A4F79">
        <w:rPr>
          <w:b w:val="0"/>
          <w:bCs w:val="0"/>
          <w:sz w:val="24"/>
          <w:szCs w:val="23"/>
        </w:rPr>
        <w:t xml:space="preserve"> effect which is studied</w:t>
      </w:r>
      <w:r w:rsidR="009335F2" w:rsidRPr="003A4F79">
        <w:rPr>
          <w:b w:val="0"/>
          <w:bCs w:val="0"/>
          <w:sz w:val="24"/>
          <w:szCs w:val="23"/>
        </w:rPr>
        <w:t xml:space="preserve"> in Bordalo, Gennaioli and Shleifer (2012)</w:t>
      </w:r>
      <w:r w:rsidRPr="003A4F79">
        <w:rPr>
          <w:b w:val="0"/>
          <w:bCs w:val="0"/>
          <w:sz w:val="24"/>
          <w:szCs w:val="23"/>
        </w:rPr>
        <w:t>.</w:t>
      </w:r>
      <w:r w:rsidR="009335F2" w:rsidRPr="003A4F79">
        <w:rPr>
          <w:b w:val="0"/>
          <w:bCs w:val="0"/>
          <w:sz w:val="24"/>
          <w:szCs w:val="23"/>
        </w:rPr>
        <w:t xml:space="preserve"> They </w:t>
      </w:r>
      <w:r w:rsidRPr="003A4F79">
        <w:rPr>
          <w:b w:val="0"/>
          <w:bCs w:val="0"/>
          <w:sz w:val="24"/>
          <w:szCs w:val="23"/>
        </w:rPr>
        <w:t xml:space="preserve">posit that the extent to which decision weights are distorted depends on the salience of the associated payoffs, and not on the underlying probabilities. A payoff is salient if it is very </w:t>
      </w:r>
      <w:r w:rsidRPr="003A4F79">
        <w:rPr>
          <w:b w:val="0"/>
          <w:bCs w:val="0"/>
          <w:sz w:val="24"/>
          <w:szCs w:val="23"/>
        </w:rPr>
        <w:lastRenderedPageBreak/>
        <w:t xml:space="preserve">different in percentage terms from the other payoffs. According to this theory, we should expect a return which is very different than the other returns to have a dominant effect on investors’ decision in stock market participation. </w:t>
      </w:r>
    </w:p>
    <w:p w14:paraId="348BC3BC" w14:textId="508FD158" w:rsidR="00647D25" w:rsidRPr="003A4F79" w:rsidRDefault="00AB1084" w:rsidP="004228F9">
      <w:pPr>
        <w:pStyle w:val="Heading1"/>
      </w:pPr>
      <w:r w:rsidRPr="003A4F79">
        <w:t>3</w:t>
      </w:r>
      <w:r w:rsidR="00785757" w:rsidRPr="003A4F79">
        <w:t xml:space="preserve">. Hypothesis </w:t>
      </w:r>
      <w:r w:rsidR="004D61CC" w:rsidRPr="003A4F79">
        <w:t>development</w:t>
      </w:r>
    </w:p>
    <w:p w14:paraId="54F56E1B" w14:textId="7EC431CC" w:rsidR="007074D5" w:rsidRPr="003A4F79" w:rsidRDefault="000E4D47" w:rsidP="0046456F">
      <w:r w:rsidRPr="003A4F79">
        <w:t>Based on the theory of experience sampling (Denrell, 2007</w:t>
      </w:r>
      <w:r w:rsidR="00705D74" w:rsidRPr="003A4F79">
        <w:t xml:space="preserve">; </w:t>
      </w:r>
      <w:r w:rsidRPr="003A4F79">
        <w:t>Luce, 1959), w</w:t>
      </w:r>
      <w:r w:rsidR="00DF6839" w:rsidRPr="003A4F79">
        <w:t xml:space="preserve">e model </w:t>
      </w:r>
      <w:r w:rsidR="00964DEC" w:rsidRPr="003A4F79">
        <w:t xml:space="preserve">individual </w:t>
      </w:r>
      <w:r w:rsidR="00DF6839" w:rsidRPr="003A4F79">
        <w:t>investors</w:t>
      </w:r>
      <w:r w:rsidR="00CF21A0" w:rsidRPr="003A4F79">
        <w:t>’</w:t>
      </w:r>
      <w:r w:rsidR="00DF6839" w:rsidRPr="003A4F79">
        <w:t xml:space="preserve"> decision</w:t>
      </w:r>
      <w:r w:rsidR="00CF21A0" w:rsidRPr="003A4F79">
        <w:t>s</w:t>
      </w:r>
      <w:r w:rsidR="00DF6839" w:rsidRPr="003A4F79">
        <w:t xml:space="preserve"> to re</w:t>
      </w:r>
      <w:r w:rsidR="00044D96" w:rsidRPr="003A4F79">
        <w:t>-en</w:t>
      </w:r>
      <w:r w:rsidR="00DF6839" w:rsidRPr="003A4F79">
        <w:t xml:space="preserve">ter the stock market </w:t>
      </w:r>
      <w:r w:rsidR="00044D96" w:rsidRPr="003A4F79">
        <w:t xml:space="preserve">as </w:t>
      </w:r>
      <w:r w:rsidR="00CF21A0" w:rsidRPr="003A4F79">
        <w:t>a</w:t>
      </w:r>
      <w:r w:rsidR="00E9545F" w:rsidRPr="003A4F79">
        <w:t xml:space="preserve"> </w:t>
      </w:r>
      <w:r w:rsidR="00044D96" w:rsidRPr="003A4F79">
        <w:t>choice</w:t>
      </w:r>
      <w:r w:rsidR="00656130" w:rsidRPr="003A4F79">
        <w:t xml:space="preserve"> problem</w:t>
      </w:r>
      <w:r w:rsidR="00044D96" w:rsidRPr="003A4F79">
        <w:t xml:space="preserve"> between </w:t>
      </w:r>
      <w:r w:rsidR="00485B31" w:rsidRPr="003A4F79">
        <w:t>two alternatives, i</w:t>
      </w:r>
      <w:r w:rsidR="00401E55" w:rsidRPr="003A4F79">
        <w:t xml:space="preserve">.e., </w:t>
      </w:r>
      <w:r w:rsidR="00AF4AE1" w:rsidRPr="003A4F79">
        <w:t>invest</w:t>
      </w:r>
      <w:r w:rsidR="001E50DF" w:rsidRPr="003A4F79">
        <w:t>ing</w:t>
      </w:r>
      <w:r w:rsidR="00AF4AE1" w:rsidRPr="003A4F79">
        <w:t xml:space="preserve"> in alternative assets</w:t>
      </w:r>
      <w:r w:rsidR="00964DEC" w:rsidRPr="003A4F79">
        <w:t xml:space="preserve"> such as </w:t>
      </w:r>
      <w:r w:rsidR="001E50DF" w:rsidRPr="003A4F79">
        <w:t>bank savings</w:t>
      </w:r>
      <w:r w:rsidR="00485B31" w:rsidRPr="003A4F79">
        <w:t xml:space="preserve"> vs. (re-)entering </w:t>
      </w:r>
      <w:r w:rsidR="00401E55" w:rsidRPr="003A4F79">
        <w:t xml:space="preserve">the </w:t>
      </w:r>
      <w:r w:rsidR="00485B31" w:rsidRPr="003A4F79">
        <w:t xml:space="preserve">stock </w:t>
      </w:r>
      <w:r w:rsidR="00401E55" w:rsidRPr="003A4F79">
        <w:t>market</w:t>
      </w:r>
      <w:r w:rsidR="000C51D7" w:rsidRPr="003A4F79">
        <w:t xml:space="preserve"> to invest</w:t>
      </w:r>
      <w:r w:rsidR="00044D96" w:rsidRPr="003A4F79">
        <w:t xml:space="preserve">. For </w:t>
      </w:r>
      <w:r w:rsidR="00DC0A02" w:rsidRPr="003A4F79">
        <w:t xml:space="preserve">the purpose of </w:t>
      </w:r>
      <w:r w:rsidR="00044D96" w:rsidRPr="003A4F79">
        <w:t xml:space="preserve">illustration, </w:t>
      </w:r>
      <w:r w:rsidR="00576730" w:rsidRPr="003A4F79">
        <w:t>we assume that our investors are risk neutral,</w:t>
      </w:r>
      <w:r w:rsidR="005D0144" w:rsidRPr="003A4F79">
        <w:rPr>
          <w:rStyle w:val="FootnoteReference"/>
        </w:rPr>
        <w:footnoteReference w:id="5"/>
      </w:r>
      <w:r w:rsidR="00576730" w:rsidRPr="003A4F79">
        <w:t xml:space="preserve"> and </w:t>
      </w:r>
      <w:r w:rsidR="00485B31" w:rsidRPr="003A4F79">
        <w:t xml:space="preserve">investment returns </w:t>
      </w:r>
      <w:r w:rsidR="00F17C9B" w:rsidRPr="003A4F79">
        <w:t xml:space="preserve">are scaled to be zero for the first </w:t>
      </w:r>
      <w:r w:rsidR="00044D96" w:rsidRPr="003A4F79">
        <w:t>alternative</w:t>
      </w:r>
      <w:r w:rsidR="00221119" w:rsidRPr="003A4F79">
        <w:t xml:space="preserve">, </w:t>
      </w:r>
      <w:r w:rsidR="00F17C9B" w:rsidRPr="003A4F79">
        <w:t>and</w:t>
      </w:r>
      <w:r w:rsidR="00221119" w:rsidRPr="003A4F79">
        <w:t xml:space="preserve"> </w:t>
      </w:r>
      <w:r w:rsidR="00FF5CF2" w:rsidRPr="003A4F79">
        <w:t xml:space="preserve">for the second alternative </w:t>
      </w:r>
      <w:r w:rsidR="00221119" w:rsidRPr="003A4F79">
        <w:t xml:space="preserve">they are denoted by </w:t>
      </w:r>
      <m:oMath>
        <m:r>
          <w:rPr>
            <w:rFonts w:ascii="Cambria Math" w:hAnsi="Cambria Math"/>
          </w:rPr>
          <m:t>r</m:t>
        </m:r>
      </m:oMath>
      <w:r w:rsidR="00FF5CF2" w:rsidRPr="003A4F79">
        <w:t xml:space="preserve"> that is </w:t>
      </w:r>
      <w:r w:rsidR="00221119" w:rsidRPr="003A4F79">
        <w:t xml:space="preserve">a </w:t>
      </w:r>
      <w:r w:rsidR="00DA4263" w:rsidRPr="003A4F79">
        <w:t xml:space="preserve">normally distributed </w:t>
      </w:r>
      <w:r w:rsidR="00221119" w:rsidRPr="003A4F79">
        <w:t>random variable</w:t>
      </w:r>
      <w:r w:rsidR="00F17C9B" w:rsidRPr="003A4F79">
        <w:t>.</w:t>
      </w:r>
      <w:r w:rsidR="005D0144" w:rsidRPr="003A4F79">
        <w:rPr>
          <w:rStyle w:val="FootnoteReference"/>
        </w:rPr>
        <w:footnoteReference w:id="6"/>
      </w:r>
      <w:r w:rsidR="00044D96" w:rsidRPr="003A4F79">
        <w:t xml:space="preserve"> </w:t>
      </w:r>
      <w:r w:rsidR="00B85A06" w:rsidRPr="003A4F79">
        <w:t>T</w:t>
      </w:r>
      <w:r w:rsidR="00044D96" w:rsidRPr="003A4F79">
        <w:t xml:space="preserve">he investor does not know the </w:t>
      </w:r>
      <w:r w:rsidR="002826F4" w:rsidRPr="003A4F79">
        <w:t>population parameter</w:t>
      </w:r>
      <w:r w:rsidR="00CF21A0" w:rsidRPr="003A4F79">
        <w:t>,</w:t>
      </w:r>
      <w:r w:rsidR="002826F4" w:rsidRPr="003A4F79">
        <w:t xml:space="preserve"> </w:t>
      </w:r>
      <m:oMath>
        <m:r>
          <w:rPr>
            <w:rFonts w:ascii="Cambria Math" w:hAnsi="Cambria Math"/>
          </w:rPr>
          <m:t>r</m:t>
        </m:r>
      </m:oMath>
      <w:r w:rsidR="00044D96" w:rsidRPr="003A4F79">
        <w:t xml:space="preserve"> but</w:t>
      </w:r>
      <w:r w:rsidR="000E376A" w:rsidRPr="003A4F79">
        <w:t xml:space="preserve"> only</w:t>
      </w:r>
      <w:r w:rsidR="00044D96" w:rsidRPr="003A4F79">
        <w:t xml:space="preserve"> infers </w:t>
      </w:r>
      <w:r w:rsidR="008151DE" w:rsidRPr="003A4F79">
        <w:t>it</w:t>
      </w:r>
      <w:r w:rsidR="00044D96" w:rsidRPr="003A4F79">
        <w:t xml:space="preserve"> </w:t>
      </w:r>
      <w:r w:rsidR="002826F4" w:rsidRPr="003A4F79">
        <w:t xml:space="preserve">by </w:t>
      </w:r>
      <w:r w:rsidR="00AA3F60" w:rsidRPr="003A4F79">
        <w:t xml:space="preserve">choosing to </w:t>
      </w:r>
      <w:r w:rsidR="002826F4" w:rsidRPr="003A4F79">
        <w:t>sampl</w:t>
      </w:r>
      <w:r w:rsidR="002E6523" w:rsidRPr="003A4F79">
        <w:t xml:space="preserve">e its </w:t>
      </w:r>
      <w:r w:rsidR="002826F4" w:rsidRPr="003A4F79">
        <w:t>data through experience</w:t>
      </w:r>
      <w:r w:rsidR="007F6A61" w:rsidRPr="003A4F79">
        <w:t xml:space="preserve"> </w:t>
      </w:r>
      <w:r w:rsidR="00666918" w:rsidRPr="003A4F79">
        <w:t xml:space="preserve">of </w:t>
      </w:r>
      <w:r w:rsidR="008E3E62" w:rsidRPr="003A4F79">
        <w:t>participat</w:t>
      </w:r>
      <w:r w:rsidR="00705D74" w:rsidRPr="003A4F79">
        <w:t>ing</w:t>
      </w:r>
      <w:r w:rsidR="008E3E62" w:rsidRPr="003A4F79">
        <w:t xml:space="preserve"> </w:t>
      </w:r>
      <w:r w:rsidR="00666918" w:rsidRPr="003A4F79">
        <w:t>in the stock market.</w:t>
      </w:r>
      <w:r w:rsidR="00BB69CE" w:rsidRPr="003A4F79">
        <w:t xml:space="preserve"> </w:t>
      </w:r>
      <w:r w:rsidR="00D76688" w:rsidRPr="003A4F79">
        <w:t>Following the literature, w</w:t>
      </w:r>
      <w:r w:rsidR="0046456F" w:rsidRPr="003A4F79">
        <w:t xml:space="preserve">e assume that the investor </w:t>
      </w:r>
      <w:r w:rsidR="00E45F8B" w:rsidRPr="003A4F79">
        <w:lastRenderedPageBreak/>
        <w:t>decides to</w:t>
      </w:r>
      <w:r w:rsidR="0046456F" w:rsidRPr="003A4F79">
        <w:t xml:space="preserve"> return to the stock market if </w:t>
      </w:r>
      <w:r w:rsidR="00D76688" w:rsidRPr="003A4F79">
        <w:t>the</w:t>
      </w:r>
      <w:r w:rsidR="0046456F" w:rsidRPr="003A4F79">
        <w:t xml:space="preserve"> estimated value for </w:t>
      </w:r>
      <m:oMath>
        <m:r>
          <w:rPr>
            <w:rFonts w:ascii="Cambria Math" w:hAnsi="Cambria Math"/>
          </w:rPr>
          <m:t>r</m:t>
        </m:r>
      </m:oMath>
      <w:r w:rsidR="0046456F" w:rsidRPr="003A4F79">
        <w:t xml:space="preserve"> is positive (i.e., greater than the payoff from </w:t>
      </w:r>
      <w:r w:rsidR="002C4531" w:rsidRPr="003A4F79">
        <w:t xml:space="preserve">the </w:t>
      </w:r>
      <w:r w:rsidR="0046456F" w:rsidRPr="003A4F79">
        <w:t>other alternative), but sometimes explores</w:t>
      </w:r>
      <w:r w:rsidR="00D76688" w:rsidRPr="003A4F79">
        <w:t xml:space="preserve"> </w:t>
      </w:r>
      <w:r w:rsidR="0046456F" w:rsidRPr="003A4F79">
        <w:t>it even if it</w:t>
      </w:r>
      <w:r w:rsidR="00D76688" w:rsidRPr="003A4F79">
        <w:t xml:space="preserve"> </w:t>
      </w:r>
      <w:r w:rsidR="0046456F" w:rsidRPr="003A4F79">
        <w:t>is negative. Specifically, the</w:t>
      </w:r>
      <w:r w:rsidR="00D76688" w:rsidRPr="003A4F79">
        <w:t xml:space="preserve"> </w:t>
      </w:r>
      <w:r w:rsidR="0046456F" w:rsidRPr="003A4F79">
        <w:t xml:space="preserve">probability of </w:t>
      </w:r>
      <w:r w:rsidR="000E3B4C" w:rsidRPr="003A4F79">
        <w:t xml:space="preserve">re-entering </w:t>
      </w:r>
      <w:r w:rsidR="00EE22ED" w:rsidRPr="003A4F79">
        <w:t xml:space="preserve">the </w:t>
      </w:r>
      <w:r w:rsidR="000E3B4C" w:rsidRPr="003A4F79">
        <w:t>stock market</w:t>
      </w:r>
      <w:r w:rsidR="00F95D00" w:rsidRPr="003A4F79">
        <w:t xml:space="preserve">, </w:t>
      </w:r>
      <m:oMath>
        <m:r>
          <w:rPr>
            <w:rFonts w:ascii="Cambria Math" w:hAnsi="Cambria Math"/>
          </w:rPr>
          <m:t>P</m:t>
        </m:r>
      </m:oMath>
      <w:r w:rsidR="000E3B4C" w:rsidRPr="003A4F79">
        <w:t xml:space="preserve"> </w:t>
      </w:r>
      <w:r w:rsidR="0046456F" w:rsidRPr="003A4F79">
        <w:t>is</w:t>
      </w:r>
      <w:r w:rsidR="000E3B4C" w:rsidRPr="003A4F79">
        <w:t xml:space="preserve"> </w:t>
      </w:r>
      <w:r w:rsidR="0046456F" w:rsidRPr="003A4F79">
        <w:t>assumed to follow the exponential version of the Luce choice rule</w:t>
      </w:r>
      <w:r w:rsidR="000E3B4C" w:rsidRPr="003A4F79">
        <w:t xml:space="preserve"> </w:t>
      </w:r>
      <w:r w:rsidR="0046456F" w:rsidRPr="003A4F79">
        <w:t>(Luce, 1959):</w:t>
      </w:r>
      <w:r w:rsidR="00BB69CE" w:rsidRPr="003A4F79">
        <w:rPr>
          <w:rStyle w:val="FootnoteReference"/>
        </w:rPr>
        <w:footnoteReference w:id="7"/>
      </w:r>
    </w:p>
    <w:p w14:paraId="10172F22" w14:textId="38263434" w:rsidR="007074D5" w:rsidRPr="003A4F79" w:rsidRDefault="00821787" w:rsidP="00290F9F">
      <w:pPr>
        <w:pStyle w:val="Equations"/>
      </w:pPr>
      <m:oMath>
        <m:r>
          <m:rPr>
            <m:sty m:val="p"/>
          </m:rPr>
          <w:rPr>
            <w:rFonts w:ascii="Cambria Math" w:hAnsi="Cambria Math" w:cstheme="minorHAnsi"/>
          </w:rPr>
          <m:t xml:space="preserve">                      </m:t>
        </m:r>
        <m:r>
          <w:rPr>
            <w:rFonts w:ascii="Cambria Math" w:hAnsi="Cambria Math"/>
          </w:rPr>
          <m:t>P</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d>
              <m:dPr>
                <m:ctrlPr>
                  <w:rPr>
                    <w:rFonts w:ascii="Cambria Math" w:hAnsi="Cambria Math"/>
                  </w:rPr>
                </m:ctrlPr>
              </m:dPr>
              <m:e>
                <m:r>
                  <m:rPr>
                    <m:sty m:val="p"/>
                  </m:rPr>
                  <w:rPr>
                    <w:rFonts w:ascii="Cambria Math" w:hAnsi="Cambria Math"/>
                  </w:rPr>
                  <m:t>1+</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S</m:t>
                    </m:r>
                    <m:acc>
                      <m:accPr>
                        <m:ctrlPr>
                          <w:rPr>
                            <w:rFonts w:ascii="Cambria Math" w:hAnsi="Cambria Math"/>
                          </w:rPr>
                        </m:ctrlPr>
                      </m:accPr>
                      <m:e>
                        <m:r>
                          <w:rPr>
                            <w:rFonts w:ascii="Cambria Math" w:hAnsi="Cambria Math"/>
                          </w:rPr>
                          <m:t>r</m:t>
                        </m:r>
                      </m:e>
                    </m:acc>
                  </m:sup>
                </m:sSup>
              </m:e>
            </m:d>
          </m:den>
        </m:f>
        <m:r>
          <m:rPr>
            <m:sty m:val="p"/>
          </m:rPr>
          <w:rPr>
            <w:rFonts w:ascii="Cambria Math" w:hAnsi="Cambria Math"/>
          </w:rPr>
          <m:t xml:space="preserve">,    </m:t>
        </m:r>
        <m:r>
          <w:rPr>
            <w:rFonts w:ascii="Cambria Math" w:hAnsi="Cambria Math"/>
          </w:rPr>
          <m:t>S</m:t>
        </m:r>
        <m:r>
          <m:rPr>
            <m:sty m:val="p"/>
          </m:rPr>
          <w:rPr>
            <w:rFonts w:ascii="Cambria Math" w:hAnsi="Cambria Math"/>
          </w:rPr>
          <m:t>≥0,</m:t>
        </m:r>
      </m:oMath>
      <w:r w:rsidR="00824978" w:rsidRPr="003A4F79">
        <w:tab/>
      </w:r>
      <w:r w:rsidR="00824978" w:rsidRPr="003A4F79">
        <w:tab/>
      </w:r>
      <w:r w:rsidR="00824978" w:rsidRPr="003A4F79">
        <w:tab/>
      </w:r>
      <w:r w:rsidR="00824978" w:rsidRPr="003A4F79">
        <w:tab/>
      </w:r>
      <w:r w:rsidR="00824978" w:rsidRPr="003A4F79">
        <w:tab/>
      </w:r>
      <w:r w:rsidR="00E27BF3" w:rsidRPr="003A4F79">
        <w:t>(1)</w:t>
      </w:r>
    </w:p>
    <w:p w14:paraId="382F34ED" w14:textId="4E41394F" w:rsidR="00A63017" w:rsidRPr="003A4F79" w:rsidRDefault="00FC1E11" w:rsidP="008D511D">
      <w:pPr>
        <w:ind w:firstLine="0"/>
      </w:pPr>
      <w:r w:rsidRPr="003A4F79">
        <w:t xml:space="preserve">where </w:t>
      </w:r>
      <m:oMath>
        <m:acc>
          <m:accPr>
            <m:ctrlPr>
              <w:rPr>
                <w:rFonts w:ascii="Cambria Math" w:hAnsi="Cambria Math"/>
              </w:rPr>
            </m:ctrlPr>
          </m:accPr>
          <m:e>
            <m:r>
              <w:rPr>
                <w:rFonts w:ascii="Cambria Math" w:hAnsi="Cambria Math"/>
              </w:rPr>
              <m:t>r</m:t>
            </m:r>
          </m:e>
        </m:acc>
      </m:oMath>
      <w:r w:rsidR="000F0CDF" w:rsidRPr="003A4F79">
        <w:t xml:space="preserve"> denotes </w:t>
      </w:r>
      <w:r w:rsidR="00FD7F17" w:rsidRPr="003A4F79">
        <w:t xml:space="preserve">the </w:t>
      </w:r>
      <w:r w:rsidR="000F0CDF" w:rsidRPr="003A4F79">
        <w:t xml:space="preserve">estimated </w:t>
      </w:r>
      <w:r w:rsidR="0058531F" w:rsidRPr="003A4F79">
        <w:t xml:space="preserve">value of </w:t>
      </w:r>
      <m:oMath>
        <m:r>
          <w:rPr>
            <w:rFonts w:ascii="Cambria Math" w:hAnsi="Cambria Math"/>
          </w:rPr>
          <m:t>r</m:t>
        </m:r>
      </m:oMath>
      <w:r w:rsidR="000F0CDF" w:rsidRPr="003A4F79">
        <w:t xml:space="preserve">, and </w:t>
      </w:r>
      <w:r w:rsidR="00453ECF" w:rsidRPr="003A4F79">
        <w:t xml:space="preserve">the </w:t>
      </w:r>
      <w:r w:rsidR="00580C39" w:rsidRPr="003A4F79">
        <w:t xml:space="preserve">parameter </w:t>
      </w:r>
      <w:r w:rsidR="00580C39" w:rsidRPr="003A4F79">
        <w:rPr>
          <w:i/>
        </w:rPr>
        <w:t xml:space="preserve">S </w:t>
      </w:r>
      <w:r w:rsidR="00580C39" w:rsidRPr="003A4F79">
        <w:t xml:space="preserve">measures </w:t>
      </w:r>
      <w:r w:rsidR="00FD7F17" w:rsidRPr="003A4F79">
        <w:t>t</w:t>
      </w:r>
      <w:r w:rsidR="00044D96" w:rsidRPr="003A4F79">
        <w:t>he sensitivity of the</w:t>
      </w:r>
      <w:r w:rsidR="00CF21A0" w:rsidRPr="003A4F79">
        <w:t xml:space="preserve"> probability of</w:t>
      </w:r>
      <w:r w:rsidR="00FD7F17" w:rsidRPr="003A4F79">
        <w:t xml:space="preserve"> </w:t>
      </w:r>
      <w:r w:rsidR="002863AB" w:rsidRPr="003A4F79">
        <w:t xml:space="preserve">re-entry </w:t>
      </w:r>
      <w:r w:rsidR="00FD7F17" w:rsidRPr="003A4F79">
        <w:t xml:space="preserve">to </w:t>
      </w:r>
      <w:r w:rsidR="008B58D7" w:rsidRPr="003A4F79">
        <w:t>the estimate</w:t>
      </w:r>
      <w:r w:rsidR="00AD2B13" w:rsidRPr="003A4F79">
        <w:t>d payoff</w:t>
      </w:r>
      <w:r w:rsidR="00FD7F17" w:rsidRPr="003A4F79">
        <w:t>.</w:t>
      </w:r>
      <w:r w:rsidR="00044D96" w:rsidRPr="003A4F79">
        <w:t xml:space="preserve"> </w:t>
      </w:r>
      <w:r w:rsidR="008C6984" w:rsidRPr="003A4F79">
        <w:t xml:space="preserve">If </w:t>
      </w:r>
      <w:r w:rsidR="008C6984" w:rsidRPr="003A4F79">
        <w:rPr>
          <w:i/>
        </w:rPr>
        <w:t>S</w:t>
      </w:r>
      <w:r w:rsidR="00A2618C" w:rsidRPr="003A4F79">
        <w:t xml:space="preserve"> is infinitely large, investor</w:t>
      </w:r>
      <w:r w:rsidR="00CF21A0" w:rsidRPr="003A4F79">
        <w:t>s</w:t>
      </w:r>
      <w:r w:rsidR="00A2618C" w:rsidRPr="003A4F79">
        <w:t xml:space="preserve"> </w:t>
      </w:r>
      <w:r w:rsidR="007F1049" w:rsidRPr="003A4F79">
        <w:t xml:space="preserve">only </w:t>
      </w:r>
      <w:r w:rsidR="00A2618C" w:rsidRPr="003A4F79">
        <w:t xml:space="preserve">choose to </w:t>
      </w:r>
      <w:r w:rsidR="005523E5" w:rsidRPr="003A4F79">
        <w:t xml:space="preserve">enter the market </w:t>
      </w:r>
      <w:r w:rsidR="007F1049" w:rsidRPr="003A4F79">
        <w:t>if</w:t>
      </w:r>
      <w:r w:rsidR="000D62DB" w:rsidRPr="003A4F79">
        <w:t xml:space="preserve"> </w:t>
      </w:r>
      <m:oMath>
        <m:acc>
          <m:accPr>
            <m:ctrlPr>
              <w:rPr>
                <w:rFonts w:ascii="Cambria Math" w:hAnsi="Cambria Math"/>
              </w:rPr>
            </m:ctrlPr>
          </m:accPr>
          <m:e>
            <m:r>
              <w:rPr>
                <w:rFonts w:ascii="Cambria Math" w:hAnsi="Cambria Math"/>
              </w:rPr>
              <m:t>r</m:t>
            </m:r>
          </m:e>
        </m:acc>
      </m:oMath>
      <w:r w:rsidR="000D62DB" w:rsidRPr="003A4F79">
        <w:t xml:space="preserve"> is positive</w:t>
      </w:r>
      <w:r w:rsidR="00CF21A0" w:rsidRPr="003A4F79">
        <w:t xml:space="preserve">; </w:t>
      </w:r>
      <w:r w:rsidR="000D62DB" w:rsidRPr="003A4F79">
        <w:t>otherwise</w:t>
      </w:r>
      <w:r w:rsidR="001B6A1B" w:rsidRPr="003A4F79">
        <w:t>,</w:t>
      </w:r>
      <w:r w:rsidR="000D62DB" w:rsidRPr="003A4F79">
        <w:t xml:space="preserve"> </w:t>
      </w:r>
      <w:r w:rsidR="00CF21A0" w:rsidRPr="003A4F79">
        <w:t xml:space="preserve">they </w:t>
      </w:r>
      <w:r w:rsidR="00117BDF" w:rsidRPr="003A4F79">
        <w:t xml:space="preserve">may </w:t>
      </w:r>
      <w:r w:rsidR="00594642" w:rsidRPr="003A4F79">
        <w:t>enter</w:t>
      </w:r>
      <w:r w:rsidR="000D62DB" w:rsidRPr="003A4F79">
        <w:t xml:space="preserve"> if </w:t>
      </w:r>
      <w:r w:rsidR="003972A6" w:rsidRPr="003A4F79">
        <w:t xml:space="preserve">it is </w:t>
      </w:r>
      <w:r w:rsidR="000D62DB" w:rsidRPr="003A4F79">
        <w:t>negative.</w:t>
      </w:r>
      <w:r w:rsidR="005C1218" w:rsidRPr="003A4F79">
        <w:rPr>
          <w:rStyle w:val="FootnoteReference"/>
        </w:rPr>
        <w:footnoteReference w:id="8"/>
      </w:r>
      <w:r w:rsidR="00050004" w:rsidRPr="003A4F79">
        <w:t xml:space="preserve"> </w:t>
      </w:r>
      <w:r w:rsidR="00D566C3" w:rsidRPr="003A4F79">
        <w:t>W</w:t>
      </w:r>
      <w:r w:rsidR="00050004" w:rsidRPr="003A4F79">
        <w:rPr>
          <w:lang w:val="en-GB"/>
        </w:rPr>
        <w:t xml:space="preserve">hen </w:t>
      </w:r>
      <w:r w:rsidR="00050004" w:rsidRPr="003A4F79">
        <w:rPr>
          <w:i/>
          <w:lang w:val="en-GB"/>
        </w:rPr>
        <w:t>S</w:t>
      </w:r>
      <w:r w:rsidR="00050004" w:rsidRPr="003A4F79">
        <w:rPr>
          <w:lang w:val="en-GB"/>
        </w:rPr>
        <w:t xml:space="preserve"> is equal to zero, the decision is exogenous and independent of experience.</w:t>
      </w:r>
    </w:p>
    <w:p w14:paraId="5A129250" w14:textId="5F5E7132" w:rsidR="00834D6C" w:rsidRPr="003A4F79" w:rsidRDefault="00CF21A0">
      <w:r w:rsidRPr="003A4F79">
        <w:rPr>
          <w:lang w:val="en-GB"/>
        </w:rPr>
        <w:t>I</w:t>
      </w:r>
      <w:r w:rsidR="009F41B6" w:rsidRPr="003A4F79">
        <w:rPr>
          <w:lang w:val="en-GB"/>
        </w:rPr>
        <w:t>nvestor</w:t>
      </w:r>
      <w:r w:rsidRPr="003A4F79">
        <w:rPr>
          <w:lang w:val="en-GB"/>
        </w:rPr>
        <w:t>s</w:t>
      </w:r>
      <w:r w:rsidR="009F41B6" w:rsidRPr="003A4F79">
        <w:rPr>
          <w:lang w:val="en-GB"/>
        </w:rPr>
        <w:t xml:space="preserve"> infer the estimated payoff, </w:t>
      </w:r>
      <m:oMath>
        <m:acc>
          <m:accPr>
            <m:ctrlPr>
              <w:rPr>
                <w:rFonts w:ascii="Cambria Math" w:hAnsi="Cambria Math"/>
              </w:rPr>
            </m:ctrlPr>
          </m:accPr>
          <m:e>
            <m:r>
              <w:rPr>
                <w:rFonts w:ascii="Cambria Math" w:hAnsi="Cambria Math"/>
              </w:rPr>
              <m:t>r</m:t>
            </m:r>
          </m:e>
        </m:acc>
      </m:oMath>
      <w:r w:rsidR="009F41B6" w:rsidRPr="003A4F79">
        <w:t xml:space="preserve"> </w:t>
      </w:r>
      <w:r w:rsidR="00A84E2F" w:rsidRPr="003A4F79">
        <w:t>after</w:t>
      </w:r>
      <w:r w:rsidR="009F41B6" w:rsidRPr="003A4F79">
        <w:t xml:space="preserve"> experienc</w:t>
      </w:r>
      <w:r w:rsidRPr="003A4F79">
        <w:t>ing</w:t>
      </w:r>
      <w:r w:rsidR="009F41B6" w:rsidRPr="003A4F79">
        <w:t xml:space="preserve"> </w:t>
      </w:r>
      <w:r w:rsidR="007360D8" w:rsidRPr="003A4F79">
        <w:t>a series of past return observations (</w:t>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i=1…n)</m:t>
        </m:r>
      </m:oMath>
      <w:r w:rsidR="00CE57D3" w:rsidRPr="003A4F79">
        <w:t xml:space="preserve"> a</w:t>
      </w:r>
      <w:r w:rsidR="007360D8" w:rsidRPr="003A4F79">
        <w:t xml:space="preserve">s </w:t>
      </w:r>
      <w:r w:rsidR="00A83FB2" w:rsidRPr="003A4F79">
        <w:t xml:space="preserve">the weighted average of </w:t>
      </w:r>
      <w:r w:rsidR="009E21C0" w:rsidRPr="003A4F79">
        <w:t xml:space="preserve">initial </w:t>
      </w:r>
      <w:r w:rsidR="00911E91" w:rsidRPr="003A4F79">
        <w:t>returns</w:t>
      </w:r>
      <w:r w:rsidR="009E21C0" w:rsidRPr="003A4F79">
        <w:t xml:space="preserve"> and subsequent returns</w:t>
      </w:r>
      <w:r w:rsidRPr="003A4F79">
        <w:t>:</w:t>
      </w:r>
    </w:p>
    <w:p w14:paraId="0E0F64C4" w14:textId="692C0AF9" w:rsidR="00834D6C" w:rsidRPr="003A4F79" w:rsidRDefault="00601DC0" w:rsidP="00821787">
      <w:pPr>
        <w:pStyle w:val="Equations"/>
        <w:ind w:left="0"/>
      </w:pPr>
      <m:oMathPara>
        <m:oMath>
          <m:acc>
            <m:accPr>
              <m:ctrlPr>
                <w:rPr>
                  <w:rFonts w:ascii="Cambria Math" w:hAnsi="Cambria Math"/>
                </w:rPr>
              </m:ctrlPr>
            </m:accPr>
            <m:e>
              <m:r>
                <w:rPr>
                  <w:rFonts w:ascii="Cambria Math" w:hAnsi="Cambria Math"/>
                </w:rPr>
                <m:t>r</m:t>
              </m:r>
            </m:e>
          </m:acc>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1</m:t>
              </m:r>
            </m:sub>
          </m:sSub>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w</m:t>
                  </m:r>
                </m:e>
                <m:sub>
                  <m:r>
                    <m:rPr>
                      <m:sty m:val="p"/>
                    </m:rPr>
                    <w:rPr>
                      <w:rFonts w:ascii="Cambria Math" w:hAnsi="Cambria Math"/>
                    </w:rPr>
                    <m:t>1</m:t>
                  </m:r>
                </m:sub>
              </m:sSub>
            </m:e>
          </m:d>
          <m:nary>
            <m:naryPr>
              <m:chr m:val="∑"/>
              <m:limLoc m:val="undOvr"/>
              <m:ctrlPr>
                <w:rPr>
                  <w:rFonts w:ascii="Cambria Math" w:hAnsi="Cambria Math"/>
                </w:rPr>
              </m:ctrlPr>
            </m:naryPr>
            <m:sub>
              <m:r>
                <w:rPr>
                  <w:rFonts w:ascii="Cambria Math" w:hAnsi="Cambria Math"/>
                </w:rPr>
                <m:t>k</m:t>
              </m:r>
              <m:r>
                <m:rPr>
                  <m:sty m:val="p"/>
                </m:rPr>
                <w:rPr>
                  <w:rFonts w:ascii="Cambria Math" w:hAnsi="Cambria Math"/>
                </w:rPr>
                <m:t>=2</m:t>
              </m:r>
            </m:sub>
            <m:sup>
              <m:r>
                <w:rPr>
                  <w:rFonts w:ascii="Cambria Math" w:hAnsi="Cambria Math"/>
                </w:rPr>
                <m:t>n</m:t>
              </m:r>
            </m:sup>
            <m:e>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k</m:t>
                      </m:r>
                    </m:sub>
                  </m:sSub>
                </m:num>
                <m:den>
                  <m:d>
                    <m:dPr>
                      <m:ctrlPr>
                        <w:rPr>
                          <w:rFonts w:ascii="Cambria Math" w:hAnsi="Cambria Math"/>
                        </w:rPr>
                      </m:ctrlPr>
                    </m:dPr>
                    <m:e>
                      <m:r>
                        <w:rPr>
                          <w:rFonts w:ascii="Cambria Math" w:hAnsi="Cambria Math"/>
                        </w:rPr>
                        <m:t>n</m:t>
                      </m:r>
                      <m:r>
                        <m:rPr>
                          <m:sty m:val="p"/>
                        </m:rPr>
                        <w:rPr>
                          <w:rFonts w:ascii="Cambria Math" w:hAnsi="Cambria Math"/>
                        </w:rPr>
                        <m:t>-1</m:t>
                      </m:r>
                    </m:e>
                  </m:d>
                </m:den>
              </m:f>
            </m:e>
          </m:nary>
          <m:r>
            <m:rPr>
              <m:sty m:val="p"/>
            </m:rPr>
            <w:rPr>
              <w:rFonts w:ascii="Cambria Math" w:hAnsi="Cambria Math"/>
            </w:rPr>
            <m:t xml:space="preserve"> </m:t>
          </m:r>
        </m:oMath>
      </m:oMathPara>
    </w:p>
    <w:p w14:paraId="51A3847D" w14:textId="6448EF97" w:rsidR="00834D6C" w:rsidRPr="003A4F79" w:rsidRDefault="00821787" w:rsidP="00290F9F">
      <w:pPr>
        <w:pStyle w:val="Equations"/>
      </w:pP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m:t>
            </m:r>
            <m:r>
              <w:rPr>
                <w:rFonts w:ascii="Cambria Math" w:hAnsi="Cambria Math"/>
              </w:rPr>
              <m:t>n</m:t>
            </m:r>
            <m:sSub>
              <m:sSubPr>
                <m:ctrlPr>
                  <w:rPr>
                    <w:rFonts w:ascii="Cambria Math" w:hAnsi="Cambria Math"/>
                  </w:rPr>
                </m:ctrlPr>
              </m:sSubPr>
              <m:e>
                <m:r>
                  <w:rPr>
                    <w:rFonts w:ascii="Cambria Math" w:hAnsi="Cambria Math"/>
                  </w:rPr>
                  <m:t>w</m:t>
                </m:r>
              </m:e>
              <m:sub>
                <m:r>
                  <m:rPr>
                    <m:sty m:val="p"/>
                  </m:rPr>
                  <w:rPr>
                    <w:rFonts w:ascii="Cambria Math" w:hAnsi="Cambria Math"/>
                  </w:rPr>
                  <m:t>1</m:t>
                </m:r>
              </m:sub>
            </m:sSub>
            <m:r>
              <m:rPr>
                <m:sty m:val="p"/>
              </m:rPr>
              <w:rPr>
                <w:rFonts w:ascii="Cambria Math" w:hAnsi="Cambria Math"/>
              </w:rPr>
              <m:t>-1)</m:t>
            </m:r>
          </m:num>
          <m:den>
            <m:r>
              <m:rPr>
                <m:sty m:val="p"/>
              </m:rPr>
              <w:rPr>
                <w:rFonts w:ascii="Cambria Math" w:hAnsi="Cambria Math"/>
              </w:rPr>
              <m:t>(</m:t>
            </m:r>
            <m:r>
              <w:rPr>
                <w:rFonts w:ascii="Cambria Math" w:hAnsi="Cambria Math"/>
              </w:rPr>
              <m:t>n</m:t>
            </m:r>
            <m:r>
              <m:rPr>
                <m:sty m:val="p"/>
              </m:rPr>
              <w:rPr>
                <w:rFonts w:ascii="Cambria Math" w:hAnsi="Cambria Math"/>
              </w:rPr>
              <m:t>-1)</m:t>
            </m:r>
          </m:den>
        </m:f>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(1-</m:t>
            </m:r>
            <m:sSub>
              <m:sSubPr>
                <m:ctrlPr>
                  <w:rPr>
                    <w:rFonts w:ascii="Cambria Math" w:hAnsi="Cambria Math"/>
                  </w:rPr>
                </m:ctrlPr>
              </m:sSubPr>
              <m:e>
                <m:r>
                  <w:rPr>
                    <w:rFonts w:ascii="Cambria Math" w:hAnsi="Cambria Math"/>
                  </w:rPr>
                  <m:t>w</m:t>
                </m:r>
              </m:e>
              <m:sub>
                <m:r>
                  <m:rPr>
                    <m:sty m:val="p"/>
                  </m:rPr>
                  <w:rPr>
                    <w:rFonts w:ascii="Cambria Math" w:hAnsi="Cambria Math"/>
                  </w:rPr>
                  <m:t>1</m:t>
                </m:r>
              </m:sub>
            </m:sSub>
            <m:r>
              <m:rPr>
                <m:sty m:val="p"/>
              </m:rPr>
              <w:rPr>
                <w:rFonts w:ascii="Cambria Math" w:hAnsi="Cambria Math"/>
              </w:rPr>
              <m:t>)</m:t>
            </m:r>
          </m:num>
          <m:den>
            <m:r>
              <m:rPr>
                <m:sty m:val="p"/>
              </m:rPr>
              <w:rPr>
                <w:rFonts w:ascii="Cambria Math" w:hAnsi="Cambria Math"/>
              </w:rPr>
              <m:t>(</m:t>
            </m:r>
            <m:r>
              <w:rPr>
                <w:rFonts w:ascii="Cambria Math" w:hAnsi="Cambria Math"/>
              </w:rPr>
              <m:t>n</m:t>
            </m:r>
            <m:r>
              <m:rPr>
                <m:sty m:val="p"/>
              </m:rPr>
              <w:rPr>
                <w:rFonts w:ascii="Cambria Math" w:hAnsi="Cambria Math"/>
              </w:rPr>
              <m:t>-1)</m:t>
            </m:r>
          </m:den>
        </m:f>
        <m:r>
          <w:rPr>
            <w:rFonts w:ascii="Cambria Math" w:hAnsi="Cambria Math"/>
          </w:rPr>
          <m:t>E</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i</m:t>
                </m:r>
              </m:sub>
            </m:sSub>
          </m:e>
        </m:d>
        <m:r>
          <m:rPr>
            <m:sty m:val="p"/>
          </m:rPr>
          <w:rPr>
            <w:rFonts w:ascii="Cambria Math" w:hAnsi="Cambria Math"/>
          </w:rPr>
          <m:t xml:space="preserve">,     </m:t>
        </m:r>
        <m:r>
          <w:rPr>
            <w:rFonts w:ascii="Cambria Math" w:hAnsi="Cambria Math"/>
          </w:rPr>
          <m:t>n</m:t>
        </m:r>
        <m:r>
          <m:rPr>
            <m:sty m:val="p"/>
          </m:rPr>
          <w:rPr>
            <w:rFonts w:ascii="Cambria Math" w:hAnsi="Cambria Math"/>
          </w:rPr>
          <m:t>≥2</m:t>
        </m:r>
      </m:oMath>
      <w:r w:rsidR="00824978" w:rsidRPr="003A4F79">
        <w:tab/>
      </w:r>
      <w:r w:rsidR="00824978" w:rsidRPr="003A4F79">
        <w:tab/>
      </w:r>
      <w:r w:rsidR="00824978" w:rsidRPr="003A4F79">
        <w:tab/>
      </w:r>
      <w:r w:rsidR="00957DCE" w:rsidRPr="003A4F79">
        <w:t>(2)</w:t>
      </w:r>
    </w:p>
    <w:p w14:paraId="74F017B0" w14:textId="0F985332" w:rsidR="00CB079F" w:rsidRPr="003A4F79" w:rsidRDefault="00CB03B3" w:rsidP="00FC43AB">
      <w:pPr>
        <w:ind w:firstLine="0"/>
      </w:pPr>
      <w:r w:rsidRPr="003A4F79">
        <w:lastRenderedPageBreak/>
        <w:t xml:space="preserve">where </w:t>
      </w:r>
      <m:oMath>
        <m:sSub>
          <m:sSubPr>
            <m:ctrlPr>
              <w:rPr>
                <w:rFonts w:ascii="Cambria Math" w:hAnsi="Cambria Math"/>
                <w:i/>
              </w:rPr>
            </m:ctrlPr>
          </m:sSubPr>
          <m:e>
            <m:r>
              <w:rPr>
                <w:rFonts w:ascii="Cambria Math" w:hAnsi="Cambria Math"/>
              </w:rPr>
              <m:t>w</m:t>
            </m:r>
          </m:e>
          <m:sub>
            <m:r>
              <w:rPr>
                <w:rFonts w:ascii="Cambria Math" w:hAnsi="Cambria Math"/>
              </w:rPr>
              <m:t>1</m:t>
            </m:r>
          </m:sub>
        </m:sSub>
        <m:r>
          <m:rPr>
            <m:sty m:val="p"/>
          </m:rPr>
          <w:rPr>
            <w:rFonts w:ascii="Cambria Math" w:hAnsi="Cambria Math"/>
          </w:rPr>
          <m:t xml:space="preserve"> </m:t>
        </m:r>
      </m:oMath>
      <w:r w:rsidRPr="003A4F79">
        <w:t xml:space="preserve">is the weight </w:t>
      </w:r>
      <w:r w:rsidR="00824978" w:rsidRPr="003A4F79">
        <w:t xml:space="preserve">of </w:t>
      </w:r>
      <w:r w:rsidR="008012C0" w:rsidRPr="003A4F79">
        <w:t xml:space="preserve">the initial </w:t>
      </w:r>
      <w:r w:rsidR="00475497" w:rsidRPr="003A4F79">
        <w:t>return</w:t>
      </w:r>
      <w:r w:rsidR="00834D6C" w:rsidRPr="003A4F79">
        <w:t xml:space="preserve"> (</w:t>
      </w:r>
      <m:oMath>
        <m:sSub>
          <m:sSubPr>
            <m:ctrlPr>
              <w:rPr>
                <w:rFonts w:ascii="Cambria Math" w:hAnsi="Cambria Math"/>
                <w:i/>
              </w:rPr>
            </m:ctrlPr>
          </m:sSubPr>
          <m:e>
            <m:r>
              <w:rPr>
                <w:rFonts w:ascii="Cambria Math" w:hAnsi="Cambria Math"/>
              </w:rPr>
              <m:t>0≤w</m:t>
            </m:r>
          </m:e>
          <m:sub>
            <m:r>
              <w:rPr>
                <w:rFonts w:ascii="Cambria Math" w:hAnsi="Cambria Math"/>
              </w:rPr>
              <m:t>1</m:t>
            </m:r>
          </m:sub>
        </m:sSub>
        <m:r>
          <w:rPr>
            <w:rFonts w:ascii="Cambria Math" w:hAnsi="Cambria Math"/>
          </w:rPr>
          <m:t>≤1)</m:t>
        </m:r>
      </m:oMath>
      <w:r w:rsidR="00834D6C" w:rsidRPr="003A4F79">
        <w:t xml:space="preserve"> and </w:t>
      </w:r>
      <m:oMath>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00834D6C" w:rsidRPr="003A4F79">
        <w:t xml:space="preserve"> is the average of </w:t>
      </w:r>
      <w:r w:rsidR="00964F52" w:rsidRPr="003A4F79">
        <w:t xml:space="preserve">all of </w:t>
      </w:r>
      <w:r w:rsidR="00834D6C" w:rsidRPr="003A4F79">
        <w:rPr>
          <w:i/>
        </w:rPr>
        <w:t>n</w:t>
      </w:r>
      <w:r w:rsidR="00834D6C" w:rsidRPr="003A4F79">
        <w:t xml:space="preserve"> returns </w:t>
      </w:r>
      <w:r w:rsidR="008646AE" w:rsidRPr="003A4F79">
        <w:t>(</w:t>
      </w:r>
      <m:oMath>
        <m:nary>
          <m:naryPr>
            <m:chr m:val="∑"/>
            <m:limLoc m:val="undOvr"/>
            <m:ctrlPr>
              <w:rPr>
                <w:rFonts w:ascii="Cambria Math" w:hAnsi="Cambria Math"/>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r</m:t>
                </m:r>
              </m:e>
              <m:sub>
                <m:r>
                  <w:rPr>
                    <w:rFonts w:ascii="Cambria Math" w:hAnsi="Cambria Math"/>
                  </w:rPr>
                  <m:t>k</m:t>
                </m:r>
              </m:sub>
            </m:sSub>
          </m:e>
        </m:nary>
        <m:r>
          <w:rPr>
            <w:rFonts w:ascii="Cambria Math" w:hAnsi="Cambria Math"/>
          </w:rPr>
          <m:t>).</m:t>
        </m:r>
        <m:r>
          <m:rPr>
            <m:sty m:val="p"/>
          </m:rPr>
          <w:rPr>
            <w:rStyle w:val="FootnoteReference"/>
            <w:rFonts w:ascii="Cambria Math" w:hAnsi="Cambria Math"/>
          </w:rPr>
          <w:footnoteReference w:id="9"/>
        </m:r>
        <m:r>
          <w:rPr>
            <w:rFonts w:ascii="Cambria Math" w:hAnsi="Cambria Math"/>
          </w:rPr>
          <m:t xml:space="preserve"> </m:t>
        </m:r>
      </m:oMath>
      <w:r w:rsidR="00D57C36" w:rsidRPr="003A4F79">
        <w:t xml:space="preserve">The primacy effect </w:t>
      </w:r>
      <w:r w:rsidR="00D7311E" w:rsidRPr="003A4F79">
        <w:t xml:space="preserve">is reflected in </w:t>
      </w:r>
      <w:r w:rsidR="00536E61" w:rsidRPr="003A4F79">
        <w:t>these weights</w:t>
      </w:r>
      <w:r w:rsidR="00504A2C" w:rsidRPr="003A4F79">
        <w:t xml:space="preserve"> where </w:t>
      </w:r>
      <w:r w:rsidR="00974EB8" w:rsidRPr="003A4F79">
        <w:t xml:space="preserve">the first </w:t>
      </w:r>
      <w:r w:rsidR="00D57C36" w:rsidRPr="003A4F79">
        <w:t xml:space="preserve">return </w:t>
      </w:r>
      <w:r w:rsidR="00974EB8" w:rsidRPr="003A4F79">
        <w:t>is</w:t>
      </w:r>
      <w:r w:rsidR="00536E61" w:rsidRPr="003A4F79">
        <w:t xml:space="preserve"> weighed </w:t>
      </w:r>
      <w:r w:rsidR="00D57C36" w:rsidRPr="003A4F79">
        <w:t>more highly than subsequent ones</w:t>
      </w:r>
      <w:r w:rsidR="00536E61" w:rsidRPr="003A4F79">
        <w:t xml:space="preserve"> </w:t>
      </w:r>
      <w:r w:rsidR="00D57C36" w:rsidRPr="003A4F79">
        <w:t>(</w:t>
      </w:r>
      <w:r w:rsidR="007020AC" w:rsidRPr="003A4F79">
        <w:t>i.e.,</w:t>
      </w:r>
      <w:r w:rsidR="00D57C36" w:rsidRPr="003A4F79">
        <w:t xml:space="preserve"> </w:t>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&gt;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w</m:t>
                </m:r>
              </m:e>
              <m:sub>
                <m:r>
                  <w:rPr>
                    <w:rFonts w:ascii="Cambria Math" w:hAnsi="Cambria Math"/>
                  </w:rPr>
                  <m:t>1</m:t>
                </m:r>
              </m:sub>
            </m:sSub>
          </m:num>
          <m:den>
            <m:r>
              <w:rPr>
                <w:rFonts w:ascii="Cambria Math" w:hAnsi="Cambria Math"/>
              </w:rPr>
              <m:t>n-1</m:t>
            </m:r>
          </m:den>
        </m:f>
        <m:r>
          <w:rPr>
            <w:rFonts w:ascii="Cambria Math" w:hAnsi="Cambria Math"/>
          </w:rPr>
          <m:t xml:space="preserve">, </m:t>
        </m:r>
      </m:oMath>
      <w:r w:rsidR="001B1F8F" w:rsidRPr="003A4F79">
        <w:t xml:space="preserve">or </w:t>
      </w:r>
      <w:r w:rsidR="00D57C36" w:rsidRPr="003A4F79">
        <w:t>equivalently,</w:t>
      </w:r>
      <m:oMath>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n</m:t>
            </m:r>
          </m:den>
        </m:f>
      </m:oMath>
      <w:r w:rsidR="00536E61" w:rsidRPr="003A4F79">
        <w:t>)</w:t>
      </w:r>
      <w:r w:rsidR="00974EB8" w:rsidRPr="003A4F79">
        <w:t xml:space="preserve">, </w:t>
      </w:r>
      <w:r w:rsidR="00974EB8" w:rsidRPr="003A4F79">
        <w:rPr>
          <w:i/>
        </w:rPr>
        <w:t>regardless</w:t>
      </w:r>
      <w:r w:rsidR="00974EB8" w:rsidRPr="003A4F79">
        <w:t xml:space="preserve"> of the extent to which </w:t>
      </w:r>
      <w:r w:rsidR="00B16D00" w:rsidRPr="003A4F79">
        <w:t>it</w:t>
      </w:r>
      <w:r w:rsidR="00974EB8" w:rsidRPr="003A4F79">
        <w:t xml:space="preserve"> is salient, or gra</w:t>
      </w:r>
      <w:r w:rsidR="005C405E" w:rsidRPr="003A4F79">
        <w:t>b</w:t>
      </w:r>
      <w:r w:rsidR="00A60ECC" w:rsidRPr="003A4F79">
        <w:t xml:space="preserve">s </w:t>
      </w:r>
      <w:r w:rsidR="005C405E" w:rsidRPr="003A4F79">
        <w:t>investor attention</w:t>
      </w:r>
      <w:r w:rsidR="0098282E" w:rsidRPr="003A4F79">
        <w:t xml:space="preserve"> (the salienc</w:t>
      </w:r>
      <w:r w:rsidR="00964C7E" w:rsidRPr="003A4F79">
        <w:t>e</w:t>
      </w:r>
      <w:r w:rsidR="0098282E" w:rsidRPr="003A4F79">
        <w:t xml:space="preserve"> effect)</w:t>
      </w:r>
      <w:r w:rsidR="005C405E" w:rsidRPr="003A4F79">
        <w:t>.</w:t>
      </w:r>
      <w:r w:rsidR="00121E52" w:rsidRPr="003A4F79">
        <w:t xml:space="preserve"> </w:t>
      </w:r>
      <w:r w:rsidR="007020AC" w:rsidRPr="003A4F79">
        <w:t>In contrast, the recency</w:t>
      </w:r>
      <w:r w:rsidR="00C0178C" w:rsidRPr="003A4F79">
        <w:t xml:space="preserve"> </w:t>
      </w:r>
      <w:r w:rsidR="007020AC" w:rsidRPr="003A4F79">
        <w:t xml:space="preserve">effect assumes </w:t>
      </w:r>
      <w:r w:rsidR="001736D0" w:rsidRPr="003A4F79">
        <w:t>a</w:t>
      </w:r>
      <w:r w:rsidR="007020AC" w:rsidRPr="003A4F79">
        <w:t xml:space="preserve"> greater weight</w:t>
      </w:r>
      <w:r w:rsidR="001736D0" w:rsidRPr="003A4F79">
        <w:t xml:space="preserve"> on more recent returns</w:t>
      </w:r>
      <w:r w:rsidR="00C03A5D" w:rsidRPr="003A4F79">
        <w:t xml:space="preserve"> (i.e., </w:t>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&lt;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w</m:t>
                </m:r>
              </m:e>
              <m:sub>
                <m:r>
                  <w:rPr>
                    <w:rFonts w:ascii="Cambria Math" w:hAnsi="Cambria Math"/>
                  </w:rPr>
                  <m:t>1</m:t>
                </m:r>
              </m:sub>
            </m:sSub>
          </m:num>
          <m:den>
            <m:r>
              <w:rPr>
                <w:rFonts w:ascii="Cambria Math" w:hAnsi="Cambria Math"/>
              </w:rPr>
              <m:t>n-1</m:t>
            </m:r>
          </m:den>
        </m:f>
        <m:r>
          <w:rPr>
            <w:rFonts w:ascii="Cambria Math" w:hAnsi="Cambria Math"/>
          </w:rPr>
          <m:t xml:space="preserve">, </m:t>
        </m:r>
      </m:oMath>
      <w:r w:rsidR="00C03A5D" w:rsidRPr="003A4F79">
        <w:t>or equivalently,</w:t>
      </w:r>
      <m:oMath>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n</m:t>
            </m:r>
          </m:den>
        </m:f>
      </m:oMath>
      <w:r w:rsidR="00C03A5D" w:rsidRPr="003A4F79">
        <w:t>)</w:t>
      </w:r>
      <w:r w:rsidR="00541139" w:rsidRPr="003A4F79">
        <w:t xml:space="preserve">. </w:t>
      </w:r>
    </w:p>
    <w:p w14:paraId="082719CF" w14:textId="1A66CDC1" w:rsidR="00C5444E" w:rsidRPr="003A4F79" w:rsidRDefault="00947F32" w:rsidP="00CB079F">
      <w:r w:rsidRPr="003A4F79">
        <w:t>R</w:t>
      </w:r>
      <w:r w:rsidR="009B48C8" w:rsidRPr="003A4F79">
        <w:t>e-arrang</w:t>
      </w:r>
      <w:r w:rsidRPr="003A4F79">
        <w:t>ing</w:t>
      </w:r>
      <w:r w:rsidR="009B48C8" w:rsidRPr="003A4F79">
        <w:t xml:space="preserve"> </w:t>
      </w:r>
      <w:r w:rsidR="00EA3138" w:rsidRPr="003A4F79">
        <w:t>Equation</w:t>
      </w:r>
      <w:r w:rsidR="00824978" w:rsidRPr="003A4F79">
        <w:t>s</w:t>
      </w:r>
      <w:r w:rsidR="00EA3138" w:rsidRPr="003A4F79">
        <w:t xml:space="preserve"> </w:t>
      </w:r>
      <w:r w:rsidR="00824978" w:rsidRPr="003A4F79">
        <w:t>(</w:t>
      </w:r>
      <w:r w:rsidR="00EA3138" w:rsidRPr="003A4F79">
        <w:t>1</w:t>
      </w:r>
      <w:r w:rsidR="00824978" w:rsidRPr="003A4F79">
        <w:t>)</w:t>
      </w:r>
      <w:r w:rsidR="00EA3138" w:rsidRPr="003A4F79">
        <w:t xml:space="preserve"> and </w:t>
      </w:r>
      <w:r w:rsidR="00824978" w:rsidRPr="003A4F79">
        <w:t>(</w:t>
      </w:r>
      <w:r w:rsidR="00EA3138" w:rsidRPr="003A4F79">
        <w:t>2</w:t>
      </w:r>
      <w:r w:rsidR="00824978" w:rsidRPr="003A4F79">
        <w:t>), we</w:t>
      </w:r>
      <w:r w:rsidR="009B48C8" w:rsidRPr="003A4F79">
        <w:t xml:space="preserve"> obtain the following choice rule for investors</w:t>
      </w:r>
      <w:r w:rsidR="00824978" w:rsidRPr="003A4F79">
        <w:t>’</w:t>
      </w:r>
      <w:r w:rsidR="009B48C8" w:rsidRPr="003A4F79">
        <w:t xml:space="preserve"> re-entry decision</w:t>
      </w:r>
      <w:r w:rsidR="00824978" w:rsidRPr="003A4F79">
        <w:t>s</w:t>
      </w:r>
      <w:r w:rsidR="009B48C8" w:rsidRPr="003A4F79">
        <w:t>:</w:t>
      </w:r>
    </w:p>
    <w:p w14:paraId="4BD78311" w14:textId="21445789" w:rsidR="00183145" w:rsidRPr="003A4F79" w:rsidRDefault="00121E52" w:rsidP="00290F9F">
      <w:pPr>
        <w:pStyle w:val="Equations"/>
      </w:pPr>
      <m:oMath>
        <m:r>
          <m:rPr>
            <m:sty m:val="p"/>
          </m:rPr>
          <w:rPr>
            <w:rFonts w:ascii="Cambria Math" w:hAnsi="Cambria Math" w:cstheme="minorHAnsi"/>
          </w:rPr>
          <m:t xml:space="preserve">                 </m:t>
        </m:r>
        <m:r>
          <w:rPr>
            <w:rFonts w:ascii="Cambria Math" w:hAnsi="Cambria Math"/>
          </w:rPr>
          <m:t>Log</m:t>
        </m:r>
        <m:d>
          <m:dPr>
            <m:ctrlPr>
              <w:rPr>
                <w:rFonts w:ascii="Cambria Math" w:hAnsi="Cambria Math"/>
              </w:rPr>
            </m:ctrlPr>
          </m:dPr>
          <m:e>
            <m:f>
              <m:fPr>
                <m:ctrlPr>
                  <w:rPr>
                    <w:rFonts w:ascii="Cambria Math" w:hAnsi="Cambria Math"/>
                  </w:rPr>
                </m:ctrlPr>
              </m:fPr>
              <m:num>
                <m:r>
                  <w:rPr>
                    <w:rFonts w:ascii="Cambria Math" w:hAnsi="Cambria Math"/>
                  </w:rPr>
                  <m:t>P</m:t>
                </m:r>
              </m:num>
              <m:den>
                <m:r>
                  <m:rPr>
                    <m:sty m:val="p"/>
                  </m:rPr>
                  <w:rPr>
                    <w:rFonts w:ascii="Cambria Math" w:hAnsi="Cambria Math"/>
                  </w:rPr>
                  <m:t>1-</m:t>
                </m:r>
                <m:r>
                  <w:rPr>
                    <w:rFonts w:ascii="Cambria Math" w:hAnsi="Cambria Math"/>
                  </w:rPr>
                  <m:t>P</m:t>
                </m:r>
              </m:den>
            </m:f>
          </m:e>
        </m:d>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A</m:t>
        </m:r>
        <m:sSub>
          <m:sSubPr>
            <m:ctrlPr>
              <w:rPr>
                <w:rFonts w:ascii="Cambria Math" w:hAnsi="Cambria Math"/>
              </w:rPr>
            </m:ctrlPr>
          </m:sSubPr>
          <m:e>
            <m:r>
              <m:rPr>
                <m:sty m:val="p"/>
              </m:rPr>
              <w:rPr>
                <w:rFonts w:ascii="Cambria Math" w:hAnsi="Cambria Math"/>
              </w:rPr>
              <m:t>×</m:t>
            </m:r>
            <m:r>
              <w:rPr>
                <w:rFonts w:ascii="Cambria Math" w:hAnsi="Cambria Math"/>
              </w:rPr>
              <m:t>r</m:t>
            </m:r>
          </m:e>
          <m:sub>
            <m:r>
              <m:rPr>
                <m:sty m:val="p"/>
              </m:rPr>
              <w:rPr>
                <w:rFonts w:ascii="Cambria Math" w:hAnsi="Cambria Math"/>
              </w:rPr>
              <m:t>1</m:t>
            </m:r>
          </m:sub>
        </m:sSub>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E</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i</m:t>
                </m:r>
              </m:sub>
            </m:sSub>
          </m:e>
        </m:d>
        <m:r>
          <m:rPr>
            <m:sty m:val="p"/>
          </m:rPr>
          <w:rPr>
            <w:rFonts w:ascii="Cambria Math" w:hAnsi="Cambria Math"/>
          </w:rPr>
          <m:t>]</m:t>
        </m:r>
      </m:oMath>
      <w:r w:rsidR="009B48C8" w:rsidRPr="003A4F79">
        <w:t>,</w:t>
      </w:r>
    </w:p>
    <w:p w14:paraId="743945BA" w14:textId="5190BBC5" w:rsidR="00C5444E" w:rsidRPr="003A4F79" w:rsidRDefault="00121E52" w:rsidP="00290F9F">
      <w:pPr>
        <w:pStyle w:val="Equations"/>
      </w:pPr>
      <w:r w:rsidRPr="003A4F79">
        <w:t xml:space="preserve">                 </w:t>
      </w:r>
      <w:r w:rsidR="00183145" w:rsidRPr="003A4F79">
        <w:t>where</w:t>
      </w:r>
      <w:r w:rsidR="009B48C8" w:rsidRPr="003A4F79">
        <w:t xml:space="preserve"> </w:t>
      </w:r>
      <m:oMath>
        <m:r>
          <m:rPr>
            <m:sty m:val="p"/>
          </m:rPr>
          <w:rPr>
            <w:rFonts w:ascii="Cambria Math" w:hAnsi="Cambria Math"/>
          </w:rPr>
          <m:t xml:space="preserve">  </m:t>
        </m:r>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n</m:t>
            </m:r>
            <m:sSub>
              <m:sSubPr>
                <m:ctrlPr>
                  <w:rPr>
                    <w:rFonts w:ascii="Cambria Math" w:hAnsi="Cambria Math"/>
                  </w:rPr>
                </m:ctrlPr>
              </m:sSubPr>
              <m:e>
                <m:r>
                  <w:rPr>
                    <w:rFonts w:ascii="Cambria Math" w:hAnsi="Cambria Math"/>
                  </w:rPr>
                  <m:t>w</m:t>
                </m:r>
              </m:e>
              <m:sub>
                <m:r>
                  <m:rPr>
                    <m:sty m:val="p"/>
                  </m:rPr>
                  <w:rPr>
                    <w:rFonts w:ascii="Cambria Math" w:hAnsi="Cambria Math"/>
                  </w:rPr>
                  <m:t>1</m:t>
                </m:r>
              </m:sub>
            </m:sSub>
            <m:r>
              <m:rPr>
                <m:sty m:val="p"/>
              </m:rPr>
              <w:rPr>
                <w:rFonts w:ascii="Cambria Math" w:hAnsi="Cambria Math"/>
              </w:rPr>
              <m:t>-1)</m:t>
            </m:r>
          </m:num>
          <m:den>
            <m:r>
              <m:rPr>
                <m:sty m:val="p"/>
              </m:rPr>
              <w:rPr>
                <w:rFonts w:ascii="Cambria Math" w:hAnsi="Cambria Math"/>
              </w:rPr>
              <m:t>(</m:t>
            </m:r>
            <m:r>
              <w:rPr>
                <w:rFonts w:ascii="Cambria Math" w:hAnsi="Cambria Math"/>
              </w:rPr>
              <m:t>n</m:t>
            </m:r>
            <m:r>
              <m:rPr>
                <m:sty m:val="p"/>
              </m:rPr>
              <w:rPr>
                <w:rFonts w:ascii="Cambria Math" w:hAnsi="Cambria Math"/>
              </w:rPr>
              <m:t>-1)</m:t>
            </m:r>
          </m:den>
        </m:f>
        <m:r>
          <m:rPr>
            <m:sty m:val="p"/>
          </m:rPr>
          <w:rPr>
            <w:rFonts w:ascii="Cambria Math" w:hAnsi="Cambria Math"/>
          </w:rPr>
          <m:t>,</m:t>
        </m:r>
      </m:oMath>
      <w:r w:rsidR="00E55534" w:rsidRPr="003A4F79">
        <w:t xml:space="preserve"> and </w:t>
      </w:r>
      <m:oMath>
        <m:r>
          <m:rPr>
            <m:sty m:val="p"/>
          </m:rPr>
          <w:rPr>
            <w:rFonts w:ascii="Cambria Math" w:hAnsi="Cambria Math"/>
          </w:rPr>
          <m:t>B=</m:t>
        </m:r>
        <m:f>
          <m:fPr>
            <m:ctrlPr>
              <w:rPr>
                <w:rFonts w:ascii="Cambria Math" w:hAnsi="Cambria Math"/>
              </w:rPr>
            </m:ctrlPr>
          </m:fPr>
          <m:num>
            <m:r>
              <w:rPr>
                <w:rFonts w:ascii="Cambria Math" w:hAnsi="Cambria Math"/>
              </w:rPr>
              <m:t>n</m:t>
            </m:r>
            <m:r>
              <m:rPr>
                <m:sty m:val="p"/>
              </m:rPr>
              <w:rPr>
                <w:rFonts w:ascii="Cambria Math" w:hAnsi="Cambria Math"/>
              </w:rPr>
              <m:t>(1-</m:t>
            </m:r>
            <m:sSub>
              <m:sSubPr>
                <m:ctrlPr>
                  <w:rPr>
                    <w:rFonts w:ascii="Cambria Math" w:hAnsi="Cambria Math"/>
                  </w:rPr>
                </m:ctrlPr>
              </m:sSubPr>
              <m:e>
                <m:r>
                  <w:rPr>
                    <w:rFonts w:ascii="Cambria Math" w:hAnsi="Cambria Math"/>
                  </w:rPr>
                  <m:t>w</m:t>
                </m:r>
              </m:e>
              <m:sub>
                <m:r>
                  <m:rPr>
                    <m:sty m:val="p"/>
                  </m:rPr>
                  <w:rPr>
                    <w:rFonts w:ascii="Cambria Math" w:hAnsi="Cambria Math"/>
                  </w:rPr>
                  <m:t>1</m:t>
                </m:r>
              </m:sub>
            </m:sSub>
            <m:r>
              <m:rPr>
                <m:sty m:val="p"/>
              </m:rPr>
              <w:rPr>
                <w:rFonts w:ascii="Cambria Math" w:hAnsi="Cambria Math"/>
              </w:rPr>
              <m:t>)</m:t>
            </m:r>
          </m:num>
          <m:den>
            <m:r>
              <m:rPr>
                <m:sty m:val="p"/>
              </m:rPr>
              <w:rPr>
                <w:rFonts w:ascii="Cambria Math" w:hAnsi="Cambria Math"/>
              </w:rPr>
              <m:t>(</m:t>
            </m:r>
            <m:r>
              <w:rPr>
                <w:rFonts w:ascii="Cambria Math" w:hAnsi="Cambria Math"/>
              </w:rPr>
              <m:t>n</m:t>
            </m:r>
            <m:r>
              <m:rPr>
                <m:sty m:val="p"/>
              </m:rPr>
              <w:rPr>
                <w:rFonts w:ascii="Cambria Math" w:hAnsi="Cambria Math"/>
              </w:rPr>
              <m:t>-1)</m:t>
            </m:r>
          </m:den>
        </m:f>
      </m:oMath>
      <w:r w:rsidR="00824978" w:rsidRPr="003A4F79">
        <w:tab/>
      </w:r>
      <w:r w:rsidR="00824978" w:rsidRPr="003A4F79">
        <w:tab/>
      </w:r>
      <w:r w:rsidR="00824978" w:rsidRPr="003A4F79">
        <w:tab/>
      </w:r>
      <w:r w:rsidR="008771EE" w:rsidRPr="003A4F79">
        <w:t>(3)</w:t>
      </w:r>
    </w:p>
    <w:p w14:paraId="4D45A4CF" w14:textId="4B15390A" w:rsidR="00B14049" w:rsidRPr="003A4F79" w:rsidRDefault="0077474D" w:rsidP="00D70E4B">
      <w:pPr>
        <w:ind w:firstLine="0"/>
      </w:pPr>
      <w:r w:rsidRPr="003A4F79">
        <w:t>Equation (</w:t>
      </w:r>
      <w:r w:rsidR="00CF0E4B" w:rsidRPr="003A4F79">
        <w:t>3</w:t>
      </w:r>
      <w:r w:rsidRPr="003A4F79">
        <w:t>)</w:t>
      </w:r>
      <w:r w:rsidR="006F2B75" w:rsidRPr="003A4F79">
        <w:t xml:space="preserve"> </w:t>
      </w:r>
      <w:r w:rsidR="00F92AFA" w:rsidRPr="003A4F79">
        <w:t xml:space="preserve">shows </w:t>
      </w:r>
      <w:r w:rsidR="006F2B75" w:rsidRPr="003A4F79">
        <w:t>that the log</w:t>
      </w:r>
      <w:r w:rsidR="00824978" w:rsidRPr="003A4F79">
        <w:t>arithm of</w:t>
      </w:r>
      <w:r w:rsidR="006F2B75" w:rsidRPr="003A4F79">
        <w:t xml:space="preserve"> odds of re-entry </w:t>
      </w:r>
      <w:r w:rsidR="00824978" w:rsidRPr="003A4F79">
        <w:t xml:space="preserve">is </w:t>
      </w:r>
      <w:r w:rsidR="006F2B75" w:rsidRPr="003A4F79">
        <w:t>a function of initial returns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oMath>
      <w:r w:rsidR="006F2B75" w:rsidRPr="003A4F79">
        <w:t xml:space="preserve"> and the average of all past returns (</w:t>
      </w:r>
      <m:oMath>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006F2B75" w:rsidRPr="003A4F79">
        <w:t>)</w:t>
      </w:r>
      <w:r w:rsidR="00344B3D" w:rsidRPr="003A4F79">
        <w:t xml:space="preserve">. </w:t>
      </w:r>
      <w:r w:rsidR="00F92AFA" w:rsidRPr="003A4F79">
        <w:t>If investor</w:t>
      </w:r>
      <w:r w:rsidR="00824978" w:rsidRPr="003A4F79">
        <w:t>s</w:t>
      </w:r>
      <w:r w:rsidR="00F92AFA" w:rsidRPr="003A4F79">
        <w:t xml:space="preserve"> </w:t>
      </w:r>
      <w:r w:rsidR="00824978" w:rsidRPr="003A4F79">
        <w:t xml:space="preserve">are </w:t>
      </w:r>
      <w:r w:rsidR="00F92AFA" w:rsidRPr="003A4F79">
        <w:t xml:space="preserve">subject to experience sampling, </w:t>
      </w:r>
      <w:r w:rsidR="00E76115" w:rsidRPr="003A4F79">
        <w:t xml:space="preserve">the </w:t>
      </w:r>
      <w:r w:rsidR="00F92AFA" w:rsidRPr="003A4F79">
        <w:t xml:space="preserve">parameter </w:t>
      </w:r>
      <w:r w:rsidR="00F92AFA" w:rsidRPr="003A4F79">
        <w:rPr>
          <w:i/>
        </w:rPr>
        <w:t>S</w:t>
      </w:r>
      <w:r w:rsidR="00F92AFA" w:rsidRPr="003A4F79">
        <w:t xml:space="preserve"> should be greater than zero. </w:t>
      </w:r>
      <w:r w:rsidR="00824978" w:rsidRPr="003A4F79">
        <w:t>I</w:t>
      </w:r>
      <w:r w:rsidR="00F92AFA" w:rsidRPr="003A4F79">
        <w:t>f investor</w:t>
      </w:r>
      <w:r w:rsidR="00824978" w:rsidRPr="003A4F79">
        <w:t>s</w:t>
      </w:r>
      <w:r w:rsidR="00F92AFA" w:rsidRPr="003A4F79">
        <w:t xml:space="preserve"> </w:t>
      </w:r>
      <w:r w:rsidR="00824978" w:rsidRPr="003A4F79">
        <w:t xml:space="preserve">are </w:t>
      </w:r>
      <w:r w:rsidR="003235BC" w:rsidRPr="003A4F79">
        <w:t xml:space="preserve">subject to </w:t>
      </w:r>
      <w:r w:rsidR="00E76115" w:rsidRPr="003A4F79">
        <w:t xml:space="preserve">the </w:t>
      </w:r>
      <w:r w:rsidR="003235BC" w:rsidRPr="003A4F79">
        <w:t>primacy bias</w:t>
      </w:r>
      <w:r w:rsidR="0047789F" w:rsidRPr="003A4F79">
        <w:t xml:space="preserve">, </w:t>
      </w:r>
      <w:r w:rsidR="00E36D82" w:rsidRPr="003A4F79">
        <w:t xml:space="preserve">we should observe </w:t>
      </w:r>
      <w:r w:rsidR="00824978" w:rsidRPr="003A4F79">
        <w:t xml:space="preserve">that </w:t>
      </w:r>
      <w:r w:rsidR="00E76115" w:rsidRPr="003A4F79">
        <w:t xml:space="preserve">the </w:t>
      </w:r>
      <w:r w:rsidR="00E36D82" w:rsidRPr="003A4F79">
        <w:t xml:space="preserve">parameter </w:t>
      </w:r>
      <w:r w:rsidR="00E36D82" w:rsidRPr="003A4F79">
        <w:rPr>
          <w:i/>
        </w:rPr>
        <w:t>A</w:t>
      </w:r>
      <w:r w:rsidR="00E36D82" w:rsidRPr="003A4F79">
        <w:t xml:space="preserve"> is greater than </w:t>
      </w:r>
      <w:r w:rsidR="00153160" w:rsidRPr="003A4F79">
        <w:t>zero</w:t>
      </w:r>
      <w:r w:rsidR="00651362" w:rsidRPr="003A4F79">
        <w:t xml:space="preserve"> (</w:t>
      </w:r>
      <w:r w:rsidR="00697A16" w:rsidRPr="003A4F79">
        <w:t>because</w:t>
      </w:r>
      <w:r w:rsidR="00651362" w:rsidRPr="003A4F79">
        <w:t xml:space="preserve"> </w:t>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 xml:space="preserve"> </m:t>
        </m:r>
      </m:oMath>
      <w:r w:rsidR="00651362" w:rsidRPr="003A4F79">
        <w:t>)</w:t>
      </w:r>
      <w:r w:rsidR="00E36D82" w:rsidRPr="003A4F79">
        <w:t>.</w:t>
      </w:r>
      <w:r w:rsidR="009E0FDD" w:rsidRPr="003A4F79">
        <w:t xml:space="preserve"> Therefore, our </w:t>
      </w:r>
      <w:r w:rsidR="00B41DD2" w:rsidRPr="003A4F79">
        <w:t>hypothesis</w:t>
      </w:r>
      <w:r w:rsidR="00153160" w:rsidRPr="003A4F79">
        <w:t xml:space="preserve"> </w:t>
      </w:r>
      <w:r w:rsidR="009E0FDD" w:rsidRPr="003A4F79">
        <w:t>to test these prediction</w:t>
      </w:r>
      <w:r w:rsidR="00105DE6" w:rsidRPr="003A4F79">
        <w:t>s</w:t>
      </w:r>
      <w:r w:rsidR="009E0FDD" w:rsidRPr="003A4F79">
        <w:t xml:space="preserve"> </w:t>
      </w:r>
      <w:r w:rsidR="00153160" w:rsidRPr="003A4F79">
        <w:t>is</w:t>
      </w:r>
      <w:r w:rsidR="00B14049" w:rsidRPr="003A4F79">
        <w:t>:</w:t>
      </w:r>
    </w:p>
    <w:p w14:paraId="12FC875D" w14:textId="2EBE4798" w:rsidR="00B14049" w:rsidRPr="003A4F79" w:rsidRDefault="00B14049" w:rsidP="00FD6A74">
      <w:pPr>
        <w:pStyle w:val="Hypotheses"/>
        <w:jc w:val="both"/>
      </w:pPr>
      <w:r w:rsidRPr="003A4F79">
        <w:rPr>
          <w:i w:val="0"/>
        </w:rPr>
        <w:lastRenderedPageBreak/>
        <w:t>H1</w:t>
      </w:r>
      <w:r w:rsidR="00733B28" w:rsidRPr="003A4F79">
        <w:rPr>
          <w:i w:val="0"/>
        </w:rPr>
        <w:t xml:space="preserve"> (Primacy effect)</w:t>
      </w:r>
      <w:r w:rsidRPr="003A4F79">
        <w:rPr>
          <w:i w:val="0"/>
        </w:rPr>
        <w:t xml:space="preserve">: </w:t>
      </w:r>
      <w:r w:rsidRPr="003A4F79">
        <w:t xml:space="preserve">If an investor is subject to experiential learning with </w:t>
      </w:r>
      <w:r w:rsidR="001E4B7A" w:rsidRPr="003A4F79">
        <w:t>the</w:t>
      </w:r>
      <w:r w:rsidRPr="003A4F79">
        <w:t xml:space="preserve"> primacy bias</w:t>
      </w:r>
      <w:r w:rsidR="00E8235C" w:rsidRPr="003A4F79">
        <w:t xml:space="preserve"> </w:t>
      </w:r>
      <w:r w:rsidRPr="003A4F79">
        <w:t>in deci</w:t>
      </w:r>
      <w:r w:rsidR="00824978" w:rsidRPr="003A4F79">
        <w:t>ding</w:t>
      </w:r>
      <w:r w:rsidRPr="003A4F79">
        <w:t xml:space="preserve"> to re-enter the stock market, </w:t>
      </w:r>
      <w:r w:rsidR="00824978" w:rsidRPr="003A4F79">
        <w:t>then</w:t>
      </w:r>
      <w:r w:rsidR="000E0FAA" w:rsidRPr="003A4F79">
        <w:t xml:space="preserve"> holding the average return fixed</w:t>
      </w:r>
      <w:r w:rsidR="00824978" w:rsidRPr="003A4F79">
        <w:t>,</w:t>
      </w:r>
      <w:r w:rsidR="000E0FAA" w:rsidRPr="003A4F79">
        <w:t xml:space="preserve"> </w:t>
      </w:r>
      <w:r w:rsidR="00BD73C2" w:rsidRPr="003A4F79">
        <w:t xml:space="preserve">the odds of stock market re-entry </w:t>
      </w:r>
      <w:r w:rsidR="00824978" w:rsidRPr="003A4F79">
        <w:t xml:space="preserve">will </w:t>
      </w:r>
      <w:r w:rsidR="00BD73C2" w:rsidRPr="003A4F79">
        <w:t>increase with the initial return</w:t>
      </w:r>
      <w:r w:rsidR="00802127" w:rsidRPr="003A4F79">
        <w:t>.</w:t>
      </w:r>
    </w:p>
    <w:p w14:paraId="3634ED76" w14:textId="1007154F" w:rsidR="003B7AFE" w:rsidRPr="003A4F79" w:rsidRDefault="003B7AFE" w:rsidP="00FD6A74">
      <w:pPr>
        <w:pStyle w:val="Hypotheses"/>
        <w:ind w:left="0"/>
        <w:jc w:val="both"/>
        <w:rPr>
          <w:i w:val="0"/>
        </w:rPr>
      </w:pPr>
      <w:r w:rsidRPr="003A4F79">
        <w:rPr>
          <w:i w:val="0"/>
        </w:rPr>
        <w:t>I</w:t>
      </w:r>
      <w:r w:rsidR="00E8235C" w:rsidRPr="003A4F79">
        <w:rPr>
          <w:i w:val="0"/>
        </w:rPr>
        <w:t xml:space="preserve">n order to differentiate further </w:t>
      </w:r>
      <w:r w:rsidR="0070338F" w:rsidRPr="003A4F79">
        <w:rPr>
          <w:i w:val="0"/>
        </w:rPr>
        <w:t xml:space="preserve">the </w:t>
      </w:r>
      <w:r w:rsidR="00E8235C" w:rsidRPr="003A4F79">
        <w:rPr>
          <w:i w:val="0"/>
        </w:rPr>
        <w:t>pr</w:t>
      </w:r>
      <w:r w:rsidR="00C02E2B" w:rsidRPr="003A4F79">
        <w:rPr>
          <w:i w:val="0"/>
        </w:rPr>
        <w:t>imacy hypothesis from the salienc</w:t>
      </w:r>
      <w:r w:rsidR="00964C7E" w:rsidRPr="003A4F79">
        <w:rPr>
          <w:i w:val="0"/>
        </w:rPr>
        <w:t>e</w:t>
      </w:r>
      <w:r w:rsidR="00C02E2B" w:rsidRPr="003A4F79">
        <w:rPr>
          <w:i w:val="0"/>
        </w:rPr>
        <w:t xml:space="preserve"> hypothesis </w:t>
      </w:r>
      <w:r w:rsidR="00032264" w:rsidRPr="003A4F79">
        <w:rPr>
          <w:i w:val="0"/>
        </w:rPr>
        <w:t>(Bordalo, Gennaioli and Shleifer, 2012)</w:t>
      </w:r>
      <w:r w:rsidR="005D0FCD" w:rsidRPr="003A4F79">
        <w:rPr>
          <w:i w:val="0"/>
        </w:rPr>
        <w:t xml:space="preserve">, we have the following corollary: </w:t>
      </w:r>
    </w:p>
    <w:p w14:paraId="4ED37DA0" w14:textId="4CA75446" w:rsidR="00733B28" w:rsidRPr="003A4F79" w:rsidRDefault="005D0FCD" w:rsidP="00FD6A74">
      <w:pPr>
        <w:pStyle w:val="Hypotheses"/>
        <w:jc w:val="both"/>
        <w:rPr>
          <w:i w:val="0"/>
        </w:rPr>
      </w:pPr>
      <w:r w:rsidRPr="003A4F79">
        <w:rPr>
          <w:i w:val="0"/>
        </w:rPr>
        <w:t>H1a</w:t>
      </w:r>
      <w:r w:rsidR="00733B28" w:rsidRPr="003A4F79">
        <w:rPr>
          <w:i w:val="0"/>
        </w:rPr>
        <w:t xml:space="preserve"> (Primacy effect vs. Salienc</w:t>
      </w:r>
      <w:r w:rsidR="00D37CC8" w:rsidRPr="003A4F79">
        <w:rPr>
          <w:i w:val="0"/>
        </w:rPr>
        <w:t>e</w:t>
      </w:r>
      <w:r w:rsidR="00733B28" w:rsidRPr="003A4F79">
        <w:rPr>
          <w:i w:val="0"/>
        </w:rPr>
        <w:t xml:space="preserve"> effect)</w:t>
      </w:r>
      <w:r w:rsidRPr="003A4F79">
        <w:rPr>
          <w:i w:val="0"/>
        </w:rPr>
        <w:t xml:space="preserve">: </w:t>
      </w:r>
      <w:r w:rsidRPr="003A4F79">
        <w:t xml:space="preserve">If </w:t>
      </w:r>
      <w:r w:rsidR="0094616C" w:rsidRPr="003A4F79">
        <w:t xml:space="preserve">the initial return </w:t>
      </w:r>
      <w:r w:rsidR="00EE2512" w:rsidRPr="003A4F79">
        <w:t>is prevalent in re-</w:t>
      </w:r>
      <w:r w:rsidR="0094616C" w:rsidRPr="003A4F79">
        <w:t>entry</w:t>
      </w:r>
      <w:r w:rsidR="00EE2512" w:rsidRPr="003A4F79">
        <w:t xml:space="preserve"> decision </w:t>
      </w:r>
      <w:r w:rsidR="00A71CDF" w:rsidRPr="003A4F79">
        <w:t xml:space="preserve">due to the primacy effect, </w:t>
      </w:r>
      <w:r w:rsidR="00807DC4" w:rsidRPr="003A4F79">
        <w:t xml:space="preserve">it should prevail </w:t>
      </w:r>
      <w:r w:rsidR="0094616C" w:rsidRPr="003A4F79">
        <w:t xml:space="preserve">even after controlling for the extent to which </w:t>
      </w:r>
      <w:r w:rsidR="009339D4" w:rsidRPr="003A4F79">
        <w:t xml:space="preserve">the </w:t>
      </w:r>
      <w:r w:rsidR="0094616C" w:rsidRPr="003A4F79">
        <w:t>initial return is salient</w:t>
      </w:r>
      <w:r w:rsidRPr="003A4F79">
        <w:t>.</w:t>
      </w:r>
    </w:p>
    <w:p w14:paraId="1B0FC727" w14:textId="52F1C1DF" w:rsidR="00455A04" w:rsidRPr="003A4F79" w:rsidRDefault="00824978">
      <w:r w:rsidRPr="003A4F79">
        <w:t>W</w:t>
      </w:r>
      <w:r w:rsidR="00AE5158" w:rsidRPr="003A4F79">
        <w:t xml:space="preserve">e </w:t>
      </w:r>
      <w:r w:rsidR="00AC3676" w:rsidRPr="003A4F79">
        <w:t xml:space="preserve">also </w:t>
      </w:r>
      <w:r w:rsidR="00AE5158" w:rsidRPr="003A4F79">
        <w:t xml:space="preserve">want to </w:t>
      </w:r>
      <w:r w:rsidRPr="003A4F79">
        <w:t xml:space="preserve">establish </w:t>
      </w:r>
      <w:r w:rsidR="008B32C5" w:rsidRPr="003A4F79">
        <w:t xml:space="preserve">whether </w:t>
      </w:r>
      <w:r w:rsidR="00E76115" w:rsidRPr="003A4F79">
        <w:t xml:space="preserve">the </w:t>
      </w:r>
      <w:r w:rsidR="008B32C5" w:rsidRPr="003A4F79">
        <w:t xml:space="preserve">sensitivity </w:t>
      </w:r>
      <w:r w:rsidR="005C1222" w:rsidRPr="003A4F79">
        <w:t xml:space="preserve">parameter </w:t>
      </w:r>
      <w:r w:rsidR="005C1222" w:rsidRPr="003A4F79">
        <w:rPr>
          <w:i/>
        </w:rPr>
        <w:t>S</w:t>
      </w:r>
      <w:r w:rsidR="005C1222" w:rsidRPr="003A4F79">
        <w:t xml:space="preserve"> is constant</w:t>
      </w:r>
      <w:r w:rsidRPr="003A4F79">
        <w:t>,</w:t>
      </w:r>
      <w:r w:rsidR="0094324A" w:rsidRPr="003A4F79">
        <w:t xml:space="preserve"> </w:t>
      </w:r>
      <w:r w:rsidR="00BD027E" w:rsidRPr="003A4F79">
        <w:t>irrespective of the sign of initial returns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oMath>
      <w:r w:rsidR="005C1222" w:rsidRPr="003A4F79">
        <w:t xml:space="preserve">. </w:t>
      </w:r>
      <w:r w:rsidRPr="003A4F79">
        <w:t>Two opposing theories</w:t>
      </w:r>
      <w:r w:rsidRPr="003A4F79" w:rsidDel="00824978">
        <w:t xml:space="preserve"> </w:t>
      </w:r>
      <w:r w:rsidRPr="003A4F79">
        <w:t>may explain</w:t>
      </w:r>
      <w:r w:rsidR="00813776" w:rsidRPr="003A4F79">
        <w:t xml:space="preserve"> the sensitivity of investors</w:t>
      </w:r>
      <w:r w:rsidRPr="003A4F79">
        <w:t>’</w:t>
      </w:r>
      <w:r w:rsidR="00813776" w:rsidRPr="003A4F79">
        <w:t xml:space="preserve"> behavio</w:t>
      </w:r>
      <w:r w:rsidR="0062481E" w:rsidRPr="003A4F79">
        <w:t>u</w:t>
      </w:r>
      <w:r w:rsidR="00813776" w:rsidRPr="003A4F79">
        <w:t>r to past returns</w:t>
      </w:r>
      <w:r w:rsidRPr="003A4F79">
        <w:t>.</w:t>
      </w:r>
      <w:r w:rsidR="00E64D57" w:rsidRPr="003A4F79">
        <w:t xml:space="preserve"> One is </w:t>
      </w:r>
      <w:r w:rsidRPr="003A4F79">
        <w:t xml:space="preserve">the </w:t>
      </w:r>
      <w:r w:rsidR="00070DBB" w:rsidRPr="003A4F79">
        <w:t xml:space="preserve">theory of </w:t>
      </w:r>
      <w:r w:rsidR="0015395F" w:rsidRPr="003A4F79">
        <w:rPr>
          <w:i/>
        </w:rPr>
        <w:t>loss aversion</w:t>
      </w:r>
      <w:r w:rsidR="0015395F" w:rsidRPr="003A4F79">
        <w:t xml:space="preserve"> (Kahneman and Tversky, 1979)</w:t>
      </w:r>
      <w:r w:rsidR="00E64D57" w:rsidRPr="003A4F79">
        <w:t xml:space="preserve">, which </w:t>
      </w:r>
      <w:r w:rsidR="00BF4DF7" w:rsidRPr="003A4F79">
        <w:t>implies that the disutility of losing is greater than the utility of winning</w:t>
      </w:r>
      <w:r w:rsidR="00E81CBE" w:rsidRPr="003A4F79">
        <w:t>. This theory predicts that the likelihood of re-entry drops with the magnitude of the loss more than it increases with the magnitude of the gain</w:t>
      </w:r>
      <w:r w:rsidR="00BF4DF7" w:rsidRPr="003A4F79">
        <w:t>.</w:t>
      </w:r>
      <w:r w:rsidR="00E81CBE" w:rsidRPr="003A4F79">
        <w:t xml:space="preserve"> That is, the </w:t>
      </w:r>
      <w:r w:rsidR="0015395F" w:rsidRPr="003A4F79">
        <w:t>sensitivity</w:t>
      </w:r>
      <w:r w:rsidR="00E81CBE" w:rsidRPr="003A4F79">
        <w:t xml:space="preserve"> of re-entry probability</w:t>
      </w:r>
      <w:r w:rsidR="0015395F" w:rsidRPr="003A4F79">
        <w:t xml:space="preserve"> is higher </w:t>
      </w:r>
      <w:r w:rsidRPr="003A4F79">
        <w:t xml:space="preserve">to </w:t>
      </w:r>
      <w:r w:rsidR="0015395F" w:rsidRPr="003A4F79">
        <w:t>negative returns</w:t>
      </w:r>
      <w:r w:rsidR="00E81CBE" w:rsidRPr="003A4F79">
        <w:t xml:space="preserve"> than to positive returns</w:t>
      </w:r>
      <w:r w:rsidR="00CD52D0" w:rsidRPr="003A4F79">
        <w:t>.</w:t>
      </w:r>
      <w:r w:rsidR="00D74BCE" w:rsidRPr="003A4F79">
        <w:t xml:space="preserve"> </w:t>
      </w:r>
      <w:r w:rsidR="0050166E" w:rsidRPr="003A4F79">
        <w:t xml:space="preserve">This phenomenon is documented </w:t>
      </w:r>
      <w:r w:rsidRPr="003A4F79">
        <w:t xml:space="preserve">by </w:t>
      </w:r>
      <w:r w:rsidR="00015A37" w:rsidRPr="003A4F79">
        <w:t>Strahilevitz, Odean, and Barber</w:t>
      </w:r>
      <w:r w:rsidR="0050166E" w:rsidRPr="003A4F79">
        <w:t xml:space="preserve"> (2011)</w:t>
      </w:r>
      <w:r w:rsidR="004722C1" w:rsidRPr="003A4F79">
        <w:t xml:space="preserve"> </w:t>
      </w:r>
      <w:r w:rsidRPr="003A4F79">
        <w:t xml:space="preserve">in </w:t>
      </w:r>
      <w:r w:rsidR="00D74BCE" w:rsidRPr="003A4F79">
        <w:t>the context of investors</w:t>
      </w:r>
      <w:r w:rsidRPr="003A4F79">
        <w:t>’</w:t>
      </w:r>
      <w:r w:rsidR="00D74BCE" w:rsidRPr="003A4F79">
        <w:t xml:space="preserve"> decision</w:t>
      </w:r>
      <w:r w:rsidRPr="003A4F79">
        <w:t>s</w:t>
      </w:r>
      <w:r w:rsidR="00D74BCE" w:rsidRPr="003A4F79">
        <w:t xml:space="preserve"> to repurchase stock</w:t>
      </w:r>
      <w:r w:rsidR="00DD3E98" w:rsidRPr="003A4F79">
        <w:t>.</w:t>
      </w:r>
      <w:r w:rsidR="00C8153C" w:rsidRPr="003A4F79">
        <w:t xml:space="preserve"> </w:t>
      </w:r>
      <w:r w:rsidR="005A2C1A" w:rsidRPr="003A4F79">
        <w:t xml:space="preserve">The other is </w:t>
      </w:r>
      <w:r w:rsidRPr="003A4F79">
        <w:t xml:space="preserve">the </w:t>
      </w:r>
      <w:r w:rsidR="0015395F" w:rsidRPr="003A4F79">
        <w:t xml:space="preserve">theory of </w:t>
      </w:r>
      <w:r w:rsidR="0015395F" w:rsidRPr="003A4F79">
        <w:rPr>
          <w:i/>
        </w:rPr>
        <w:t>self-attribution</w:t>
      </w:r>
      <w:r w:rsidR="0015395F" w:rsidRPr="003A4F79">
        <w:t xml:space="preserve"> (</w:t>
      </w:r>
      <w:r w:rsidR="00406225" w:rsidRPr="003A4F79">
        <w:t>Daniel, Hirshleifer, and Subrahmanaym</w:t>
      </w:r>
      <w:r w:rsidR="0015395F" w:rsidRPr="003A4F79">
        <w:t xml:space="preserve">, 1998) </w:t>
      </w:r>
      <w:r w:rsidRPr="003A4F79">
        <w:t>which, in contrast to</w:t>
      </w:r>
      <w:r w:rsidR="006660FB" w:rsidRPr="003A4F79">
        <w:t xml:space="preserve"> loss aversion</w:t>
      </w:r>
      <w:r w:rsidRPr="003A4F79">
        <w:t>, predicts that</w:t>
      </w:r>
      <w:r w:rsidR="00A01B48" w:rsidRPr="003A4F79">
        <w:t xml:space="preserve"> </w:t>
      </w:r>
      <w:r w:rsidR="00C8153C" w:rsidRPr="003A4F79">
        <w:t xml:space="preserve">investors </w:t>
      </w:r>
      <w:r w:rsidR="00A01B48" w:rsidRPr="003A4F79">
        <w:t xml:space="preserve">respond more sensitively to </w:t>
      </w:r>
      <w:r w:rsidRPr="003A4F79">
        <w:t xml:space="preserve">positive </w:t>
      </w:r>
      <w:r w:rsidR="00A01B48" w:rsidRPr="003A4F79">
        <w:t>returns</w:t>
      </w:r>
      <w:r w:rsidR="00705D74" w:rsidRPr="003A4F79">
        <w:t>,</w:t>
      </w:r>
      <w:r w:rsidR="00C8153C" w:rsidRPr="003A4F79">
        <w:t xml:space="preserve"> as they tend to attribute successes to skill but ascribe failures to luck</w:t>
      </w:r>
      <w:r w:rsidR="0015395F" w:rsidRPr="003A4F79">
        <w:t>.</w:t>
      </w:r>
      <w:r w:rsidR="00C8153C" w:rsidRPr="003A4F79">
        <w:t xml:space="preserve"> Ben-David</w:t>
      </w:r>
      <w:r w:rsidR="00406225" w:rsidRPr="003A4F79">
        <w:t>, Birru, and Prokopenya</w:t>
      </w:r>
      <w:r w:rsidRPr="003A4F79">
        <w:t>’s</w:t>
      </w:r>
      <w:r w:rsidR="00C8153C" w:rsidRPr="003A4F79">
        <w:t xml:space="preserve"> (2016) evidence </w:t>
      </w:r>
      <w:r w:rsidRPr="003A4F79">
        <w:t xml:space="preserve">for </w:t>
      </w:r>
      <w:r w:rsidR="00B20DC0" w:rsidRPr="003A4F79">
        <w:t>this theory show</w:t>
      </w:r>
      <w:r w:rsidRPr="003A4F79">
        <w:t>s</w:t>
      </w:r>
      <w:r w:rsidR="00B20DC0" w:rsidRPr="003A4F79">
        <w:t xml:space="preserve"> that </w:t>
      </w:r>
      <w:r w:rsidR="00C8153C" w:rsidRPr="003A4F79">
        <w:t xml:space="preserve">retail traders in Forex futures markets react more strongly to positive past outcomes </w:t>
      </w:r>
      <w:r w:rsidRPr="003A4F79">
        <w:t xml:space="preserve">than to </w:t>
      </w:r>
      <w:r w:rsidR="00C8153C" w:rsidRPr="003A4F79">
        <w:t xml:space="preserve">negative outcomes. </w:t>
      </w:r>
      <w:r w:rsidR="00F84CA0" w:rsidRPr="003A4F79">
        <w:t xml:space="preserve">Therefore, </w:t>
      </w:r>
      <w:r w:rsidR="005C1222" w:rsidRPr="003A4F79">
        <w:t>our second hypothesis</w:t>
      </w:r>
      <w:r w:rsidR="00C15242" w:rsidRPr="003A4F79">
        <w:t xml:space="preserve"> </w:t>
      </w:r>
      <w:r w:rsidR="0057762F" w:rsidRPr="003A4F79">
        <w:t>is</w:t>
      </w:r>
      <w:r w:rsidR="00455A04" w:rsidRPr="003A4F79">
        <w:t>:</w:t>
      </w:r>
    </w:p>
    <w:p w14:paraId="6CE608DD" w14:textId="54CD6F6E" w:rsidR="005C1222" w:rsidRPr="003A4F79" w:rsidRDefault="00455A04" w:rsidP="00290F9F">
      <w:pPr>
        <w:pStyle w:val="Hypotheses"/>
      </w:pPr>
      <w:r w:rsidRPr="003A4F79">
        <w:rPr>
          <w:i w:val="0"/>
        </w:rPr>
        <w:lastRenderedPageBreak/>
        <w:t>H</w:t>
      </w:r>
      <w:r w:rsidRPr="003A4F79">
        <w:rPr>
          <w:i w:val="0"/>
          <w:vertAlign w:val="subscript"/>
        </w:rPr>
        <w:t>2</w:t>
      </w:r>
      <w:r w:rsidRPr="003A4F79">
        <w:rPr>
          <w:i w:val="0"/>
        </w:rPr>
        <w:t>:</w:t>
      </w:r>
      <w:r w:rsidRPr="003A4F79">
        <w:t xml:space="preserve"> If an investor is subject to experiential learning with </w:t>
      </w:r>
      <w:r w:rsidR="001E4B7A" w:rsidRPr="003A4F79">
        <w:t>the</w:t>
      </w:r>
      <w:r w:rsidRPr="003A4F79">
        <w:t xml:space="preserve"> primacy bias in deci</w:t>
      </w:r>
      <w:r w:rsidR="00824978" w:rsidRPr="003A4F79">
        <w:t>ding</w:t>
      </w:r>
      <w:r w:rsidRPr="003A4F79">
        <w:t xml:space="preserve"> to re-enter the stock market and respond</w:t>
      </w:r>
      <w:r w:rsidR="001D2B70" w:rsidRPr="003A4F79">
        <w:t>s</w:t>
      </w:r>
      <w:r w:rsidRPr="003A4F79">
        <w:t xml:space="preserve"> to </w:t>
      </w:r>
      <w:r w:rsidR="00824978" w:rsidRPr="003A4F79">
        <w:t xml:space="preserve">this </w:t>
      </w:r>
      <w:r w:rsidRPr="003A4F79">
        <w:t>experience asymmetric</w:t>
      </w:r>
      <w:r w:rsidR="00824978" w:rsidRPr="003A4F79">
        <w:t>ally</w:t>
      </w:r>
      <w:r w:rsidRPr="003A4F79">
        <w:t xml:space="preserve">, </w:t>
      </w:r>
      <w:r w:rsidR="001D2B70" w:rsidRPr="003A4F79">
        <w:t xml:space="preserve">then </w:t>
      </w:r>
      <w:r w:rsidR="00265D48" w:rsidRPr="003A4F79">
        <w:t xml:space="preserve">holding the average return fixed, </w:t>
      </w:r>
      <w:r w:rsidR="00F84CA0" w:rsidRPr="003A4F79">
        <w:t xml:space="preserve">the </w:t>
      </w:r>
      <w:r w:rsidR="000612DB" w:rsidRPr="003A4F79">
        <w:t xml:space="preserve">sensitivity of </w:t>
      </w:r>
      <w:r w:rsidR="00C87A9F" w:rsidRPr="003A4F79">
        <w:t xml:space="preserve">the </w:t>
      </w:r>
      <w:r w:rsidR="00F84CA0" w:rsidRPr="003A4F79">
        <w:t xml:space="preserve">odds of stock market re-entry </w:t>
      </w:r>
      <w:r w:rsidR="00C15242" w:rsidRPr="003A4F79">
        <w:t xml:space="preserve">to initial returns </w:t>
      </w:r>
      <w:r w:rsidR="00745004" w:rsidRPr="003A4F79">
        <w:t>differ</w:t>
      </w:r>
      <w:r w:rsidR="00707D1F" w:rsidRPr="003A4F79">
        <w:t>s</w:t>
      </w:r>
      <w:r w:rsidR="00745004" w:rsidRPr="003A4F79">
        <w:t xml:space="preserve"> depending on the return domain</w:t>
      </w:r>
      <w:r w:rsidR="00B67FD9" w:rsidRPr="003A4F79">
        <w:t>.</w:t>
      </w:r>
    </w:p>
    <w:p w14:paraId="1203189D" w14:textId="3CBF52AE" w:rsidR="00DA2EE0" w:rsidRPr="003A4F79" w:rsidRDefault="00AB1084" w:rsidP="00290F9F">
      <w:pPr>
        <w:pStyle w:val="Heading1"/>
      </w:pPr>
      <w:r w:rsidRPr="003A4F79">
        <w:t>4</w:t>
      </w:r>
      <w:r w:rsidR="00DA2EE0" w:rsidRPr="003A4F79">
        <w:t xml:space="preserve">. </w:t>
      </w:r>
      <w:r w:rsidR="003F66BE" w:rsidRPr="003A4F79">
        <w:t>Data</w:t>
      </w:r>
      <w:r w:rsidR="009C7031" w:rsidRPr="003A4F79">
        <w:t>,</w:t>
      </w:r>
      <w:r w:rsidR="003F66BE" w:rsidRPr="003A4F79">
        <w:t xml:space="preserve"> </w:t>
      </w:r>
      <w:r w:rsidR="004D61CC" w:rsidRPr="003A4F79">
        <w:t>sample construction</w:t>
      </w:r>
      <w:r w:rsidR="00707D1F" w:rsidRPr="003A4F79">
        <w:t>,</w:t>
      </w:r>
      <w:r w:rsidR="004D61CC" w:rsidRPr="003A4F79">
        <w:t xml:space="preserve"> and main varia</w:t>
      </w:r>
      <w:r w:rsidR="009C7031" w:rsidRPr="003A4F79">
        <w:t>bles</w:t>
      </w:r>
    </w:p>
    <w:p w14:paraId="654BC997" w14:textId="53B04B0D" w:rsidR="00DB4E72" w:rsidRPr="003A4F79" w:rsidRDefault="00707D1F">
      <w:pPr>
        <w:rPr>
          <w:lang w:eastAsia="en-GB"/>
        </w:rPr>
      </w:pPr>
      <w:r w:rsidRPr="003A4F79">
        <w:rPr>
          <w:lang w:eastAsia="en-GB"/>
        </w:rPr>
        <w:t>W</w:t>
      </w:r>
      <w:r w:rsidR="000D7D8A" w:rsidRPr="003A4F79">
        <w:rPr>
          <w:lang w:eastAsia="en-GB"/>
        </w:rPr>
        <w:t xml:space="preserve">e use </w:t>
      </w:r>
      <w:r w:rsidR="003F66BE" w:rsidRPr="003A4F79">
        <w:rPr>
          <w:lang w:eastAsia="en-GB"/>
        </w:rPr>
        <w:t xml:space="preserve">transaction data </w:t>
      </w:r>
      <w:r w:rsidRPr="003A4F79">
        <w:rPr>
          <w:lang w:eastAsia="en-GB"/>
        </w:rPr>
        <w:t xml:space="preserve">from the </w:t>
      </w:r>
      <w:r w:rsidR="000D7D8A" w:rsidRPr="003A4F79">
        <w:rPr>
          <w:lang w:eastAsia="en-GB"/>
        </w:rPr>
        <w:t>Finnish stock market</w:t>
      </w:r>
      <w:r w:rsidRPr="003A4F79">
        <w:rPr>
          <w:lang w:eastAsia="en-GB"/>
        </w:rPr>
        <w:t>, which</w:t>
      </w:r>
      <w:r w:rsidR="000D7D8A" w:rsidRPr="003A4F79">
        <w:rPr>
          <w:lang w:eastAsia="en-GB"/>
        </w:rPr>
        <w:t xml:space="preserve"> </w:t>
      </w:r>
      <w:r w:rsidRPr="003A4F79">
        <w:rPr>
          <w:lang w:eastAsia="en-GB"/>
        </w:rPr>
        <w:t xml:space="preserve">have </w:t>
      </w:r>
      <w:r w:rsidR="00B663A2" w:rsidRPr="003A4F79">
        <w:rPr>
          <w:lang w:eastAsia="en-GB"/>
        </w:rPr>
        <w:t xml:space="preserve">been </w:t>
      </w:r>
      <w:r w:rsidR="0016746E" w:rsidRPr="003A4F79">
        <w:rPr>
          <w:lang w:eastAsia="en-GB"/>
        </w:rPr>
        <w:t>exploited</w:t>
      </w:r>
      <w:r w:rsidR="00FE13B1" w:rsidRPr="003A4F79">
        <w:rPr>
          <w:lang w:eastAsia="en-GB"/>
        </w:rPr>
        <w:t xml:space="preserve"> in </w:t>
      </w:r>
      <w:r w:rsidRPr="003A4F79">
        <w:rPr>
          <w:lang w:eastAsia="en-GB"/>
        </w:rPr>
        <w:t xml:space="preserve">previous </w:t>
      </w:r>
      <w:r w:rsidR="00FE13B1" w:rsidRPr="003A4F79">
        <w:rPr>
          <w:lang w:eastAsia="en-GB"/>
        </w:rPr>
        <w:t xml:space="preserve">literature (e.g., </w:t>
      </w:r>
      <w:r w:rsidR="00FE13B1" w:rsidRPr="003A4F79">
        <w:t xml:space="preserve">Grinblatt and Keloharju, 2000, 2001a, 2001b; </w:t>
      </w:r>
      <w:r w:rsidR="00015A37" w:rsidRPr="003A4F79">
        <w:t>Seru, Shumway, and Stoffman</w:t>
      </w:r>
      <w:r w:rsidR="00FE13B1" w:rsidRPr="003A4F79">
        <w:t>, 2010</w:t>
      </w:r>
      <w:r w:rsidR="00092FF9" w:rsidRPr="003A4F79">
        <w:t xml:space="preserve">; </w:t>
      </w:r>
      <w:r w:rsidR="00BF1D69" w:rsidRPr="003A4F79">
        <w:t>Linnainmaa</w:t>
      </w:r>
      <w:r w:rsidR="006C7D26" w:rsidRPr="003A4F79">
        <w:t>,</w:t>
      </w:r>
      <w:r w:rsidR="00BF1D69" w:rsidRPr="003A4F79">
        <w:t xml:space="preserve"> 2011; </w:t>
      </w:r>
      <w:r w:rsidR="00092FF9" w:rsidRPr="003A4F79">
        <w:t>Kaustia and Kn</w:t>
      </w:r>
      <w:r w:rsidR="00E41D9F" w:rsidRPr="003A4F79">
        <w:t>ü</w:t>
      </w:r>
      <w:r w:rsidR="00092FF9" w:rsidRPr="003A4F79">
        <w:t>pfer, 2012</w:t>
      </w:r>
      <w:r w:rsidR="00FE13B1" w:rsidRPr="003A4F79">
        <w:t>)</w:t>
      </w:r>
      <w:r w:rsidR="001960C3" w:rsidRPr="003A4F79">
        <w:t xml:space="preserve">. </w:t>
      </w:r>
      <w:r w:rsidRPr="003A4F79">
        <w:t xml:space="preserve">These </w:t>
      </w:r>
      <w:r w:rsidRPr="003A4F79">
        <w:rPr>
          <w:lang w:eastAsia="en-GB"/>
        </w:rPr>
        <w:t xml:space="preserve">are provided by </w:t>
      </w:r>
      <w:r w:rsidR="003F66BE" w:rsidRPr="003A4F79">
        <w:rPr>
          <w:lang w:eastAsia="en-GB"/>
        </w:rPr>
        <w:t xml:space="preserve">the </w:t>
      </w:r>
      <w:r w:rsidR="00AF2192" w:rsidRPr="003A4F79">
        <w:rPr>
          <w:lang w:eastAsia="en-GB"/>
        </w:rPr>
        <w:t>Finnish</w:t>
      </w:r>
      <w:r w:rsidR="003F66BE" w:rsidRPr="003A4F79">
        <w:rPr>
          <w:lang w:eastAsia="en-GB"/>
        </w:rPr>
        <w:t xml:space="preserve"> Central Securities Depository (</w:t>
      </w:r>
      <w:r w:rsidR="00AF2192" w:rsidRPr="003A4F79">
        <w:rPr>
          <w:lang w:eastAsia="en-GB"/>
        </w:rPr>
        <w:t>F</w:t>
      </w:r>
      <w:r w:rsidR="003F66BE" w:rsidRPr="003A4F79">
        <w:rPr>
          <w:lang w:eastAsia="en-GB"/>
        </w:rPr>
        <w:t xml:space="preserve">CSD) and cover </w:t>
      </w:r>
      <w:r w:rsidR="001F1195" w:rsidRPr="003A4F79">
        <w:rPr>
          <w:lang w:eastAsia="en-GB"/>
        </w:rPr>
        <w:t>every market transaction by every stock market participant</w:t>
      </w:r>
      <w:r w:rsidR="003F66BE" w:rsidRPr="003A4F79">
        <w:rPr>
          <w:lang w:eastAsia="en-GB"/>
        </w:rPr>
        <w:t xml:space="preserve"> in all Finnish stock</w:t>
      </w:r>
      <w:r w:rsidR="00A75571" w:rsidRPr="003A4F79">
        <w:rPr>
          <w:lang w:eastAsia="en-GB"/>
        </w:rPr>
        <w:t>s</w:t>
      </w:r>
      <w:r w:rsidR="003F66BE" w:rsidRPr="003A4F79">
        <w:rPr>
          <w:lang w:eastAsia="en-GB"/>
        </w:rPr>
        <w:t xml:space="preserve"> over a nine-year period</w:t>
      </w:r>
      <w:r w:rsidR="001F1195" w:rsidRPr="003A4F79">
        <w:rPr>
          <w:lang w:eastAsia="en-GB"/>
        </w:rPr>
        <w:t xml:space="preserve"> from January 1995 to December 2003</w:t>
      </w:r>
      <w:r w:rsidR="00A75571" w:rsidRPr="003A4F79">
        <w:rPr>
          <w:lang w:eastAsia="en-GB"/>
        </w:rPr>
        <w:t>.</w:t>
      </w:r>
      <w:r w:rsidR="00F209FC" w:rsidRPr="003A4F79">
        <w:rPr>
          <w:rStyle w:val="FootnoteReference"/>
          <w:lang w:eastAsia="en-GB"/>
        </w:rPr>
        <w:footnoteReference w:id="10"/>
      </w:r>
      <w:r w:rsidR="00F930DD" w:rsidRPr="003A4F79">
        <w:rPr>
          <w:lang w:eastAsia="en-GB"/>
        </w:rPr>
        <w:t xml:space="preserve"> Th</w:t>
      </w:r>
      <w:r w:rsidR="003005A4" w:rsidRPr="003A4F79">
        <w:rPr>
          <w:lang w:eastAsia="en-GB"/>
        </w:rPr>
        <w:t>e</w:t>
      </w:r>
      <w:r w:rsidR="00F930DD" w:rsidRPr="003A4F79">
        <w:rPr>
          <w:lang w:eastAsia="en-GB"/>
        </w:rPr>
        <w:t xml:space="preserve"> data</w:t>
      </w:r>
      <w:r w:rsidR="00F92617" w:rsidRPr="003A4F79">
        <w:rPr>
          <w:lang w:eastAsia="en-GB"/>
        </w:rPr>
        <w:t>base</w:t>
      </w:r>
      <w:r w:rsidR="00F930DD" w:rsidRPr="003A4F79">
        <w:rPr>
          <w:lang w:eastAsia="en-GB"/>
        </w:rPr>
        <w:t xml:space="preserve"> covers 97% of</w:t>
      </w:r>
      <w:r w:rsidR="003005A4" w:rsidRPr="003A4F79">
        <w:rPr>
          <w:lang w:eastAsia="en-GB"/>
        </w:rPr>
        <w:t xml:space="preserve"> </w:t>
      </w:r>
      <w:r w:rsidR="00C65AAC" w:rsidRPr="003A4F79">
        <w:rPr>
          <w:lang w:eastAsia="en-GB"/>
        </w:rPr>
        <w:t xml:space="preserve">the </w:t>
      </w:r>
      <w:r w:rsidR="003005A4" w:rsidRPr="003A4F79">
        <w:rPr>
          <w:lang w:eastAsia="en-GB"/>
        </w:rPr>
        <w:t>total market capitalization of Finnish stocks</w:t>
      </w:r>
      <w:r w:rsidR="00F92617" w:rsidRPr="003A4F79">
        <w:rPr>
          <w:lang w:eastAsia="en-GB"/>
        </w:rPr>
        <w:t xml:space="preserve"> and </w:t>
      </w:r>
      <w:r w:rsidR="00C01E83" w:rsidRPr="003A4F79">
        <w:rPr>
          <w:lang w:eastAsia="en-GB"/>
        </w:rPr>
        <w:t>gives a comprehensive picture of direct shareholdings</w:t>
      </w:r>
      <w:r w:rsidR="003005A4" w:rsidRPr="003A4F79">
        <w:rPr>
          <w:lang w:eastAsia="en-GB"/>
        </w:rPr>
        <w:t xml:space="preserve">. </w:t>
      </w:r>
      <w:r w:rsidR="000D05F0" w:rsidRPr="003A4F79">
        <w:rPr>
          <w:lang w:eastAsia="en-GB"/>
        </w:rPr>
        <w:t>Indirect s</w:t>
      </w:r>
      <w:r w:rsidR="00D703B7" w:rsidRPr="003A4F79">
        <w:rPr>
          <w:lang w:eastAsia="en-GB"/>
        </w:rPr>
        <w:t>tock market participation through mutu</w:t>
      </w:r>
      <w:r w:rsidR="007F4FC1" w:rsidRPr="003A4F79">
        <w:rPr>
          <w:lang w:eastAsia="en-GB"/>
        </w:rPr>
        <w:t xml:space="preserve">al funds </w:t>
      </w:r>
      <w:r w:rsidR="000D05F0" w:rsidRPr="003A4F79">
        <w:rPr>
          <w:lang w:eastAsia="en-GB"/>
        </w:rPr>
        <w:t>is</w:t>
      </w:r>
      <w:r w:rsidR="00BF280D" w:rsidRPr="003A4F79">
        <w:rPr>
          <w:lang w:eastAsia="en-GB"/>
        </w:rPr>
        <w:t xml:space="preserve"> not captured in the</w:t>
      </w:r>
      <w:r w:rsidR="00B02223" w:rsidRPr="003A4F79">
        <w:rPr>
          <w:lang w:eastAsia="en-GB"/>
        </w:rPr>
        <w:t xml:space="preserve"> </w:t>
      </w:r>
      <w:r w:rsidR="00D703B7" w:rsidRPr="003A4F79">
        <w:rPr>
          <w:lang w:eastAsia="en-GB"/>
        </w:rPr>
        <w:t xml:space="preserve">data, but indirect shareholdings </w:t>
      </w:r>
      <w:r w:rsidR="00705D74" w:rsidRPr="003A4F79">
        <w:rPr>
          <w:lang w:eastAsia="en-GB"/>
        </w:rPr>
        <w:t xml:space="preserve">are </w:t>
      </w:r>
      <w:r w:rsidR="00D703B7" w:rsidRPr="003A4F79">
        <w:rPr>
          <w:lang w:eastAsia="en-GB"/>
        </w:rPr>
        <w:t>minimal</w:t>
      </w:r>
      <w:r w:rsidRPr="003A4F79">
        <w:rPr>
          <w:lang w:eastAsia="en-GB"/>
        </w:rPr>
        <w:t>,</w:t>
      </w:r>
      <w:r w:rsidR="00406225" w:rsidRPr="003A4F79">
        <w:rPr>
          <w:lang w:eastAsia="en-GB"/>
        </w:rPr>
        <w:t xml:space="preserve"> </w:t>
      </w:r>
      <w:r w:rsidR="00D703B7" w:rsidRPr="003A4F79">
        <w:rPr>
          <w:lang w:eastAsia="en-GB"/>
        </w:rPr>
        <w:t xml:space="preserve">especially </w:t>
      </w:r>
      <w:r w:rsidRPr="003A4F79">
        <w:rPr>
          <w:lang w:eastAsia="en-GB"/>
        </w:rPr>
        <w:t xml:space="preserve">during </w:t>
      </w:r>
      <w:r w:rsidR="00D703B7" w:rsidRPr="003A4F79">
        <w:rPr>
          <w:lang w:eastAsia="en-GB"/>
        </w:rPr>
        <w:t>our sample period</w:t>
      </w:r>
      <w:r w:rsidRPr="003A4F79">
        <w:rPr>
          <w:lang w:eastAsia="en-GB"/>
        </w:rPr>
        <w:t>,</w:t>
      </w:r>
      <w:r w:rsidR="00406225" w:rsidRPr="003A4F79">
        <w:rPr>
          <w:lang w:eastAsia="en-GB"/>
        </w:rPr>
        <w:t xml:space="preserve"> </w:t>
      </w:r>
      <w:r w:rsidR="00D703B7" w:rsidRPr="003A4F79">
        <w:rPr>
          <w:lang w:eastAsia="en-GB"/>
        </w:rPr>
        <w:t>since</w:t>
      </w:r>
      <w:r w:rsidR="00D43958" w:rsidRPr="003A4F79">
        <w:rPr>
          <w:lang w:eastAsia="en-GB"/>
        </w:rPr>
        <w:t xml:space="preserve"> mutual funds </w:t>
      </w:r>
      <w:r w:rsidRPr="003A4F79">
        <w:rPr>
          <w:lang w:eastAsia="en-GB"/>
        </w:rPr>
        <w:t xml:space="preserve">did not gain in </w:t>
      </w:r>
      <w:r w:rsidR="00D43958" w:rsidRPr="003A4F79">
        <w:rPr>
          <w:lang w:eastAsia="en-GB"/>
        </w:rPr>
        <w:t xml:space="preserve">popularity </w:t>
      </w:r>
      <w:r w:rsidRPr="003A4F79">
        <w:rPr>
          <w:lang w:eastAsia="en-GB"/>
        </w:rPr>
        <w:t xml:space="preserve">until 2003 </w:t>
      </w:r>
      <w:r w:rsidR="00D43958" w:rsidRPr="003A4F79">
        <w:rPr>
          <w:lang w:eastAsia="en-GB"/>
        </w:rPr>
        <w:t>(</w:t>
      </w:r>
      <w:r w:rsidR="006453D7" w:rsidRPr="003A4F79">
        <w:rPr>
          <w:lang w:eastAsia="en-GB"/>
        </w:rPr>
        <w:t>see</w:t>
      </w:r>
      <w:r w:rsidR="001E6160" w:rsidRPr="003A4F79">
        <w:rPr>
          <w:lang w:eastAsia="en-GB"/>
        </w:rPr>
        <w:t xml:space="preserve"> e.g., </w:t>
      </w:r>
      <w:r w:rsidR="00CC344B" w:rsidRPr="003A4F79">
        <w:t xml:space="preserve">Kaustia and </w:t>
      </w:r>
      <w:r w:rsidR="003633D9" w:rsidRPr="003A4F79">
        <w:t>Knüpfer</w:t>
      </w:r>
      <w:r w:rsidR="00CC344B" w:rsidRPr="003A4F79">
        <w:t>, 2012).</w:t>
      </w:r>
      <w:r w:rsidR="00D43958" w:rsidRPr="003A4F79">
        <w:rPr>
          <w:lang w:eastAsia="en-GB"/>
        </w:rPr>
        <w:t xml:space="preserve"> </w:t>
      </w:r>
      <w:r w:rsidR="002A7906" w:rsidRPr="003A4F79">
        <w:rPr>
          <w:lang w:eastAsia="en-GB"/>
        </w:rPr>
        <w:t>The data also record various investor characteristics</w:t>
      </w:r>
      <w:r w:rsidR="007F232C" w:rsidRPr="003A4F79">
        <w:rPr>
          <w:lang w:eastAsia="en-GB"/>
        </w:rPr>
        <w:t>,</w:t>
      </w:r>
      <w:r w:rsidR="002A7906" w:rsidRPr="003A4F79">
        <w:rPr>
          <w:lang w:eastAsia="en-GB"/>
        </w:rPr>
        <w:t xml:space="preserve"> such as gender, age, and zip</w:t>
      </w:r>
      <w:r w:rsidRPr="003A4F79">
        <w:rPr>
          <w:lang w:eastAsia="en-GB"/>
        </w:rPr>
        <w:t xml:space="preserve"> </w:t>
      </w:r>
      <w:r w:rsidR="002A7906" w:rsidRPr="003A4F79">
        <w:rPr>
          <w:lang w:eastAsia="en-GB"/>
        </w:rPr>
        <w:t>code.</w:t>
      </w:r>
      <w:r w:rsidR="00465AAD" w:rsidRPr="003A4F79">
        <w:rPr>
          <w:lang w:eastAsia="en-GB"/>
        </w:rPr>
        <w:t xml:space="preserve"> </w:t>
      </w:r>
      <w:r w:rsidR="00B34A53" w:rsidRPr="003A4F79">
        <w:rPr>
          <w:lang w:eastAsia="en-GB"/>
        </w:rPr>
        <w:t xml:space="preserve">For </w:t>
      </w:r>
      <w:r w:rsidRPr="003A4F79">
        <w:rPr>
          <w:lang w:eastAsia="en-GB"/>
        </w:rPr>
        <w:t xml:space="preserve">the </w:t>
      </w:r>
      <w:r w:rsidR="00B34A53" w:rsidRPr="003A4F79">
        <w:rPr>
          <w:lang w:eastAsia="en-GB"/>
        </w:rPr>
        <w:t xml:space="preserve">purpose of examining </w:t>
      </w:r>
      <w:r w:rsidR="00973060" w:rsidRPr="003A4F79">
        <w:rPr>
          <w:lang w:eastAsia="en-GB"/>
        </w:rPr>
        <w:t>h</w:t>
      </w:r>
      <w:r w:rsidR="00B34A53" w:rsidRPr="003A4F79">
        <w:rPr>
          <w:lang w:eastAsia="en-GB"/>
        </w:rPr>
        <w:t>ousehold investor</w:t>
      </w:r>
      <w:r w:rsidR="00973060" w:rsidRPr="003A4F79">
        <w:rPr>
          <w:lang w:eastAsia="en-GB"/>
        </w:rPr>
        <w:t>s</w:t>
      </w:r>
      <w:r w:rsidR="00537D82" w:rsidRPr="003A4F79">
        <w:rPr>
          <w:lang w:eastAsia="en-GB"/>
        </w:rPr>
        <w:t>’</w:t>
      </w:r>
      <w:r w:rsidR="002A7906" w:rsidRPr="003A4F79">
        <w:rPr>
          <w:lang w:eastAsia="en-GB"/>
        </w:rPr>
        <w:t xml:space="preserve"> behavio</w:t>
      </w:r>
      <w:r w:rsidR="0062481E" w:rsidRPr="003A4F79">
        <w:rPr>
          <w:lang w:eastAsia="en-GB"/>
        </w:rPr>
        <w:t>u</w:t>
      </w:r>
      <w:r w:rsidR="002A7906" w:rsidRPr="003A4F79">
        <w:rPr>
          <w:lang w:eastAsia="en-GB"/>
        </w:rPr>
        <w:t>r</w:t>
      </w:r>
      <w:r w:rsidR="00B34A53" w:rsidRPr="003A4F79">
        <w:rPr>
          <w:lang w:eastAsia="en-GB"/>
        </w:rPr>
        <w:t>,</w:t>
      </w:r>
      <w:r w:rsidR="002A7906" w:rsidRPr="003A4F79">
        <w:rPr>
          <w:lang w:eastAsia="en-GB"/>
        </w:rPr>
        <w:t xml:space="preserve"> we</w:t>
      </w:r>
      <w:r w:rsidR="00431BFC" w:rsidRPr="003A4F79">
        <w:rPr>
          <w:lang w:eastAsia="en-GB"/>
        </w:rPr>
        <w:t xml:space="preserve"> </w:t>
      </w:r>
      <w:r w:rsidR="002A7906" w:rsidRPr="003A4F79">
        <w:rPr>
          <w:lang w:eastAsia="en-GB"/>
        </w:rPr>
        <w:t xml:space="preserve">focus </w:t>
      </w:r>
      <w:r w:rsidRPr="003A4F79">
        <w:rPr>
          <w:lang w:eastAsia="en-GB"/>
        </w:rPr>
        <w:t xml:space="preserve">only </w:t>
      </w:r>
      <w:r w:rsidR="002A7906" w:rsidRPr="003A4F79">
        <w:rPr>
          <w:lang w:eastAsia="en-GB"/>
        </w:rPr>
        <w:t xml:space="preserve">on </w:t>
      </w:r>
      <w:r w:rsidR="008177D4" w:rsidRPr="003A4F79">
        <w:rPr>
          <w:lang w:eastAsia="en-GB"/>
        </w:rPr>
        <w:t>entries</w:t>
      </w:r>
      <w:r w:rsidR="00F56682" w:rsidRPr="003A4F79">
        <w:rPr>
          <w:lang w:eastAsia="en-GB"/>
        </w:rPr>
        <w:t xml:space="preserve"> </w:t>
      </w:r>
      <w:r w:rsidR="00324282" w:rsidRPr="003A4F79">
        <w:rPr>
          <w:lang w:eastAsia="en-GB"/>
        </w:rPr>
        <w:t>recording</w:t>
      </w:r>
      <w:r w:rsidR="00431BFC" w:rsidRPr="003A4F79">
        <w:rPr>
          <w:lang w:eastAsia="en-GB"/>
        </w:rPr>
        <w:t xml:space="preserve"> </w:t>
      </w:r>
      <w:r w:rsidR="00DF2DA9" w:rsidRPr="003A4F79">
        <w:rPr>
          <w:lang w:eastAsia="en-GB"/>
        </w:rPr>
        <w:t xml:space="preserve">transactions </w:t>
      </w:r>
      <w:r w:rsidR="001E1046" w:rsidRPr="003A4F79">
        <w:rPr>
          <w:lang w:eastAsia="en-GB"/>
        </w:rPr>
        <w:t xml:space="preserve">placed </w:t>
      </w:r>
      <w:r w:rsidR="00431BFC" w:rsidRPr="003A4F79">
        <w:rPr>
          <w:lang w:eastAsia="en-GB"/>
        </w:rPr>
        <w:t xml:space="preserve">by </w:t>
      </w:r>
      <w:r w:rsidR="001E1046" w:rsidRPr="003A4F79">
        <w:rPr>
          <w:lang w:eastAsia="en-GB"/>
        </w:rPr>
        <w:t>individual</w:t>
      </w:r>
      <w:r w:rsidR="00431BFC" w:rsidRPr="003A4F79">
        <w:rPr>
          <w:lang w:eastAsia="en-GB"/>
        </w:rPr>
        <w:t xml:space="preserve"> investors</w:t>
      </w:r>
      <w:r w:rsidR="002A7906" w:rsidRPr="003A4F79">
        <w:rPr>
          <w:lang w:eastAsia="en-GB"/>
        </w:rPr>
        <w:t>.</w:t>
      </w:r>
    </w:p>
    <w:p w14:paraId="3F17085A" w14:textId="2CE2CE12" w:rsidR="00DB4E72" w:rsidRPr="003A4F79" w:rsidRDefault="007E325C">
      <w:pPr>
        <w:rPr>
          <w:lang w:eastAsia="en-GB"/>
        </w:rPr>
      </w:pPr>
      <w:r w:rsidRPr="003A4F79">
        <w:rPr>
          <w:lang w:eastAsia="en-GB"/>
        </w:rPr>
        <w:lastRenderedPageBreak/>
        <w:t>Based on investors</w:t>
      </w:r>
      <w:r w:rsidR="00707D1F" w:rsidRPr="003A4F79">
        <w:rPr>
          <w:lang w:eastAsia="en-GB"/>
        </w:rPr>
        <w:t>’</w:t>
      </w:r>
      <w:r w:rsidRPr="003A4F79">
        <w:rPr>
          <w:lang w:eastAsia="en-GB"/>
        </w:rPr>
        <w:t xml:space="preserve"> transaction record</w:t>
      </w:r>
      <w:r w:rsidR="00707D1F" w:rsidRPr="003A4F79">
        <w:rPr>
          <w:lang w:eastAsia="en-GB"/>
        </w:rPr>
        <w:t>s</w:t>
      </w:r>
      <w:r w:rsidRPr="003A4F79">
        <w:rPr>
          <w:lang w:eastAsia="en-GB"/>
        </w:rPr>
        <w:t>, we</w:t>
      </w:r>
      <w:r w:rsidR="00994B64" w:rsidRPr="003A4F79">
        <w:rPr>
          <w:lang w:eastAsia="en-GB"/>
        </w:rPr>
        <w:t xml:space="preserve"> i</w:t>
      </w:r>
      <w:r w:rsidR="001728BC" w:rsidRPr="003A4F79">
        <w:rPr>
          <w:lang w:eastAsia="en-GB"/>
        </w:rPr>
        <w:t xml:space="preserve">dentify </w:t>
      </w:r>
      <w:r w:rsidR="00D63A4E" w:rsidRPr="003A4F79">
        <w:rPr>
          <w:lang w:eastAsia="en-GB"/>
        </w:rPr>
        <w:t xml:space="preserve">those </w:t>
      </w:r>
      <w:r w:rsidR="00994B64" w:rsidRPr="003A4F79">
        <w:rPr>
          <w:lang w:eastAsia="en-GB"/>
        </w:rPr>
        <w:t>who enter</w:t>
      </w:r>
      <w:r w:rsidR="00D63A4E" w:rsidRPr="003A4F79">
        <w:rPr>
          <w:lang w:eastAsia="en-GB"/>
        </w:rPr>
        <w:t>ed</w:t>
      </w:r>
      <w:r w:rsidR="00994B64" w:rsidRPr="003A4F79">
        <w:rPr>
          <w:lang w:eastAsia="en-GB"/>
        </w:rPr>
        <w:t xml:space="preserve"> and subsequently exit</w:t>
      </w:r>
      <w:r w:rsidR="00D63A4E" w:rsidRPr="003A4F79">
        <w:rPr>
          <w:lang w:eastAsia="en-GB"/>
        </w:rPr>
        <w:t>ed</w:t>
      </w:r>
      <w:r w:rsidR="00994B64" w:rsidRPr="003A4F79">
        <w:rPr>
          <w:lang w:eastAsia="en-GB"/>
        </w:rPr>
        <w:t xml:space="preserve"> the stock market</w:t>
      </w:r>
      <w:r w:rsidR="005E10BD" w:rsidRPr="003A4F79">
        <w:rPr>
          <w:lang w:eastAsia="en-GB"/>
        </w:rPr>
        <w:t xml:space="preserve"> </w:t>
      </w:r>
      <w:r w:rsidR="00D82C87" w:rsidRPr="003A4F79">
        <w:rPr>
          <w:lang w:eastAsia="en-GB"/>
        </w:rPr>
        <w:t>d</w:t>
      </w:r>
      <w:r w:rsidR="00742F44" w:rsidRPr="003A4F79">
        <w:rPr>
          <w:lang w:eastAsia="en-GB"/>
        </w:rPr>
        <w:t>u</w:t>
      </w:r>
      <w:r w:rsidR="00D82C87" w:rsidRPr="003A4F79">
        <w:rPr>
          <w:lang w:eastAsia="en-GB"/>
        </w:rPr>
        <w:t>r</w:t>
      </w:r>
      <w:r w:rsidR="00742F44" w:rsidRPr="003A4F79">
        <w:rPr>
          <w:lang w:eastAsia="en-GB"/>
        </w:rPr>
        <w:t>ing</w:t>
      </w:r>
      <w:r w:rsidR="005E10BD" w:rsidRPr="003A4F79">
        <w:rPr>
          <w:lang w:eastAsia="en-GB"/>
        </w:rPr>
        <w:t xml:space="preserve"> our sample period</w:t>
      </w:r>
      <w:r w:rsidR="006F4B23" w:rsidRPr="003A4F79">
        <w:rPr>
          <w:lang w:eastAsia="en-GB"/>
        </w:rPr>
        <w:t>.</w:t>
      </w:r>
      <w:r w:rsidR="00F819A8" w:rsidRPr="003A4F79">
        <w:rPr>
          <w:lang w:eastAsia="en-GB"/>
        </w:rPr>
        <w:t xml:space="preserve"> </w:t>
      </w:r>
      <w:r w:rsidR="00324282" w:rsidRPr="003A4F79">
        <w:rPr>
          <w:lang w:eastAsia="en-GB"/>
        </w:rPr>
        <w:t>To this end</w:t>
      </w:r>
      <w:r w:rsidR="00F819A8" w:rsidRPr="003A4F79">
        <w:rPr>
          <w:lang w:eastAsia="en-GB"/>
        </w:rPr>
        <w:t xml:space="preserve">, </w:t>
      </w:r>
      <w:r w:rsidR="006F4B23" w:rsidRPr="003A4F79">
        <w:rPr>
          <w:lang w:eastAsia="en-GB"/>
        </w:rPr>
        <w:t>we</w:t>
      </w:r>
      <w:r w:rsidR="00C50CC1" w:rsidRPr="003A4F79">
        <w:rPr>
          <w:lang w:eastAsia="en-GB"/>
        </w:rPr>
        <w:t xml:space="preserve"> </w:t>
      </w:r>
      <w:r w:rsidR="00D13CFC" w:rsidRPr="003A4F79">
        <w:rPr>
          <w:lang w:eastAsia="en-GB"/>
        </w:rPr>
        <w:t xml:space="preserve">first </w:t>
      </w:r>
      <w:r w:rsidR="005F5EF4" w:rsidRPr="003A4F79">
        <w:rPr>
          <w:lang w:eastAsia="en-GB"/>
        </w:rPr>
        <w:t xml:space="preserve">remove </w:t>
      </w:r>
      <w:r w:rsidR="00781BD7" w:rsidRPr="003A4F79">
        <w:rPr>
          <w:lang w:eastAsia="en-GB"/>
        </w:rPr>
        <w:t>i</w:t>
      </w:r>
      <w:r w:rsidR="007962A8" w:rsidRPr="003A4F79">
        <w:rPr>
          <w:lang w:eastAsia="en-GB"/>
        </w:rPr>
        <w:t>nvestor</w:t>
      </w:r>
      <w:r w:rsidR="007239CA" w:rsidRPr="003A4F79">
        <w:rPr>
          <w:lang w:eastAsia="en-GB"/>
        </w:rPr>
        <w:t>s</w:t>
      </w:r>
      <w:r w:rsidR="007962A8" w:rsidRPr="003A4F79">
        <w:rPr>
          <w:lang w:eastAsia="en-GB"/>
        </w:rPr>
        <w:t xml:space="preserve"> </w:t>
      </w:r>
      <w:r w:rsidR="007239CA" w:rsidRPr="003A4F79">
        <w:rPr>
          <w:lang w:eastAsia="en-GB"/>
        </w:rPr>
        <w:t>who</w:t>
      </w:r>
      <w:r w:rsidR="005F5EF4" w:rsidRPr="003A4F79">
        <w:rPr>
          <w:lang w:eastAsia="en-GB"/>
        </w:rPr>
        <w:t xml:space="preserve"> </w:t>
      </w:r>
      <w:r w:rsidR="00BB360F" w:rsidRPr="003A4F79">
        <w:rPr>
          <w:lang w:eastAsia="en-GB"/>
        </w:rPr>
        <w:t>open</w:t>
      </w:r>
      <w:r w:rsidR="00707D1F" w:rsidRPr="003A4F79">
        <w:rPr>
          <w:lang w:eastAsia="en-GB"/>
        </w:rPr>
        <w:t>ed</w:t>
      </w:r>
      <w:r w:rsidR="00BB360F" w:rsidRPr="003A4F79">
        <w:rPr>
          <w:lang w:eastAsia="en-GB"/>
        </w:rPr>
        <w:t xml:space="preserve"> a brokerage account</w:t>
      </w:r>
      <w:r w:rsidR="006F4B23" w:rsidRPr="003A4F79">
        <w:rPr>
          <w:lang w:eastAsia="en-GB"/>
        </w:rPr>
        <w:t xml:space="preserve"> </w:t>
      </w:r>
      <w:r w:rsidR="009C2B1C" w:rsidRPr="003A4F79">
        <w:rPr>
          <w:lang w:eastAsia="en-GB"/>
        </w:rPr>
        <w:t xml:space="preserve">before 1995 </w:t>
      </w:r>
      <w:r w:rsidR="005F5EF4" w:rsidRPr="003A4F79">
        <w:rPr>
          <w:lang w:eastAsia="en-GB"/>
        </w:rPr>
        <w:t xml:space="preserve">because </w:t>
      </w:r>
      <w:r w:rsidR="00F92D65" w:rsidRPr="003A4F79">
        <w:rPr>
          <w:lang w:eastAsia="en-GB"/>
        </w:rPr>
        <w:t xml:space="preserve">they may have </w:t>
      </w:r>
      <w:r w:rsidR="007962A8" w:rsidRPr="003A4F79">
        <w:rPr>
          <w:lang w:eastAsia="en-GB"/>
        </w:rPr>
        <w:t>trade</w:t>
      </w:r>
      <w:r w:rsidR="00F92D65" w:rsidRPr="003A4F79">
        <w:rPr>
          <w:lang w:eastAsia="en-GB"/>
        </w:rPr>
        <w:t>d</w:t>
      </w:r>
      <w:r w:rsidR="007962A8" w:rsidRPr="003A4F79">
        <w:rPr>
          <w:lang w:eastAsia="en-GB"/>
        </w:rPr>
        <w:t xml:space="preserve"> </w:t>
      </w:r>
      <w:r w:rsidR="0050706A" w:rsidRPr="003A4F79">
        <w:rPr>
          <w:lang w:eastAsia="en-GB"/>
        </w:rPr>
        <w:t>previously</w:t>
      </w:r>
      <w:r w:rsidR="005F5EF4" w:rsidRPr="003A4F79">
        <w:rPr>
          <w:lang w:eastAsia="en-GB"/>
        </w:rPr>
        <w:t>.</w:t>
      </w:r>
      <w:r w:rsidR="00834DC9" w:rsidRPr="003A4F79">
        <w:rPr>
          <w:rStyle w:val="FootnoteReference"/>
          <w:lang w:eastAsia="en-GB"/>
        </w:rPr>
        <w:footnoteReference w:id="11"/>
      </w:r>
      <w:r w:rsidR="00181F3F" w:rsidRPr="003A4F79">
        <w:rPr>
          <w:lang w:eastAsia="en-GB"/>
        </w:rPr>
        <w:t xml:space="preserve"> Then, </w:t>
      </w:r>
      <w:r w:rsidR="00D02EA1" w:rsidRPr="003A4F79">
        <w:rPr>
          <w:lang w:eastAsia="en-GB"/>
        </w:rPr>
        <w:t xml:space="preserve">for each investor, </w:t>
      </w:r>
      <w:r w:rsidR="00181F3F" w:rsidRPr="003A4F79">
        <w:rPr>
          <w:lang w:eastAsia="en-GB"/>
        </w:rPr>
        <w:t>we record t</w:t>
      </w:r>
      <w:r w:rsidR="006C0DBA" w:rsidRPr="003A4F79">
        <w:rPr>
          <w:lang w:eastAsia="en-GB"/>
        </w:rPr>
        <w:t xml:space="preserve">he </w:t>
      </w:r>
      <w:r w:rsidR="006C0DBA" w:rsidRPr="003A4F79">
        <w:rPr>
          <w:i/>
          <w:lang w:eastAsia="en-GB"/>
        </w:rPr>
        <w:t>ent</w:t>
      </w:r>
      <w:r w:rsidR="00F24895" w:rsidRPr="003A4F79">
        <w:rPr>
          <w:i/>
          <w:lang w:eastAsia="en-GB"/>
        </w:rPr>
        <w:t>ry</w:t>
      </w:r>
      <w:r w:rsidR="006C0DBA" w:rsidRPr="003A4F79">
        <w:rPr>
          <w:i/>
          <w:lang w:eastAsia="en-GB"/>
        </w:rPr>
        <w:t xml:space="preserve"> </w:t>
      </w:r>
      <w:r w:rsidR="00CC4DFF" w:rsidRPr="003A4F79">
        <w:rPr>
          <w:i/>
          <w:lang w:eastAsia="en-GB"/>
        </w:rPr>
        <w:t>time</w:t>
      </w:r>
      <w:r w:rsidR="006C0DBA" w:rsidRPr="003A4F79">
        <w:rPr>
          <w:lang w:eastAsia="en-GB"/>
        </w:rPr>
        <w:t xml:space="preserve"> </w:t>
      </w:r>
      <w:r w:rsidR="00181F3F" w:rsidRPr="003A4F79">
        <w:rPr>
          <w:lang w:eastAsia="en-GB"/>
        </w:rPr>
        <w:t>as t</w:t>
      </w:r>
      <w:r w:rsidR="00FB26B1" w:rsidRPr="003A4F79">
        <w:rPr>
          <w:lang w:eastAsia="en-GB"/>
        </w:rPr>
        <w:t xml:space="preserve">he first </w:t>
      </w:r>
      <w:r w:rsidR="00081C63" w:rsidRPr="003A4F79">
        <w:rPr>
          <w:lang w:eastAsia="en-GB"/>
        </w:rPr>
        <w:t xml:space="preserve">calendar </w:t>
      </w:r>
      <w:r w:rsidR="00034FD8" w:rsidRPr="003A4F79">
        <w:rPr>
          <w:lang w:eastAsia="en-GB"/>
        </w:rPr>
        <w:t>month</w:t>
      </w:r>
      <w:r w:rsidR="00FB26B1" w:rsidRPr="003A4F79">
        <w:rPr>
          <w:lang w:eastAsia="en-GB"/>
        </w:rPr>
        <w:t xml:space="preserve"> </w:t>
      </w:r>
      <w:r w:rsidR="00707D1F" w:rsidRPr="003A4F79">
        <w:rPr>
          <w:lang w:eastAsia="en-GB"/>
        </w:rPr>
        <w:t xml:space="preserve">in </w:t>
      </w:r>
      <w:r w:rsidR="00FB26B1" w:rsidRPr="003A4F79">
        <w:rPr>
          <w:lang w:eastAsia="en-GB"/>
        </w:rPr>
        <w:t xml:space="preserve">which </w:t>
      </w:r>
      <w:r w:rsidR="00181F3F" w:rsidRPr="003A4F79">
        <w:rPr>
          <w:lang w:eastAsia="en-GB"/>
        </w:rPr>
        <w:t>investor</w:t>
      </w:r>
      <w:r w:rsidR="00707D1F" w:rsidRPr="003A4F79">
        <w:rPr>
          <w:lang w:eastAsia="en-GB"/>
        </w:rPr>
        <w:t>s</w:t>
      </w:r>
      <w:r w:rsidR="00181F3F" w:rsidRPr="003A4F79">
        <w:rPr>
          <w:lang w:eastAsia="en-GB"/>
        </w:rPr>
        <w:t xml:space="preserve"> </w:t>
      </w:r>
      <w:r w:rsidR="00F23F5D" w:rsidRPr="003A4F79">
        <w:rPr>
          <w:lang w:eastAsia="en-GB"/>
        </w:rPr>
        <w:t>purchase</w:t>
      </w:r>
      <w:r w:rsidR="00BC582A" w:rsidRPr="003A4F79">
        <w:rPr>
          <w:lang w:eastAsia="en-GB"/>
        </w:rPr>
        <w:t xml:space="preserve"> </w:t>
      </w:r>
      <w:r w:rsidR="00F23F5D" w:rsidRPr="003A4F79">
        <w:rPr>
          <w:lang w:eastAsia="en-GB"/>
        </w:rPr>
        <w:t>stock</w:t>
      </w:r>
      <w:r w:rsidR="001337EF" w:rsidRPr="003A4F79">
        <w:rPr>
          <w:lang w:eastAsia="en-GB"/>
        </w:rPr>
        <w:t>s</w:t>
      </w:r>
      <w:r w:rsidR="00AF1484" w:rsidRPr="003A4F79">
        <w:rPr>
          <w:lang w:eastAsia="en-GB"/>
        </w:rPr>
        <w:t xml:space="preserve"> for the first time</w:t>
      </w:r>
      <w:r w:rsidR="001337EF" w:rsidRPr="003A4F79">
        <w:rPr>
          <w:lang w:eastAsia="en-GB"/>
        </w:rPr>
        <w:t>, and t</w:t>
      </w:r>
      <w:r w:rsidR="00E86531" w:rsidRPr="003A4F79">
        <w:rPr>
          <w:lang w:eastAsia="en-GB"/>
        </w:rPr>
        <w:t xml:space="preserve">he </w:t>
      </w:r>
      <w:r w:rsidR="00E86531" w:rsidRPr="003A4F79">
        <w:rPr>
          <w:i/>
          <w:lang w:eastAsia="en-GB"/>
        </w:rPr>
        <w:t xml:space="preserve">exit </w:t>
      </w:r>
      <w:r w:rsidR="00CC4DFF" w:rsidRPr="003A4F79">
        <w:rPr>
          <w:i/>
          <w:lang w:eastAsia="en-GB"/>
        </w:rPr>
        <w:t>time</w:t>
      </w:r>
      <w:r w:rsidR="001337EF" w:rsidRPr="003A4F79">
        <w:rPr>
          <w:lang w:eastAsia="en-GB"/>
        </w:rPr>
        <w:t xml:space="preserve"> as </w:t>
      </w:r>
      <w:r w:rsidR="00E86531" w:rsidRPr="003A4F79">
        <w:rPr>
          <w:lang w:eastAsia="en-GB"/>
        </w:rPr>
        <w:t xml:space="preserve">the </w:t>
      </w:r>
      <w:r w:rsidR="00081C63" w:rsidRPr="003A4F79">
        <w:rPr>
          <w:lang w:eastAsia="en-GB"/>
        </w:rPr>
        <w:t xml:space="preserve">calendar </w:t>
      </w:r>
      <w:r w:rsidR="00732C99" w:rsidRPr="003A4F79">
        <w:rPr>
          <w:lang w:eastAsia="en-GB"/>
        </w:rPr>
        <w:t>month</w:t>
      </w:r>
      <w:r w:rsidR="00E86531" w:rsidRPr="003A4F79">
        <w:rPr>
          <w:lang w:eastAsia="en-GB"/>
        </w:rPr>
        <w:t xml:space="preserve"> </w:t>
      </w:r>
      <w:r w:rsidR="00FA149E" w:rsidRPr="003A4F79">
        <w:rPr>
          <w:lang w:eastAsia="en-GB"/>
        </w:rPr>
        <w:t xml:space="preserve">in which </w:t>
      </w:r>
      <w:r w:rsidR="00707D1F" w:rsidRPr="003A4F79">
        <w:rPr>
          <w:lang w:eastAsia="en-GB"/>
        </w:rPr>
        <w:t xml:space="preserve">they </w:t>
      </w:r>
      <w:r w:rsidR="00E86531" w:rsidRPr="003A4F79">
        <w:rPr>
          <w:lang w:eastAsia="en-GB"/>
        </w:rPr>
        <w:t>s</w:t>
      </w:r>
      <w:r w:rsidR="00D56F33" w:rsidRPr="003A4F79">
        <w:rPr>
          <w:lang w:eastAsia="en-GB"/>
        </w:rPr>
        <w:t>ell</w:t>
      </w:r>
      <w:r w:rsidR="00E86531" w:rsidRPr="003A4F79">
        <w:rPr>
          <w:lang w:eastAsia="en-GB"/>
        </w:rPr>
        <w:t xml:space="preserve"> all of </w:t>
      </w:r>
      <w:r w:rsidR="00707D1F" w:rsidRPr="003A4F79">
        <w:rPr>
          <w:lang w:eastAsia="en-GB"/>
        </w:rPr>
        <w:t xml:space="preserve">their </w:t>
      </w:r>
      <w:r w:rsidR="001337EF" w:rsidRPr="003A4F79">
        <w:rPr>
          <w:lang w:eastAsia="en-GB"/>
        </w:rPr>
        <w:t>stock holdings</w:t>
      </w:r>
      <w:r w:rsidR="00567013" w:rsidRPr="003A4F79">
        <w:rPr>
          <w:i/>
          <w:lang w:eastAsia="en-GB"/>
        </w:rPr>
        <w:t xml:space="preserve"> </w:t>
      </w:r>
      <w:r w:rsidR="00567013" w:rsidRPr="003A4F79">
        <w:rPr>
          <w:lang w:eastAsia="en-GB"/>
        </w:rPr>
        <w:t>for the first time</w:t>
      </w:r>
      <w:r w:rsidR="001337EF" w:rsidRPr="003A4F79">
        <w:rPr>
          <w:lang w:eastAsia="en-GB"/>
        </w:rPr>
        <w:t>.</w:t>
      </w:r>
      <w:r w:rsidR="003062DB" w:rsidRPr="003A4F79">
        <w:rPr>
          <w:lang w:eastAsia="en-GB"/>
        </w:rPr>
        <w:t xml:space="preserve"> We do not consider investors who never exit the stock market.</w:t>
      </w:r>
      <w:r w:rsidR="0011598C" w:rsidRPr="003A4F79">
        <w:rPr>
          <w:rStyle w:val="FootnoteReference"/>
          <w:lang w:eastAsia="en-GB"/>
        </w:rPr>
        <w:footnoteReference w:id="12"/>
      </w:r>
      <w:r w:rsidR="00985206" w:rsidRPr="003A4F79">
        <w:rPr>
          <w:lang w:eastAsia="en-GB"/>
        </w:rPr>
        <w:t xml:space="preserve"> </w:t>
      </w:r>
      <w:r w:rsidR="00DB4E72" w:rsidRPr="003A4F79">
        <w:rPr>
          <w:lang w:eastAsia="en-GB"/>
        </w:rPr>
        <w:t>For investor</w:t>
      </w:r>
      <w:r w:rsidR="00707D1F" w:rsidRPr="003A4F79">
        <w:rPr>
          <w:lang w:eastAsia="en-GB"/>
        </w:rPr>
        <w:t>s</w:t>
      </w:r>
      <w:r w:rsidR="00DB4E72" w:rsidRPr="003A4F79">
        <w:rPr>
          <w:lang w:eastAsia="en-GB"/>
        </w:rPr>
        <w:t xml:space="preserve"> who</w:t>
      </w:r>
      <w:r w:rsidR="00855543" w:rsidRPr="003A4F79">
        <w:rPr>
          <w:lang w:eastAsia="en-GB"/>
        </w:rPr>
        <w:t xml:space="preserve"> exit the market, </w:t>
      </w:r>
      <w:r w:rsidR="00DB4E72" w:rsidRPr="003A4F79">
        <w:rPr>
          <w:lang w:eastAsia="en-GB"/>
        </w:rPr>
        <w:t xml:space="preserve">we </w:t>
      </w:r>
      <w:r w:rsidR="00855543" w:rsidRPr="003A4F79">
        <w:rPr>
          <w:lang w:eastAsia="en-GB"/>
        </w:rPr>
        <w:t xml:space="preserve">also </w:t>
      </w:r>
      <w:r w:rsidR="00DB4E72" w:rsidRPr="003A4F79">
        <w:rPr>
          <w:lang w:eastAsia="en-GB"/>
        </w:rPr>
        <w:t xml:space="preserve">trace </w:t>
      </w:r>
      <w:r w:rsidR="00156B9C" w:rsidRPr="003A4F79">
        <w:rPr>
          <w:lang w:eastAsia="en-GB"/>
        </w:rPr>
        <w:t>whether</w:t>
      </w:r>
      <w:r w:rsidR="00707D1F" w:rsidRPr="003A4F79">
        <w:rPr>
          <w:lang w:eastAsia="en-GB"/>
        </w:rPr>
        <w:t xml:space="preserve"> and, if so, when</w:t>
      </w:r>
      <w:r w:rsidR="00156B9C" w:rsidRPr="003A4F79">
        <w:rPr>
          <w:lang w:eastAsia="en-GB"/>
        </w:rPr>
        <w:t xml:space="preserve"> they return</w:t>
      </w:r>
      <w:r w:rsidR="00DB4E72" w:rsidRPr="003A4F79">
        <w:rPr>
          <w:lang w:eastAsia="en-GB"/>
        </w:rPr>
        <w:t xml:space="preserve"> to the market</w:t>
      </w:r>
      <w:r w:rsidR="00F87979" w:rsidRPr="003A4F79">
        <w:rPr>
          <w:lang w:eastAsia="en-GB"/>
        </w:rPr>
        <w:t xml:space="preserve">. </w:t>
      </w:r>
      <w:r w:rsidR="00BA49B8" w:rsidRPr="003A4F79">
        <w:rPr>
          <w:lang w:eastAsia="en-GB"/>
        </w:rPr>
        <w:t>We record t</w:t>
      </w:r>
      <w:r w:rsidR="00DB4E72" w:rsidRPr="003A4F79">
        <w:rPr>
          <w:lang w:eastAsia="en-GB"/>
        </w:rPr>
        <w:t xml:space="preserve">he </w:t>
      </w:r>
      <w:r w:rsidR="00DB4E72" w:rsidRPr="003A4F79">
        <w:rPr>
          <w:i/>
          <w:lang w:eastAsia="en-GB"/>
        </w:rPr>
        <w:t xml:space="preserve">re-entry </w:t>
      </w:r>
      <w:r w:rsidR="007766D4" w:rsidRPr="003A4F79">
        <w:rPr>
          <w:i/>
          <w:lang w:eastAsia="en-GB"/>
        </w:rPr>
        <w:t>time</w:t>
      </w:r>
      <w:r w:rsidR="00DB4E72" w:rsidRPr="003A4F79">
        <w:rPr>
          <w:lang w:eastAsia="en-GB"/>
        </w:rPr>
        <w:t xml:space="preserve"> as the first calendar </w:t>
      </w:r>
      <w:r w:rsidR="000633A9" w:rsidRPr="003A4F79">
        <w:rPr>
          <w:lang w:eastAsia="en-GB"/>
        </w:rPr>
        <w:t>month</w:t>
      </w:r>
      <w:r w:rsidR="00DB4E72" w:rsidRPr="003A4F79">
        <w:rPr>
          <w:lang w:eastAsia="en-GB"/>
        </w:rPr>
        <w:t xml:space="preserve"> </w:t>
      </w:r>
      <w:r w:rsidR="00707D1F" w:rsidRPr="003A4F79">
        <w:rPr>
          <w:lang w:eastAsia="en-GB"/>
        </w:rPr>
        <w:t xml:space="preserve">in </w:t>
      </w:r>
      <w:r w:rsidR="00DB4E72" w:rsidRPr="003A4F79">
        <w:rPr>
          <w:lang w:eastAsia="en-GB"/>
        </w:rPr>
        <w:t>which investor</w:t>
      </w:r>
      <w:r w:rsidR="00707D1F" w:rsidRPr="003A4F79">
        <w:rPr>
          <w:lang w:eastAsia="en-GB"/>
        </w:rPr>
        <w:t>s</w:t>
      </w:r>
      <w:r w:rsidR="00DB4E72" w:rsidRPr="003A4F79">
        <w:rPr>
          <w:lang w:eastAsia="en-GB"/>
        </w:rPr>
        <w:t xml:space="preserve"> purchase any stock</w:t>
      </w:r>
      <w:r w:rsidR="00705DC6" w:rsidRPr="003A4F79">
        <w:rPr>
          <w:lang w:eastAsia="en-GB"/>
        </w:rPr>
        <w:t xml:space="preserve"> after the exit</w:t>
      </w:r>
      <w:r w:rsidR="00DB4E72" w:rsidRPr="003A4F79">
        <w:rPr>
          <w:lang w:eastAsia="en-GB"/>
        </w:rPr>
        <w:t xml:space="preserve">. </w:t>
      </w:r>
      <w:r w:rsidR="0036227F" w:rsidRPr="003A4F79">
        <w:rPr>
          <w:lang w:eastAsia="en-GB"/>
        </w:rPr>
        <w:t>In order t</w:t>
      </w:r>
      <w:r w:rsidR="00DB4E72" w:rsidRPr="003A4F79">
        <w:rPr>
          <w:lang w:eastAsia="en-GB"/>
        </w:rPr>
        <w:t xml:space="preserve">o </w:t>
      </w:r>
      <w:r w:rsidR="00043B83" w:rsidRPr="003A4F79">
        <w:rPr>
          <w:lang w:eastAsia="en-GB"/>
        </w:rPr>
        <w:t xml:space="preserve">select </w:t>
      </w:r>
      <w:r w:rsidR="00707D1F" w:rsidRPr="003A4F79">
        <w:rPr>
          <w:lang w:eastAsia="en-GB"/>
        </w:rPr>
        <w:t xml:space="preserve">only </w:t>
      </w:r>
      <w:r w:rsidR="00DB4E72" w:rsidRPr="003A4F79">
        <w:rPr>
          <w:lang w:eastAsia="en-GB"/>
        </w:rPr>
        <w:t xml:space="preserve">investors who </w:t>
      </w:r>
      <w:r w:rsidR="00707D1F" w:rsidRPr="003A4F79">
        <w:rPr>
          <w:lang w:eastAsia="en-GB"/>
        </w:rPr>
        <w:t xml:space="preserve">are choosing </w:t>
      </w:r>
      <w:r w:rsidR="00DB4E72" w:rsidRPr="003A4F79">
        <w:rPr>
          <w:lang w:eastAsia="en-GB"/>
        </w:rPr>
        <w:t>to exit</w:t>
      </w:r>
      <w:r w:rsidR="00707D1F" w:rsidRPr="003A4F79">
        <w:rPr>
          <w:lang w:eastAsia="en-GB"/>
        </w:rPr>
        <w:t>,</w:t>
      </w:r>
      <w:r w:rsidR="00DB4E72" w:rsidRPr="003A4F79">
        <w:rPr>
          <w:lang w:eastAsia="en-GB"/>
        </w:rPr>
        <w:t xml:space="preserve"> rather than </w:t>
      </w:r>
      <w:r w:rsidR="00707D1F" w:rsidRPr="003A4F79">
        <w:rPr>
          <w:lang w:eastAsia="en-GB"/>
        </w:rPr>
        <w:t xml:space="preserve">rebalancing </w:t>
      </w:r>
      <w:r w:rsidR="00DB4E72" w:rsidRPr="003A4F79">
        <w:rPr>
          <w:lang w:eastAsia="en-GB"/>
        </w:rPr>
        <w:t xml:space="preserve">their portfolios, we do not consider investors who re-enter the market within </w:t>
      </w:r>
      <w:r w:rsidR="00001162" w:rsidRPr="003A4F79">
        <w:rPr>
          <w:lang w:eastAsia="en-GB"/>
        </w:rPr>
        <w:t>one</w:t>
      </w:r>
      <w:r w:rsidR="00872A08" w:rsidRPr="003A4F79">
        <w:rPr>
          <w:lang w:eastAsia="en-GB"/>
        </w:rPr>
        <w:t xml:space="preserve"> </w:t>
      </w:r>
      <w:r w:rsidR="00454CF7" w:rsidRPr="003A4F79">
        <w:rPr>
          <w:lang w:eastAsia="en-GB"/>
        </w:rPr>
        <w:t>calendar month</w:t>
      </w:r>
      <w:r w:rsidR="00DB4E72" w:rsidRPr="003A4F79">
        <w:rPr>
          <w:lang w:eastAsia="en-GB"/>
        </w:rPr>
        <w:t xml:space="preserve"> </w:t>
      </w:r>
      <w:r w:rsidR="00FA149E" w:rsidRPr="003A4F79">
        <w:rPr>
          <w:lang w:eastAsia="en-GB"/>
        </w:rPr>
        <w:t xml:space="preserve">of </w:t>
      </w:r>
      <w:r w:rsidR="00DB4E72" w:rsidRPr="003A4F79">
        <w:rPr>
          <w:lang w:eastAsia="en-GB"/>
        </w:rPr>
        <w:t>their exit.</w:t>
      </w:r>
    </w:p>
    <w:p w14:paraId="13D2D008" w14:textId="1E296B8D" w:rsidR="001630B2" w:rsidRPr="003A4F79" w:rsidRDefault="00BD152B">
      <w:pPr>
        <w:rPr>
          <w:lang w:eastAsia="en-GB"/>
        </w:rPr>
      </w:pPr>
      <w:r w:rsidRPr="003A4F79">
        <w:rPr>
          <w:lang w:eastAsia="en-GB"/>
        </w:rPr>
        <w:t>Next</w:t>
      </w:r>
      <w:r w:rsidR="00C511A9" w:rsidRPr="003A4F79">
        <w:rPr>
          <w:lang w:eastAsia="en-GB"/>
        </w:rPr>
        <w:t xml:space="preserve">, </w:t>
      </w:r>
      <w:r w:rsidRPr="003A4F79">
        <w:rPr>
          <w:lang w:eastAsia="en-GB"/>
        </w:rPr>
        <w:t>we</w:t>
      </w:r>
      <w:r w:rsidR="00C511A9" w:rsidRPr="003A4F79">
        <w:rPr>
          <w:lang w:eastAsia="en-GB"/>
        </w:rPr>
        <w:t xml:space="preserve"> </w:t>
      </w:r>
      <w:r w:rsidR="00E8653B" w:rsidRPr="003A4F79">
        <w:rPr>
          <w:lang w:eastAsia="en-GB"/>
        </w:rPr>
        <w:t>measure each</w:t>
      </w:r>
      <w:r w:rsidR="00154CF7" w:rsidRPr="003A4F79">
        <w:rPr>
          <w:lang w:eastAsia="en-GB"/>
        </w:rPr>
        <w:t xml:space="preserve"> </w:t>
      </w:r>
      <w:r w:rsidR="00392FF7" w:rsidRPr="003A4F79">
        <w:rPr>
          <w:lang w:eastAsia="en-GB"/>
        </w:rPr>
        <w:t>individual</w:t>
      </w:r>
      <w:r w:rsidR="00E8653B" w:rsidRPr="003A4F79">
        <w:rPr>
          <w:lang w:eastAsia="en-GB"/>
        </w:rPr>
        <w:t>’s</w:t>
      </w:r>
      <w:r w:rsidR="00392FF7" w:rsidRPr="003A4F79">
        <w:rPr>
          <w:lang w:eastAsia="en-GB"/>
        </w:rPr>
        <w:t xml:space="preserve"> </w:t>
      </w:r>
      <w:r w:rsidR="00E85902" w:rsidRPr="003A4F79">
        <w:rPr>
          <w:lang w:eastAsia="en-GB"/>
        </w:rPr>
        <w:t xml:space="preserve">experience </w:t>
      </w:r>
      <w:r w:rsidR="00E334CF" w:rsidRPr="003A4F79">
        <w:rPr>
          <w:lang w:eastAsia="en-GB"/>
        </w:rPr>
        <w:t xml:space="preserve">of participating in the stock market </w:t>
      </w:r>
      <w:r w:rsidR="00AB6325" w:rsidRPr="003A4F79">
        <w:rPr>
          <w:lang w:eastAsia="en-GB"/>
        </w:rPr>
        <w:t xml:space="preserve">based on </w:t>
      </w:r>
      <w:r w:rsidR="007A032C" w:rsidRPr="003A4F79">
        <w:rPr>
          <w:lang w:eastAsia="en-GB"/>
        </w:rPr>
        <w:t xml:space="preserve">average </w:t>
      </w:r>
      <w:r w:rsidR="00AB6325" w:rsidRPr="003A4F79">
        <w:rPr>
          <w:lang w:eastAsia="en-GB"/>
        </w:rPr>
        <w:t>monthly returns</w:t>
      </w:r>
      <w:r w:rsidR="00CD006F" w:rsidRPr="003A4F79">
        <w:t xml:space="preserve"> – </w:t>
      </w:r>
      <w:r w:rsidR="00D82C87" w:rsidRPr="003A4F79">
        <w:t>referred to as</w:t>
      </w:r>
      <w:r w:rsidR="004F366D" w:rsidRPr="003A4F79">
        <w:rPr>
          <w:lang w:eastAsia="en-GB"/>
        </w:rPr>
        <w:t xml:space="preserve"> </w:t>
      </w:r>
      <w:r w:rsidR="004F366D" w:rsidRPr="003A4F79">
        <w:rPr>
          <w:i/>
          <w:lang w:eastAsia="en-GB"/>
        </w:rPr>
        <w:t>all retu</w:t>
      </w:r>
      <w:r w:rsidR="00D82C87" w:rsidRPr="003A4F79">
        <w:rPr>
          <w:i/>
          <w:lang w:eastAsia="en-GB"/>
        </w:rPr>
        <w:t>r</w:t>
      </w:r>
      <w:r w:rsidR="004F366D" w:rsidRPr="003A4F79">
        <w:rPr>
          <w:i/>
          <w:lang w:eastAsia="en-GB"/>
        </w:rPr>
        <w:t>ns</w:t>
      </w:r>
      <w:r w:rsidR="00CD006F" w:rsidRPr="003A4F79">
        <w:t xml:space="preserve"> – </w:t>
      </w:r>
      <w:r w:rsidR="00537B49" w:rsidRPr="003A4F79">
        <w:rPr>
          <w:lang w:eastAsia="en-GB"/>
        </w:rPr>
        <w:t xml:space="preserve">during </w:t>
      </w:r>
      <w:r w:rsidR="005D3A24" w:rsidRPr="003A4F79">
        <w:rPr>
          <w:lang w:eastAsia="en-GB"/>
        </w:rPr>
        <w:t xml:space="preserve">their </w:t>
      </w:r>
      <w:r w:rsidR="00537B49" w:rsidRPr="003A4F79">
        <w:rPr>
          <w:lang w:eastAsia="en-GB"/>
        </w:rPr>
        <w:t xml:space="preserve">stay in </w:t>
      </w:r>
      <w:r w:rsidR="009A49B0" w:rsidRPr="003A4F79">
        <w:rPr>
          <w:lang w:eastAsia="en-GB"/>
        </w:rPr>
        <w:t>the market</w:t>
      </w:r>
      <w:r w:rsidRPr="003A4F79">
        <w:rPr>
          <w:lang w:eastAsia="en-GB"/>
        </w:rPr>
        <w:t>.</w:t>
      </w:r>
      <w:r w:rsidR="00C511A9" w:rsidRPr="003A4F79">
        <w:rPr>
          <w:lang w:eastAsia="en-GB"/>
        </w:rPr>
        <w:t xml:space="preserve"> </w:t>
      </w:r>
      <w:r w:rsidR="005D3A24" w:rsidRPr="003A4F79">
        <w:rPr>
          <w:lang w:eastAsia="en-GB"/>
        </w:rPr>
        <w:t>W</w:t>
      </w:r>
      <w:r w:rsidR="00937EE9" w:rsidRPr="003A4F79">
        <w:rPr>
          <w:lang w:eastAsia="en-GB"/>
        </w:rPr>
        <w:t xml:space="preserve">e </w:t>
      </w:r>
      <w:r w:rsidR="00F0288B" w:rsidRPr="003A4F79">
        <w:rPr>
          <w:lang w:eastAsia="en-GB"/>
        </w:rPr>
        <w:t xml:space="preserve">first </w:t>
      </w:r>
      <w:r w:rsidR="00C479EB" w:rsidRPr="003A4F79">
        <w:rPr>
          <w:lang w:eastAsia="en-GB"/>
        </w:rPr>
        <w:t xml:space="preserve">obtain a time series of monthly (raw) </w:t>
      </w:r>
      <w:r w:rsidR="00937EE9" w:rsidRPr="003A4F79">
        <w:rPr>
          <w:lang w:eastAsia="en-GB"/>
        </w:rPr>
        <w:t>return</w:t>
      </w:r>
      <w:r w:rsidR="00C479EB" w:rsidRPr="003A4F79">
        <w:rPr>
          <w:lang w:eastAsia="en-GB"/>
        </w:rPr>
        <w:t>s</w:t>
      </w:r>
      <w:r w:rsidR="00937EE9" w:rsidRPr="003A4F79">
        <w:rPr>
          <w:lang w:eastAsia="en-GB"/>
        </w:rPr>
        <w:t xml:space="preserve"> in each month</w:t>
      </w:r>
      <w:r w:rsidR="00481DB7" w:rsidRPr="003A4F79">
        <w:rPr>
          <w:lang w:eastAsia="en-GB"/>
        </w:rPr>
        <w:t xml:space="preserve">, </w:t>
      </w:r>
      <w:r w:rsidR="00F0288B" w:rsidRPr="003A4F79">
        <w:rPr>
          <w:lang w:eastAsia="en-GB"/>
        </w:rPr>
        <w:t>for</w:t>
      </w:r>
      <w:r w:rsidR="00481DB7" w:rsidRPr="003A4F79">
        <w:rPr>
          <w:lang w:eastAsia="en-GB"/>
        </w:rPr>
        <w:t xml:space="preserve"> which we compute the reali</w:t>
      </w:r>
      <w:r w:rsidR="00C95B94" w:rsidRPr="003A4F79">
        <w:rPr>
          <w:lang w:eastAsia="en-GB"/>
        </w:rPr>
        <w:t>s</w:t>
      </w:r>
      <w:r w:rsidR="00481DB7" w:rsidRPr="003A4F79">
        <w:rPr>
          <w:lang w:eastAsia="en-GB"/>
        </w:rPr>
        <w:t>ed return for the case of round-trip trades</w:t>
      </w:r>
      <w:r w:rsidR="005D3A24" w:rsidRPr="003A4F79">
        <w:rPr>
          <w:lang w:eastAsia="en-GB"/>
        </w:rPr>
        <w:t>,</w:t>
      </w:r>
      <w:r w:rsidR="00481DB7" w:rsidRPr="003A4F79">
        <w:rPr>
          <w:lang w:eastAsia="en-GB"/>
        </w:rPr>
        <w:t xml:space="preserve"> and the unreali</w:t>
      </w:r>
      <w:r w:rsidR="00C95B94" w:rsidRPr="003A4F79">
        <w:rPr>
          <w:lang w:eastAsia="en-GB"/>
        </w:rPr>
        <w:t>s</w:t>
      </w:r>
      <w:r w:rsidR="00481DB7" w:rsidRPr="003A4F79">
        <w:rPr>
          <w:lang w:eastAsia="en-GB"/>
        </w:rPr>
        <w:t>ed return otherwise</w:t>
      </w:r>
      <w:r w:rsidR="005D3A24" w:rsidRPr="003A4F79">
        <w:rPr>
          <w:lang w:eastAsia="en-GB"/>
        </w:rPr>
        <w:t>. We</w:t>
      </w:r>
      <w:r w:rsidR="00F0288B" w:rsidRPr="003A4F79">
        <w:rPr>
          <w:lang w:eastAsia="en-GB"/>
        </w:rPr>
        <w:t xml:space="preserve"> then weight monthly returns by the monthly investment amount.</w:t>
      </w:r>
      <w:r w:rsidR="00C479EB" w:rsidRPr="003A4F79">
        <w:rPr>
          <w:lang w:eastAsia="en-GB"/>
        </w:rPr>
        <w:t xml:space="preserve"> </w:t>
      </w:r>
      <w:r w:rsidR="005D3A24" w:rsidRPr="003A4F79">
        <w:rPr>
          <w:lang w:eastAsia="en-GB"/>
        </w:rPr>
        <w:t>R</w:t>
      </w:r>
      <w:r w:rsidR="00C479EB" w:rsidRPr="003A4F79">
        <w:rPr>
          <w:lang w:eastAsia="en-GB"/>
        </w:rPr>
        <w:t>eturn</w:t>
      </w:r>
      <w:r w:rsidR="005D3A24" w:rsidRPr="003A4F79">
        <w:rPr>
          <w:lang w:eastAsia="en-GB"/>
        </w:rPr>
        <w:t>s</w:t>
      </w:r>
      <w:r w:rsidR="00C479EB" w:rsidRPr="003A4F79">
        <w:rPr>
          <w:lang w:eastAsia="en-GB"/>
        </w:rPr>
        <w:t xml:space="preserve"> in the first (i.e., entry) and last (i.e., exit) </w:t>
      </w:r>
      <w:r w:rsidR="00FA149E" w:rsidRPr="003A4F79">
        <w:rPr>
          <w:lang w:eastAsia="en-GB"/>
        </w:rPr>
        <w:t xml:space="preserve">months </w:t>
      </w:r>
      <w:r w:rsidR="00C479EB" w:rsidRPr="003A4F79">
        <w:rPr>
          <w:lang w:eastAsia="en-GB"/>
        </w:rPr>
        <w:t xml:space="preserve">of </w:t>
      </w:r>
      <w:r w:rsidR="00C479EB" w:rsidRPr="003A4F79">
        <w:rPr>
          <w:lang w:eastAsia="en-GB"/>
        </w:rPr>
        <w:lastRenderedPageBreak/>
        <w:t xml:space="preserve">investing </w:t>
      </w:r>
      <w:r w:rsidR="005D3A24" w:rsidRPr="003A4F79">
        <w:rPr>
          <w:lang w:eastAsia="en-GB"/>
        </w:rPr>
        <w:t xml:space="preserve">are </w:t>
      </w:r>
      <w:r w:rsidR="00C479EB" w:rsidRPr="003A4F79">
        <w:rPr>
          <w:lang w:eastAsia="en-GB"/>
        </w:rPr>
        <w:t xml:space="preserve">referred to as </w:t>
      </w:r>
      <w:r w:rsidR="00C479EB" w:rsidRPr="003A4F79">
        <w:rPr>
          <w:i/>
          <w:lang w:eastAsia="en-GB"/>
        </w:rPr>
        <w:t>initial returns</w:t>
      </w:r>
      <w:r w:rsidR="00C479EB" w:rsidRPr="003A4F79">
        <w:rPr>
          <w:lang w:eastAsia="en-GB"/>
        </w:rPr>
        <w:t xml:space="preserve"> and </w:t>
      </w:r>
      <w:r w:rsidR="00C479EB" w:rsidRPr="003A4F79">
        <w:rPr>
          <w:i/>
          <w:lang w:eastAsia="en-GB"/>
        </w:rPr>
        <w:t>recent returns</w:t>
      </w:r>
      <w:r w:rsidR="00C479EB" w:rsidRPr="003A4F79">
        <w:rPr>
          <w:lang w:eastAsia="en-GB"/>
        </w:rPr>
        <w:t xml:space="preserve">, respectively. </w:t>
      </w:r>
      <w:r w:rsidR="0003765E" w:rsidRPr="003A4F79">
        <w:rPr>
          <w:lang w:eastAsia="en-GB"/>
        </w:rPr>
        <w:t xml:space="preserve">We </w:t>
      </w:r>
      <w:r w:rsidR="003228E3" w:rsidRPr="003A4F79">
        <w:rPr>
          <w:lang w:eastAsia="en-GB"/>
        </w:rPr>
        <w:t>measur</w:t>
      </w:r>
      <w:r w:rsidR="005D3A24" w:rsidRPr="003A4F79">
        <w:rPr>
          <w:lang w:eastAsia="en-GB"/>
        </w:rPr>
        <w:t>e</w:t>
      </w:r>
      <w:r w:rsidR="003228E3" w:rsidRPr="003A4F79">
        <w:rPr>
          <w:lang w:eastAsia="en-GB"/>
        </w:rPr>
        <w:t xml:space="preserve"> </w:t>
      </w:r>
      <w:r w:rsidR="005875C0" w:rsidRPr="003A4F79">
        <w:rPr>
          <w:lang w:eastAsia="en-GB"/>
        </w:rPr>
        <w:t>monthly</w:t>
      </w:r>
      <w:r w:rsidR="003228E3" w:rsidRPr="003A4F79">
        <w:rPr>
          <w:lang w:eastAsia="en-GB"/>
        </w:rPr>
        <w:t xml:space="preserve"> returns </w:t>
      </w:r>
      <w:r w:rsidR="005706A9" w:rsidRPr="003A4F79">
        <w:rPr>
          <w:lang w:eastAsia="en-GB"/>
        </w:rPr>
        <w:t xml:space="preserve">as opposed to </w:t>
      </w:r>
      <w:r w:rsidR="00D63EE7" w:rsidRPr="003A4F79">
        <w:rPr>
          <w:lang w:eastAsia="en-GB"/>
        </w:rPr>
        <w:t>r</w:t>
      </w:r>
      <w:r w:rsidRPr="003A4F79">
        <w:rPr>
          <w:lang w:eastAsia="en-GB"/>
        </w:rPr>
        <w:t>eali</w:t>
      </w:r>
      <w:r w:rsidR="00C95B94" w:rsidRPr="003A4F79">
        <w:rPr>
          <w:lang w:eastAsia="en-GB"/>
        </w:rPr>
        <w:t>s</w:t>
      </w:r>
      <w:r w:rsidRPr="003A4F79">
        <w:rPr>
          <w:lang w:eastAsia="en-GB"/>
        </w:rPr>
        <w:t>ed return</w:t>
      </w:r>
      <w:r w:rsidR="00004940" w:rsidRPr="003A4F79">
        <w:rPr>
          <w:lang w:eastAsia="en-GB"/>
        </w:rPr>
        <w:t xml:space="preserve">s </w:t>
      </w:r>
      <w:r w:rsidR="00EA1247" w:rsidRPr="003A4F79">
        <w:rPr>
          <w:lang w:eastAsia="en-GB"/>
        </w:rPr>
        <w:t>on</w:t>
      </w:r>
      <w:r w:rsidR="0005140C" w:rsidRPr="003A4F79">
        <w:rPr>
          <w:lang w:eastAsia="en-GB"/>
        </w:rPr>
        <w:t xml:space="preserve"> </w:t>
      </w:r>
      <w:r w:rsidR="00486DE5" w:rsidRPr="003A4F79">
        <w:rPr>
          <w:lang w:eastAsia="en-GB"/>
        </w:rPr>
        <w:t>a</w:t>
      </w:r>
      <w:r w:rsidR="00CA61EB" w:rsidRPr="003A4F79">
        <w:rPr>
          <w:lang w:eastAsia="en-GB"/>
        </w:rPr>
        <w:t>ctu</w:t>
      </w:r>
      <w:r w:rsidR="00123E24" w:rsidRPr="003A4F79">
        <w:rPr>
          <w:lang w:eastAsia="en-GB"/>
        </w:rPr>
        <w:t xml:space="preserve">al </w:t>
      </w:r>
      <w:r w:rsidR="00486DE5" w:rsidRPr="003A4F79">
        <w:rPr>
          <w:lang w:eastAsia="en-GB"/>
        </w:rPr>
        <w:t>holding</w:t>
      </w:r>
      <w:r w:rsidR="000053C7" w:rsidRPr="003A4F79">
        <w:rPr>
          <w:lang w:eastAsia="en-GB"/>
        </w:rPr>
        <w:t xml:space="preserve"> </w:t>
      </w:r>
      <w:r w:rsidR="00EA1247" w:rsidRPr="003A4F79">
        <w:rPr>
          <w:lang w:eastAsia="en-GB"/>
        </w:rPr>
        <w:t>periods</w:t>
      </w:r>
      <w:r w:rsidR="00C636D5" w:rsidRPr="003A4F79">
        <w:rPr>
          <w:lang w:eastAsia="en-GB"/>
        </w:rPr>
        <w:t xml:space="preserve"> of participation</w:t>
      </w:r>
      <w:r w:rsidR="005706A9" w:rsidRPr="003A4F79">
        <w:rPr>
          <w:lang w:eastAsia="en-GB"/>
        </w:rPr>
        <w:t xml:space="preserve"> because </w:t>
      </w:r>
      <w:r w:rsidR="00E421E2" w:rsidRPr="003A4F79">
        <w:rPr>
          <w:lang w:eastAsia="en-GB"/>
        </w:rPr>
        <w:t xml:space="preserve">it </w:t>
      </w:r>
      <w:r w:rsidR="00593CF1" w:rsidRPr="003A4F79">
        <w:rPr>
          <w:lang w:eastAsia="en-GB"/>
        </w:rPr>
        <w:t>w</w:t>
      </w:r>
      <w:r w:rsidR="008A65E7" w:rsidRPr="003A4F79">
        <w:rPr>
          <w:lang w:eastAsia="en-GB"/>
        </w:rPr>
        <w:t>ould</w:t>
      </w:r>
      <w:r w:rsidR="00593CF1" w:rsidRPr="003A4F79">
        <w:rPr>
          <w:lang w:eastAsia="en-GB"/>
        </w:rPr>
        <w:t xml:space="preserve"> be</w:t>
      </w:r>
      <w:r w:rsidR="003055AD" w:rsidRPr="003A4F79">
        <w:rPr>
          <w:lang w:eastAsia="en-GB"/>
        </w:rPr>
        <w:t xml:space="preserve"> </w:t>
      </w:r>
      <w:r w:rsidR="00E421E2" w:rsidRPr="003A4F79">
        <w:rPr>
          <w:lang w:eastAsia="en-GB"/>
        </w:rPr>
        <w:t xml:space="preserve">difficult to compare the returns </w:t>
      </w:r>
      <w:r w:rsidR="003055AD" w:rsidRPr="003A4F79">
        <w:rPr>
          <w:lang w:eastAsia="en-GB"/>
        </w:rPr>
        <w:t xml:space="preserve">across investors </w:t>
      </w:r>
      <w:r w:rsidR="005D3A24" w:rsidRPr="003A4F79">
        <w:rPr>
          <w:lang w:eastAsia="en-GB"/>
        </w:rPr>
        <w:t>with different participation</w:t>
      </w:r>
      <w:r w:rsidR="00A80F0F" w:rsidRPr="003A4F79">
        <w:rPr>
          <w:lang w:eastAsia="en-GB"/>
        </w:rPr>
        <w:t xml:space="preserve"> length</w:t>
      </w:r>
      <w:r w:rsidR="005D3A24" w:rsidRPr="003A4F79">
        <w:rPr>
          <w:lang w:eastAsia="en-GB"/>
        </w:rPr>
        <w:t>s</w:t>
      </w:r>
      <w:r w:rsidR="00146A7C" w:rsidRPr="003A4F79">
        <w:rPr>
          <w:lang w:eastAsia="en-GB"/>
        </w:rPr>
        <w:t>. M</w:t>
      </w:r>
      <w:r w:rsidR="00C41DCF" w:rsidRPr="003A4F79">
        <w:rPr>
          <w:lang w:eastAsia="en-GB"/>
        </w:rPr>
        <w:t>ore important</w:t>
      </w:r>
      <w:r w:rsidR="00A266A5" w:rsidRPr="003A4F79">
        <w:rPr>
          <w:lang w:eastAsia="en-GB"/>
        </w:rPr>
        <w:t>ly</w:t>
      </w:r>
      <w:r w:rsidR="00C41DCF" w:rsidRPr="003A4F79">
        <w:rPr>
          <w:lang w:eastAsia="en-GB"/>
        </w:rPr>
        <w:t xml:space="preserve">, </w:t>
      </w:r>
      <w:r w:rsidR="00146A7C" w:rsidRPr="003A4F79">
        <w:rPr>
          <w:lang w:eastAsia="en-GB"/>
        </w:rPr>
        <w:t>e</w:t>
      </w:r>
      <w:r w:rsidR="00963595" w:rsidRPr="003A4F79">
        <w:rPr>
          <w:lang w:eastAsia="en-GB"/>
        </w:rPr>
        <w:t>mploying</w:t>
      </w:r>
      <w:r w:rsidR="00146A7C" w:rsidRPr="003A4F79">
        <w:rPr>
          <w:lang w:eastAsia="en-GB"/>
        </w:rPr>
        <w:t xml:space="preserve"> the reali</w:t>
      </w:r>
      <w:r w:rsidR="00C95B94" w:rsidRPr="003A4F79">
        <w:rPr>
          <w:lang w:eastAsia="en-GB"/>
        </w:rPr>
        <w:t>s</w:t>
      </w:r>
      <w:r w:rsidR="00146A7C" w:rsidRPr="003A4F79">
        <w:rPr>
          <w:lang w:eastAsia="en-GB"/>
        </w:rPr>
        <w:t>ed retur</w:t>
      </w:r>
      <w:r w:rsidR="00877ECB" w:rsidRPr="003A4F79">
        <w:rPr>
          <w:lang w:eastAsia="en-GB"/>
        </w:rPr>
        <w:t>n variable would generate an</w:t>
      </w:r>
      <w:r w:rsidR="00146A7C" w:rsidRPr="003A4F79">
        <w:rPr>
          <w:lang w:eastAsia="en-GB"/>
        </w:rPr>
        <w:t xml:space="preserve"> endogeneity problem</w:t>
      </w:r>
      <w:r w:rsidR="00BA3DE3" w:rsidRPr="003A4F79">
        <w:rPr>
          <w:lang w:eastAsia="en-GB"/>
        </w:rPr>
        <w:t xml:space="preserve"> </w:t>
      </w:r>
      <w:r w:rsidR="00FA149E" w:rsidRPr="003A4F79">
        <w:rPr>
          <w:lang w:eastAsia="en-GB"/>
        </w:rPr>
        <w:t xml:space="preserve">in </w:t>
      </w:r>
      <w:r w:rsidR="00BA3DE3" w:rsidRPr="003A4F79">
        <w:rPr>
          <w:lang w:eastAsia="en-GB"/>
        </w:rPr>
        <w:t xml:space="preserve">our analysis </w:t>
      </w:r>
      <w:r w:rsidR="00146A7C" w:rsidRPr="003A4F79">
        <w:rPr>
          <w:lang w:eastAsia="en-GB"/>
        </w:rPr>
        <w:t xml:space="preserve">because </w:t>
      </w:r>
      <w:r w:rsidRPr="003A4F79">
        <w:rPr>
          <w:lang w:eastAsia="en-GB"/>
        </w:rPr>
        <w:t>investo</w:t>
      </w:r>
      <w:r w:rsidR="00E421E2" w:rsidRPr="003A4F79">
        <w:rPr>
          <w:lang w:eastAsia="en-GB"/>
        </w:rPr>
        <w:t>rs</w:t>
      </w:r>
      <w:r w:rsidR="002D63F2" w:rsidRPr="003A4F79">
        <w:rPr>
          <w:lang w:eastAsia="en-GB"/>
        </w:rPr>
        <w:t>’</w:t>
      </w:r>
      <w:r w:rsidR="00E421E2" w:rsidRPr="003A4F79">
        <w:rPr>
          <w:lang w:eastAsia="en-GB"/>
        </w:rPr>
        <w:t xml:space="preserve"> decision</w:t>
      </w:r>
      <w:r w:rsidR="005D3A24" w:rsidRPr="003A4F79">
        <w:rPr>
          <w:lang w:eastAsia="en-GB"/>
        </w:rPr>
        <w:t>s</w:t>
      </w:r>
      <w:r w:rsidR="00BB6D17" w:rsidRPr="003A4F79">
        <w:rPr>
          <w:lang w:eastAsia="en-GB"/>
        </w:rPr>
        <w:t xml:space="preserve"> to exit the</w:t>
      </w:r>
      <w:r w:rsidR="00196731" w:rsidRPr="003A4F79">
        <w:rPr>
          <w:lang w:eastAsia="en-GB"/>
        </w:rPr>
        <w:t xml:space="preserve"> stock</w:t>
      </w:r>
      <w:r w:rsidR="00BB6D17" w:rsidRPr="003A4F79">
        <w:rPr>
          <w:lang w:eastAsia="en-GB"/>
        </w:rPr>
        <w:t xml:space="preserve"> market</w:t>
      </w:r>
      <w:r w:rsidR="00AF572E" w:rsidRPr="003A4F79">
        <w:rPr>
          <w:lang w:eastAsia="en-GB"/>
        </w:rPr>
        <w:t xml:space="preserve"> </w:t>
      </w:r>
      <w:r w:rsidR="005D3A24" w:rsidRPr="003A4F79">
        <w:rPr>
          <w:lang w:eastAsia="en-GB"/>
        </w:rPr>
        <w:t xml:space="preserve">are </w:t>
      </w:r>
      <w:r w:rsidR="00AF572E" w:rsidRPr="003A4F79">
        <w:rPr>
          <w:lang w:eastAsia="en-GB"/>
        </w:rPr>
        <w:t>not random</w:t>
      </w:r>
      <w:r w:rsidR="00BB6100" w:rsidRPr="003A4F79">
        <w:rPr>
          <w:lang w:eastAsia="en-GB"/>
        </w:rPr>
        <w:t>ly assigned</w:t>
      </w:r>
      <w:r w:rsidR="00E421E2" w:rsidRPr="003A4F79">
        <w:rPr>
          <w:lang w:eastAsia="en-GB"/>
        </w:rPr>
        <w:t>.</w:t>
      </w:r>
    </w:p>
    <w:p w14:paraId="432326B5" w14:textId="36E21F5A" w:rsidR="00A7253A" w:rsidRPr="003A4F79" w:rsidRDefault="00062739">
      <w:pPr>
        <w:rPr>
          <w:lang w:eastAsia="en-GB"/>
        </w:rPr>
      </w:pPr>
      <w:r w:rsidRPr="003A4F79">
        <w:rPr>
          <w:lang w:eastAsia="en-GB"/>
        </w:rPr>
        <w:t xml:space="preserve">We construct our final sample as </w:t>
      </w:r>
      <w:r w:rsidR="00DA45B7" w:rsidRPr="003A4F79">
        <w:rPr>
          <w:lang w:eastAsia="en-GB"/>
        </w:rPr>
        <w:t xml:space="preserve">monthly </w:t>
      </w:r>
      <w:r w:rsidRPr="003A4F79">
        <w:rPr>
          <w:lang w:eastAsia="en-GB"/>
        </w:rPr>
        <w:t>panel data</w:t>
      </w:r>
      <w:r w:rsidR="005B5BB3" w:rsidRPr="003A4F79">
        <w:rPr>
          <w:lang w:eastAsia="en-GB"/>
        </w:rPr>
        <w:t>,</w:t>
      </w:r>
      <w:r w:rsidR="00262733" w:rsidRPr="003A4F79">
        <w:rPr>
          <w:lang w:eastAsia="en-GB"/>
        </w:rPr>
        <w:t xml:space="preserve"> </w:t>
      </w:r>
      <w:r w:rsidR="005B5BB3" w:rsidRPr="003A4F79">
        <w:rPr>
          <w:lang w:eastAsia="en-GB"/>
        </w:rPr>
        <w:t xml:space="preserve">which are tailored </w:t>
      </w:r>
      <w:r w:rsidR="00262733" w:rsidRPr="003A4F79">
        <w:rPr>
          <w:lang w:eastAsia="en-GB"/>
        </w:rPr>
        <w:t xml:space="preserve">to </w:t>
      </w:r>
      <w:r w:rsidR="005B5BB3" w:rsidRPr="003A4F79">
        <w:rPr>
          <w:lang w:eastAsia="en-GB"/>
        </w:rPr>
        <w:t xml:space="preserve">the </w:t>
      </w:r>
      <w:r w:rsidR="00675CFB" w:rsidRPr="003A4F79">
        <w:rPr>
          <w:lang w:eastAsia="en-GB"/>
        </w:rPr>
        <w:t xml:space="preserve">logit </w:t>
      </w:r>
      <w:r w:rsidR="00262733" w:rsidRPr="003A4F79">
        <w:rPr>
          <w:lang w:eastAsia="en-GB"/>
        </w:rPr>
        <w:t xml:space="preserve">estimation of a </w:t>
      </w:r>
      <w:r w:rsidR="007839AE" w:rsidRPr="003A4F79">
        <w:rPr>
          <w:lang w:eastAsia="en-GB"/>
        </w:rPr>
        <w:t xml:space="preserve">discrete-time </w:t>
      </w:r>
      <w:r w:rsidR="00262733" w:rsidRPr="003A4F79">
        <w:rPr>
          <w:lang w:eastAsia="en-GB"/>
        </w:rPr>
        <w:t>hazard model</w:t>
      </w:r>
      <w:r w:rsidR="00A73EDA" w:rsidRPr="003A4F79">
        <w:rPr>
          <w:lang w:eastAsia="en-GB"/>
        </w:rPr>
        <w:t xml:space="preserve">. </w:t>
      </w:r>
      <w:r w:rsidR="00DA5D5F" w:rsidRPr="003A4F79">
        <w:rPr>
          <w:lang w:eastAsia="en-GB"/>
        </w:rPr>
        <w:t>A</w:t>
      </w:r>
      <w:r w:rsidR="00262733" w:rsidRPr="003A4F79">
        <w:rPr>
          <w:lang w:eastAsia="en-GB"/>
        </w:rPr>
        <w:t xml:space="preserve"> non-re</w:t>
      </w:r>
      <w:r w:rsidR="00DA5D5F" w:rsidRPr="003A4F79">
        <w:rPr>
          <w:lang w:eastAsia="en-GB"/>
        </w:rPr>
        <w:t>-</w:t>
      </w:r>
      <w:r w:rsidR="00262733" w:rsidRPr="003A4F79">
        <w:rPr>
          <w:lang w:eastAsia="en-GB"/>
        </w:rPr>
        <w:t>entering investor has monthly observations</w:t>
      </w:r>
      <w:r w:rsidR="006F34F6" w:rsidRPr="003A4F79">
        <w:rPr>
          <w:lang w:eastAsia="en-GB"/>
        </w:rPr>
        <w:t xml:space="preserve"> from the month </w:t>
      </w:r>
      <w:r w:rsidR="00DA5D5F" w:rsidRPr="003A4F79">
        <w:rPr>
          <w:lang w:eastAsia="en-GB"/>
        </w:rPr>
        <w:t>following</w:t>
      </w:r>
      <w:r w:rsidR="006F34F6" w:rsidRPr="003A4F79">
        <w:rPr>
          <w:lang w:eastAsia="en-GB"/>
        </w:rPr>
        <w:t xml:space="preserve"> exit </w:t>
      </w:r>
      <w:r w:rsidR="00262733" w:rsidRPr="003A4F79">
        <w:rPr>
          <w:lang w:eastAsia="en-GB"/>
        </w:rPr>
        <w:t>through</w:t>
      </w:r>
      <w:r w:rsidR="00DA5D5F" w:rsidRPr="003A4F79">
        <w:rPr>
          <w:lang w:eastAsia="en-GB"/>
        </w:rPr>
        <w:t xml:space="preserve"> to</w:t>
      </w:r>
      <w:r w:rsidR="00262733" w:rsidRPr="003A4F79">
        <w:rPr>
          <w:lang w:eastAsia="en-GB"/>
        </w:rPr>
        <w:t xml:space="preserve"> the end of our sample period (i.e., December 2003)</w:t>
      </w:r>
      <w:r w:rsidR="00DA5D5F" w:rsidRPr="003A4F79">
        <w:rPr>
          <w:lang w:eastAsia="en-GB"/>
        </w:rPr>
        <w:t>,</w:t>
      </w:r>
      <w:r w:rsidR="00262733" w:rsidRPr="003A4F79">
        <w:rPr>
          <w:lang w:eastAsia="en-GB"/>
        </w:rPr>
        <w:t xml:space="preserve"> while a re-entering investor keeps observations only until </w:t>
      </w:r>
      <w:r w:rsidR="00DA5D5F" w:rsidRPr="003A4F79">
        <w:rPr>
          <w:lang w:eastAsia="en-GB"/>
        </w:rPr>
        <w:t xml:space="preserve">the </w:t>
      </w:r>
      <w:r w:rsidR="00262733" w:rsidRPr="003A4F79">
        <w:rPr>
          <w:lang w:eastAsia="en-GB"/>
        </w:rPr>
        <w:t>re-entry month</w:t>
      </w:r>
      <w:r w:rsidR="00DA5D5F" w:rsidRPr="003A4F79">
        <w:rPr>
          <w:lang w:eastAsia="en-GB"/>
        </w:rPr>
        <w:t>,</w:t>
      </w:r>
      <w:r w:rsidR="00262733" w:rsidRPr="003A4F79">
        <w:rPr>
          <w:lang w:eastAsia="en-GB"/>
        </w:rPr>
        <w:t xml:space="preserve"> and any furthe</w:t>
      </w:r>
      <w:r w:rsidR="0024369E" w:rsidRPr="003A4F79">
        <w:rPr>
          <w:lang w:eastAsia="en-GB"/>
        </w:rPr>
        <w:t xml:space="preserve">r observations are dropped. Our final sample </w:t>
      </w:r>
      <w:r w:rsidR="00801F81" w:rsidRPr="003A4F79">
        <w:rPr>
          <w:lang w:eastAsia="en-GB"/>
        </w:rPr>
        <w:t>consist</w:t>
      </w:r>
      <w:r w:rsidR="00CB3350" w:rsidRPr="003A4F79">
        <w:rPr>
          <w:lang w:eastAsia="en-GB"/>
        </w:rPr>
        <w:t>s</w:t>
      </w:r>
      <w:r w:rsidR="00801F81" w:rsidRPr="003A4F79">
        <w:rPr>
          <w:lang w:eastAsia="en-GB"/>
        </w:rPr>
        <w:t xml:space="preserve"> of 276,470 investor</w:t>
      </w:r>
      <w:r w:rsidR="00FA149E" w:rsidRPr="003A4F79">
        <w:rPr>
          <w:lang w:eastAsia="en-GB"/>
        </w:rPr>
        <w:t xml:space="preserve"> </w:t>
      </w:r>
      <w:r w:rsidR="00A15E55" w:rsidRPr="003A4F79">
        <w:rPr>
          <w:lang w:eastAsia="en-GB"/>
        </w:rPr>
        <w:t>months</w:t>
      </w:r>
      <w:r w:rsidR="00801F81" w:rsidRPr="003A4F79">
        <w:rPr>
          <w:lang w:eastAsia="en-GB"/>
        </w:rPr>
        <w:t xml:space="preserve"> with 9,435 </w:t>
      </w:r>
      <w:r w:rsidR="005D6883" w:rsidRPr="003A4F79">
        <w:rPr>
          <w:lang w:eastAsia="en-GB"/>
        </w:rPr>
        <w:t xml:space="preserve">retail </w:t>
      </w:r>
      <w:r w:rsidR="00801F81" w:rsidRPr="003A4F79">
        <w:rPr>
          <w:lang w:eastAsia="en-GB"/>
        </w:rPr>
        <w:t xml:space="preserve">investors </w:t>
      </w:r>
      <w:r w:rsidR="0026455A" w:rsidRPr="003A4F79">
        <w:rPr>
          <w:lang w:eastAsia="en-GB"/>
        </w:rPr>
        <w:t xml:space="preserve">who collectively traded </w:t>
      </w:r>
      <w:r w:rsidR="00DC01C8" w:rsidRPr="003A4F79">
        <w:rPr>
          <w:lang w:eastAsia="en-GB"/>
        </w:rPr>
        <w:t>176</w:t>
      </w:r>
      <w:r w:rsidR="001C1D05" w:rsidRPr="003A4F79">
        <w:rPr>
          <w:lang w:eastAsia="en-GB"/>
        </w:rPr>
        <w:t xml:space="preserve"> different</w:t>
      </w:r>
      <w:r w:rsidR="001E1A51" w:rsidRPr="003A4F79">
        <w:rPr>
          <w:lang w:eastAsia="en-GB"/>
        </w:rPr>
        <w:t xml:space="preserve"> </w:t>
      </w:r>
      <w:r w:rsidR="00DA5D5F" w:rsidRPr="003A4F79">
        <w:rPr>
          <w:lang w:eastAsia="en-GB"/>
        </w:rPr>
        <w:t>publicly-</w:t>
      </w:r>
      <w:r w:rsidR="00FD6355" w:rsidRPr="003A4F79">
        <w:rPr>
          <w:lang w:eastAsia="en-GB"/>
        </w:rPr>
        <w:t>listed</w:t>
      </w:r>
      <w:r w:rsidR="00E3302F" w:rsidRPr="003A4F79">
        <w:rPr>
          <w:lang w:eastAsia="en-GB"/>
        </w:rPr>
        <w:t xml:space="preserve"> Finnish</w:t>
      </w:r>
      <w:r w:rsidR="001C1D05" w:rsidRPr="003A4F79">
        <w:rPr>
          <w:lang w:eastAsia="en-GB"/>
        </w:rPr>
        <w:t xml:space="preserve"> stocks.</w:t>
      </w:r>
      <w:r w:rsidR="00CF75FC" w:rsidRPr="003A4F79">
        <w:rPr>
          <w:lang w:eastAsia="en-GB"/>
        </w:rPr>
        <w:t xml:space="preserve"> </w:t>
      </w:r>
      <w:r w:rsidR="00DB5B7B" w:rsidRPr="003A4F79">
        <w:rPr>
          <w:lang w:eastAsia="en-GB"/>
        </w:rPr>
        <w:t>In addition to our main sample, w</w:t>
      </w:r>
      <w:r w:rsidR="007D24FD" w:rsidRPr="003A4F79">
        <w:rPr>
          <w:lang w:eastAsia="en-GB"/>
        </w:rPr>
        <w:t xml:space="preserve">e </w:t>
      </w:r>
      <w:r w:rsidR="00C40A6C" w:rsidRPr="003A4F79">
        <w:rPr>
          <w:lang w:eastAsia="en-GB"/>
        </w:rPr>
        <w:t xml:space="preserve">also </w:t>
      </w:r>
      <w:r w:rsidR="003063B8" w:rsidRPr="003A4F79">
        <w:rPr>
          <w:lang w:eastAsia="en-GB"/>
        </w:rPr>
        <w:t>exploit</w:t>
      </w:r>
      <w:r w:rsidR="007D24FD" w:rsidRPr="003A4F79">
        <w:rPr>
          <w:lang w:eastAsia="en-GB"/>
        </w:rPr>
        <w:t xml:space="preserve"> a larger sample of investors to estimate the two-stage Heckman (1976) selection model, for which we estimate the probability of investors</w:t>
      </w:r>
      <w:r w:rsidR="00FA149E" w:rsidRPr="003A4F79">
        <w:rPr>
          <w:lang w:eastAsia="en-GB"/>
        </w:rPr>
        <w:t>’</w:t>
      </w:r>
      <w:r w:rsidR="007D24FD" w:rsidRPr="003A4F79">
        <w:rPr>
          <w:lang w:eastAsia="en-GB"/>
        </w:rPr>
        <w:t xml:space="preserve"> exit in </w:t>
      </w:r>
      <w:r w:rsidR="00DA5D5F" w:rsidRPr="003A4F79">
        <w:rPr>
          <w:lang w:eastAsia="en-GB"/>
        </w:rPr>
        <w:t>a first-</w:t>
      </w:r>
      <w:r w:rsidR="007D24FD" w:rsidRPr="003A4F79">
        <w:rPr>
          <w:lang w:eastAsia="en-GB"/>
        </w:rPr>
        <w:t xml:space="preserve">stage regression using </w:t>
      </w:r>
      <w:r w:rsidR="00DA5D5F" w:rsidRPr="003A4F79">
        <w:rPr>
          <w:lang w:eastAsia="en-GB"/>
        </w:rPr>
        <w:t xml:space="preserve">a </w:t>
      </w:r>
      <w:r w:rsidR="007D24FD" w:rsidRPr="003A4F79">
        <w:rPr>
          <w:lang w:eastAsia="en-GB"/>
        </w:rPr>
        <w:t>sample</w:t>
      </w:r>
      <w:r w:rsidR="005266C1" w:rsidRPr="003A4F79">
        <w:rPr>
          <w:lang w:eastAsia="en-GB"/>
        </w:rPr>
        <w:t xml:space="preserve"> constructed</w:t>
      </w:r>
      <w:r w:rsidR="00DA5D5F" w:rsidRPr="003A4F79">
        <w:rPr>
          <w:lang w:eastAsia="en-GB"/>
        </w:rPr>
        <w:t xml:space="preserve"> </w:t>
      </w:r>
      <w:r w:rsidR="005266C1" w:rsidRPr="003A4F79">
        <w:rPr>
          <w:lang w:eastAsia="en-GB"/>
        </w:rPr>
        <w:t>similar</w:t>
      </w:r>
      <w:r w:rsidR="00DA5D5F" w:rsidRPr="003A4F79">
        <w:rPr>
          <w:lang w:eastAsia="en-GB"/>
        </w:rPr>
        <w:t>ly</w:t>
      </w:r>
      <w:r w:rsidR="005266C1" w:rsidRPr="003A4F79">
        <w:rPr>
          <w:lang w:eastAsia="en-GB"/>
        </w:rPr>
        <w:t xml:space="preserve"> to our main sample</w:t>
      </w:r>
      <w:r w:rsidR="00DA5D5F" w:rsidRPr="003A4F79">
        <w:rPr>
          <w:lang w:eastAsia="en-GB"/>
        </w:rPr>
        <w:t xml:space="preserve">, </w:t>
      </w:r>
      <w:r w:rsidR="005D6883" w:rsidRPr="003A4F79">
        <w:rPr>
          <w:lang w:eastAsia="en-GB"/>
        </w:rPr>
        <w:t>comprising 3,</w:t>
      </w:r>
      <w:r w:rsidR="007D24FD" w:rsidRPr="003A4F79">
        <w:rPr>
          <w:lang w:eastAsia="en-GB"/>
        </w:rPr>
        <w:t>482,779 investor</w:t>
      </w:r>
      <w:r w:rsidR="00DA5D5F" w:rsidRPr="003A4F79">
        <w:rPr>
          <w:lang w:eastAsia="en-GB"/>
        </w:rPr>
        <w:t xml:space="preserve"> </w:t>
      </w:r>
      <w:r w:rsidR="007D24FD" w:rsidRPr="003A4F79">
        <w:rPr>
          <w:lang w:eastAsia="en-GB"/>
        </w:rPr>
        <w:t>months</w:t>
      </w:r>
      <w:r w:rsidR="005D6883" w:rsidRPr="003A4F79">
        <w:rPr>
          <w:lang w:eastAsia="en-GB"/>
        </w:rPr>
        <w:t xml:space="preserve"> with </w:t>
      </w:r>
      <w:r w:rsidR="00952F35" w:rsidRPr="003A4F79">
        <w:rPr>
          <w:lang w:eastAsia="en-GB"/>
        </w:rPr>
        <w:t>97,539 retail investors.</w:t>
      </w:r>
    </w:p>
    <w:p w14:paraId="68D81BB6" w14:textId="360FC5AF" w:rsidR="00280744" w:rsidRPr="003A4F79" w:rsidRDefault="003706C3" w:rsidP="00FC7DBE">
      <w:pPr>
        <w:rPr>
          <w:lang w:eastAsia="en-GB"/>
        </w:rPr>
      </w:pPr>
      <w:r w:rsidRPr="003A4F79">
        <w:rPr>
          <w:lang w:eastAsia="en-GB"/>
        </w:rPr>
        <w:t xml:space="preserve">Our dependent variable is a dummy variable, </w:t>
      </w:r>
      <w:r w:rsidRPr="003A4F79">
        <w:rPr>
          <w:i/>
          <w:lang w:eastAsia="en-GB"/>
        </w:rPr>
        <w:t>Re-entry</w:t>
      </w:r>
      <w:r w:rsidRPr="003A4F79">
        <w:rPr>
          <w:i/>
          <w:sz w:val="12"/>
          <w:lang w:eastAsia="en-GB"/>
        </w:rPr>
        <w:t>it</w:t>
      </w:r>
      <w:r w:rsidRPr="003A4F79">
        <w:rPr>
          <w:lang w:eastAsia="en-GB"/>
        </w:rPr>
        <w:t xml:space="preserve">, which is equal to 1 if </w:t>
      </w:r>
      <w:r w:rsidR="00F26633" w:rsidRPr="003A4F79">
        <w:rPr>
          <w:lang w:eastAsia="en-GB"/>
        </w:rPr>
        <w:t xml:space="preserve">investor </w:t>
      </w:r>
      <w:r w:rsidR="00F26633" w:rsidRPr="003A4F79">
        <w:rPr>
          <w:i/>
          <w:lang w:eastAsia="en-GB"/>
        </w:rPr>
        <w:t>i</w:t>
      </w:r>
      <w:r w:rsidR="00F26633" w:rsidRPr="003A4F79">
        <w:rPr>
          <w:lang w:eastAsia="en-GB"/>
        </w:rPr>
        <w:t xml:space="preserve"> re-enter</w:t>
      </w:r>
      <w:r w:rsidR="00DA5D5F" w:rsidRPr="003A4F79">
        <w:rPr>
          <w:lang w:eastAsia="en-GB"/>
        </w:rPr>
        <w:t>s</w:t>
      </w:r>
      <w:r w:rsidR="00F26633" w:rsidRPr="003A4F79">
        <w:rPr>
          <w:lang w:eastAsia="en-GB"/>
        </w:rPr>
        <w:t xml:space="preserve"> the market in month </w:t>
      </w:r>
      <w:r w:rsidR="00F26633" w:rsidRPr="003A4F79">
        <w:rPr>
          <w:i/>
          <w:lang w:eastAsia="en-GB"/>
        </w:rPr>
        <w:t>t</w:t>
      </w:r>
      <w:r w:rsidR="00DA5D5F" w:rsidRPr="003A4F79">
        <w:rPr>
          <w:lang w:eastAsia="en-GB"/>
        </w:rPr>
        <w:t>,</w:t>
      </w:r>
      <w:r w:rsidR="00650327" w:rsidRPr="003A4F79">
        <w:rPr>
          <w:lang w:eastAsia="en-GB"/>
        </w:rPr>
        <w:t xml:space="preserve"> and zero otherwise. </w:t>
      </w:r>
      <w:r w:rsidR="00DA5D5F" w:rsidRPr="003A4F79">
        <w:rPr>
          <w:lang w:eastAsia="en-GB"/>
        </w:rPr>
        <w:t xml:space="preserve">Our main </w:t>
      </w:r>
      <w:r w:rsidR="00650327" w:rsidRPr="003A4F79">
        <w:rPr>
          <w:lang w:eastAsia="en-GB"/>
        </w:rPr>
        <w:t>explanatory variable</w:t>
      </w:r>
      <w:r w:rsidR="000847EA" w:rsidRPr="003A4F79">
        <w:rPr>
          <w:lang w:eastAsia="en-GB"/>
        </w:rPr>
        <w:t xml:space="preserve"> of interest</w:t>
      </w:r>
      <w:r w:rsidR="00DA5D5F" w:rsidRPr="003A4F79">
        <w:rPr>
          <w:lang w:eastAsia="en-GB"/>
        </w:rPr>
        <w:t xml:space="preserve"> is initial returns (</w:t>
      </w:r>
      <w:r w:rsidR="00DA5D5F" w:rsidRPr="003A4F79">
        <w:rPr>
          <w:i/>
          <w:lang w:eastAsia="en-GB"/>
        </w:rPr>
        <w:t>IniRet</w:t>
      </w:r>
      <w:r w:rsidR="00DA5D5F" w:rsidRPr="003A4F79">
        <w:rPr>
          <w:i/>
          <w:sz w:val="16"/>
          <w:lang w:eastAsia="en-GB"/>
        </w:rPr>
        <w:t>i</w:t>
      </w:r>
      <w:r w:rsidR="00DA5D5F" w:rsidRPr="003A4F79">
        <w:rPr>
          <w:lang w:eastAsia="en-GB"/>
        </w:rPr>
        <w:t>),</w:t>
      </w:r>
      <w:r w:rsidR="00650327" w:rsidRPr="003A4F79">
        <w:rPr>
          <w:lang w:eastAsia="en-GB"/>
        </w:rPr>
        <w:t xml:space="preserve"> and </w:t>
      </w:r>
      <w:r w:rsidR="00DA5D5F" w:rsidRPr="003A4F79">
        <w:rPr>
          <w:lang w:eastAsia="en-GB"/>
        </w:rPr>
        <w:t xml:space="preserve">the </w:t>
      </w:r>
      <w:r w:rsidR="000847EA" w:rsidRPr="003A4F79">
        <w:rPr>
          <w:lang w:eastAsia="en-GB"/>
        </w:rPr>
        <w:t xml:space="preserve">key </w:t>
      </w:r>
      <w:r w:rsidR="00650327" w:rsidRPr="003A4F79">
        <w:rPr>
          <w:lang w:eastAsia="en-GB"/>
        </w:rPr>
        <w:t>control variable is</w:t>
      </w:r>
      <w:r w:rsidR="00063884" w:rsidRPr="003A4F79">
        <w:rPr>
          <w:lang w:eastAsia="en-GB"/>
        </w:rPr>
        <w:t xml:space="preserve"> all returns</w:t>
      </w:r>
      <w:r w:rsidR="00063884" w:rsidRPr="003A4F79">
        <w:rPr>
          <w:i/>
          <w:lang w:eastAsia="en-GB"/>
        </w:rPr>
        <w:t xml:space="preserve"> </w:t>
      </w:r>
      <w:r w:rsidR="005E57E5" w:rsidRPr="003A4F79">
        <w:rPr>
          <w:lang w:eastAsia="en-GB"/>
        </w:rPr>
        <w:t>(</w:t>
      </w:r>
      <w:r w:rsidR="00B44F9B" w:rsidRPr="003A4F79">
        <w:rPr>
          <w:i/>
          <w:lang w:eastAsia="en-GB"/>
        </w:rPr>
        <w:t>AllRet</w:t>
      </w:r>
      <w:r w:rsidR="005E57E5" w:rsidRPr="003A4F79">
        <w:rPr>
          <w:i/>
          <w:sz w:val="16"/>
          <w:lang w:eastAsia="en-GB"/>
        </w:rPr>
        <w:t>i</w:t>
      </w:r>
      <w:r w:rsidR="00B44F9B" w:rsidRPr="003A4F79">
        <w:rPr>
          <w:lang w:eastAsia="en-GB"/>
        </w:rPr>
        <w:t>)</w:t>
      </w:r>
      <w:r w:rsidR="00650327" w:rsidRPr="003A4F79">
        <w:rPr>
          <w:lang w:eastAsia="en-GB"/>
        </w:rPr>
        <w:t>, both of which are time-invariant for our analysis.</w:t>
      </w:r>
      <w:r w:rsidR="00310A43" w:rsidRPr="003A4F79">
        <w:rPr>
          <w:lang w:eastAsia="en-GB"/>
        </w:rPr>
        <w:t xml:space="preserve"> </w:t>
      </w:r>
      <w:r w:rsidR="005968E2" w:rsidRPr="003A4F79">
        <w:rPr>
          <w:i/>
          <w:lang w:eastAsia="en-GB"/>
        </w:rPr>
        <w:t>Saliency</w:t>
      </w:r>
      <w:r w:rsidR="005968E2" w:rsidRPr="003A4F79">
        <w:rPr>
          <w:i/>
          <w:sz w:val="16"/>
          <w:lang w:eastAsia="en-GB"/>
        </w:rPr>
        <w:t>i</w:t>
      </w:r>
      <w:r w:rsidR="005968E2" w:rsidRPr="003A4F79">
        <w:rPr>
          <w:lang w:eastAsia="en-GB"/>
        </w:rPr>
        <w:t xml:space="preserve"> captures how different the initial return is relative to </w:t>
      </w:r>
      <w:r w:rsidR="00845EA5" w:rsidRPr="003A4F79">
        <w:rPr>
          <w:lang w:eastAsia="en-GB"/>
        </w:rPr>
        <w:t xml:space="preserve">all </w:t>
      </w:r>
      <w:r w:rsidR="00845EA5" w:rsidRPr="003A4F79">
        <w:rPr>
          <w:lang w:eastAsia="en-GB"/>
        </w:rPr>
        <w:lastRenderedPageBreak/>
        <w:t xml:space="preserve">other returns, computed as the </w:t>
      </w:r>
      <w:r w:rsidR="005968E2" w:rsidRPr="003A4F79">
        <w:rPr>
          <w:lang w:eastAsia="en-GB"/>
        </w:rPr>
        <w:t xml:space="preserve">distance </w:t>
      </w:r>
      <w:r w:rsidR="00845EA5" w:rsidRPr="003A4F79">
        <w:rPr>
          <w:lang w:eastAsia="en-GB"/>
        </w:rPr>
        <w:t>(in percentage terms) between the initial return and</w:t>
      </w:r>
      <w:r w:rsidR="005968E2" w:rsidRPr="003A4F79">
        <w:rPr>
          <w:lang w:eastAsia="en-GB"/>
        </w:rPr>
        <w:t xml:space="preserve"> the average return for the duration of investing. </w:t>
      </w:r>
      <w:r w:rsidR="00310A43" w:rsidRPr="003A4F79">
        <w:rPr>
          <w:lang w:eastAsia="en-GB"/>
        </w:rPr>
        <w:t xml:space="preserve">Other </w:t>
      </w:r>
      <w:r w:rsidR="00816C98" w:rsidRPr="003A4F79">
        <w:rPr>
          <w:lang w:eastAsia="en-GB"/>
        </w:rPr>
        <w:t xml:space="preserve">experience measures </w:t>
      </w:r>
      <w:r w:rsidR="00310A43" w:rsidRPr="003A4F79">
        <w:rPr>
          <w:lang w:eastAsia="en-GB"/>
        </w:rPr>
        <w:t xml:space="preserve">include </w:t>
      </w:r>
      <w:r w:rsidR="008647D5" w:rsidRPr="003A4F79">
        <w:rPr>
          <w:lang w:eastAsia="en-GB"/>
        </w:rPr>
        <w:t>recent returns (</w:t>
      </w:r>
      <w:r w:rsidR="008647D5" w:rsidRPr="003A4F79">
        <w:rPr>
          <w:i/>
          <w:lang w:eastAsia="en-GB"/>
        </w:rPr>
        <w:t>RecRet</w:t>
      </w:r>
      <w:r w:rsidR="008647D5" w:rsidRPr="003A4F79">
        <w:rPr>
          <w:i/>
          <w:sz w:val="16"/>
          <w:lang w:eastAsia="en-GB"/>
        </w:rPr>
        <w:t>i</w:t>
      </w:r>
      <w:r w:rsidR="008647D5" w:rsidRPr="003A4F79">
        <w:rPr>
          <w:lang w:eastAsia="en-GB"/>
        </w:rPr>
        <w:t xml:space="preserve">), </w:t>
      </w:r>
      <w:r w:rsidR="00995658" w:rsidRPr="003A4F79">
        <w:rPr>
          <w:lang w:eastAsia="en-GB"/>
        </w:rPr>
        <w:t>reali</w:t>
      </w:r>
      <w:r w:rsidR="00C95B94" w:rsidRPr="003A4F79">
        <w:rPr>
          <w:lang w:eastAsia="en-GB"/>
        </w:rPr>
        <w:t>s</w:t>
      </w:r>
      <w:r w:rsidR="00995658" w:rsidRPr="003A4F79">
        <w:rPr>
          <w:lang w:eastAsia="en-GB"/>
        </w:rPr>
        <w:t>ed returns (</w:t>
      </w:r>
      <w:r w:rsidR="00995658" w:rsidRPr="003A4F79">
        <w:rPr>
          <w:i/>
          <w:lang w:eastAsia="en-GB"/>
        </w:rPr>
        <w:t>RealRet</w:t>
      </w:r>
      <w:r w:rsidR="00995658" w:rsidRPr="003A4F79">
        <w:rPr>
          <w:i/>
          <w:sz w:val="16"/>
          <w:lang w:eastAsia="en-GB"/>
        </w:rPr>
        <w:t>i</w:t>
      </w:r>
      <w:r w:rsidR="00995658" w:rsidRPr="003A4F79">
        <w:rPr>
          <w:lang w:eastAsia="en-GB"/>
        </w:rPr>
        <w:t xml:space="preserve">), </w:t>
      </w:r>
      <w:r w:rsidR="00310A43" w:rsidRPr="003A4F79">
        <w:rPr>
          <w:lang w:eastAsia="en-GB"/>
        </w:rPr>
        <w:t>investment size</w:t>
      </w:r>
      <w:r w:rsidR="0025628B" w:rsidRPr="003A4F79">
        <w:rPr>
          <w:lang w:eastAsia="en-GB"/>
        </w:rPr>
        <w:t xml:space="preserve"> (</w:t>
      </w:r>
      <w:r w:rsidR="0025628B" w:rsidRPr="003A4F79">
        <w:rPr>
          <w:i/>
          <w:lang w:eastAsia="en-GB"/>
        </w:rPr>
        <w:t>I</w:t>
      </w:r>
      <w:r w:rsidR="00EA0734" w:rsidRPr="003A4F79">
        <w:rPr>
          <w:i/>
          <w:lang w:eastAsia="en-GB"/>
        </w:rPr>
        <w:t>nvSiz</w:t>
      </w:r>
      <w:r w:rsidR="0025628B" w:rsidRPr="003A4F79">
        <w:rPr>
          <w:i/>
          <w:sz w:val="16"/>
          <w:lang w:eastAsia="en-GB"/>
        </w:rPr>
        <w:t>i</w:t>
      </w:r>
      <w:r w:rsidR="0025628B" w:rsidRPr="003A4F79">
        <w:rPr>
          <w:lang w:eastAsia="en-GB"/>
        </w:rPr>
        <w:t>)</w:t>
      </w:r>
      <w:r w:rsidR="00310A43" w:rsidRPr="003A4F79">
        <w:rPr>
          <w:lang w:eastAsia="en-GB"/>
        </w:rPr>
        <w:t>, the number of trades</w:t>
      </w:r>
      <w:r w:rsidR="00EA0734" w:rsidRPr="003A4F79">
        <w:rPr>
          <w:lang w:eastAsia="en-GB"/>
        </w:rPr>
        <w:t xml:space="preserve"> (</w:t>
      </w:r>
      <w:r w:rsidR="00EA0734" w:rsidRPr="003A4F79">
        <w:rPr>
          <w:i/>
          <w:lang w:eastAsia="en-GB"/>
        </w:rPr>
        <w:t>ZeroTrd</w:t>
      </w:r>
      <w:r w:rsidR="00EA0734" w:rsidRPr="003A4F79">
        <w:rPr>
          <w:i/>
          <w:sz w:val="16"/>
          <w:lang w:eastAsia="en-GB"/>
        </w:rPr>
        <w:t>i</w:t>
      </w:r>
      <w:r w:rsidR="00EA0734" w:rsidRPr="003A4F79">
        <w:rPr>
          <w:lang w:eastAsia="en-GB"/>
        </w:rPr>
        <w:t>)</w:t>
      </w:r>
      <w:r w:rsidR="00310A43" w:rsidRPr="003A4F79">
        <w:rPr>
          <w:lang w:eastAsia="en-GB"/>
        </w:rPr>
        <w:t>, the number of stocks</w:t>
      </w:r>
      <w:r w:rsidR="00EA0734" w:rsidRPr="003A4F79">
        <w:rPr>
          <w:lang w:eastAsia="en-GB"/>
        </w:rPr>
        <w:t xml:space="preserve"> (</w:t>
      </w:r>
      <w:r w:rsidR="00EA0734" w:rsidRPr="003A4F79">
        <w:rPr>
          <w:i/>
          <w:lang w:eastAsia="en-GB"/>
        </w:rPr>
        <w:t>SglStock</w:t>
      </w:r>
      <w:r w:rsidR="00EA0734" w:rsidRPr="003A4F79">
        <w:rPr>
          <w:i/>
          <w:sz w:val="16"/>
          <w:lang w:eastAsia="en-GB"/>
        </w:rPr>
        <w:t>i</w:t>
      </w:r>
      <w:r w:rsidR="00EA0734" w:rsidRPr="003A4F79">
        <w:rPr>
          <w:lang w:eastAsia="en-GB"/>
        </w:rPr>
        <w:t>)</w:t>
      </w:r>
      <w:r w:rsidR="00310A43" w:rsidRPr="003A4F79">
        <w:rPr>
          <w:lang w:eastAsia="en-GB"/>
        </w:rPr>
        <w:t>, and</w:t>
      </w:r>
      <w:r w:rsidR="00816C98" w:rsidRPr="003A4F79">
        <w:rPr>
          <w:lang w:eastAsia="en-GB"/>
        </w:rPr>
        <w:t xml:space="preserve"> </w:t>
      </w:r>
      <w:r w:rsidR="00310A43" w:rsidRPr="003A4F79">
        <w:rPr>
          <w:lang w:eastAsia="en-GB"/>
        </w:rPr>
        <w:t>Nokia</w:t>
      </w:r>
      <w:r w:rsidR="00F9331A" w:rsidRPr="003A4F79">
        <w:rPr>
          <w:lang w:eastAsia="en-GB"/>
        </w:rPr>
        <w:t xml:space="preserve"> </w:t>
      </w:r>
      <w:r w:rsidR="00162F61" w:rsidRPr="003A4F79">
        <w:rPr>
          <w:lang w:eastAsia="en-GB"/>
        </w:rPr>
        <w:t>investors (</w:t>
      </w:r>
      <w:r w:rsidR="00162F61" w:rsidRPr="003A4F79">
        <w:rPr>
          <w:i/>
          <w:lang w:eastAsia="en-GB"/>
        </w:rPr>
        <w:t>Nokia</w:t>
      </w:r>
      <w:r w:rsidR="00162F61" w:rsidRPr="003A4F79">
        <w:rPr>
          <w:i/>
          <w:sz w:val="16"/>
          <w:lang w:eastAsia="en-GB"/>
        </w:rPr>
        <w:t>i</w:t>
      </w:r>
      <w:r w:rsidR="00162F61" w:rsidRPr="003A4F79">
        <w:rPr>
          <w:lang w:eastAsia="en-GB"/>
        </w:rPr>
        <w:t>)</w:t>
      </w:r>
      <w:r w:rsidR="00310A43" w:rsidRPr="003A4F79">
        <w:rPr>
          <w:lang w:eastAsia="en-GB"/>
        </w:rPr>
        <w:t xml:space="preserve">. </w:t>
      </w:r>
      <w:r w:rsidR="00D30812" w:rsidRPr="003A4F79">
        <w:rPr>
          <w:lang w:eastAsia="en-GB"/>
        </w:rPr>
        <w:t xml:space="preserve">More specifically, </w:t>
      </w:r>
      <w:r w:rsidR="00816C98" w:rsidRPr="003A4F79">
        <w:rPr>
          <w:i/>
          <w:lang w:eastAsia="en-GB"/>
        </w:rPr>
        <w:t>InvSiz</w:t>
      </w:r>
      <w:r w:rsidR="00816C98" w:rsidRPr="003A4F79">
        <w:rPr>
          <w:i/>
          <w:sz w:val="16"/>
          <w:lang w:eastAsia="en-GB"/>
        </w:rPr>
        <w:t>i</w:t>
      </w:r>
      <w:r w:rsidR="00816C98" w:rsidRPr="003A4F79">
        <w:rPr>
          <w:lang w:eastAsia="en-GB"/>
        </w:rPr>
        <w:t xml:space="preserve"> is defined as the log of average portfolio holdings, and </w:t>
      </w:r>
      <w:r w:rsidR="00816C98" w:rsidRPr="003A4F79">
        <w:rPr>
          <w:i/>
          <w:lang w:eastAsia="en-GB"/>
        </w:rPr>
        <w:t>ZeroTrd</w:t>
      </w:r>
      <w:r w:rsidR="00816C98" w:rsidRPr="003A4F79">
        <w:rPr>
          <w:i/>
          <w:sz w:val="16"/>
          <w:lang w:eastAsia="en-GB"/>
        </w:rPr>
        <w:t>i</w:t>
      </w:r>
      <w:r w:rsidR="00816C98" w:rsidRPr="003A4F79">
        <w:rPr>
          <w:lang w:eastAsia="en-GB"/>
        </w:rPr>
        <w:t xml:space="preserve"> is a dummy variable </w:t>
      </w:r>
      <w:r w:rsidR="00F9331A" w:rsidRPr="003A4F79">
        <w:rPr>
          <w:lang w:eastAsia="en-GB"/>
        </w:rPr>
        <w:t>that</w:t>
      </w:r>
      <w:r w:rsidR="00816C98" w:rsidRPr="003A4F79">
        <w:rPr>
          <w:lang w:eastAsia="en-GB"/>
        </w:rPr>
        <w:t xml:space="preserve"> equal</w:t>
      </w:r>
      <w:r w:rsidR="00F9331A" w:rsidRPr="003A4F79">
        <w:rPr>
          <w:lang w:eastAsia="en-GB"/>
        </w:rPr>
        <w:t>s</w:t>
      </w:r>
      <w:r w:rsidR="00816C98" w:rsidRPr="003A4F79">
        <w:rPr>
          <w:lang w:eastAsia="en-GB"/>
        </w:rPr>
        <w:t xml:space="preserve"> 1 if an investor never trades between entry and exit month</w:t>
      </w:r>
      <w:r w:rsidR="00F9331A" w:rsidRPr="003A4F79">
        <w:rPr>
          <w:lang w:eastAsia="en-GB"/>
        </w:rPr>
        <w:t>s</w:t>
      </w:r>
      <w:r w:rsidR="00816C98" w:rsidRPr="003A4F79">
        <w:rPr>
          <w:lang w:eastAsia="en-GB"/>
        </w:rPr>
        <w:t xml:space="preserve">, and zero otherwise. </w:t>
      </w:r>
      <w:r w:rsidR="00816C98" w:rsidRPr="003A4F79">
        <w:rPr>
          <w:i/>
          <w:lang w:eastAsia="en-GB"/>
        </w:rPr>
        <w:t>SglStock</w:t>
      </w:r>
      <w:r w:rsidR="00816C98" w:rsidRPr="003A4F79">
        <w:rPr>
          <w:i/>
          <w:sz w:val="16"/>
          <w:lang w:eastAsia="en-GB"/>
        </w:rPr>
        <w:t>i</w:t>
      </w:r>
      <w:r w:rsidR="00816C98" w:rsidRPr="003A4F79">
        <w:rPr>
          <w:lang w:eastAsia="en-GB"/>
        </w:rPr>
        <w:t xml:space="preserve"> is a dummy variable equal to 1 if an investor trades only one stock during </w:t>
      </w:r>
      <w:r w:rsidR="00F9331A" w:rsidRPr="003A4F79">
        <w:rPr>
          <w:lang w:eastAsia="en-GB"/>
        </w:rPr>
        <w:t>the time</w:t>
      </w:r>
      <w:r w:rsidR="00816C98" w:rsidRPr="003A4F79">
        <w:rPr>
          <w:lang w:eastAsia="en-GB"/>
        </w:rPr>
        <w:t xml:space="preserve"> in the stock market</w:t>
      </w:r>
      <w:r w:rsidR="00CE1FBB" w:rsidRPr="003A4F79">
        <w:rPr>
          <w:lang w:eastAsia="en-GB"/>
        </w:rPr>
        <w:t>. We consider a set</w:t>
      </w:r>
      <w:r w:rsidR="00F9331A" w:rsidRPr="003A4F79">
        <w:rPr>
          <w:lang w:eastAsia="en-GB"/>
        </w:rPr>
        <w:t>-</w:t>
      </w:r>
      <w:r w:rsidR="00CE1FBB" w:rsidRPr="003A4F79">
        <w:rPr>
          <w:lang w:eastAsia="en-GB"/>
        </w:rPr>
        <w:t>up of dummy variables (rather than continuous variables) to account for the number of stock</w:t>
      </w:r>
      <w:r w:rsidR="00F9331A" w:rsidRPr="003A4F79">
        <w:rPr>
          <w:lang w:eastAsia="en-GB"/>
        </w:rPr>
        <w:t>s</w:t>
      </w:r>
      <w:r w:rsidR="00CE1FBB" w:rsidRPr="003A4F79">
        <w:rPr>
          <w:lang w:eastAsia="en-GB"/>
        </w:rPr>
        <w:t xml:space="preserve"> and trade</w:t>
      </w:r>
      <w:r w:rsidR="00F9331A" w:rsidRPr="003A4F79">
        <w:rPr>
          <w:lang w:eastAsia="en-GB"/>
        </w:rPr>
        <w:t>s</w:t>
      </w:r>
      <w:r w:rsidR="00CE1FBB" w:rsidRPr="003A4F79">
        <w:rPr>
          <w:lang w:eastAsia="en-GB"/>
        </w:rPr>
        <w:t xml:space="preserve"> because most investors in our sample (about 70%) only own one stock and do not trade at all. </w:t>
      </w:r>
      <w:r w:rsidR="00DA1C12" w:rsidRPr="003A4F79">
        <w:rPr>
          <w:i/>
          <w:lang w:eastAsia="en-GB"/>
        </w:rPr>
        <w:t>Nokia</w:t>
      </w:r>
      <w:r w:rsidR="00DA1C12" w:rsidRPr="003A4F79">
        <w:rPr>
          <w:i/>
          <w:sz w:val="16"/>
          <w:lang w:eastAsia="en-GB"/>
        </w:rPr>
        <w:t>i</w:t>
      </w:r>
      <w:r w:rsidR="00816C98" w:rsidRPr="003A4F79">
        <w:rPr>
          <w:lang w:eastAsia="en-GB"/>
        </w:rPr>
        <w:t xml:space="preserve"> is a dummy </w:t>
      </w:r>
      <w:r w:rsidR="0050593C" w:rsidRPr="003A4F79">
        <w:rPr>
          <w:lang w:eastAsia="en-GB"/>
        </w:rPr>
        <w:t>equal to 1 if an investor initiate</w:t>
      </w:r>
      <w:r w:rsidR="00F9331A" w:rsidRPr="003A4F79">
        <w:rPr>
          <w:lang w:eastAsia="en-GB"/>
        </w:rPr>
        <w:t>s</w:t>
      </w:r>
      <w:r w:rsidR="0050593C" w:rsidRPr="003A4F79">
        <w:rPr>
          <w:lang w:eastAsia="en-GB"/>
        </w:rPr>
        <w:t xml:space="preserve"> stock </w:t>
      </w:r>
      <w:r w:rsidR="00F9331A" w:rsidRPr="003A4F79">
        <w:rPr>
          <w:lang w:eastAsia="en-GB"/>
        </w:rPr>
        <w:t xml:space="preserve">investment </w:t>
      </w:r>
      <w:r w:rsidR="0050593C" w:rsidRPr="003A4F79">
        <w:rPr>
          <w:lang w:eastAsia="en-GB"/>
        </w:rPr>
        <w:t>by purchasing Nokia stock.</w:t>
      </w:r>
      <w:r w:rsidR="00D56478" w:rsidRPr="003A4F79">
        <w:rPr>
          <w:lang w:eastAsia="en-GB"/>
        </w:rPr>
        <w:t xml:space="preserve"> </w:t>
      </w:r>
      <w:r w:rsidR="0041030C" w:rsidRPr="003A4F79">
        <w:rPr>
          <w:lang w:eastAsia="en-GB"/>
        </w:rPr>
        <w:t xml:space="preserve">We use </w:t>
      </w:r>
      <w:r w:rsidR="00D56478" w:rsidRPr="003A4F79">
        <w:rPr>
          <w:lang w:eastAsia="en-GB"/>
        </w:rPr>
        <w:t xml:space="preserve">this variable </w:t>
      </w:r>
      <w:r w:rsidR="0041030C" w:rsidRPr="003A4F79">
        <w:rPr>
          <w:lang w:eastAsia="en-GB"/>
        </w:rPr>
        <w:t>because Nokia</w:t>
      </w:r>
      <w:r w:rsidR="00D56478" w:rsidRPr="003A4F79">
        <w:rPr>
          <w:lang w:eastAsia="en-GB"/>
        </w:rPr>
        <w:t xml:space="preserve"> is by far the largest firm in the Finnish market, accounting for 36% of the total stock market capitalization on average during the sample period</w:t>
      </w:r>
      <w:r w:rsidR="002F56F8" w:rsidRPr="003A4F79">
        <w:rPr>
          <w:lang w:eastAsia="en-GB"/>
        </w:rPr>
        <w:t xml:space="preserve">. </w:t>
      </w:r>
      <w:r w:rsidR="00E92617" w:rsidRPr="003A4F79">
        <w:rPr>
          <w:lang w:eastAsia="en-GB"/>
        </w:rPr>
        <w:t>W</w:t>
      </w:r>
      <w:r w:rsidR="00FC7DBE" w:rsidRPr="003A4F79">
        <w:rPr>
          <w:lang w:eastAsia="en-GB"/>
        </w:rPr>
        <w:t xml:space="preserve">e </w:t>
      </w:r>
      <w:r w:rsidR="00E92617" w:rsidRPr="003A4F79">
        <w:rPr>
          <w:lang w:eastAsia="en-GB"/>
        </w:rPr>
        <w:t xml:space="preserve">also </w:t>
      </w:r>
      <w:r w:rsidR="00FC7DBE" w:rsidRPr="003A4F79">
        <w:rPr>
          <w:lang w:eastAsia="en-GB"/>
        </w:rPr>
        <w:t>construct a dummy variable (</w:t>
      </w:r>
      <w:r w:rsidR="00FC7DBE" w:rsidRPr="003A4F79">
        <w:rPr>
          <w:i/>
          <w:lang w:eastAsia="en-GB"/>
        </w:rPr>
        <w:t>Vicinity</w:t>
      </w:r>
      <w:r w:rsidR="00DE36AC" w:rsidRPr="003A4F79">
        <w:rPr>
          <w:i/>
          <w:vertAlign w:val="subscript"/>
          <w:lang w:eastAsia="en-GB"/>
        </w:rPr>
        <w:t>i</w:t>
      </w:r>
      <w:r w:rsidR="00FC7DBE" w:rsidRPr="003A4F79">
        <w:rPr>
          <w:lang w:eastAsia="en-GB"/>
        </w:rPr>
        <w:t xml:space="preserve">) indicating whether an investor resides in the same municipality that </w:t>
      </w:r>
      <w:r w:rsidR="00EE22ED" w:rsidRPr="003A4F79">
        <w:rPr>
          <w:lang w:eastAsia="en-GB"/>
        </w:rPr>
        <w:t xml:space="preserve">the </w:t>
      </w:r>
      <w:r w:rsidR="00632A5F" w:rsidRPr="003A4F79">
        <w:rPr>
          <w:lang w:eastAsia="en-GB"/>
        </w:rPr>
        <w:t>corporate</w:t>
      </w:r>
      <w:r w:rsidR="00FC7DBE" w:rsidRPr="003A4F79">
        <w:rPr>
          <w:lang w:eastAsia="en-GB"/>
        </w:rPr>
        <w:t xml:space="preserve"> headquarter</w:t>
      </w:r>
      <w:r w:rsidR="00EE22ED" w:rsidRPr="003A4F79">
        <w:rPr>
          <w:lang w:eastAsia="en-GB"/>
        </w:rPr>
        <w:t>s</w:t>
      </w:r>
      <w:r w:rsidR="00FC7DBE" w:rsidRPr="003A4F79">
        <w:rPr>
          <w:lang w:eastAsia="en-GB"/>
        </w:rPr>
        <w:t xml:space="preserve"> of the company whose stocks she holds is located in. Th</w:t>
      </w:r>
      <w:r w:rsidR="00C91E4F" w:rsidRPr="003A4F79">
        <w:rPr>
          <w:lang w:eastAsia="en-GB"/>
        </w:rPr>
        <w:t>is variable is used</w:t>
      </w:r>
      <w:r w:rsidR="00367833" w:rsidRPr="003A4F79">
        <w:rPr>
          <w:lang w:eastAsia="en-GB"/>
        </w:rPr>
        <w:t xml:space="preserve"> in our main analyses </w:t>
      </w:r>
      <w:r w:rsidR="00C91E4F" w:rsidRPr="003A4F79">
        <w:rPr>
          <w:lang w:eastAsia="en-GB"/>
        </w:rPr>
        <w:t xml:space="preserve">to </w:t>
      </w:r>
      <w:r w:rsidR="00342DA5" w:rsidRPr="003A4F79">
        <w:rPr>
          <w:lang w:eastAsia="en-GB"/>
        </w:rPr>
        <w:t xml:space="preserve">take into account the possibility of investors being under </w:t>
      </w:r>
      <w:r w:rsidR="00C91E4F" w:rsidRPr="003A4F79">
        <w:rPr>
          <w:lang w:eastAsia="en-GB"/>
        </w:rPr>
        <w:t>employee stock</w:t>
      </w:r>
      <w:r w:rsidR="00141D4C" w:rsidRPr="003A4F79">
        <w:rPr>
          <w:lang w:eastAsia="en-GB"/>
        </w:rPr>
        <w:t>-</w:t>
      </w:r>
      <w:r w:rsidR="00C91E4F" w:rsidRPr="003A4F79">
        <w:rPr>
          <w:lang w:eastAsia="en-GB"/>
        </w:rPr>
        <w:t>ownership plans</w:t>
      </w:r>
      <w:r w:rsidR="00367833" w:rsidRPr="003A4F79">
        <w:rPr>
          <w:lang w:eastAsia="en-GB"/>
        </w:rPr>
        <w:t>.</w:t>
      </w:r>
      <w:r w:rsidR="00DE36AC" w:rsidRPr="003A4F79">
        <w:rPr>
          <w:lang w:eastAsia="en-GB"/>
        </w:rPr>
        <w:t xml:space="preserve"> We compute for idiosyncratic volatility/skewness (</w:t>
      </w:r>
      <w:r w:rsidR="00DE36AC" w:rsidRPr="003A4F79">
        <w:rPr>
          <w:i/>
          <w:lang w:eastAsia="en-GB"/>
        </w:rPr>
        <w:t>IVol</w:t>
      </w:r>
      <w:r w:rsidR="004D6A77" w:rsidRPr="003A4F79">
        <w:rPr>
          <w:i/>
          <w:vertAlign w:val="subscript"/>
          <w:lang w:eastAsia="en-GB"/>
        </w:rPr>
        <w:t>i</w:t>
      </w:r>
      <w:r w:rsidR="00DE36AC" w:rsidRPr="003A4F79">
        <w:rPr>
          <w:lang w:eastAsia="en-GB"/>
        </w:rPr>
        <w:t xml:space="preserve"> and </w:t>
      </w:r>
      <w:r w:rsidR="00DE36AC" w:rsidRPr="003A4F79">
        <w:rPr>
          <w:i/>
          <w:lang w:eastAsia="en-GB"/>
        </w:rPr>
        <w:t>ISkew</w:t>
      </w:r>
      <w:r w:rsidR="004D6A77" w:rsidRPr="003A4F79">
        <w:rPr>
          <w:i/>
          <w:vertAlign w:val="subscript"/>
          <w:lang w:eastAsia="en-GB"/>
        </w:rPr>
        <w:t>i</w:t>
      </w:r>
      <w:r w:rsidR="00DE36AC" w:rsidRPr="003A4F79">
        <w:rPr>
          <w:lang w:eastAsia="en-GB"/>
        </w:rPr>
        <w:t xml:space="preserve">) of the initial stock </w:t>
      </w:r>
      <w:r w:rsidR="004D6A77" w:rsidRPr="003A4F79">
        <w:rPr>
          <w:lang w:eastAsia="en-GB"/>
        </w:rPr>
        <w:t>as well as stock market returns on-, before-, and after the entry time (</w:t>
      </w:r>
      <w:r w:rsidR="004D6A77" w:rsidRPr="003A4F79">
        <w:rPr>
          <w:i/>
          <w:lang w:eastAsia="en-GB"/>
        </w:rPr>
        <w:t>Mkt_entry</w:t>
      </w:r>
      <w:r w:rsidR="004D6A77" w:rsidRPr="003A4F79">
        <w:rPr>
          <w:i/>
          <w:vertAlign w:val="subscript"/>
          <w:lang w:eastAsia="en-GB"/>
        </w:rPr>
        <w:t>i</w:t>
      </w:r>
      <w:r w:rsidR="004D6A77" w:rsidRPr="003A4F79">
        <w:rPr>
          <w:lang w:eastAsia="en-GB"/>
        </w:rPr>
        <w:t xml:space="preserve">, </w:t>
      </w:r>
      <w:r w:rsidR="004D6A77" w:rsidRPr="003A4F79">
        <w:rPr>
          <w:i/>
          <w:lang w:eastAsia="en-GB"/>
        </w:rPr>
        <w:t>Mkt_bf</w:t>
      </w:r>
      <w:r w:rsidR="004D6A77" w:rsidRPr="003A4F79">
        <w:rPr>
          <w:i/>
          <w:vertAlign w:val="subscript"/>
          <w:lang w:eastAsia="en-GB"/>
        </w:rPr>
        <w:t>i</w:t>
      </w:r>
      <w:r w:rsidR="004D6A77" w:rsidRPr="003A4F79">
        <w:rPr>
          <w:lang w:eastAsia="en-GB"/>
        </w:rPr>
        <w:t xml:space="preserve">, and </w:t>
      </w:r>
      <w:r w:rsidR="004D6A77" w:rsidRPr="003A4F79">
        <w:rPr>
          <w:i/>
          <w:lang w:eastAsia="en-GB"/>
        </w:rPr>
        <w:t>Mkt_af</w:t>
      </w:r>
      <w:r w:rsidR="004D6A77" w:rsidRPr="003A4F79">
        <w:rPr>
          <w:i/>
          <w:vertAlign w:val="subscript"/>
          <w:lang w:eastAsia="en-GB"/>
        </w:rPr>
        <w:t>i</w:t>
      </w:r>
      <w:r w:rsidR="004D6A77" w:rsidRPr="003A4F79">
        <w:rPr>
          <w:lang w:eastAsia="en-GB"/>
        </w:rPr>
        <w:t>).</w:t>
      </w:r>
      <w:r w:rsidR="00D12954" w:rsidRPr="003A4F79">
        <w:rPr>
          <w:lang w:eastAsia="en-GB"/>
        </w:rPr>
        <w:t xml:space="preserve"> </w:t>
      </w:r>
      <w:r w:rsidR="00D12954" w:rsidRPr="003A4F79">
        <w:rPr>
          <w:i/>
        </w:rPr>
        <w:t>Ret_entry</w:t>
      </w:r>
      <w:r w:rsidR="00D12954" w:rsidRPr="003A4F79">
        <w:t xml:space="preserve"> is the past 3-month return of the initial stock, </w:t>
      </w:r>
      <w:r w:rsidR="00D12954" w:rsidRPr="003A4F79">
        <w:lastRenderedPageBreak/>
        <w:t xml:space="preserve">and </w:t>
      </w:r>
      <w:r w:rsidR="00D12954" w:rsidRPr="003A4F79">
        <w:rPr>
          <w:i/>
        </w:rPr>
        <w:t>Value</w:t>
      </w:r>
      <w:r w:rsidR="00D12954" w:rsidRPr="003A4F79">
        <w:t xml:space="preserve"> is the indicator of the initial stock being a value stock (i.e., the book-to-market ratio is higher than the sample median).</w:t>
      </w:r>
    </w:p>
    <w:p w14:paraId="0F9CF075" w14:textId="7F9CCD04" w:rsidR="00DC25A5" w:rsidRPr="003A4F79" w:rsidRDefault="001E1FA6">
      <w:pPr>
        <w:rPr>
          <w:lang w:eastAsia="en-GB"/>
        </w:rPr>
      </w:pPr>
      <w:r w:rsidRPr="003A4F79">
        <w:rPr>
          <w:lang w:eastAsia="en-GB"/>
        </w:rPr>
        <w:t>We consider two time-varying covariates, Finnish stock market return (</w:t>
      </w:r>
      <w:r w:rsidRPr="003A4F79">
        <w:rPr>
          <w:i/>
          <w:lang w:eastAsia="en-GB"/>
        </w:rPr>
        <w:t>Mkt</w:t>
      </w:r>
      <w:r w:rsidR="004221B6" w:rsidRPr="003A4F79">
        <w:rPr>
          <w:i/>
          <w:lang w:eastAsia="en-GB"/>
        </w:rPr>
        <w:t>Ret</w:t>
      </w:r>
      <w:r w:rsidRPr="003A4F79">
        <w:rPr>
          <w:i/>
          <w:sz w:val="16"/>
          <w:lang w:eastAsia="en-GB"/>
        </w:rPr>
        <w:t>t</w:t>
      </w:r>
      <w:r w:rsidRPr="003A4F79">
        <w:rPr>
          <w:lang w:eastAsia="en-GB"/>
        </w:rPr>
        <w:t>) and volatility</w:t>
      </w:r>
      <w:r w:rsidR="00F05440" w:rsidRPr="003A4F79">
        <w:rPr>
          <w:lang w:eastAsia="en-GB"/>
        </w:rPr>
        <w:t xml:space="preserve"> (</w:t>
      </w:r>
      <w:r w:rsidR="00862DF3" w:rsidRPr="003A4F79">
        <w:rPr>
          <w:lang w:eastAsia="en-GB"/>
        </w:rPr>
        <w:t xml:space="preserve">i.e., </w:t>
      </w:r>
      <w:r w:rsidR="00F05440" w:rsidRPr="003A4F79">
        <w:rPr>
          <w:lang w:eastAsia="en-GB"/>
        </w:rPr>
        <w:t>standard deviation of daily returns</w:t>
      </w:r>
      <w:r w:rsidR="00EF266B" w:rsidRPr="003A4F79">
        <w:rPr>
          <w:lang w:eastAsia="en-GB"/>
        </w:rPr>
        <w:t xml:space="preserve"> for the month</w:t>
      </w:r>
      <w:r w:rsidR="00F05440" w:rsidRPr="003A4F79">
        <w:rPr>
          <w:lang w:eastAsia="en-GB"/>
        </w:rPr>
        <w:t>)</w:t>
      </w:r>
      <w:r w:rsidRPr="003A4F79">
        <w:rPr>
          <w:lang w:eastAsia="en-GB"/>
        </w:rPr>
        <w:t xml:space="preserve"> (</w:t>
      </w:r>
      <w:r w:rsidRPr="003A4F79">
        <w:rPr>
          <w:i/>
          <w:lang w:eastAsia="en-GB"/>
        </w:rPr>
        <w:t>MktVol</w:t>
      </w:r>
      <w:r w:rsidRPr="003A4F79">
        <w:rPr>
          <w:i/>
          <w:sz w:val="16"/>
          <w:lang w:eastAsia="en-GB"/>
        </w:rPr>
        <w:t>t</w:t>
      </w:r>
      <w:r w:rsidRPr="003A4F79">
        <w:rPr>
          <w:lang w:eastAsia="en-GB"/>
        </w:rPr>
        <w:t>)</w:t>
      </w:r>
      <w:r w:rsidR="008E404C" w:rsidRPr="003A4F79">
        <w:rPr>
          <w:lang w:eastAsia="en-GB"/>
        </w:rPr>
        <w:t xml:space="preserve"> compute</w:t>
      </w:r>
      <w:r w:rsidR="0055765E" w:rsidRPr="003A4F79">
        <w:rPr>
          <w:lang w:eastAsia="en-GB"/>
        </w:rPr>
        <w:t>d</w:t>
      </w:r>
      <w:r w:rsidR="008E404C" w:rsidRPr="003A4F79">
        <w:rPr>
          <w:lang w:eastAsia="en-GB"/>
        </w:rPr>
        <w:t xml:space="preserve"> using the prices of the OMX Helsinki Index</w:t>
      </w:r>
      <w:r w:rsidR="00F9331A" w:rsidRPr="003A4F79">
        <w:rPr>
          <w:lang w:eastAsia="en-GB"/>
        </w:rPr>
        <w:t>,</w:t>
      </w:r>
      <w:r w:rsidRPr="003A4F79">
        <w:rPr>
          <w:lang w:eastAsia="en-GB"/>
        </w:rPr>
        <w:t xml:space="preserve"> as well </w:t>
      </w:r>
      <w:r w:rsidR="00F9331A" w:rsidRPr="003A4F79">
        <w:rPr>
          <w:lang w:eastAsia="en-GB"/>
        </w:rPr>
        <w:t xml:space="preserve">the </w:t>
      </w:r>
      <w:r w:rsidRPr="003A4F79">
        <w:rPr>
          <w:lang w:eastAsia="en-GB"/>
        </w:rPr>
        <w:t>investor demographics</w:t>
      </w:r>
      <w:r w:rsidR="00E5575F" w:rsidRPr="003A4F79">
        <w:rPr>
          <w:lang w:eastAsia="en-GB"/>
        </w:rPr>
        <w:t xml:space="preserve"> </w:t>
      </w:r>
      <w:r w:rsidR="00F9331A" w:rsidRPr="003A4F79">
        <w:rPr>
          <w:lang w:eastAsia="en-GB"/>
        </w:rPr>
        <w:t>of</w:t>
      </w:r>
      <w:r w:rsidR="00E5575F" w:rsidRPr="003A4F79">
        <w:rPr>
          <w:lang w:eastAsia="en-GB"/>
        </w:rPr>
        <w:t xml:space="preserve"> age (</w:t>
      </w:r>
      <w:r w:rsidR="00305E8C" w:rsidRPr="003A4F79">
        <w:rPr>
          <w:i/>
          <w:lang w:eastAsia="en-GB"/>
        </w:rPr>
        <w:t>Age</w:t>
      </w:r>
      <w:r w:rsidR="00305E8C" w:rsidRPr="003A4F79">
        <w:rPr>
          <w:i/>
          <w:sz w:val="16"/>
          <w:lang w:eastAsia="en-GB"/>
        </w:rPr>
        <w:t>i</w:t>
      </w:r>
      <w:r w:rsidR="00E5575F" w:rsidRPr="003A4F79">
        <w:rPr>
          <w:lang w:eastAsia="en-GB"/>
        </w:rPr>
        <w:t>)</w:t>
      </w:r>
      <w:r w:rsidR="00C2716A" w:rsidRPr="003A4F79">
        <w:rPr>
          <w:lang w:eastAsia="en-GB"/>
        </w:rPr>
        <w:t xml:space="preserve"> </w:t>
      </w:r>
      <w:r w:rsidR="00E5575F" w:rsidRPr="003A4F79">
        <w:rPr>
          <w:lang w:eastAsia="en-GB"/>
        </w:rPr>
        <w:t>and gender</w:t>
      </w:r>
      <w:r w:rsidR="002B2413" w:rsidRPr="003A4F79">
        <w:rPr>
          <w:lang w:eastAsia="en-GB"/>
        </w:rPr>
        <w:t xml:space="preserve"> (</w:t>
      </w:r>
      <w:r w:rsidR="002B2413" w:rsidRPr="003A4F79">
        <w:rPr>
          <w:i/>
          <w:lang w:eastAsia="en-GB"/>
        </w:rPr>
        <w:t>Female</w:t>
      </w:r>
      <w:r w:rsidR="002B2413" w:rsidRPr="003A4F79">
        <w:rPr>
          <w:i/>
          <w:sz w:val="16"/>
          <w:lang w:eastAsia="en-GB"/>
        </w:rPr>
        <w:t>i</w:t>
      </w:r>
      <w:r w:rsidR="002B2413" w:rsidRPr="003A4F79">
        <w:rPr>
          <w:lang w:eastAsia="en-GB"/>
        </w:rPr>
        <w:t>)</w:t>
      </w:r>
      <w:r w:rsidR="00E5575F" w:rsidRPr="003A4F79">
        <w:rPr>
          <w:lang w:eastAsia="en-GB"/>
        </w:rPr>
        <w:t>.</w:t>
      </w:r>
      <w:r w:rsidR="000A4903" w:rsidRPr="003A4F79">
        <w:rPr>
          <w:lang w:eastAsia="en-GB"/>
        </w:rPr>
        <w:t xml:space="preserve"> </w:t>
      </w:r>
      <w:r w:rsidR="00F37200" w:rsidRPr="003A4F79">
        <w:rPr>
          <w:i/>
          <w:lang w:eastAsia="en-GB"/>
        </w:rPr>
        <w:t>Minor</w:t>
      </w:r>
      <w:r w:rsidR="00382B9D" w:rsidRPr="003A4F79">
        <w:rPr>
          <w:i/>
          <w:sz w:val="16"/>
          <w:lang w:eastAsia="en-GB"/>
        </w:rPr>
        <w:t>i</w:t>
      </w:r>
      <w:r w:rsidR="00E50234" w:rsidRPr="003A4F79">
        <w:rPr>
          <w:lang w:eastAsia="en-GB"/>
        </w:rPr>
        <w:t xml:space="preserve"> is a dummy variable </w:t>
      </w:r>
      <w:r w:rsidR="004006C9" w:rsidRPr="003A4F79">
        <w:rPr>
          <w:lang w:eastAsia="en-GB"/>
        </w:rPr>
        <w:t xml:space="preserve">that equals 1 </w:t>
      </w:r>
      <w:r w:rsidR="00E50234" w:rsidRPr="003A4F79">
        <w:rPr>
          <w:lang w:eastAsia="en-GB"/>
        </w:rPr>
        <w:t xml:space="preserve">if the </w:t>
      </w:r>
      <w:r w:rsidR="00F20BC9" w:rsidRPr="003A4F79">
        <w:rPr>
          <w:lang w:eastAsia="en-GB"/>
        </w:rPr>
        <w:t xml:space="preserve">account holder is below 16 years of </w:t>
      </w:r>
      <w:r w:rsidR="00E50234" w:rsidRPr="003A4F79">
        <w:rPr>
          <w:lang w:eastAsia="en-GB"/>
        </w:rPr>
        <w:t>age.</w:t>
      </w:r>
      <w:r w:rsidR="00FF58A3" w:rsidRPr="003A4F79">
        <w:rPr>
          <w:rStyle w:val="FootnoteReference"/>
          <w:lang w:eastAsia="en-GB"/>
        </w:rPr>
        <w:footnoteReference w:id="13"/>
      </w:r>
      <w:r w:rsidR="00E50234" w:rsidRPr="003A4F79">
        <w:rPr>
          <w:lang w:eastAsia="en-GB"/>
        </w:rPr>
        <w:t xml:space="preserve"> </w:t>
      </w:r>
      <w:r w:rsidR="00CD7CEE" w:rsidRPr="003A4F79">
        <w:rPr>
          <w:lang w:eastAsia="en-GB"/>
        </w:rPr>
        <w:t>We consider this variable because u</w:t>
      </w:r>
      <w:r w:rsidR="00CD7CEE" w:rsidRPr="003A4F79">
        <w:t xml:space="preserve">nder-age accounts may be distinctive, given that a high proportion of such accounts in Finnish stock markets are managed by </w:t>
      </w:r>
      <w:r w:rsidR="00CD7CEE" w:rsidRPr="003A4F79">
        <w:rPr>
          <w:i/>
        </w:rPr>
        <w:t>informed</w:t>
      </w:r>
      <w:r w:rsidR="00CD7CEE" w:rsidRPr="003A4F79">
        <w:t xml:space="preserve"> parents or guardians who have had previous success in picking stocks (Berkman, Koch, and Westerholm, 2014).</w:t>
      </w:r>
      <w:r w:rsidR="00C205D5" w:rsidRPr="003A4F79">
        <w:t xml:space="preserve"> </w:t>
      </w:r>
      <w:r w:rsidR="00C205D5" w:rsidRPr="003A4F79">
        <w:rPr>
          <w:i/>
        </w:rPr>
        <w:t>Option</w:t>
      </w:r>
      <w:r w:rsidR="009B06FA" w:rsidRPr="003A4F79">
        <w:rPr>
          <w:i/>
          <w:sz w:val="16"/>
        </w:rPr>
        <w:t>i</w:t>
      </w:r>
      <w:r w:rsidR="00C205D5" w:rsidRPr="003A4F79">
        <w:t xml:space="preserve"> is a dummy variable that equals to 1 if an investor ever trades an option during our sample period, which is employed as a measure of financial sophistication.</w:t>
      </w:r>
      <w:r w:rsidR="00CD7CEE" w:rsidRPr="003A4F79">
        <w:t xml:space="preserve"> </w:t>
      </w:r>
      <w:r w:rsidR="00B16C0B" w:rsidRPr="003A4F79">
        <w:rPr>
          <w:lang w:eastAsia="en-GB"/>
        </w:rPr>
        <w:t xml:space="preserve">To account for the fact that </w:t>
      </w:r>
      <w:r w:rsidR="00F9331A" w:rsidRPr="003A4F79">
        <w:rPr>
          <w:lang w:eastAsia="en-GB"/>
        </w:rPr>
        <w:t xml:space="preserve">the </w:t>
      </w:r>
      <w:r w:rsidR="00B16C0B" w:rsidRPr="003A4F79">
        <w:rPr>
          <w:lang w:eastAsia="en-GB"/>
        </w:rPr>
        <w:t>Finnish stock market boomed and tanked around April 2000, w</w:t>
      </w:r>
      <w:r w:rsidR="000A4903" w:rsidRPr="003A4F79">
        <w:rPr>
          <w:lang w:eastAsia="en-GB"/>
        </w:rPr>
        <w:t xml:space="preserve">e also include a dummy variable, </w:t>
      </w:r>
      <w:r w:rsidR="000A4903" w:rsidRPr="003A4F79">
        <w:rPr>
          <w:i/>
          <w:lang w:eastAsia="en-GB"/>
        </w:rPr>
        <w:t>Burst</w:t>
      </w:r>
      <w:r w:rsidR="000A4903" w:rsidRPr="003A4F79">
        <w:rPr>
          <w:i/>
          <w:sz w:val="16"/>
          <w:lang w:eastAsia="en-GB"/>
        </w:rPr>
        <w:t>t</w:t>
      </w:r>
      <w:r w:rsidR="000A4903" w:rsidRPr="003A4F79">
        <w:rPr>
          <w:lang w:eastAsia="en-GB"/>
        </w:rPr>
        <w:t xml:space="preserve">, </w:t>
      </w:r>
      <w:r w:rsidR="001F07B2" w:rsidRPr="003A4F79">
        <w:rPr>
          <w:lang w:eastAsia="en-GB"/>
        </w:rPr>
        <w:t xml:space="preserve">which is </w:t>
      </w:r>
      <w:r w:rsidR="00B9135C" w:rsidRPr="003A4F79">
        <w:rPr>
          <w:lang w:eastAsia="en-GB"/>
        </w:rPr>
        <w:t>equal</w:t>
      </w:r>
      <w:r w:rsidR="001F07B2" w:rsidRPr="003A4F79">
        <w:rPr>
          <w:lang w:eastAsia="en-GB"/>
        </w:rPr>
        <w:t xml:space="preserve"> to 1 if the time </w:t>
      </w:r>
      <w:r w:rsidR="00F9331A" w:rsidRPr="003A4F79">
        <w:rPr>
          <w:lang w:eastAsia="en-GB"/>
        </w:rPr>
        <w:t xml:space="preserve">under </w:t>
      </w:r>
      <w:r w:rsidR="001F07B2" w:rsidRPr="003A4F79">
        <w:rPr>
          <w:lang w:eastAsia="en-GB"/>
        </w:rPr>
        <w:t>consider</w:t>
      </w:r>
      <w:r w:rsidR="00F9331A" w:rsidRPr="003A4F79">
        <w:rPr>
          <w:lang w:eastAsia="en-GB"/>
        </w:rPr>
        <w:t>ation</w:t>
      </w:r>
      <w:r w:rsidR="001F07B2" w:rsidRPr="003A4F79">
        <w:rPr>
          <w:lang w:eastAsia="en-GB"/>
        </w:rPr>
        <w:t xml:space="preserve"> is later than the month of the dotcom bubble </w:t>
      </w:r>
      <w:r w:rsidR="00F9331A" w:rsidRPr="003A4F79">
        <w:rPr>
          <w:lang w:eastAsia="en-GB"/>
        </w:rPr>
        <w:t xml:space="preserve">burst </w:t>
      </w:r>
      <w:r w:rsidR="001F07B2" w:rsidRPr="003A4F79">
        <w:rPr>
          <w:lang w:eastAsia="en-GB"/>
        </w:rPr>
        <w:t>(April 2000).</w:t>
      </w:r>
      <w:r w:rsidR="00CA0EA1" w:rsidRPr="003A4F79">
        <w:rPr>
          <w:lang w:eastAsia="en-GB"/>
        </w:rPr>
        <w:t xml:space="preserve"> </w:t>
      </w:r>
    </w:p>
    <w:p w14:paraId="7995FA1F" w14:textId="161F8CAA" w:rsidR="0036223B" w:rsidRPr="003A4F79" w:rsidRDefault="0022718F">
      <w:r w:rsidRPr="003A4F79">
        <w:rPr>
          <w:lang w:eastAsia="en-GB"/>
        </w:rPr>
        <w:t xml:space="preserve">Panel </w:t>
      </w:r>
      <w:r w:rsidR="00DC25A5" w:rsidRPr="003A4F79">
        <w:rPr>
          <w:lang w:eastAsia="en-GB"/>
        </w:rPr>
        <w:t>B</w:t>
      </w:r>
      <w:r w:rsidR="000827BC" w:rsidRPr="003A4F79">
        <w:rPr>
          <w:lang w:eastAsia="en-GB"/>
        </w:rPr>
        <w:t xml:space="preserve"> </w:t>
      </w:r>
      <w:r w:rsidR="00360D75" w:rsidRPr="003A4F79">
        <w:rPr>
          <w:lang w:eastAsia="en-GB"/>
        </w:rPr>
        <w:t>of</w:t>
      </w:r>
      <w:r w:rsidR="00041F69" w:rsidRPr="003A4F79">
        <w:rPr>
          <w:lang w:eastAsia="en-GB"/>
        </w:rPr>
        <w:t xml:space="preserve"> </w:t>
      </w:r>
      <w:r w:rsidRPr="003A4F79">
        <w:rPr>
          <w:lang w:eastAsia="en-GB"/>
        </w:rPr>
        <w:t xml:space="preserve">Table 1 presents </w:t>
      </w:r>
      <w:r w:rsidR="00536ED5" w:rsidRPr="003A4F79">
        <w:rPr>
          <w:lang w:eastAsia="en-GB"/>
        </w:rPr>
        <w:t xml:space="preserve">the </w:t>
      </w:r>
      <w:r w:rsidR="00A346B0" w:rsidRPr="003A4F79">
        <w:rPr>
          <w:lang w:eastAsia="en-GB"/>
        </w:rPr>
        <w:t xml:space="preserve">summary statistics </w:t>
      </w:r>
      <w:r w:rsidR="00051857" w:rsidRPr="003A4F79">
        <w:rPr>
          <w:lang w:eastAsia="en-GB"/>
        </w:rPr>
        <w:t>for</w:t>
      </w:r>
      <w:r w:rsidR="00F9331A" w:rsidRPr="003A4F79">
        <w:rPr>
          <w:lang w:eastAsia="en-GB"/>
        </w:rPr>
        <w:t xml:space="preserve"> </w:t>
      </w:r>
      <w:r w:rsidR="00A346B0" w:rsidRPr="003A4F79">
        <w:rPr>
          <w:lang w:eastAsia="en-GB"/>
        </w:rPr>
        <w:t xml:space="preserve">the panel data of </w:t>
      </w:r>
      <w:r w:rsidR="008F12BE" w:rsidRPr="003A4F79">
        <w:rPr>
          <w:lang w:eastAsia="en-GB"/>
        </w:rPr>
        <w:t>our sample</w:t>
      </w:r>
      <w:r w:rsidR="00DE78B9" w:rsidRPr="003A4F79">
        <w:rPr>
          <w:lang w:eastAsia="en-GB"/>
        </w:rPr>
        <w:t xml:space="preserve"> that consist of 276,740 investor-months</w:t>
      </w:r>
      <w:r w:rsidR="00F9331A" w:rsidRPr="003A4F79">
        <w:rPr>
          <w:lang w:eastAsia="en-GB"/>
        </w:rPr>
        <w:t xml:space="preserve">. </w:t>
      </w:r>
      <w:r w:rsidR="00321B56" w:rsidRPr="003A4F79">
        <w:rPr>
          <w:lang w:eastAsia="en-GB"/>
        </w:rPr>
        <w:t>Regarding investor characteristics, f</w:t>
      </w:r>
      <w:r w:rsidR="002F4C2C" w:rsidRPr="003A4F79">
        <w:rPr>
          <w:lang w:eastAsia="en-GB"/>
        </w:rPr>
        <w:t>e</w:t>
      </w:r>
      <w:r w:rsidR="008C5EFD" w:rsidRPr="003A4F79">
        <w:t>male</w:t>
      </w:r>
      <w:r w:rsidR="00E842C2" w:rsidRPr="003A4F79">
        <w:t xml:space="preserve">s make up </w:t>
      </w:r>
      <w:r w:rsidR="002C2884" w:rsidRPr="003A4F79">
        <w:t>30</w:t>
      </w:r>
      <w:r w:rsidR="00E83052" w:rsidRPr="003A4F79">
        <w:t>%</w:t>
      </w:r>
      <w:r w:rsidR="00100954" w:rsidRPr="003A4F79">
        <w:t xml:space="preserve"> </w:t>
      </w:r>
      <w:r w:rsidR="008C5EFD" w:rsidRPr="003A4F79">
        <w:t>of total accounts</w:t>
      </w:r>
      <w:r w:rsidR="00F9331A" w:rsidRPr="003A4F79">
        <w:t xml:space="preserve">, </w:t>
      </w:r>
      <w:r w:rsidR="002F4C2C" w:rsidRPr="003A4F79">
        <w:t>the</w:t>
      </w:r>
      <w:r w:rsidR="003114CD" w:rsidRPr="003A4F79">
        <w:t xml:space="preserve"> me</w:t>
      </w:r>
      <w:r w:rsidR="00845EA5" w:rsidRPr="003A4F79">
        <w:t xml:space="preserve">dian </w:t>
      </w:r>
      <w:r w:rsidR="003114CD" w:rsidRPr="003A4F79">
        <w:t xml:space="preserve">age is </w:t>
      </w:r>
      <w:r w:rsidR="008361EE" w:rsidRPr="003A4F79">
        <w:t>3</w:t>
      </w:r>
      <w:r w:rsidR="00845EA5" w:rsidRPr="003A4F79">
        <w:t>6</w:t>
      </w:r>
      <w:r w:rsidR="00F9331A" w:rsidRPr="003A4F79">
        <w:t xml:space="preserve">, </w:t>
      </w:r>
      <w:r w:rsidR="008D01C3" w:rsidRPr="003A4F79">
        <w:t xml:space="preserve">5% of </w:t>
      </w:r>
      <w:r w:rsidR="00F94F3A" w:rsidRPr="003A4F79">
        <w:t>investors</w:t>
      </w:r>
      <w:r w:rsidR="008D01C3" w:rsidRPr="003A4F79">
        <w:t xml:space="preserve"> </w:t>
      </w:r>
      <w:r w:rsidR="006C0D64" w:rsidRPr="003A4F79">
        <w:t xml:space="preserve">are </w:t>
      </w:r>
      <w:r w:rsidR="007B6DB6" w:rsidRPr="003A4F79">
        <w:lastRenderedPageBreak/>
        <w:t>minor</w:t>
      </w:r>
      <w:r w:rsidR="006C0D64" w:rsidRPr="003A4F79">
        <w:t>, and 27% of them reside in the Helsinki area</w:t>
      </w:r>
      <w:r w:rsidR="00100B01" w:rsidRPr="003A4F79">
        <w:t xml:space="preserve">. </w:t>
      </w:r>
      <w:r w:rsidR="002C2884" w:rsidRPr="003A4F79">
        <w:t>Notably, a</w:t>
      </w:r>
      <w:r w:rsidR="000140E5" w:rsidRPr="003A4F79">
        <w:t xml:space="preserve"> majority </w:t>
      </w:r>
      <w:r w:rsidR="007E4223" w:rsidRPr="003A4F79">
        <w:t>(7</w:t>
      </w:r>
      <w:r w:rsidR="002C2884" w:rsidRPr="003A4F79">
        <w:t>1</w:t>
      </w:r>
      <w:r w:rsidR="007E4223" w:rsidRPr="003A4F79">
        <w:t xml:space="preserve">%) </w:t>
      </w:r>
      <w:r w:rsidR="000140E5" w:rsidRPr="003A4F79">
        <w:t>of i</w:t>
      </w:r>
      <w:r w:rsidR="0017125E" w:rsidRPr="003A4F79">
        <w:t>nvestor</w:t>
      </w:r>
      <w:r w:rsidR="00852081" w:rsidRPr="003A4F79">
        <w:t xml:space="preserve">s </w:t>
      </w:r>
      <w:r w:rsidR="002C2884" w:rsidRPr="003A4F79">
        <w:t>own only one s</w:t>
      </w:r>
      <w:r w:rsidR="000140E5" w:rsidRPr="003A4F79">
        <w:t>tock</w:t>
      </w:r>
      <w:r w:rsidR="00265CA6" w:rsidRPr="003A4F79">
        <w:t>,</w:t>
      </w:r>
      <w:r w:rsidR="000140E5" w:rsidRPr="003A4F79">
        <w:t xml:space="preserve"> and </w:t>
      </w:r>
      <w:r w:rsidR="002C2884" w:rsidRPr="003A4F79">
        <w:t>three quarters</w:t>
      </w:r>
      <w:r w:rsidR="006360B4" w:rsidRPr="003A4F79">
        <w:t xml:space="preserve"> of them</w:t>
      </w:r>
      <w:r w:rsidR="002C2884" w:rsidRPr="003A4F79">
        <w:t xml:space="preserve"> </w:t>
      </w:r>
      <w:r w:rsidR="000140E5" w:rsidRPr="003A4F79">
        <w:t xml:space="preserve">do not trade at all between their initial purchase and </w:t>
      </w:r>
      <w:r w:rsidR="00F9331A" w:rsidRPr="003A4F79">
        <w:t xml:space="preserve">market </w:t>
      </w:r>
      <w:r w:rsidR="000140E5" w:rsidRPr="003A4F79">
        <w:t>exit</w:t>
      </w:r>
      <w:r w:rsidR="003A63C6" w:rsidRPr="003A4F79">
        <w:t>.</w:t>
      </w:r>
      <w:r w:rsidR="008B7518" w:rsidRPr="003A4F79">
        <w:rPr>
          <w:rStyle w:val="FootnoteReference"/>
        </w:rPr>
        <w:footnoteReference w:id="14"/>
      </w:r>
      <w:r w:rsidR="003A63C6" w:rsidRPr="003A4F79">
        <w:t xml:space="preserve"> </w:t>
      </w:r>
      <w:r w:rsidR="006F570B" w:rsidRPr="003A4F79">
        <w:t xml:space="preserve">Interestingly, 37% of investors choose to buy Nokia for their initial trading. </w:t>
      </w:r>
      <w:r w:rsidR="006360B4" w:rsidRPr="003A4F79">
        <w:t xml:space="preserve">Initial </w:t>
      </w:r>
      <w:r w:rsidR="007C60F6" w:rsidRPr="003A4F79">
        <w:t>investment size</w:t>
      </w:r>
      <w:r w:rsidR="006360B4" w:rsidRPr="003A4F79">
        <w:t>s</w:t>
      </w:r>
      <w:r w:rsidR="007C60F6" w:rsidRPr="003A4F79">
        <w:t xml:space="preserve"> </w:t>
      </w:r>
      <w:r w:rsidR="006360B4" w:rsidRPr="003A4F79">
        <w:t>(</w:t>
      </w: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InvSiz</m:t>
            </m:r>
          </m:sup>
        </m:sSup>
      </m:oMath>
      <w:r w:rsidR="006360B4" w:rsidRPr="003A4F79">
        <w:t xml:space="preserve">) are on average </w:t>
      </w:r>
      <w:r w:rsidR="007C60F6" w:rsidRPr="003A4F79">
        <w:t xml:space="preserve">a little </w:t>
      </w:r>
      <w:r w:rsidR="006360B4" w:rsidRPr="003A4F79">
        <w:t>over</w:t>
      </w:r>
      <w:r w:rsidR="007C60F6" w:rsidRPr="003A4F79">
        <w:t xml:space="preserve"> €</w:t>
      </w:r>
      <w:r w:rsidR="006360B4" w:rsidRPr="003A4F79">
        <w:t>2</w:t>
      </w:r>
      <w:r w:rsidR="007C60F6" w:rsidRPr="003A4F79">
        <w:t>,000</w:t>
      </w:r>
      <w:r w:rsidR="00F45820" w:rsidRPr="003A4F79">
        <w:t xml:space="preserve">, and </w:t>
      </w:r>
      <w:r w:rsidR="007B519E" w:rsidRPr="003A4F79">
        <w:t>80% of</w:t>
      </w:r>
      <w:r w:rsidR="00F45820" w:rsidRPr="003A4F79">
        <w:t xml:space="preserve"> sample observations </w:t>
      </w:r>
      <w:r w:rsidR="00F9331A" w:rsidRPr="003A4F79">
        <w:t>post-date</w:t>
      </w:r>
      <w:r w:rsidR="00F45820" w:rsidRPr="003A4F79">
        <w:t xml:space="preserve"> the burst of the bubble.</w:t>
      </w:r>
      <w:r w:rsidR="00006919" w:rsidRPr="003A4F79">
        <w:t xml:space="preserve"> </w:t>
      </w:r>
      <w:r w:rsidR="00F9331A" w:rsidRPr="003A4F79">
        <w:t>T</w:t>
      </w:r>
      <w:r w:rsidR="002D30C2" w:rsidRPr="003A4F79">
        <w:t xml:space="preserve">he mean of </w:t>
      </w:r>
      <w:r w:rsidR="00966C6B" w:rsidRPr="003A4F79">
        <w:t>initial returns</w:t>
      </w:r>
      <w:r w:rsidR="008361EE" w:rsidRPr="003A4F79">
        <w:t xml:space="preserve"> is </w:t>
      </w:r>
      <w:r w:rsidR="002D30C2" w:rsidRPr="003A4F79">
        <w:t>1.20%</w:t>
      </w:r>
      <w:r w:rsidR="00F9331A" w:rsidRPr="003A4F79">
        <w:t>,</w:t>
      </w:r>
      <w:r w:rsidR="002D30C2" w:rsidRPr="003A4F79">
        <w:t xml:space="preserve"> </w:t>
      </w:r>
      <w:r w:rsidR="00F9331A" w:rsidRPr="003A4F79">
        <w:t>with</w:t>
      </w:r>
      <w:r w:rsidR="002D30C2" w:rsidRPr="003A4F79">
        <w:t xml:space="preserve"> 4.42%</w:t>
      </w:r>
      <w:r w:rsidR="007D0F59" w:rsidRPr="003A4F79">
        <w:t xml:space="preserve">, </w:t>
      </w:r>
      <w:r w:rsidR="002D30C2" w:rsidRPr="003A4F79">
        <w:t>6.56%</w:t>
      </w:r>
      <w:r w:rsidR="007D0F59" w:rsidRPr="003A4F79">
        <w:t>, and 6.28%</w:t>
      </w:r>
      <w:r w:rsidR="002D30C2" w:rsidRPr="003A4F79">
        <w:t xml:space="preserve"> for all returns</w:t>
      </w:r>
      <w:r w:rsidR="007D0F59" w:rsidRPr="003A4F79">
        <w:t xml:space="preserve">, </w:t>
      </w:r>
      <w:r w:rsidR="002D30C2" w:rsidRPr="003A4F79">
        <w:t>recent returns,</w:t>
      </w:r>
      <w:r w:rsidR="007D0F59" w:rsidRPr="003A4F79">
        <w:t xml:space="preserve"> and reali</w:t>
      </w:r>
      <w:r w:rsidR="00C95B94" w:rsidRPr="003A4F79">
        <w:t>s</w:t>
      </w:r>
      <w:r w:rsidR="007D0F59" w:rsidRPr="003A4F79">
        <w:t>ed returns,</w:t>
      </w:r>
      <w:r w:rsidR="002D30C2" w:rsidRPr="003A4F79">
        <w:t xml:space="preserve"> respectively.</w:t>
      </w:r>
      <w:r w:rsidR="00E66DBA" w:rsidRPr="003A4F79">
        <w:t xml:space="preserve"> Panel C reports the correlation matrix for main explanatory variables included in Equation (4).</w:t>
      </w:r>
    </w:p>
    <w:p w14:paraId="435AC9F9" w14:textId="5ACBC31D" w:rsidR="00287D13" w:rsidRPr="003A4F79" w:rsidRDefault="00287D13" w:rsidP="00290F9F">
      <w:pPr>
        <w:pStyle w:val="InsertInstruct"/>
      </w:pPr>
      <w:r w:rsidRPr="003A4F79">
        <w:t>[Insert Table</w:t>
      </w:r>
      <w:r w:rsidR="0088648B" w:rsidRPr="003A4F79">
        <w:t xml:space="preserve"> 1 </w:t>
      </w:r>
      <w:r w:rsidRPr="003A4F79">
        <w:t>here]</w:t>
      </w:r>
    </w:p>
    <w:p w14:paraId="610A4F57" w14:textId="510A5FD1" w:rsidR="00431B3B" w:rsidRPr="003A4F79" w:rsidRDefault="00AB1084" w:rsidP="00290F9F">
      <w:pPr>
        <w:pStyle w:val="Heading1"/>
      </w:pPr>
      <w:r w:rsidRPr="003A4F79">
        <w:t>5</w:t>
      </w:r>
      <w:r w:rsidR="004D61CC" w:rsidRPr="003A4F79">
        <w:t xml:space="preserve">. </w:t>
      </w:r>
      <w:r w:rsidR="00876573" w:rsidRPr="003A4F79">
        <w:t xml:space="preserve">Initial </w:t>
      </w:r>
      <w:r w:rsidR="004D61CC" w:rsidRPr="003A4F79">
        <w:t>returns and stock market re-e</w:t>
      </w:r>
      <w:r w:rsidR="00AC6EE3" w:rsidRPr="003A4F79">
        <w:t>ntry</w:t>
      </w:r>
    </w:p>
    <w:p w14:paraId="3AAB2BEB" w14:textId="0B20AEA3" w:rsidR="002402C9" w:rsidRPr="003A4F79" w:rsidRDefault="00431B3B">
      <w:r w:rsidRPr="003A4F79">
        <w:t xml:space="preserve">In this section, we present </w:t>
      </w:r>
      <w:r w:rsidR="002713C4" w:rsidRPr="003A4F79">
        <w:t xml:space="preserve">the </w:t>
      </w:r>
      <w:r w:rsidRPr="003A4F79">
        <w:t>main results</w:t>
      </w:r>
      <w:r w:rsidR="00511177" w:rsidRPr="003A4F79">
        <w:t xml:space="preserve"> of a hazard model</w:t>
      </w:r>
      <w:r w:rsidRPr="003A4F79">
        <w:t xml:space="preserve"> for the relation between initial returns and the </w:t>
      </w:r>
      <w:r w:rsidR="001E0317" w:rsidRPr="003A4F79">
        <w:t>probability o</w:t>
      </w:r>
      <w:r w:rsidRPr="003A4F79">
        <w:t xml:space="preserve">f stock market re-entry. </w:t>
      </w:r>
      <w:r w:rsidR="00CA70F7" w:rsidRPr="003A4F79">
        <w:t>B</w:t>
      </w:r>
      <w:r w:rsidR="00E6298E" w:rsidRPr="003A4F79">
        <w:t>efore</w:t>
      </w:r>
      <w:r w:rsidR="00B40E54" w:rsidRPr="003A4F79">
        <w:t xml:space="preserve"> presenting the main results</w:t>
      </w:r>
      <w:r w:rsidR="007E4EC9" w:rsidRPr="003A4F79">
        <w:t xml:space="preserve"> of multivariate </w:t>
      </w:r>
      <w:r w:rsidR="00265CA6" w:rsidRPr="003A4F79">
        <w:t>analysis</w:t>
      </w:r>
      <w:r w:rsidRPr="003A4F79">
        <w:t xml:space="preserve">, </w:t>
      </w:r>
      <w:r w:rsidR="008B423E" w:rsidRPr="003A4F79">
        <w:t xml:space="preserve">we </w:t>
      </w:r>
      <w:r w:rsidR="00CA70F7" w:rsidRPr="003A4F79">
        <w:t xml:space="preserve">present a </w:t>
      </w:r>
      <w:r w:rsidRPr="003A4F79">
        <w:t xml:space="preserve">preliminary </w:t>
      </w:r>
      <w:r w:rsidR="00CA70F7" w:rsidRPr="003A4F79">
        <w:t xml:space="preserve">result </w:t>
      </w:r>
      <w:r w:rsidR="00505222" w:rsidRPr="003A4F79">
        <w:t xml:space="preserve">using </w:t>
      </w:r>
      <w:r w:rsidR="00CA70F7" w:rsidRPr="003A4F79">
        <w:t xml:space="preserve">simple </w:t>
      </w:r>
      <w:r w:rsidRPr="003A4F79">
        <w:t>univariate analysis</w:t>
      </w:r>
      <w:r w:rsidR="00BB05C9" w:rsidRPr="003A4F79">
        <w:t>,</w:t>
      </w:r>
      <w:r w:rsidR="00CA70F7" w:rsidRPr="003A4F79">
        <w:t xml:space="preserve"> </w:t>
      </w:r>
      <w:r w:rsidR="00BB05C9" w:rsidRPr="003A4F79">
        <w:t xml:space="preserve">in </w:t>
      </w:r>
      <w:r w:rsidR="00CA70F7" w:rsidRPr="003A4F79">
        <w:t xml:space="preserve">which we </w:t>
      </w:r>
      <w:r w:rsidRPr="003A4F79">
        <w:t>relat</w:t>
      </w:r>
      <w:r w:rsidR="00CA70F7" w:rsidRPr="003A4F79">
        <w:t xml:space="preserve">e </w:t>
      </w:r>
      <w:r w:rsidRPr="003A4F79">
        <w:t xml:space="preserve">the proportion of re-entering investors to their initial </w:t>
      </w:r>
      <w:r w:rsidR="00825C23" w:rsidRPr="003A4F79">
        <w:t>returns</w:t>
      </w:r>
      <w:r w:rsidRPr="003A4F79">
        <w:t xml:space="preserve">. </w:t>
      </w:r>
      <w:r w:rsidR="00505222" w:rsidRPr="003A4F79">
        <w:t>S</w:t>
      </w:r>
      <w:r w:rsidR="005C6518" w:rsidRPr="003A4F79">
        <w:t xml:space="preserve">pecifically, </w:t>
      </w:r>
      <w:r w:rsidR="00A129D8" w:rsidRPr="003A4F79">
        <w:t>we</w:t>
      </w:r>
      <w:r w:rsidR="001C4D96" w:rsidRPr="003A4F79">
        <w:t xml:space="preserve"> first </w:t>
      </w:r>
      <w:r w:rsidR="00A129D8" w:rsidRPr="003A4F79">
        <w:lastRenderedPageBreak/>
        <w:t>sort</w:t>
      </w:r>
      <w:r w:rsidRPr="003A4F79">
        <w:t xml:space="preserve"> investors in our sample </w:t>
      </w:r>
      <w:r w:rsidR="00A129D8" w:rsidRPr="003A4F79">
        <w:t xml:space="preserve">into </w:t>
      </w:r>
      <w:r w:rsidR="0005270F" w:rsidRPr="003A4F79">
        <w:t xml:space="preserve">ten groups based </w:t>
      </w:r>
      <w:r w:rsidR="00A129D8" w:rsidRPr="003A4F79">
        <w:t xml:space="preserve">on their </w:t>
      </w:r>
      <w:r w:rsidRPr="003A4F79">
        <w:t xml:space="preserve">initial </w:t>
      </w:r>
      <w:r w:rsidR="00545BBD" w:rsidRPr="003A4F79">
        <w:t>return</w:t>
      </w:r>
      <w:r w:rsidR="00B02247" w:rsidRPr="003A4F79">
        <w:t>s</w:t>
      </w:r>
      <w:r w:rsidR="00111C34" w:rsidRPr="003A4F79">
        <w:t xml:space="preserve"> (</w:t>
      </w:r>
      <w:r w:rsidR="00E20E06" w:rsidRPr="003A4F79">
        <w:t>group</w:t>
      </w:r>
      <w:r w:rsidR="00BB05C9" w:rsidRPr="003A4F79">
        <w:t>s</w:t>
      </w:r>
      <w:r w:rsidR="00E20E06" w:rsidRPr="003A4F79">
        <w:t xml:space="preserve"> </w:t>
      </w:r>
      <w:r w:rsidR="0005270F" w:rsidRPr="003A4F79">
        <w:t>1 to</w:t>
      </w:r>
      <w:r w:rsidR="00E20E06" w:rsidRPr="003A4F79">
        <w:t xml:space="preserve"> 5 fo</w:t>
      </w:r>
      <w:r w:rsidR="00111C34" w:rsidRPr="003A4F79">
        <w:t xml:space="preserve">r </w:t>
      </w:r>
      <w:r w:rsidR="00BB05C9" w:rsidRPr="003A4F79">
        <w:t>negative returns</w:t>
      </w:r>
      <w:r w:rsidR="00E20E06" w:rsidRPr="003A4F79">
        <w:t xml:space="preserve"> and group</w:t>
      </w:r>
      <w:r w:rsidR="00BB05C9" w:rsidRPr="003A4F79">
        <w:t>s</w:t>
      </w:r>
      <w:r w:rsidR="00E20E06" w:rsidRPr="003A4F79">
        <w:t xml:space="preserve"> 6 to 10 for </w:t>
      </w:r>
      <w:r w:rsidR="00BB05C9" w:rsidRPr="003A4F79">
        <w:t>positive returns</w:t>
      </w:r>
      <w:r w:rsidR="00E20E06" w:rsidRPr="003A4F79">
        <w:t>)</w:t>
      </w:r>
      <w:r w:rsidR="001C4D96" w:rsidRPr="003A4F79">
        <w:t xml:space="preserve">. </w:t>
      </w:r>
      <w:r w:rsidR="00BB05C9" w:rsidRPr="003A4F79">
        <w:t>W</w:t>
      </w:r>
      <w:r w:rsidR="001C4D96" w:rsidRPr="003A4F79">
        <w:t>e</w:t>
      </w:r>
      <w:r w:rsidR="00BB05C9" w:rsidRPr="003A4F79">
        <w:t xml:space="preserve"> then</w:t>
      </w:r>
      <w:r w:rsidR="001C4D96" w:rsidRPr="003A4F79">
        <w:t xml:space="preserve"> </w:t>
      </w:r>
      <w:r w:rsidR="00A129D8" w:rsidRPr="003A4F79">
        <w:t>compute the proportion of re-ent</w:t>
      </w:r>
      <w:r w:rsidR="002D2F07" w:rsidRPr="003A4F79">
        <w:t>ering investors</w:t>
      </w:r>
      <w:r w:rsidR="004E3AA4" w:rsidRPr="003A4F79">
        <w:t xml:space="preserve"> </w:t>
      </w:r>
      <w:r w:rsidR="005450AC" w:rsidRPr="003A4F79">
        <w:t>and the average initial return</w:t>
      </w:r>
      <w:r w:rsidR="00A129D8" w:rsidRPr="003A4F79">
        <w:t xml:space="preserve"> </w:t>
      </w:r>
      <w:r w:rsidR="00FF1727" w:rsidRPr="003A4F79">
        <w:t>for</w:t>
      </w:r>
      <w:r w:rsidR="00A129D8" w:rsidRPr="003A4F79">
        <w:t xml:space="preserve"> each </w:t>
      </w:r>
      <w:r w:rsidR="005450AC" w:rsidRPr="003A4F79">
        <w:t>category</w:t>
      </w:r>
      <w:r w:rsidR="00A129D8" w:rsidRPr="003A4F79">
        <w:t>.</w:t>
      </w:r>
      <w:r w:rsidR="00EE7E2A" w:rsidRPr="003A4F79">
        <w:t xml:space="preserve"> For example, </w:t>
      </w:r>
      <w:r w:rsidR="00E27EB3" w:rsidRPr="003A4F79">
        <w:t xml:space="preserve">group 1 (group 10) consists of </w:t>
      </w:r>
      <w:r w:rsidR="00684BA8" w:rsidRPr="003A4F79">
        <w:t xml:space="preserve">336 (615) </w:t>
      </w:r>
      <w:r w:rsidR="00E27EB3" w:rsidRPr="003A4F79">
        <w:t>investors who experienced extremely negative (positive) returns</w:t>
      </w:r>
      <w:r w:rsidR="00BB05C9" w:rsidRPr="003A4F79">
        <w:t xml:space="preserve"> lo</w:t>
      </w:r>
      <w:r w:rsidR="00E27EB3" w:rsidRPr="003A4F79">
        <w:t xml:space="preserve">wer than -20% (higher than +20%), </w:t>
      </w:r>
      <w:r w:rsidR="00407160" w:rsidRPr="003A4F79">
        <w:t xml:space="preserve">of </w:t>
      </w:r>
      <w:r w:rsidR="00BB05C9" w:rsidRPr="003A4F79">
        <w:t xml:space="preserve">whom </w:t>
      </w:r>
      <w:r w:rsidR="00407160" w:rsidRPr="003A4F79">
        <w:t>22% (41%) re-enter</w:t>
      </w:r>
      <w:r w:rsidR="00BB05C9" w:rsidRPr="003A4F79">
        <w:t>ed</w:t>
      </w:r>
      <w:r w:rsidR="00407160" w:rsidRPr="003A4F79">
        <w:t xml:space="preserve"> the market. </w:t>
      </w:r>
      <w:r w:rsidR="00BB05C9" w:rsidRPr="003A4F79">
        <w:t>G</w:t>
      </w:r>
      <w:r w:rsidR="00E27EB3" w:rsidRPr="003A4F79">
        <w:t>roup 5 (group 6) constitute</w:t>
      </w:r>
      <w:r w:rsidR="00BB05C9" w:rsidRPr="003A4F79">
        <w:t>s</w:t>
      </w:r>
      <w:r w:rsidR="00E27EB3" w:rsidRPr="003A4F79">
        <w:t xml:space="preserve"> </w:t>
      </w:r>
      <w:r w:rsidR="00E435A0" w:rsidRPr="003A4F79">
        <w:t xml:space="preserve">1,270 (1,279) </w:t>
      </w:r>
      <w:r w:rsidR="00E27EB3" w:rsidRPr="003A4F79">
        <w:t xml:space="preserve">investors whose </w:t>
      </w:r>
      <w:r w:rsidR="00107479" w:rsidRPr="003A4F79">
        <w:t xml:space="preserve">initial </w:t>
      </w:r>
      <w:r w:rsidR="00E27EB3" w:rsidRPr="003A4F79">
        <w:t>return</w:t>
      </w:r>
      <w:r w:rsidR="00107479" w:rsidRPr="003A4F79">
        <w:t>s</w:t>
      </w:r>
      <w:r w:rsidR="00E27EB3" w:rsidRPr="003A4F79">
        <w:t xml:space="preserve"> range from -5% to 0 (0 to 5%)</w:t>
      </w:r>
      <w:r w:rsidR="0000485F" w:rsidRPr="003A4F79">
        <w:t xml:space="preserve">, of </w:t>
      </w:r>
      <w:r w:rsidR="00BB05C9" w:rsidRPr="003A4F79">
        <w:t xml:space="preserve">whom </w:t>
      </w:r>
      <w:r w:rsidR="0000485F" w:rsidRPr="003A4F79">
        <w:t>37% (36%) return</w:t>
      </w:r>
      <w:r w:rsidR="00BB05C9" w:rsidRPr="003A4F79">
        <w:t>ed</w:t>
      </w:r>
      <w:r w:rsidR="0000485F" w:rsidRPr="003A4F79">
        <w:t>.</w:t>
      </w:r>
    </w:p>
    <w:p w14:paraId="4C6B1F5A" w14:textId="5364112D" w:rsidR="000713BF" w:rsidRPr="003A4F79" w:rsidRDefault="00224756" w:rsidP="000713BF">
      <w:r w:rsidRPr="003A4F79">
        <w:t xml:space="preserve">In </w:t>
      </w:r>
      <w:r w:rsidR="00BD157C" w:rsidRPr="003A4F79">
        <w:t>plot</w:t>
      </w:r>
      <w:r w:rsidR="00BE4300" w:rsidRPr="003A4F79">
        <w:t>ting</w:t>
      </w:r>
      <w:r w:rsidR="00BD157C" w:rsidRPr="003A4F79">
        <w:t xml:space="preserve"> t</w:t>
      </w:r>
      <w:r w:rsidR="00BB31FA" w:rsidRPr="003A4F79">
        <w:t xml:space="preserve">he </w:t>
      </w:r>
      <w:r w:rsidR="00833C40" w:rsidRPr="003A4F79">
        <w:t xml:space="preserve">proportion of returning investors </w:t>
      </w:r>
      <w:r w:rsidR="00BD157C" w:rsidRPr="003A4F79">
        <w:t>by initial return group</w:t>
      </w:r>
      <w:r w:rsidR="00B553AB" w:rsidRPr="003A4F79">
        <w:t>s</w:t>
      </w:r>
      <w:r w:rsidR="007F0261" w:rsidRPr="003A4F79">
        <w:t xml:space="preserve"> (</w:t>
      </w:r>
      <w:r w:rsidR="00A129D8" w:rsidRPr="003A4F79">
        <w:t xml:space="preserve">Figure </w:t>
      </w:r>
      <w:r w:rsidR="00D31D23" w:rsidRPr="003A4F79">
        <w:t>1</w:t>
      </w:r>
      <w:r w:rsidR="006039F6" w:rsidRPr="003A4F79">
        <w:t>a</w:t>
      </w:r>
      <w:r w:rsidR="00BE4300" w:rsidRPr="003A4F79">
        <w:t xml:space="preserve">), </w:t>
      </w:r>
      <w:r w:rsidRPr="003A4F79">
        <w:t xml:space="preserve">a strengthening </w:t>
      </w:r>
      <w:r w:rsidR="00BE4300" w:rsidRPr="003A4F79">
        <w:t xml:space="preserve">relation </w:t>
      </w:r>
      <w:r w:rsidR="00405284" w:rsidRPr="003A4F79">
        <w:t xml:space="preserve">emerges </w:t>
      </w:r>
      <w:r w:rsidR="00BE4300" w:rsidRPr="003A4F79">
        <w:t xml:space="preserve">between the two: </w:t>
      </w:r>
      <w:r w:rsidR="00B63FF6" w:rsidRPr="003A4F79">
        <w:t>the re-entry proportion tends to be higher for group</w:t>
      </w:r>
      <w:r w:rsidR="00265CA6" w:rsidRPr="003A4F79">
        <w:t>s</w:t>
      </w:r>
      <w:r w:rsidR="00B63FF6" w:rsidRPr="003A4F79">
        <w:t xml:space="preserve"> of investors with larger initial returns.</w:t>
      </w:r>
      <w:r w:rsidR="006039F6" w:rsidRPr="003A4F79">
        <w:t xml:space="preserve"> </w:t>
      </w:r>
      <w:r w:rsidR="008656EB" w:rsidRPr="003A4F79">
        <w:t xml:space="preserve">We also draw this graph </w:t>
      </w:r>
      <w:r w:rsidR="00615A66" w:rsidRPr="003A4F79">
        <w:t xml:space="preserve">separately for Nokia investors and for Non-Nokia investors, </w:t>
      </w:r>
      <w:r w:rsidR="00AA7EAA" w:rsidRPr="003A4F79">
        <w:t xml:space="preserve">and </w:t>
      </w:r>
      <w:r w:rsidR="00531C42" w:rsidRPr="003A4F79">
        <w:t>find</w:t>
      </w:r>
      <w:r w:rsidR="00AA7EAA" w:rsidRPr="003A4F79">
        <w:t xml:space="preserve"> two </w:t>
      </w:r>
      <w:r w:rsidR="00615A66" w:rsidRPr="003A4F79">
        <w:t>i</w:t>
      </w:r>
      <w:r w:rsidR="006039F6" w:rsidRPr="003A4F79">
        <w:t>nteresting</w:t>
      </w:r>
      <w:r w:rsidR="00615A66" w:rsidRPr="003A4F79">
        <w:t xml:space="preserve"> results</w:t>
      </w:r>
      <w:r w:rsidR="00AA7EAA" w:rsidRPr="003A4F79">
        <w:t>.</w:t>
      </w:r>
      <w:r w:rsidR="00285754" w:rsidRPr="003A4F79">
        <w:t xml:space="preserve"> F</w:t>
      </w:r>
      <w:r w:rsidR="00615A66" w:rsidRPr="003A4F79">
        <w:t xml:space="preserve">irst, </w:t>
      </w:r>
      <w:r w:rsidR="006039F6" w:rsidRPr="003A4F79">
        <w:t xml:space="preserve">the pattern </w:t>
      </w:r>
      <w:r w:rsidR="00C042F3" w:rsidRPr="003A4F79">
        <w:t xml:space="preserve">between </w:t>
      </w:r>
      <w:r w:rsidR="006039F6" w:rsidRPr="003A4F79">
        <w:t xml:space="preserve">re-entry </w:t>
      </w:r>
      <w:r w:rsidR="00907641" w:rsidRPr="003A4F79">
        <w:t>proportion</w:t>
      </w:r>
      <w:r w:rsidR="00130C27" w:rsidRPr="003A4F79">
        <w:t xml:space="preserve"> </w:t>
      </w:r>
      <w:r w:rsidR="00C042F3" w:rsidRPr="003A4F79">
        <w:t xml:space="preserve">and </w:t>
      </w:r>
      <w:r w:rsidR="006039F6" w:rsidRPr="003A4F79">
        <w:t xml:space="preserve">initial returns is </w:t>
      </w:r>
      <w:r w:rsidRPr="003A4F79">
        <w:t xml:space="preserve">more </w:t>
      </w:r>
      <w:r w:rsidR="006039F6" w:rsidRPr="003A4F79">
        <w:t xml:space="preserve">pronounced for </w:t>
      </w:r>
      <w:r w:rsidRPr="003A4F79">
        <w:t>non</w:t>
      </w:r>
      <w:r w:rsidR="006039F6" w:rsidRPr="003A4F79">
        <w:t>-Nokia investors</w:t>
      </w:r>
      <w:r w:rsidR="00F55C2A" w:rsidRPr="003A4F79">
        <w:t xml:space="preserve"> (Figure </w:t>
      </w:r>
      <w:r w:rsidR="00D31D23" w:rsidRPr="003A4F79">
        <w:t>1</w:t>
      </w:r>
      <w:r w:rsidR="00F55C2A" w:rsidRPr="003A4F79">
        <w:t>b)</w:t>
      </w:r>
      <w:r w:rsidR="006039F6" w:rsidRPr="003A4F79">
        <w:t xml:space="preserve"> than for Nokia investors</w:t>
      </w:r>
      <w:r w:rsidR="00F55C2A" w:rsidRPr="003A4F79">
        <w:t xml:space="preserve"> (Figure </w:t>
      </w:r>
      <w:r w:rsidR="00D31D23" w:rsidRPr="003A4F79">
        <w:t>1</w:t>
      </w:r>
      <w:r w:rsidR="00F55C2A" w:rsidRPr="003A4F79">
        <w:t>c)</w:t>
      </w:r>
      <w:r w:rsidR="006039F6" w:rsidRPr="003A4F79">
        <w:t>.</w:t>
      </w:r>
      <w:r w:rsidR="00F64595" w:rsidRPr="003A4F79">
        <w:t xml:space="preserve"> Second, </w:t>
      </w:r>
      <w:r w:rsidR="00111072" w:rsidRPr="003A4F79">
        <w:t>looking</w:t>
      </w:r>
      <w:r w:rsidR="00E346F9" w:rsidRPr="003A4F79">
        <w:t xml:space="preserve"> </w:t>
      </w:r>
      <w:r w:rsidRPr="003A4F79">
        <w:t xml:space="preserve">at </w:t>
      </w:r>
      <w:r w:rsidR="00265CA6" w:rsidRPr="003A4F79">
        <w:t xml:space="preserve">the </w:t>
      </w:r>
      <w:r w:rsidR="00111072" w:rsidRPr="003A4F79">
        <w:t>r</w:t>
      </w:r>
      <w:r w:rsidR="00F64595" w:rsidRPr="003A4F79">
        <w:t xml:space="preserve">e-entry </w:t>
      </w:r>
      <w:r w:rsidR="00130C27" w:rsidRPr="003A4F79">
        <w:t>proportion</w:t>
      </w:r>
      <w:r w:rsidR="00E346F9" w:rsidRPr="003A4F79">
        <w:t xml:space="preserve"> across investor</w:t>
      </w:r>
      <w:r w:rsidR="00111072" w:rsidRPr="003A4F79">
        <w:t xml:space="preserve"> types (Nokia </w:t>
      </w:r>
      <w:r w:rsidRPr="003A4F79">
        <w:t>versus</w:t>
      </w:r>
      <w:r w:rsidR="00111072" w:rsidRPr="003A4F79">
        <w:t xml:space="preserve"> </w:t>
      </w:r>
      <w:r w:rsidRPr="003A4F79">
        <w:t>non</w:t>
      </w:r>
      <w:r w:rsidR="00111072" w:rsidRPr="003A4F79">
        <w:t>-Nokia)</w:t>
      </w:r>
      <w:r w:rsidR="001F7957" w:rsidRPr="003A4F79">
        <w:t xml:space="preserve">, </w:t>
      </w:r>
      <w:r w:rsidR="00F64595" w:rsidRPr="003A4F79">
        <w:t>Nokia investors</w:t>
      </w:r>
      <w:r w:rsidR="009B4B0A" w:rsidRPr="003A4F79">
        <w:t xml:space="preserve"> </w:t>
      </w:r>
      <w:r w:rsidRPr="003A4F79">
        <w:t>are more likely</w:t>
      </w:r>
      <w:r w:rsidR="009B4B0A" w:rsidRPr="003A4F79">
        <w:t xml:space="preserve"> to return </w:t>
      </w:r>
      <w:r w:rsidR="00D34C53" w:rsidRPr="003A4F79">
        <w:t xml:space="preserve">to the market </w:t>
      </w:r>
      <w:r w:rsidR="00F64595" w:rsidRPr="003A4F79">
        <w:t xml:space="preserve">than </w:t>
      </w:r>
      <w:r w:rsidRPr="003A4F79">
        <w:t>non</w:t>
      </w:r>
      <w:r w:rsidR="00F82CCB" w:rsidRPr="003A4F79">
        <w:t>-Nokia investors</w:t>
      </w:r>
      <w:r w:rsidR="00F75F4C" w:rsidRPr="003A4F79">
        <w:t>,</w:t>
      </w:r>
      <w:r w:rsidR="00D34C53" w:rsidRPr="003A4F79">
        <w:t xml:space="preserve"> </w:t>
      </w:r>
      <w:r w:rsidR="00265CA6" w:rsidRPr="003A4F79">
        <w:t>even t</w:t>
      </w:r>
      <w:r w:rsidR="005168D5" w:rsidRPr="003A4F79">
        <w:t>hough</w:t>
      </w:r>
      <w:r w:rsidR="00400057" w:rsidRPr="003A4F79">
        <w:t xml:space="preserve"> the two types of investor</w:t>
      </w:r>
      <w:r w:rsidR="00D34C53" w:rsidRPr="003A4F79">
        <w:t xml:space="preserve"> experience</w:t>
      </w:r>
      <w:r w:rsidR="00265CA6" w:rsidRPr="003A4F79">
        <w:t>d</w:t>
      </w:r>
      <w:r w:rsidR="00D34C53" w:rsidRPr="003A4F79">
        <w:t xml:space="preserve"> </w:t>
      </w:r>
      <w:r w:rsidR="009B4B0A" w:rsidRPr="003A4F79">
        <w:t>similar level</w:t>
      </w:r>
      <w:r w:rsidRPr="003A4F79">
        <w:t>s</w:t>
      </w:r>
      <w:r w:rsidR="009B4B0A" w:rsidRPr="003A4F79">
        <w:t xml:space="preserve"> </w:t>
      </w:r>
      <w:r w:rsidR="001F7957" w:rsidRPr="003A4F79">
        <w:t xml:space="preserve">of initial returns. </w:t>
      </w:r>
      <w:r w:rsidR="00177D2F" w:rsidRPr="003A4F79">
        <w:t>Tak</w:t>
      </w:r>
      <w:r w:rsidR="001A6DBE" w:rsidRPr="003A4F79">
        <w:t>ing</w:t>
      </w:r>
      <w:r w:rsidR="00177D2F" w:rsidRPr="003A4F79">
        <w:t xml:space="preserve"> group 6 as an example, </w:t>
      </w:r>
      <w:r w:rsidRPr="003A4F79">
        <w:t xml:space="preserve">the </w:t>
      </w:r>
      <w:r w:rsidR="00177D2F" w:rsidRPr="003A4F79">
        <w:t>average initial return is the same (about 2%)</w:t>
      </w:r>
      <w:r w:rsidRPr="003A4F79">
        <w:t>,</w:t>
      </w:r>
      <w:r w:rsidR="00177D2F" w:rsidRPr="003A4F79">
        <w:t xml:space="preserve"> but there </w:t>
      </w:r>
      <w:r w:rsidRPr="003A4F79">
        <w:t xml:space="preserve">is </w:t>
      </w:r>
      <w:r w:rsidR="00177D2F" w:rsidRPr="003A4F79">
        <w:t xml:space="preserve">a wide gap in the proportion of re-entry between the two (22% for </w:t>
      </w:r>
      <w:r w:rsidRPr="003A4F79">
        <w:t>non</w:t>
      </w:r>
      <w:r w:rsidR="00177D2F" w:rsidRPr="003A4F79">
        <w:t xml:space="preserve">-Nokia </w:t>
      </w:r>
      <w:r w:rsidRPr="003A4F79">
        <w:t>versus</w:t>
      </w:r>
      <w:r w:rsidR="00177D2F" w:rsidRPr="003A4F79">
        <w:t xml:space="preserve"> 54% for Nokia).</w:t>
      </w:r>
      <w:r w:rsidR="000F1B9F" w:rsidRPr="003A4F79">
        <w:t xml:space="preserve"> Such patterns </w:t>
      </w:r>
      <w:r w:rsidR="002F4FC7" w:rsidRPr="003A4F79">
        <w:t>c</w:t>
      </w:r>
      <w:r w:rsidR="000F1B9F" w:rsidRPr="003A4F79">
        <w:t xml:space="preserve">ould emerge </w:t>
      </w:r>
      <w:r w:rsidR="002F4FC7" w:rsidRPr="003A4F79">
        <w:t xml:space="preserve">for different reasons. </w:t>
      </w:r>
      <w:r w:rsidR="001F0CDD" w:rsidRPr="003A4F79">
        <w:t xml:space="preserve">Part of the reason </w:t>
      </w:r>
      <w:r w:rsidR="00B553AB" w:rsidRPr="003A4F79">
        <w:t>that</w:t>
      </w:r>
      <w:r w:rsidR="001F0CDD" w:rsidRPr="003A4F79">
        <w:t xml:space="preserve"> Nokia investors are more likely to re-enter could be due to the confidence in Nokia</w:t>
      </w:r>
      <w:r w:rsidR="006B72F0" w:rsidRPr="003A4F79">
        <w:t xml:space="preserve"> that is </w:t>
      </w:r>
      <w:r w:rsidR="001F0CDD" w:rsidRPr="003A4F79">
        <w:lastRenderedPageBreak/>
        <w:t xml:space="preserve">Finland’s national </w:t>
      </w:r>
      <w:r w:rsidR="00D70767" w:rsidRPr="003A4F79">
        <w:t>champion</w:t>
      </w:r>
      <w:r w:rsidR="00924129" w:rsidRPr="003A4F79">
        <w:t>,</w:t>
      </w:r>
      <w:r w:rsidR="001F0CDD" w:rsidRPr="003A4F79">
        <w:rPr>
          <w:rStyle w:val="FootnoteReference"/>
        </w:rPr>
        <w:footnoteReference w:id="15"/>
      </w:r>
      <w:r w:rsidR="001F0CDD" w:rsidRPr="003A4F79">
        <w:t xml:space="preserve"> regardless of its performance. It might also be </w:t>
      </w:r>
      <w:r w:rsidR="00266AAA" w:rsidRPr="003A4F79">
        <w:t xml:space="preserve">related to </w:t>
      </w:r>
      <w:r w:rsidR="00B553AB" w:rsidRPr="003A4F79">
        <w:t xml:space="preserve">the </w:t>
      </w:r>
      <w:r w:rsidR="00266AAA" w:rsidRPr="003A4F79">
        <w:t>availability bias</w:t>
      </w:r>
      <w:r w:rsidR="003810A4" w:rsidRPr="003A4F79">
        <w:t xml:space="preserve"> (Tversky and Kahneman, 1974),</w:t>
      </w:r>
      <w:r w:rsidR="00266AAA" w:rsidRPr="003A4F79">
        <w:t xml:space="preserve"> whereby </w:t>
      </w:r>
      <w:r w:rsidR="00211EF4" w:rsidRPr="003A4F79">
        <w:t>investors</w:t>
      </w:r>
      <w:r w:rsidR="00F71383" w:rsidRPr="003A4F79">
        <w:t xml:space="preserve"> tend to</w:t>
      </w:r>
      <w:r w:rsidR="00211EF4" w:rsidRPr="003A4F79">
        <w:t xml:space="preserve"> choose investments based on information that is readily available to them. </w:t>
      </w:r>
      <w:r w:rsidR="008D602B" w:rsidRPr="003A4F79">
        <w:t>Since Nokia accounts for a large chunk of the public information pool in Finland, t</w:t>
      </w:r>
      <w:r w:rsidR="001F0CDD" w:rsidRPr="003A4F79">
        <w:t xml:space="preserve">here </w:t>
      </w:r>
      <w:r w:rsidR="008D602B" w:rsidRPr="003A4F79">
        <w:t xml:space="preserve">would be </w:t>
      </w:r>
      <w:r w:rsidR="001F0CDD" w:rsidRPr="003A4F79">
        <w:t>more news and chatter (maybe in social gatherings - peer effects) about Nokia</w:t>
      </w:r>
      <w:r w:rsidR="008D602B" w:rsidRPr="003A4F79">
        <w:t xml:space="preserve">, which </w:t>
      </w:r>
      <w:r w:rsidR="001F0CDD" w:rsidRPr="003A4F79">
        <w:t xml:space="preserve">would </w:t>
      </w:r>
      <w:r w:rsidR="008D602B" w:rsidRPr="003A4F79">
        <w:t>prompt</w:t>
      </w:r>
      <w:r w:rsidR="001F0CDD" w:rsidRPr="003A4F79">
        <w:t xml:space="preserve"> people to invest in Nokia despite the</w:t>
      </w:r>
      <w:r w:rsidR="008336F9" w:rsidRPr="003A4F79">
        <w:t>ir</w:t>
      </w:r>
      <w:r w:rsidR="001F0CDD" w:rsidRPr="003A4F79">
        <w:t xml:space="preserve"> earlier losses. Last but not least, a loss in a Nokia stock investment in the first trial might be seen as low market performance (hence unlucky) rather than low stock picking ability. </w:t>
      </w:r>
    </w:p>
    <w:p w14:paraId="51B0A980" w14:textId="63EFCC46" w:rsidR="007912EE" w:rsidRPr="003A4F79" w:rsidRDefault="00431B3B" w:rsidP="000713BF">
      <w:pPr>
        <w:jc w:val="center"/>
      </w:pPr>
      <w:r w:rsidRPr="003A4F79">
        <w:t xml:space="preserve">[Insert Figure </w:t>
      </w:r>
      <w:r w:rsidR="004E7C9C" w:rsidRPr="003A4F79">
        <w:t>1</w:t>
      </w:r>
      <w:r w:rsidRPr="003A4F79">
        <w:t xml:space="preserve"> here]</w:t>
      </w:r>
    </w:p>
    <w:p w14:paraId="57F3847C" w14:textId="1CE2F9D5" w:rsidR="007912EE" w:rsidRPr="003A4F79" w:rsidRDefault="00323C29">
      <w:r w:rsidRPr="003A4F79">
        <w:t xml:space="preserve">While the results of </w:t>
      </w:r>
      <w:r w:rsidR="007912EE" w:rsidRPr="003A4F79">
        <w:t xml:space="preserve">univariate analysis </w:t>
      </w:r>
      <w:r w:rsidR="00D5613B" w:rsidRPr="003A4F79">
        <w:t>are</w:t>
      </w:r>
      <w:r w:rsidR="007912EE" w:rsidRPr="003A4F79">
        <w:t xml:space="preserve"> informative, </w:t>
      </w:r>
      <w:r w:rsidR="00224756" w:rsidRPr="003A4F79">
        <w:t>this method</w:t>
      </w:r>
      <w:r w:rsidRPr="003A4F79">
        <w:t xml:space="preserve"> </w:t>
      </w:r>
      <w:r w:rsidR="007912EE" w:rsidRPr="003A4F79">
        <w:t>has</w:t>
      </w:r>
      <w:r w:rsidRPr="003A4F79">
        <w:t xml:space="preserve"> limitations </w:t>
      </w:r>
      <w:r w:rsidR="00224756" w:rsidRPr="003A4F79">
        <w:t xml:space="preserve">in providing </w:t>
      </w:r>
      <w:r w:rsidRPr="003A4F79">
        <w:t>a complete picture of the relation between initial returns and re-entry</w:t>
      </w:r>
      <w:r w:rsidR="007912EE" w:rsidRPr="003A4F79">
        <w:t xml:space="preserve">. For instance, it cannot account for time-varying covariates (e.g., stock market condition) </w:t>
      </w:r>
      <w:r w:rsidR="00224756" w:rsidRPr="003A4F79">
        <w:t>or</w:t>
      </w:r>
      <w:r w:rsidR="007912EE" w:rsidRPr="003A4F79">
        <w:t xml:space="preserve"> time-invariant investor characteristics (e.g., age, gender, </w:t>
      </w:r>
      <w:r w:rsidR="00224756" w:rsidRPr="003A4F79">
        <w:t xml:space="preserve">and </w:t>
      </w:r>
      <w:r w:rsidR="007912EE" w:rsidRPr="003A4F79">
        <w:t>income)</w:t>
      </w:r>
      <w:r w:rsidR="00FC4EB0" w:rsidRPr="003A4F79">
        <w:t>, which may affect investors</w:t>
      </w:r>
      <w:r w:rsidR="00224756" w:rsidRPr="003A4F79">
        <w:t>’</w:t>
      </w:r>
      <w:r w:rsidR="00FC4EB0" w:rsidRPr="003A4F79">
        <w:t xml:space="preserve"> decision</w:t>
      </w:r>
      <w:r w:rsidR="00224756" w:rsidRPr="003A4F79">
        <w:t>s</w:t>
      </w:r>
      <w:r w:rsidR="00FC4EB0" w:rsidRPr="003A4F79">
        <w:t xml:space="preserve"> to return to the stock market</w:t>
      </w:r>
      <w:r w:rsidR="0053731F" w:rsidRPr="003A4F79">
        <w:t xml:space="preserve">. More importantly, </w:t>
      </w:r>
      <w:r w:rsidR="007912EE" w:rsidRPr="003A4F79">
        <w:t xml:space="preserve">it does not take into account a potential </w:t>
      </w:r>
      <w:r w:rsidR="007912EE" w:rsidRPr="003A4F79">
        <w:rPr>
          <w:i/>
        </w:rPr>
        <w:t>censoring bias</w:t>
      </w:r>
      <w:r w:rsidR="007912EE" w:rsidRPr="003A4F79">
        <w:t xml:space="preserve"> </w:t>
      </w:r>
      <w:r w:rsidR="00F46846" w:rsidRPr="003A4F79">
        <w:t xml:space="preserve">that arises </w:t>
      </w:r>
      <w:r w:rsidR="00224756" w:rsidRPr="003A4F79">
        <w:t>from</w:t>
      </w:r>
      <w:r w:rsidR="007912EE" w:rsidRPr="003A4F79">
        <w:t xml:space="preserve"> our sample </w:t>
      </w:r>
      <w:r w:rsidR="00F46846" w:rsidRPr="003A4F79">
        <w:t>being</w:t>
      </w:r>
      <w:r w:rsidR="007912EE" w:rsidRPr="003A4F79">
        <w:t xml:space="preserve"> right</w:t>
      </w:r>
      <w:r w:rsidR="00555F76" w:rsidRPr="003A4F79">
        <w:t xml:space="preserve"> </w:t>
      </w:r>
      <w:r w:rsidR="007912EE" w:rsidRPr="003A4F79">
        <w:t>truncated</w:t>
      </w:r>
      <w:r w:rsidR="00224756" w:rsidRPr="003A4F79">
        <w:t>:</w:t>
      </w:r>
      <w:r w:rsidR="007F5D22" w:rsidRPr="003A4F79">
        <w:t xml:space="preserve"> it is unknown </w:t>
      </w:r>
      <w:r w:rsidR="00224756" w:rsidRPr="003A4F79">
        <w:t xml:space="preserve">whether </w:t>
      </w:r>
      <w:r w:rsidR="007F5D22" w:rsidRPr="003A4F79">
        <w:t xml:space="preserve">a non-returning </w:t>
      </w:r>
      <w:r w:rsidR="007E69D0" w:rsidRPr="003A4F79">
        <w:t xml:space="preserve">investor in our sample </w:t>
      </w:r>
      <w:r w:rsidR="007F5D22" w:rsidRPr="003A4F79">
        <w:t xml:space="preserve">will re-enter the market after the end of </w:t>
      </w:r>
      <w:r w:rsidR="007F5D22" w:rsidRPr="003A4F79">
        <w:lastRenderedPageBreak/>
        <w:t xml:space="preserve">our sample period. </w:t>
      </w:r>
      <w:r w:rsidR="007912EE" w:rsidRPr="003A4F79">
        <w:t>Th</w:t>
      </w:r>
      <w:r w:rsidR="00117893" w:rsidRPr="003A4F79">
        <w:t>e</w:t>
      </w:r>
      <w:r w:rsidR="007912EE" w:rsidRPr="003A4F79">
        <w:t xml:space="preserve"> censoring issue </w:t>
      </w:r>
      <w:r w:rsidR="004D1666" w:rsidRPr="003A4F79">
        <w:t>is</w:t>
      </w:r>
      <w:r w:rsidR="007912EE" w:rsidRPr="003A4F79">
        <w:t xml:space="preserve"> </w:t>
      </w:r>
      <w:r w:rsidR="004D1666" w:rsidRPr="003A4F79">
        <w:t>particularly problematic when the</w:t>
      </w:r>
      <w:r w:rsidR="007912EE" w:rsidRPr="003A4F79">
        <w:t xml:space="preserve"> sample period</w:t>
      </w:r>
      <w:r w:rsidR="004D1666" w:rsidRPr="003A4F79">
        <w:t xml:space="preserve"> is relatively short</w:t>
      </w:r>
      <w:r w:rsidR="007912EE" w:rsidRPr="003A4F79">
        <w:t>. To remedy these drawbacks</w:t>
      </w:r>
      <w:r w:rsidR="00C464D3" w:rsidRPr="003A4F79">
        <w:t xml:space="preserve"> </w:t>
      </w:r>
      <w:r w:rsidR="00F468A2" w:rsidRPr="003A4F79">
        <w:t xml:space="preserve">of univariate </w:t>
      </w:r>
      <w:r w:rsidR="00265CA6" w:rsidRPr="003A4F79">
        <w:t>analysis</w:t>
      </w:r>
      <w:r w:rsidR="007912EE" w:rsidRPr="003A4F79">
        <w:t>,</w:t>
      </w:r>
      <w:r w:rsidR="00F468A2" w:rsidRPr="003A4F79">
        <w:t xml:space="preserve"> </w:t>
      </w:r>
      <w:r w:rsidR="007912EE" w:rsidRPr="003A4F79">
        <w:t xml:space="preserve">we employ a </w:t>
      </w:r>
      <w:r w:rsidR="00F468A2" w:rsidRPr="003A4F79">
        <w:t>monthly</w:t>
      </w:r>
      <w:r w:rsidR="007912EE" w:rsidRPr="003A4F79">
        <w:t xml:space="preserve"> hazard model </w:t>
      </w:r>
      <w:r w:rsidR="00502A47" w:rsidRPr="003A4F79">
        <w:t xml:space="preserve">based on </w:t>
      </w:r>
      <w:r w:rsidR="007912EE" w:rsidRPr="003A4F79">
        <w:t>the technique of survival analysis.</w:t>
      </w:r>
    </w:p>
    <w:p w14:paraId="396C6595" w14:textId="5234F363" w:rsidR="00E36A1F" w:rsidRPr="003A4F79" w:rsidRDefault="00AB1084" w:rsidP="00290F9F">
      <w:pPr>
        <w:pStyle w:val="Heading2"/>
      </w:pPr>
      <w:r w:rsidRPr="003A4F79">
        <w:t>5</w:t>
      </w:r>
      <w:r w:rsidR="004D61CC" w:rsidRPr="003A4F79">
        <w:t xml:space="preserve">.1 </w:t>
      </w:r>
      <w:r w:rsidR="00C742CB" w:rsidRPr="003A4F79">
        <w:t xml:space="preserve">The effect of </w:t>
      </w:r>
      <w:r w:rsidR="004D61CC" w:rsidRPr="003A4F79">
        <w:t>initial returns</w:t>
      </w:r>
    </w:p>
    <w:p w14:paraId="2E3F691B" w14:textId="38118BB4" w:rsidR="00147334" w:rsidRPr="003A4F79" w:rsidRDefault="00447D48">
      <w:pPr>
        <w:rPr>
          <w:noProof/>
          <w:lang w:eastAsia="en-GB"/>
        </w:rPr>
      </w:pPr>
      <w:r w:rsidRPr="003A4F79">
        <w:rPr>
          <w:noProof/>
          <w:lang w:eastAsia="en-GB"/>
        </w:rPr>
        <w:t>In this sectio</w:t>
      </w:r>
      <w:r w:rsidR="000F5E07" w:rsidRPr="003A4F79">
        <w:rPr>
          <w:noProof/>
          <w:lang w:eastAsia="en-GB"/>
        </w:rPr>
        <w:t>n</w:t>
      </w:r>
      <w:r w:rsidRPr="003A4F79">
        <w:rPr>
          <w:noProof/>
          <w:lang w:eastAsia="en-GB"/>
        </w:rPr>
        <w:t xml:space="preserve">, we report </w:t>
      </w:r>
      <w:r w:rsidR="00224756" w:rsidRPr="003A4F79">
        <w:rPr>
          <w:noProof/>
          <w:lang w:eastAsia="en-GB"/>
        </w:rPr>
        <w:t xml:space="preserve">the </w:t>
      </w:r>
      <w:r w:rsidRPr="003A4F79">
        <w:rPr>
          <w:noProof/>
          <w:lang w:eastAsia="en-GB"/>
        </w:rPr>
        <w:t xml:space="preserve">main results of </w:t>
      </w:r>
      <w:r w:rsidR="00A24F8B" w:rsidRPr="003A4F79">
        <w:rPr>
          <w:noProof/>
          <w:lang w:eastAsia="en-GB"/>
        </w:rPr>
        <w:t>a</w:t>
      </w:r>
      <w:r w:rsidR="00F613A0" w:rsidRPr="003A4F79">
        <w:rPr>
          <w:noProof/>
          <w:lang w:eastAsia="en-GB"/>
        </w:rPr>
        <w:t xml:space="preserve"> </w:t>
      </w:r>
      <w:r w:rsidRPr="003A4F79">
        <w:rPr>
          <w:noProof/>
          <w:lang w:eastAsia="en-GB"/>
        </w:rPr>
        <w:t xml:space="preserve">monthly </w:t>
      </w:r>
      <w:r w:rsidR="00F613A0" w:rsidRPr="003A4F79">
        <w:rPr>
          <w:noProof/>
          <w:lang w:eastAsia="en-GB"/>
        </w:rPr>
        <w:t xml:space="preserve">hazard </w:t>
      </w:r>
      <w:r w:rsidRPr="003A4F79">
        <w:rPr>
          <w:noProof/>
          <w:lang w:eastAsia="en-GB"/>
        </w:rPr>
        <w:t xml:space="preserve">model </w:t>
      </w:r>
      <w:r w:rsidR="006522FB" w:rsidRPr="003A4F79">
        <w:rPr>
          <w:noProof/>
          <w:lang w:eastAsia="en-GB"/>
        </w:rPr>
        <w:t>estimate</w:t>
      </w:r>
      <w:r w:rsidR="00224756" w:rsidRPr="003A4F79">
        <w:rPr>
          <w:noProof/>
          <w:lang w:eastAsia="en-GB"/>
        </w:rPr>
        <w:t>d</w:t>
      </w:r>
      <w:r w:rsidR="006522FB" w:rsidRPr="003A4F79">
        <w:rPr>
          <w:noProof/>
          <w:lang w:eastAsia="en-GB"/>
        </w:rPr>
        <w:t xml:space="preserve"> </w:t>
      </w:r>
      <w:r w:rsidR="00CF6264" w:rsidRPr="003A4F79">
        <w:rPr>
          <w:noProof/>
          <w:lang w:eastAsia="en-GB"/>
        </w:rPr>
        <w:t>using</w:t>
      </w:r>
      <w:r w:rsidR="006F61EE" w:rsidRPr="003A4F79">
        <w:rPr>
          <w:noProof/>
          <w:lang w:eastAsia="en-GB"/>
        </w:rPr>
        <w:t xml:space="preserve"> </w:t>
      </w:r>
      <w:r w:rsidR="0037458B" w:rsidRPr="003A4F79">
        <w:rPr>
          <w:noProof/>
          <w:lang w:eastAsia="en-GB"/>
        </w:rPr>
        <w:t>a multiperiod</w:t>
      </w:r>
      <w:r w:rsidR="00AD073D" w:rsidRPr="003A4F79">
        <w:rPr>
          <w:noProof/>
          <w:lang w:eastAsia="en-GB"/>
        </w:rPr>
        <w:t xml:space="preserve"> logit regression with </w:t>
      </w:r>
      <w:r w:rsidR="006522FB" w:rsidRPr="003A4F79">
        <w:rPr>
          <w:noProof/>
          <w:lang w:eastAsia="en-GB"/>
        </w:rPr>
        <w:t xml:space="preserve">a </w:t>
      </w:r>
      <w:r w:rsidR="00A851F1" w:rsidRPr="003A4F79">
        <w:rPr>
          <w:noProof/>
          <w:lang w:eastAsia="en-GB"/>
        </w:rPr>
        <w:t xml:space="preserve">parametric (linear) </w:t>
      </w:r>
      <w:r w:rsidR="006522FB" w:rsidRPr="003A4F79">
        <w:rPr>
          <w:noProof/>
          <w:lang w:eastAsia="en-GB"/>
        </w:rPr>
        <w:t>duration distribution</w:t>
      </w:r>
      <w:r w:rsidR="0085660D" w:rsidRPr="003A4F79">
        <w:rPr>
          <w:noProof/>
          <w:lang w:eastAsia="en-GB"/>
        </w:rPr>
        <w:t xml:space="preserve"> as follows</w:t>
      </w:r>
      <w:r w:rsidR="006C02D7" w:rsidRPr="003A4F79">
        <w:rPr>
          <w:noProof/>
          <w:lang w:eastAsia="en-GB"/>
        </w:rPr>
        <w:t>:</w:t>
      </w:r>
    </w:p>
    <w:p w14:paraId="391D7CA4" w14:textId="11A32355" w:rsidR="0008220C" w:rsidRPr="003A4F79" w:rsidRDefault="00490869" w:rsidP="00290F9F">
      <w:pPr>
        <w:pStyle w:val="Equations"/>
        <w:ind w:left="851"/>
        <w:rPr>
          <w:i/>
        </w:rPr>
      </w:pPr>
      <w:r w:rsidRPr="003A4F79">
        <w:rPr>
          <w:i/>
        </w:rPr>
        <w:t>Logit(</w:t>
      </w:r>
      <w:r w:rsidR="00675148" w:rsidRPr="003A4F79">
        <w:rPr>
          <w:i/>
        </w:rPr>
        <w:t>Re-entry</w:t>
      </w:r>
      <w:r w:rsidR="00675148" w:rsidRPr="003A4F79">
        <w:rPr>
          <w:i/>
          <w:vertAlign w:val="subscript"/>
        </w:rPr>
        <w:t>i,t</w:t>
      </w:r>
      <w:r w:rsidRPr="003A4F79">
        <w:rPr>
          <w:i/>
        </w:rPr>
        <w:t>)</w:t>
      </w:r>
      <w:r w:rsidR="00675148" w:rsidRPr="003A4F79">
        <w:rPr>
          <w:i/>
          <w:vertAlign w:val="subscript"/>
        </w:rPr>
        <w:t xml:space="preserve"> </w:t>
      </w:r>
      <w:r w:rsidR="00675148" w:rsidRPr="003A4F79">
        <w:rPr>
          <w:i/>
        </w:rPr>
        <w:t>=  β</w:t>
      </w:r>
      <w:r w:rsidR="00675148" w:rsidRPr="003A4F79">
        <w:rPr>
          <w:i/>
          <w:vertAlign w:val="subscript"/>
        </w:rPr>
        <w:t>0</w:t>
      </w:r>
      <w:r w:rsidR="00675148" w:rsidRPr="003A4F79">
        <w:rPr>
          <w:i/>
        </w:rPr>
        <w:t xml:space="preserve"> + β</w:t>
      </w:r>
      <w:r w:rsidR="00675148" w:rsidRPr="003A4F79">
        <w:rPr>
          <w:i/>
          <w:vertAlign w:val="subscript"/>
        </w:rPr>
        <w:t>1</w:t>
      </w:r>
      <w:r w:rsidR="007C38BC" w:rsidRPr="003A4F79">
        <w:rPr>
          <w:i/>
        </w:rPr>
        <w:t>IniR</w:t>
      </w:r>
      <w:r w:rsidR="00BD6E7B" w:rsidRPr="003A4F79">
        <w:rPr>
          <w:i/>
        </w:rPr>
        <w:t>et</w:t>
      </w:r>
      <w:r w:rsidR="00675148" w:rsidRPr="003A4F79">
        <w:rPr>
          <w:i/>
          <w:vertAlign w:val="subscript"/>
        </w:rPr>
        <w:t>i</w:t>
      </w:r>
      <w:r w:rsidR="00675148" w:rsidRPr="003A4F79">
        <w:rPr>
          <w:i/>
        </w:rPr>
        <w:t xml:space="preserve"> </w:t>
      </w:r>
      <w:r w:rsidR="00CD7646" w:rsidRPr="003A4F79">
        <w:rPr>
          <w:i/>
        </w:rPr>
        <w:t>+ β</w:t>
      </w:r>
      <w:r w:rsidR="00CD7646" w:rsidRPr="003A4F79">
        <w:rPr>
          <w:i/>
          <w:vertAlign w:val="subscript"/>
        </w:rPr>
        <w:t>2</w:t>
      </w:r>
      <w:r w:rsidR="007C38BC" w:rsidRPr="003A4F79">
        <w:rPr>
          <w:i/>
        </w:rPr>
        <w:t>AllR</w:t>
      </w:r>
      <w:r w:rsidR="00CD7646" w:rsidRPr="003A4F79">
        <w:rPr>
          <w:i/>
        </w:rPr>
        <w:t>et</w:t>
      </w:r>
      <w:r w:rsidR="00CD7646" w:rsidRPr="003A4F79">
        <w:rPr>
          <w:i/>
          <w:vertAlign w:val="subscript"/>
        </w:rPr>
        <w:t>i</w:t>
      </w:r>
      <w:r w:rsidR="00CD7646" w:rsidRPr="003A4F79">
        <w:rPr>
          <w:i/>
        </w:rPr>
        <w:t xml:space="preserve"> </w:t>
      </w:r>
      <w:r w:rsidR="00675148" w:rsidRPr="003A4F79">
        <w:rPr>
          <w:i/>
        </w:rPr>
        <w:t>+ β</w:t>
      </w:r>
      <w:r w:rsidR="006B55FF" w:rsidRPr="003A4F79">
        <w:rPr>
          <w:i/>
          <w:vertAlign w:val="subscript"/>
        </w:rPr>
        <w:t>3</w:t>
      </w:r>
      <w:r w:rsidR="00675148" w:rsidRPr="003A4F79">
        <w:rPr>
          <w:i/>
        </w:rPr>
        <w:t>Dur</w:t>
      </w:r>
      <w:r w:rsidR="0006606F" w:rsidRPr="003A4F79">
        <w:rPr>
          <w:i/>
        </w:rPr>
        <w:t>Away</w:t>
      </w:r>
      <w:r w:rsidR="00675148" w:rsidRPr="003A4F79">
        <w:rPr>
          <w:i/>
          <w:vertAlign w:val="subscript"/>
        </w:rPr>
        <w:t>i,t</w:t>
      </w:r>
      <w:r w:rsidR="00675148" w:rsidRPr="003A4F79">
        <w:rPr>
          <w:i/>
        </w:rPr>
        <w:t xml:space="preserve"> </w:t>
      </w:r>
      <w:r w:rsidR="00A75D40" w:rsidRPr="003A4F79">
        <w:rPr>
          <w:i/>
        </w:rPr>
        <w:t>+</w:t>
      </w:r>
      <w:r w:rsidR="004026BC" w:rsidRPr="003A4F79">
        <w:rPr>
          <w:b/>
          <w:i/>
        </w:rPr>
        <w:t xml:space="preserve"> </w:t>
      </w:r>
      <w:r w:rsidR="004026BC" w:rsidRPr="003A4F79">
        <w:rPr>
          <w:i/>
        </w:rPr>
        <w:t>β</w:t>
      </w:r>
      <w:r w:rsidR="006B55FF" w:rsidRPr="003A4F79">
        <w:rPr>
          <w:i/>
          <w:vertAlign w:val="subscript"/>
        </w:rPr>
        <w:t>4</w:t>
      </w:r>
      <w:r w:rsidR="004026BC" w:rsidRPr="003A4F79">
        <w:rPr>
          <w:i/>
        </w:rPr>
        <w:t>Controls</w:t>
      </w:r>
      <w:r w:rsidR="00F20237" w:rsidRPr="003A4F79">
        <w:rPr>
          <w:i/>
          <w:vertAlign w:val="subscript"/>
        </w:rPr>
        <w:t>i,t</w:t>
      </w:r>
      <w:r w:rsidR="004026BC" w:rsidRPr="003A4F79">
        <w:rPr>
          <w:i/>
        </w:rPr>
        <w:t xml:space="preserve"> </w:t>
      </w:r>
    </w:p>
    <w:p w14:paraId="1A5B6BCB" w14:textId="6A25A6B2" w:rsidR="00675148" w:rsidRPr="003A4F79" w:rsidRDefault="00675148" w:rsidP="00290F9F">
      <w:pPr>
        <w:pStyle w:val="Equations"/>
        <w:ind w:left="851"/>
        <w:rPr>
          <w:noProof/>
          <w:lang w:eastAsia="en-GB"/>
        </w:rPr>
      </w:pPr>
      <w:r w:rsidRPr="003A4F79">
        <w:rPr>
          <w:i/>
        </w:rPr>
        <w:t>+</w:t>
      </w:r>
      <w:r w:rsidR="0008220C" w:rsidRPr="003A4F79">
        <w:rPr>
          <w:i/>
        </w:rPr>
        <w:t xml:space="preserve"> (investment size fixed effect)+(zip-code fixed effect) +(exit month fixed effect)</w:t>
      </w:r>
      <w:r w:rsidR="000C5A2F" w:rsidRPr="003A4F79">
        <w:rPr>
          <w:i/>
        </w:rPr>
        <w:t xml:space="preserve"> + (time fixed effect) </w:t>
      </w:r>
      <w:r w:rsidR="0008220C" w:rsidRPr="003A4F79">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r w:rsidRPr="003A4F79">
        <w:t xml:space="preserve">   (</w:t>
      </w:r>
      <w:r w:rsidR="005A41BA" w:rsidRPr="003A4F79">
        <w:t>4</w:t>
      </w:r>
      <w:r w:rsidRPr="003A4F79">
        <w:t>)</w:t>
      </w:r>
    </w:p>
    <w:p w14:paraId="155A2C4A" w14:textId="133BAF2A" w:rsidR="00CE0B7F" w:rsidRPr="003A4F79" w:rsidRDefault="00F45BAE" w:rsidP="00174F90">
      <w:pPr>
        <w:ind w:firstLine="0"/>
      </w:pPr>
      <w:r w:rsidRPr="003A4F79">
        <w:rPr>
          <w:i/>
        </w:rPr>
        <w:t>Re-entry</w:t>
      </w:r>
      <w:r w:rsidRPr="003A4F79">
        <w:rPr>
          <w:noProof/>
          <w:lang w:eastAsia="en-GB"/>
        </w:rPr>
        <w:t xml:space="preserve"> </w:t>
      </w:r>
      <w:r w:rsidR="00871B43" w:rsidRPr="003A4F79">
        <w:rPr>
          <w:noProof/>
          <w:lang w:eastAsia="en-GB"/>
        </w:rPr>
        <w:t xml:space="preserve">is </w:t>
      </w:r>
      <w:r w:rsidRPr="003A4F79">
        <w:rPr>
          <w:noProof/>
          <w:lang w:eastAsia="en-GB"/>
        </w:rPr>
        <w:t>equal to 1 if in</w:t>
      </w:r>
      <w:r w:rsidR="006C1AA8" w:rsidRPr="003A4F79">
        <w:rPr>
          <w:noProof/>
          <w:lang w:eastAsia="en-GB"/>
        </w:rPr>
        <w:t>vestor</w:t>
      </w:r>
      <w:r w:rsidRPr="003A4F79">
        <w:rPr>
          <w:noProof/>
          <w:lang w:eastAsia="en-GB"/>
        </w:rPr>
        <w:t xml:space="preserve"> </w:t>
      </w:r>
      <w:r w:rsidR="00430B50" w:rsidRPr="003A4F79">
        <w:rPr>
          <w:i/>
          <w:noProof/>
          <w:lang w:eastAsia="en-GB"/>
        </w:rPr>
        <w:t>i</w:t>
      </w:r>
      <w:r w:rsidR="00430B50" w:rsidRPr="003A4F79">
        <w:rPr>
          <w:noProof/>
          <w:lang w:eastAsia="en-GB"/>
        </w:rPr>
        <w:t xml:space="preserve"> </w:t>
      </w:r>
      <w:r w:rsidRPr="003A4F79">
        <w:rPr>
          <w:noProof/>
          <w:lang w:eastAsia="en-GB"/>
        </w:rPr>
        <w:t>re-enters the market</w:t>
      </w:r>
      <w:r w:rsidR="00430B50" w:rsidRPr="003A4F79">
        <w:rPr>
          <w:noProof/>
          <w:lang w:eastAsia="en-GB"/>
        </w:rPr>
        <w:t xml:space="preserve"> in month </w:t>
      </w:r>
      <w:r w:rsidR="00430B50" w:rsidRPr="003A4F79">
        <w:rPr>
          <w:i/>
          <w:noProof/>
          <w:lang w:eastAsia="en-GB"/>
        </w:rPr>
        <w:t>t</w:t>
      </w:r>
      <w:r w:rsidRPr="003A4F79">
        <w:rPr>
          <w:noProof/>
          <w:lang w:eastAsia="en-GB"/>
        </w:rPr>
        <w:t xml:space="preserve"> by purchasing any stock at any</w:t>
      </w:r>
      <w:r w:rsidR="00C45A58" w:rsidRPr="003A4F79">
        <w:rPr>
          <w:noProof/>
          <w:lang w:eastAsia="en-GB"/>
        </w:rPr>
        <w:t xml:space="preserve"> time after </w:t>
      </w:r>
      <w:r w:rsidR="004D5014" w:rsidRPr="003A4F79">
        <w:rPr>
          <w:noProof/>
          <w:lang w:eastAsia="en-GB"/>
        </w:rPr>
        <w:t xml:space="preserve">one calendar month </w:t>
      </w:r>
      <w:r w:rsidR="00C45A58" w:rsidRPr="003A4F79">
        <w:rPr>
          <w:noProof/>
          <w:lang w:eastAsia="en-GB"/>
        </w:rPr>
        <w:t xml:space="preserve">of </w:t>
      </w:r>
      <w:r w:rsidRPr="003A4F79">
        <w:rPr>
          <w:noProof/>
          <w:lang w:eastAsia="en-GB"/>
        </w:rPr>
        <w:t>exit, and otherwise</w:t>
      </w:r>
      <w:r w:rsidR="00C45A58" w:rsidRPr="003A4F79">
        <w:rPr>
          <w:noProof/>
          <w:lang w:eastAsia="en-GB"/>
        </w:rPr>
        <w:t xml:space="preserve"> is</w:t>
      </w:r>
      <w:r w:rsidRPr="003A4F79">
        <w:rPr>
          <w:noProof/>
          <w:lang w:eastAsia="en-GB"/>
        </w:rPr>
        <w:t xml:space="preserve"> 0. </w:t>
      </w:r>
      <w:r w:rsidR="00CC33F9" w:rsidRPr="003A4F79">
        <w:rPr>
          <w:i/>
          <w:noProof/>
          <w:lang w:eastAsia="en-GB"/>
        </w:rPr>
        <w:t>IniR</w:t>
      </w:r>
      <w:r w:rsidR="00DE2B3D" w:rsidRPr="003A4F79">
        <w:rPr>
          <w:i/>
          <w:noProof/>
          <w:lang w:eastAsia="en-GB"/>
        </w:rPr>
        <w:t>et</w:t>
      </w:r>
      <w:r w:rsidRPr="003A4F79">
        <w:rPr>
          <w:noProof/>
          <w:lang w:eastAsia="en-GB"/>
        </w:rPr>
        <w:t xml:space="preserve">, our main </w:t>
      </w:r>
      <w:r w:rsidR="00CC33F9" w:rsidRPr="003A4F79">
        <w:rPr>
          <w:noProof/>
          <w:lang w:eastAsia="en-GB"/>
        </w:rPr>
        <w:t xml:space="preserve">explanatory </w:t>
      </w:r>
      <w:r w:rsidRPr="003A4F79">
        <w:rPr>
          <w:noProof/>
          <w:lang w:eastAsia="en-GB"/>
        </w:rPr>
        <w:t>variable of interest, is the return</w:t>
      </w:r>
      <w:r w:rsidR="00091DFE" w:rsidRPr="003A4F79">
        <w:rPr>
          <w:noProof/>
          <w:lang w:eastAsia="en-GB"/>
        </w:rPr>
        <w:t xml:space="preserve"> in the first month of investing.</w:t>
      </w:r>
      <w:r w:rsidRPr="003A4F79">
        <w:rPr>
          <w:noProof/>
          <w:lang w:eastAsia="en-GB"/>
        </w:rPr>
        <w:t xml:space="preserve"> </w:t>
      </w:r>
      <w:r w:rsidR="00C767EF" w:rsidRPr="003A4F79">
        <w:rPr>
          <w:i/>
          <w:noProof/>
          <w:lang w:eastAsia="en-GB"/>
        </w:rPr>
        <w:t>AllRet</w:t>
      </w:r>
      <w:r w:rsidR="00C767EF" w:rsidRPr="003A4F79">
        <w:rPr>
          <w:noProof/>
          <w:lang w:eastAsia="en-GB"/>
        </w:rPr>
        <w:t xml:space="preserve">, our main control </w:t>
      </w:r>
      <w:r w:rsidR="00977383" w:rsidRPr="003A4F79">
        <w:rPr>
          <w:noProof/>
          <w:lang w:eastAsia="en-GB"/>
        </w:rPr>
        <w:t>variable</w:t>
      </w:r>
      <w:r w:rsidR="00C767EF" w:rsidRPr="003A4F79">
        <w:rPr>
          <w:noProof/>
          <w:lang w:eastAsia="en-GB"/>
        </w:rPr>
        <w:t>, is the value-weighted average of monthly returns during the entire period of investing</w:t>
      </w:r>
      <w:r w:rsidR="0042722E" w:rsidRPr="003A4F79">
        <w:rPr>
          <w:noProof/>
          <w:lang w:eastAsia="en-GB"/>
        </w:rPr>
        <w:t xml:space="preserve"> between entry and exit</w:t>
      </w:r>
      <w:r w:rsidR="00C767EF" w:rsidRPr="003A4F79">
        <w:rPr>
          <w:noProof/>
          <w:lang w:eastAsia="en-GB"/>
        </w:rPr>
        <w:t>.</w:t>
      </w:r>
      <w:r w:rsidR="00C767EF" w:rsidRPr="003A4F79">
        <w:rPr>
          <w:i/>
        </w:rPr>
        <w:t xml:space="preserve"> </w:t>
      </w:r>
      <w:r w:rsidR="00E705A0" w:rsidRPr="003A4F79">
        <w:rPr>
          <w:i/>
        </w:rPr>
        <w:t>Dur</w:t>
      </w:r>
      <w:r w:rsidR="00510B2A" w:rsidRPr="003A4F79">
        <w:rPr>
          <w:i/>
        </w:rPr>
        <w:t xml:space="preserve">Away </w:t>
      </w:r>
      <w:r w:rsidR="00014F4F" w:rsidRPr="003A4F79">
        <w:t xml:space="preserve">is </w:t>
      </w:r>
      <w:r w:rsidR="00E705A0" w:rsidRPr="003A4F79">
        <w:t xml:space="preserve">the </w:t>
      </w:r>
      <w:r w:rsidR="00A16E3F" w:rsidRPr="003A4F79">
        <w:t>length of</w:t>
      </w:r>
      <w:r w:rsidR="00E705A0" w:rsidRPr="003A4F79">
        <w:t xml:space="preserve"> time</w:t>
      </w:r>
      <w:r w:rsidR="00E87775" w:rsidRPr="003A4F79">
        <w:t xml:space="preserve"> (in </w:t>
      </w:r>
      <w:r w:rsidR="009D437A" w:rsidRPr="003A4F79">
        <w:t>months</w:t>
      </w:r>
      <w:r w:rsidR="00E87775" w:rsidRPr="003A4F79">
        <w:t>)</w:t>
      </w:r>
      <w:r w:rsidR="00E705A0" w:rsidRPr="003A4F79">
        <w:t xml:space="preserve"> </w:t>
      </w:r>
      <w:r w:rsidR="00510B2A" w:rsidRPr="003A4F79">
        <w:t xml:space="preserve">for which an investor is away from the stock market, </w:t>
      </w:r>
      <w:r w:rsidR="00E87775" w:rsidRPr="003A4F79">
        <w:t xml:space="preserve">i.e., time </w:t>
      </w:r>
      <w:r w:rsidR="00E705A0" w:rsidRPr="003A4F79">
        <w:t xml:space="preserve">between exit </w:t>
      </w:r>
      <w:r w:rsidR="003F4880" w:rsidRPr="003A4F79">
        <w:t>month</w:t>
      </w:r>
      <w:r w:rsidR="00E705A0" w:rsidRPr="003A4F79">
        <w:t xml:space="preserve"> and </w:t>
      </w:r>
      <w:r w:rsidR="003F4880" w:rsidRPr="003A4F79">
        <w:t>month</w:t>
      </w:r>
      <w:r w:rsidR="00E705A0" w:rsidRPr="003A4F79">
        <w:t xml:space="preserve"> </w:t>
      </w:r>
      <w:r w:rsidR="00E705A0" w:rsidRPr="003A4F79">
        <w:rPr>
          <w:i/>
        </w:rPr>
        <w:t>t</w:t>
      </w:r>
      <w:r w:rsidR="00E705A0" w:rsidRPr="003A4F79">
        <w:t>.</w:t>
      </w:r>
      <w:r w:rsidR="00CE0B7F" w:rsidRPr="003A4F79">
        <w:t xml:space="preserve"> </w:t>
      </w:r>
      <w:r w:rsidR="00384EF8" w:rsidRPr="003A4F79">
        <w:t>In addition to year-fixed effects, w</w:t>
      </w:r>
      <w:r w:rsidR="004E17C2" w:rsidRPr="003A4F79">
        <w:t xml:space="preserve">e account for </w:t>
      </w:r>
      <w:r w:rsidR="00014F4F" w:rsidRPr="003A4F79">
        <w:t xml:space="preserve">the </w:t>
      </w:r>
      <w:r w:rsidR="004E17C2" w:rsidRPr="003A4F79">
        <w:t xml:space="preserve">fixed effects </w:t>
      </w:r>
      <w:r w:rsidR="00014F4F" w:rsidRPr="003A4F79">
        <w:t>of</w:t>
      </w:r>
      <w:r w:rsidR="004E17C2" w:rsidRPr="003A4F79">
        <w:t xml:space="preserve"> investment size, location of </w:t>
      </w:r>
      <w:r w:rsidR="00014F4F" w:rsidRPr="003A4F79">
        <w:t>residence</w:t>
      </w:r>
      <w:r w:rsidR="004E17C2" w:rsidRPr="003A4F79">
        <w:t xml:space="preserve">, and exit time by including dummies for </w:t>
      </w:r>
      <w:r w:rsidR="008A34CC" w:rsidRPr="003A4F79">
        <w:t>average</w:t>
      </w:r>
      <w:r w:rsidR="004D7DFE" w:rsidRPr="003A4F79">
        <w:t xml:space="preserve"> </w:t>
      </w:r>
      <w:r w:rsidR="004E17C2" w:rsidRPr="003A4F79">
        <w:t>portfolio holding quintile</w:t>
      </w:r>
      <w:r w:rsidR="005127DC" w:rsidRPr="003A4F79">
        <w:t>s</w:t>
      </w:r>
      <w:r w:rsidR="004E17C2" w:rsidRPr="003A4F79">
        <w:t xml:space="preserve">, </w:t>
      </w:r>
      <w:r w:rsidR="005127DC" w:rsidRPr="003A4F79">
        <w:t xml:space="preserve">100 different </w:t>
      </w:r>
      <w:r w:rsidR="004E17C2" w:rsidRPr="003A4F79">
        <w:t>zip code</w:t>
      </w:r>
      <w:r w:rsidR="005127DC" w:rsidRPr="003A4F79">
        <w:t>s</w:t>
      </w:r>
      <w:r w:rsidR="004E17C2" w:rsidRPr="003A4F79">
        <w:t xml:space="preserve">, and </w:t>
      </w:r>
      <w:r w:rsidR="005127DC" w:rsidRPr="003A4F79">
        <w:t xml:space="preserve">105 different </w:t>
      </w:r>
      <w:r w:rsidR="004E17C2" w:rsidRPr="003A4F79">
        <w:t>exit month</w:t>
      </w:r>
      <w:r w:rsidR="005127DC" w:rsidRPr="003A4F79">
        <w:t>s</w:t>
      </w:r>
      <w:r w:rsidR="004E17C2" w:rsidRPr="003A4F79">
        <w:t>, respectively.</w:t>
      </w:r>
      <w:r w:rsidR="004B2294" w:rsidRPr="003A4F79">
        <w:t xml:space="preserve"> </w:t>
      </w:r>
      <w:r w:rsidR="00CD2DF9" w:rsidRPr="003A4F79">
        <w:t xml:space="preserve">The first two fixed effects are included to mitigate heterogeneity in investors’ wealth, and the </w:t>
      </w:r>
      <w:r w:rsidR="00CD2DF9" w:rsidRPr="003A4F79">
        <w:lastRenderedPageBreak/>
        <w:t xml:space="preserve">last </w:t>
      </w:r>
      <w:r w:rsidR="00265CA6" w:rsidRPr="003A4F79">
        <w:t>seeks</w:t>
      </w:r>
      <w:r w:rsidR="00CD2DF9" w:rsidRPr="003A4F79">
        <w:t xml:space="preserve"> to account for the fact that investors exit</w:t>
      </w:r>
      <w:r w:rsidR="00014F4F" w:rsidRPr="003A4F79">
        <w:t>ing</w:t>
      </w:r>
      <w:r w:rsidR="00CD2DF9" w:rsidRPr="003A4F79">
        <w:t xml:space="preserve"> at different times may have different reasons </w:t>
      </w:r>
      <w:r w:rsidR="00014F4F" w:rsidRPr="003A4F79">
        <w:t xml:space="preserve">for </w:t>
      </w:r>
      <w:r w:rsidR="00CD2DF9" w:rsidRPr="003A4F79">
        <w:t>leav</w:t>
      </w:r>
      <w:r w:rsidR="00A64DE8" w:rsidRPr="003A4F79">
        <w:t>ing</w:t>
      </w:r>
      <w:r w:rsidR="00CD2DF9" w:rsidRPr="003A4F79">
        <w:t>. T</w:t>
      </w:r>
      <w:r w:rsidR="004B2294" w:rsidRPr="003A4F79">
        <w:t xml:space="preserve">he standard errors are clustered at </w:t>
      </w:r>
      <w:r w:rsidR="00DD608A" w:rsidRPr="003A4F79">
        <w:t xml:space="preserve">the </w:t>
      </w:r>
      <w:r w:rsidR="004B2294" w:rsidRPr="003A4F79">
        <w:t>investor level.</w:t>
      </w:r>
    </w:p>
    <w:p w14:paraId="040EA04E" w14:textId="59EE2ABC" w:rsidR="00B876FC" w:rsidRPr="003A4F79" w:rsidRDefault="00014F4F">
      <w:pPr>
        <w:rPr>
          <w:noProof/>
          <w:lang w:eastAsia="en-GB"/>
        </w:rPr>
      </w:pPr>
      <w:r w:rsidRPr="003A4F79">
        <w:rPr>
          <w:noProof/>
          <w:lang w:eastAsia="en-GB"/>
        </w:rPr>
        <w:t>With respect to</w:t>
      </w:r>
      <w:r w:rsidR="00D3773F" w:rsidRPr="003A4F79">
        <w:rPr>
          <w:noProof/>
          <w:lang w:eastAsia="en-GB"/>
        </w:rPr>
        <w:t xml:space="preserve"> other control variables</w:t>
      </w:r>
      <w:r w:rsidR="00930CC8" w:rsidRPr="003A4F79">
        <w:rPr>
          <w:noProof/>
          <w:lang w:eastAsia="en-GB"/>
        </w:rPr>
        <w:t xml:space="preserve">, we consider </w:t>
      </w:r>
      <w:r w:rsidR="00716CA6" w:rsidRPr="003A4F79">
        <w:rPr>
          <w:noProof/>
          <w:lang w:eastAsia="en-GB"/>
        </w:rPr>
        <w:t xml:space="preserve">aspects of </w:t>
      </w:r>
      <w:r w:rsidR="00930CC8" w:rsidRPr="003A4F79">
        <w:rPr>
          <w:noProof/>
          <w:lang w:eastAsia="en-GB"/>
        </w:rPr>
        <w:t>investment experience</w:t>
      </w:r>
      <w:r w:rsidR="00804B8E" w:rsidRPr="003A4F79">
        <w:rPr>
          <w:noProof/>
          <w:lang w:eastAsia="en-GB"/>
        </w:rPr>
        <w:t xml:space="preserve"> </w:t>
      </w:r>
      <w:r w:rsidRPr="003A4F79">
        <w:rPr>
          <w:noProof/>
          <w:lang w:eastAsia="en-GB"/>
        </w:rPr>
        <w:t xml:space="preserve">other </w:t>
      </w:r>
      <w:r w:rsidR="00804B8E" w:rsidRPr="003A4F79">
        <w:rPr>
          <w:noProof/>
          <w:lang w:eastAsia="en-GB"/>
        </w:rPr>
        <w:t>than returns</w:t>
      </w:r>
      <w:r w:rsidR="00716CA6" w:rsidRPr="003A4F79">
        <w:rPr>
          <w:noProof/>
          <w:lang w:eastAsia="en-GB"/>
        </w:rPr>
        <w:t xml:space="preserve">, </w:t>
      </w:r>
      <w:r w:rsidR="00AD0CEC" w:rsidRPr="003A4F79">
        <w:rPr>
          <w:noProof/>
          <w:lang w:eastAsia="en-GB"/>
        </w:rPr>
        <w:t xml:space="preserve">investor </w:t>
      </w:r>
      <w:r w:rsidR="00930CC8" w:rsidRPr="003A4F79">
        <w:rPr>
          <w:noProof/>
          <w:lang w:eastAsia="en-GB"/>
        </w:rPr>
        <w:t>demographics</w:t>
      </w:r>
      <w:r w:rsidR="00D57CF0" w:rsidRPr="003A4F79">
        <w:rPr>
          <w:noProof/>
          <w:lang w:eastAsia="en-GB"/>
        </w:rPr>
        <w:t xml:space="preserve"> (age and gender)</w:t>
      </w:r>
      <w:r w:rsidR="00581456" w:rsidRPr="003A4F79">
        <w:rPr>
          <w:noProof/>
          <w:lang w:eastAsia="en-GB"/>
        </w:rPr>
        <w:t>,</w:t>
      </w:r>
      <w:r w:rsidR="00930CC8" w:rsidRPr="003A4F79">
        <w:rPr>
          <w:noProof/>
          <w:lang w:eastAsia="en-GB"/>
        </w:rPr>
        <w:t xml:space="preserve"> and </w:t>
      </w:r>
      <w:r w:rsidR="00AD0CEC" w:rsidRPr="003A4F79">
        <w:rPr>
          <w:noProof/>
          <w:lang w:eastAsia="en-GB"/>
        </w:rPr>
        <w:t xml:space="preserve">time-varying market conditions. </w:t>
      </w:r>
      <w:r w:rsidR="00D359AA" w:rsidRPr="003A4F79">
        <w:rPr>
          <w:noProof/>
          <w:lang w:eastAsia="en-GB"/>
        </w:rPr>
        <w:t>Specifically, t</w:t>
      </w:r>
      <w:r w:rsidR="00930CC8" w:rsidRPr="003A4F79">
        <w:rPr>
          <w:noProof/>
          <w:lang w:eastAsia="en-GB"/>
        </w:rPr>
        <w:t xml:space="preserve">he log value of </w:t>
      </w:r>
      <w:r w:rsidR="00D359AA" w:rsidRPr="003A4F79">
        <w:rPr>
          <w:noProof/>
          <w:lang w:eastAsia="en-GB"/>
        </w:rPr>
        <w:t>average</w:t>
      </w:r>
      <w:r w:rsidR="00930CC8" w:rsidRPr="003A4F79">
        <w:rPr>
          <w:noProof/>
          <w:lang w:eastAsia="en-GB"/>
        </w:rPr>
        <w:t xml:space="preserve"> portfolio holdings (</w:t>
      </w:r>
      <w:r w:rsidR="00D359AA" w:rsidRPr="003A4F79">
        <w:rPr>
          <w:i/>
          <w:noProof/>
          <w:lang w:eastAsia="en-GB"/>
        </w:rPr>
        <w:t>InvSiz</w:t>
      </w:r>
      <w:r w:rsidR="00930CC8" w:rsidRPr="003A4F79">
        <w:rPr>
          <w:noProof/>
          <w:lang w:eastAsia="en-GB"/>
        </w:rPr>
        <w:t xml:space="preserve">) </w:t>
      </w:r>
      <w:r w:rsidR="00D359AA" w:rsidRPr="003A4F79">
        <w:rPr>
          <w:noProof/>
          <w:lang w:eastAsia="en-GB"/>
        </w:rPr>
        <w:t>is</w:t>
      </w:r>
      <w:r w:rsidR="00930CC8" w:rsidRPr="003A4F79">
        <w:rPr>
          <w:noProof/>
          <w:lang w:eastAsia="en-GB"/>
        </w:rPr>
        <w:t xml:space="preserve"> used to proxy the level of investor income or wealth</w:t>
      </w:r>
      <w:r w:rsidR="001E3FDF" w:rsidRPr="003A4F79">
        <w:rPr>
          <w:noProof/>
          <w:lang w:eastAsia="en-GB"/>
        </w:rPr>
        <w:t xml:space="preserve"> to account for </w:t>
      </w:r>
      <w:r w:rsidR="00930CC8" w:rsidRPr="003A4F79">
        <w:rPr>
          <w:noProof/>
          <w:lang w:eastAsia="en-GB"/>
        </w:rPr>
        <w:t xml:space="preserve">the wealth effect. </w:t>
      </w:r>
      <w:r w:rsidR="00821BA9" w:rsidRPr="003A4F79">
        <w:rPr>
          <w:noProof/>
          <w:lang w:eastAsia="en-GB"/>
        </w:rPr>
        <w:t>We include dummy variable</w:t>
      </w:r>
      <w:r w:rsidR="00265CA6" w:rsidRPr="003A4F79">
        <w:rPr>
          <w:noProof/>
          <w:lang w:eastAsia="en-GB"/>
        </w:rPr>
        <w:t>s</w:t>
      </w:r>
      <w:r w:rsidR="00821BA9" w:rsidRPr="003A4F79">
        <w:rPr>
          <w:noProof/>
          <w:lang w:eastAsia="en-GB"/>
        </w:rPr>
        <w:t xml:space="preserve"> to account </w:t>
      </w:r>
      <w:r w:rsidR="00930CC8" w:rsidRPr="003A4F79">
        <w:rPr>
          <w:noProof/>
          <w:lang w:eastAsia="en-GB"/>
        </w:rPr>
        <w:t>for</w:t>
      </w:r>
      <w:r w:rsidR="00821BA9" w:rsidRPr="003A4F79">
        <w:rPr>
          <w:noProof/>
          <w:lang w:eastAsia="en-GB"/>
        </w:rPr>
        <w:t xml:space="preserve"> inactive</w:t>
      </w:r>
      <w:r w:rsidR="00930CC8" w:rsidRPr="003A4F79">
        <w:rPr>
          <w:noProof/>
          <w:lang w:eastAsia="en-GB"/>
        </w:rPr>
        <w:t xml:space="preserve"> investors</w:t>
      </w:r>
      <w:r w:rsidR="00265CA6" w:rsidRPr="003A4F79">
        <w:rPr>
          <w:noProof/>
          <w:lang w:eastAsia="en-GB"/>
        </w:rPr>
        <w:t xml:space="preserve"> (</w:t>
      </w:r>
      <w:r w:rsidR="00821BA9" w:rsidRPr="003A4F79">
        <w:rPr>
          <w:i/>
          <w:noProof/>
          <w:lang w:eastAsia="en-GB"/>
        </w:rPr>
        <w:t>ZeroTrd</w:t>
      </w:r>
      <w:r w:rsidR="00821BA9" w:rsidRPr="003A4F79">
        <w:rPr>
          <w:noProof/>
          <w:lang w:eastAsia="en-GB"/>
        </w:rPr>
        <w:t xml:space="preserve"> and </w:t>
      </w:r>
      <w:r w:rsidR="00821BA9" w:rsidRPr="003A4F79">
        <w:rPr>
          <w:i/>
          <w:noProof/>
          <w:lang w:eastAsia="en-GB"/>
        </w:rPr>
        <w:t>SglStock</w:t>
      </w:r>
      <w:r w:rsidR="00265CA6" w:rsidRPr="003A4F79">
        <w:rPr>
          <w:noProof/>
          <w:lang w:eastAsia="en-GB"/>
        </w:rPr>
        <w:t>)</w:t>
      </w:r>
      <w:r w:rsidR="00930CC8" w:rsidRPr="003A4F79">
        <w:rPr>
          <w:noProof/>
          <w:lang w:eastAsia="en-GB"/>
        </w:rPr>
        <w:t xml:space="preserve"> to </w:t>
      </w:r>
      <w:r w:rsidR="00503E2A" w:rsidRPr="003A4F79">
        <w:rPr>
          <w:noProof/>
          <w:lang w:eastAsia="en-GB"/>
        </w:rPr>
        <w:t xml:space="preserve">account for the fact that these </w:t>
      </w:r>
      <w:r w:rsidR="00930CC8" w:rsidRPr="003A4F79">
        <w:rPr>
          <w:noProof/>
          <w:lang w:eastAsia="en-GB"/>
        </w:rPr>
        <w:t xml:space="preserve">investors </w:t>
      </w:r>
      <w:r w:rsidR="00503E2A" w:rsidRPr="003A4F79">
        <w:rPr>
          <w:noProof/>
          <w:lang w:eastAsia="en-GB"/>
        </w:rPr>
        <w:t>m</w:t>
      </w:r>
      <w:r w:rsidR="00930CC8" w:rsidRPr="003A4F79">
        <w:rPr>
          <w:noProof/>
          <w:lang w:eastAsia="en-GB"/>
        </w:rPr>
        <w:t xml:space="preserve">ay </w:t>
      </w:r>
      <w:r w:rsidRPr="003A4F79">
        <w:rPr>
          <w:noProof/>
          <w:lang w:eastAsia="en-GB"/>
        </w:rPr>
        <w:t xml:space="preserve">have </w:t>
      </w:r>
      <w:r w:rsidR="00930CC8" w:rsidRPr="003A4F79">
        <w:rPr>
          <w:noProof/>
          <w:lang w:eastAsia="en-GB"/>
        </w:rPr>
        <w:t>different motivation</w:t>
      </w:r>
      <w:r w:rsidRPr="003A4F79">
        <w:rPr>
          <w:noProof/>
          <w:lang w:eastAsia="en-GB"/>
        </w:rPr>
        <w:t>s</w:t>
      </w:r>
      <w:r w:rsidR="00930CC8" w:rsidRPr="003A4F79">
        <w:rPr>
          <w:noProof/>
          <w:lang w:eastAsia="en-GB"/>
        </w:rPr>
        <w:t xml:space="preserve"> from those who invest in </w:t>
      </w:r>
      <w:r w:rsidR="00CD006F" w:rsidRPr="003A4F79">
        <w:rPr>
          <w:noProof/>
          <w:lang w:eastAsia="en-GB"/>
        </w:rPr>
        <w:t xml:space="preserve">even </w:t>
      </w:r>
      <w:r w:rsidR="00930CC8" w:rsidRPr="003A4F79">
        <w:rPr>
          <w:noProof/>
          <w:lang w:eastAsia="en-GB"/>
        </w:rPr>
        <w:t>a</w:t>
      </w:r>
      <w:r w:rsidR="00CD006F" w:rsidRPr="003A4F79">
        <w:rPr>
          <w:noProof/>
          <w:lang w:eastAsia="en-GB"/>
        </w:rPr>
        <w:t xml:space="preserve"> small</w:t>
      </w:r>
      <w:r w:rsidR="00930CC8" w:rsidRPr="003A4F79">
        <w:rPr>
          <w:noProof/>
          <w:lang w:eastAsia="en-GB"/>
        </w:rPr>
        <w:t xml:space="preserve"> portfolio</w:t>
      </w:r>
      <w:r w:rsidR="00930CC8" w:rsidRPr="003A4F79">
        <w:t xml:space="preserve">. </w:t>
      </w:r>
      <w:r w:rsidRPr="003A4F79">
        <w:t xml:space="preserve">Since </w:t>
      </w:r>
      <w:r w:rsidR="00936859" w:rsidRPr="003A4F79">
        <w:t>our univariate analysis hints that Nokia</w:t>
      </w:r>
      <w:r w:rsidRPr="003A4F79">
        <w:t xml:space="preserve"> </w:t>
      </w:r>
      <w:r w:rsidR="00936859" w:rsidRPr="003A4F79">
        <w:t xml:space="preserve">investors may act differently from </w:t>
      </w:r>
      <w:r w:rsidRPr="003A4F79">
        <w:t>non</w:t>
      </w:r>
      <w:r w:rsidR="00936859" w:rsidRPr="003A4F79">
        <w:t xml:space="preserve">-Nokia investors, we also control </w:t>
      </w:r>
      <w:r w:rsidR="00936859" w:rsidRPr="003A4F79">
        <w:rPr>
          <w:noProof/>
          <w:lang w:eastAsia="en-GB"/>
        </w:rPr>
        <w:t xml:space="preserve">for </w:t>
      </w:r>
      <w:r w:rsidR="00936859" w:rsidRPr="003A4F79">
        <w:rPr>
          <w:i/>
          <w:noProof/>
          <w:lang w:eastAsia="en-GB"/>
        </w:rPr>
        <w:t>Nokia</w:t>
      </w:r>
      <w:r w:rsidR="00936859" w:rsidRPr="003A4F79">
        <w:rPr>
          <w:noProof/>
          <w:lang w:eastAsia="en-GB"/>
        </w:rPr>
        <w:t>.</w:t>
      </w:r>
      <w:r w:rsidR="00D57CF0" w:rsidRPr="003A4F79">
        <w:rPr>
          <w:noProof/>
          <w:lang w:eastAsia="en-GB"/>
        </w:rPr>
        <w:t xml:space="preserve"> </w:t>
      </w:r>
      <w:r w:rsidRPr="003A4F79">
        <w:rPr>
          <w:noProof/>
          <w:lang w:eastAsia="en-GB"/>
        </w:rPr>
        <w:t xml:space="preserve">To address the </w:t>
      </w:r>
      <w:r w:rsidR="00D57CF0" w:rsidRPr="003A4F79">
        <w:rPr>
          <w:noProof/>
          <w:lang w:eastAsia="en-GB"/>
        </w:rPr>
        <w:t xml:space="preserve">time-varying condition of </w:t>
      </w:r>
      <w:r w:rsidRPr="003A4F79">
        <w:rPr>
          <w:noProof/>
          <w:lang w:eastAsia="en-GB"/>
        </w:rPr>
        <w:t xml:space="preserve">the </w:t>
      </w:r>
      <w:r w:rsidR="00D57CF0" w:rsidRPr="003A4F79">
        <w:rPr>
          <w:noProof/>
          <w:lang w:eastAsia="en-GB"/>
        </w:rPr>
        <w:t xml:space="preserve">Finnish stock market, </w:t>
      </w:r>
      <w:r w:rsidR="00930CC8" w:rsidRPr="003A4F79">
        <w:rPr>
          <w:noProof/>
          <w:lang w:eastAsia="en-GB"/>
        </w:rPr>
        <w:t xml:space="preserve">we include the lagged value (by one calendar </w:t>
      </w:r>
      <w:r w:rsidR="00210815" w:rsidRPr="003A4F79">
        <w:rPr>
          <w:noProof/>
          <w:lang w:eastAsia="en-GB"/>
        </w:rPr>
        <w:t>month</w:t>
      </w:r>
      <w:r w:rsidR="00930CC8" w:rsidRPr="003A4F79">
        <w:rPr>
          <w:noProof/>
          <w:lang w:eastAsia="en-GB"/>
        </w:rPr>
        <w:t>) of market return (</w:t>
      </w:r>
      <w:r w:rsidR="00930CC8" w:rsidRPr="003A4F79">
        <w:rPr>
          <w:i/>
          <w:noProof/>
          <w:lang w:eastAsia="en-GB"/>
        </w:rPr>
        <w:t>MktRet</w:t>
      </w:r>
      <w:r w:rsidR="00930CC8" w:rsidRPr="003A4F79">
        <w:rPr>
          <w:noProof/>
          <w:lang w:eastAsia="en-GB"/>
        </w:rPr>
        <w:t>)</w:t>
      </w:r>
      <w:r w:rsidR="00930CC8" w:rsidRPr="003A4F79">
        <w:t xml:space="preserve"> and volatility (</w:t>
      </w:r>
      <w:r w:rsidR="00930CC8" w:rsidRPr="003A4F79">
        <w:rPr>
          <w:i/>
        </w:rPr>
        <w:t>MktVol</w:t>
      </w:r>
      <w:r w:rsidR="00930CC8" w:rsidRPr="003A4F79">
        <w:t>), compute</w:t>
      </w:r>
      <w:r w:rsidRPr="003A4F79">
        <w:t>d</w:t>
      </w:r>
      <w:r w:rsidR="00930CC8" w:rsidRPr="003A4F79">
        <w:t xml:space="preserve"> using the OMX Helsinki Index</w:t>
      </w:r>
      <w:r w:rsidR="00B5582E" w:rsidRPr="003A4F79">
        <w:t xml:space="preserve">, and a dummy variable </w:t>
      </w:r>
      <w:r w:rsidR="00D53150" w:rsidRPr="003A4F79">
        <w:t>(</w:t>
      </w:r>
      <w:r w:rsidR="00D53150" w:rsidRPr="003A4F79">
        <w:rPr>
          <w:i/>
        </w:rPr>
        <w:t>Burst</w:t>
      </w:r>
      <w:r w:rsidR="00D53150" w:rsidRPr="003A4F79">
        <w:t>)</w:t>
      </w:r>
      <w:r w:rsidRPr="003A4F79">
        <w:t xml:space="preserve"> </w:t>
      </w:r>
      <w:r w:rsidR="00B5582E" w:rsidRPr="003A4F79">
        <w:t xml:space="preserve">indicating the period </w:t>
      </w:r>
      <w:r w:rsidRPr="003A4F79">
        <w:t>after the</w:t>
      </w:r>
      <w:r w:rsidR="00B5582E" w:rsidRPr="003A4F79">
        <w:t xml:space="preserve"> stock market </w:t>
      </w:r>
      <w:r w:rsidRPr="003A4F79">
        <w:t xml:space="preserve">bust </w:t>
      </w:r>
      <w:r w:rsidR="00B5582E" w:rsidRPr="003A4F79">
        <w:t>in early 2000.</w:t>
      </w:r>
    </w:p>
    <w:p w14:paraId="070F3DC0" w14:textId="0150FDBE" w:rsidR="00EB06CD" w:rsidRPr="003A4F79" w:rsidRDefault="002D42A5">
      <w:pPr>
        <w:rPr>
          <w:noProof/>
          <w:lang w:eastAsia="en-GB"/>
        </w:rPr>
      </w:pPr>
      <w:r w:rsidRPr="003A4F79">
        <w:rPr>
          <w:noProof/>
          <w:lang w:eastAsia="en-GB"/>
        </w:rPr>
        <w:t xml:space="preserve">We present </w:t>
      </w:r>
      <w:r w:rsidR="00E56AE1" w:rsidRPr="003A4F79">
        <w:rPr>
          <w:noProof/>
          <w:lang w:eastAsia="en-GB"/>
        </w:rPr>
        <w:t xml:space="preserve">the </w:t>
      </w:r>
      <w:r w:rsidRPr="003A4F79">
        <w:rPr>
          <w:noProof/>
          <w:lang w:eastAsia="en-GB"/>
        </w:rPr>
        <w:t xml:space="preserve">main </w:t>
      </w:r>
      <w:r w:rsidR="0076221B" w:rsidRPr="003A4F79">
        <w:rPr>
          <w:noProof/>
          <w:lang w:eastAsia="en-GB"/>
        </w:rPr>
        <w:t xml:space="preserve">results </w:t>
      </w:r>
      <w:r w:rsidR="00E56AE1" w:rsidRPr="003A4F79">
        <w:rPr>
          <w:noProof/>
          <w:lang w:eastAsia="en-GB"/>
        </w:rPr>
        <w:t xml:space="preserve">from </w:t>
      </w:r>
      <w:r w:rsidR="0076221B" w:rsidRPr="003A4F79">
        <w:rPr>
          <w:noProof/>
          <w:lang w:eastAsia="en-GB"/>
        </w:rPr>
        <w:t xml:space="preserve">estimating a </w:t>
      </w:r>
      <w:r w:rsidR="00E505A1" w:rsidRPr="003A4F79">
        <w:rPr>
          <w:noProof/>
          <w:lang w:eastAsia="en-GB"/>
        </w:rPr>
        <w:t>hazard model</w:t>
      </w:r>
      <w:r w:rsidR="0076221B" w:rsidRPr="003A4F79">
        <w:rPr>
          <w:noProof/>
          <w:lang w:eastAsia="en-GB"/>
        </w:rPr>
        <w:t xml:space="preserve"> </w:t>
      </w:r>
      <w:r w:rsidR="00E80423" w:rsidRPr="003A4F79">
        <w:rPr>
          <w:noProof/>
          <w:lang w:eastAsia="en-GB"/>
        </w:rPr>
        <w:t xml:space="preserve">using </w:t>
      </w:r>
      <w:r w:rsidR="0076221B" w:rsidRPr="003A4F79">
        <w:rPr>
          <w:noProof/>
          <w:lang w:eastAsia="en-GB"/>
        </w:rPr>
        <w:t xml:space="preserve">Equation </w:t>
      </w:r>
      <w:r w:rsidR="00705D74" w:rsidRPr="003A4F79">
        <w:rPr>
          <w:noProof/>
          <w:lang w:eastAsia="en-GB"/>
        </w:rPr>
        <w:t>(</w:t>
      </w:r>
      <w:r w:rsidR="007A187D" w:rsidRPr="003A4F79">
        <w:rPr>
          <w:noProof/>
          <w:lang w:eastAsia="en-GB"/>
        </w:rPr>
        <w:t>4</w:t>
      </w:r>
      <w:r w:rsidR="00705D74" w:rsidRPr="003A4F79">
        <w:rPr>
          <w:noProof/>
          <w:lang w:eastAsia="en-GB"/>
        </w:rPr>
        <w:t>)</w:t>
      </w:r>
      <w:r w:rsidR="0076221B" w:rsidRPr="003A4F79">
        <w:rPr>
          <w:noProof/>
          <w:lang w:eastAsia="en-GB"/>
        </w:rPr>
        <w:t xml:space="preserve"> in</w:t>
      </w:r>
      <w:r w:rsidR="009473A7" w:rsidRPr="003A4F79">
        <w:rPr>
          <w:noProof/>
          <w:lang w:eastAsia="en-GB"/>
        </w:rPr>
        <w:t xml:space="preserve"> two tables</w:t>
      </w:r>
      <w:r w:rsidR="002529CD" w:rsidRPr="003A4F79">
        <w:rPr>
          <w:noProof/>
          <w:lang w:eastAsia="en-GB"/>
        </w:rPr>
        <w:t xml:space="preserve">. </w:t>
      </w:r>
      <w:r w:rsidRPr="003A4F79">
        <w:rPr>
          <w:noProof/>
          <w:lang w:eastAsia="en-GB"/>
        </w:rPr>
        <w:t>T</w:t>
      </w:r>
      <w:r w:rsidR="00F1235E" w:rsidRPr="003A4F79">
        <w:rPr>
          <w:noProof/>
          <w:lang w:eastAsia="en-GB"/>
        </w:rPr>
        <w:t>able 2</w:t>
      </w:r>
      <w:r w:rsidR="002529CD" w:rsidRPr="003A4F79">
        <w:rPr>
          <w:noProof/>
          <w:lang w:eastAsia="en-GB"/>
        </w:rPr>
        <w:t xml:space="preserve"> presents</w:t>
      </w:r>
      <w:r w:rsidR="009473A7" w:rsidRPr="003A4F79">
        <w:rPr>
          <w:noProof/>
          <w:lang w:eastAsia="en-GB"/>
        </w:rPr>
        <w:t xml:space="preserve"> the model w</w:t>
      </w:r>
      <w:r w:rsidR="00372C75" w:rsidRPr="003A4F79">
        <w:rPr>
          <w:noProof/>
          <w:lang w:eastAsia="en-GB"/>
        </w:rPr>
        <w:t>ithout the control variable</w:t>
      </w:r>
      <w:r w:rsidR="002529CD" w:rsidRPr="003A4F79">
        <w:rPr>
          <w:noProof/>
          <w:lang w:eastAsia="en-GB"/>
        </w:rPr>
        <w:t>,</w:t>
      </w:r>
      <w:r w:rsidR="00372C75" w:rsidRPr="003A4F79">
        <w:rPr>
          <w:noProof/>
          <w:lang w:eastAsia="en-GB"/>
        </w:rPr>
        <w:t xml:space="preserve"> </w:t>
      </w:r>
      <w:r w:rsidR="00372C75" w:rsidRPr="003A4F79">
        <w:rPr>
          <w:i/>
          <w:noProof/>
          <w:lang w:eastAsia="en-GB"/>
        </w:rPr>
        <w:t>AllRet</w:t>
      </w:r>
      <w:r w:rsidR="002529CD" w:rsidRPr="003A4F79">
        <w:rPr>
          <w:noProof/>
          <w:lang w:eastAsia="en-GB"/>
        </w:rPr>
        <w:t>, while the model in</w:t>
      </w:r>
      <w:r w:rsidR="00C30253" w:rsidRPr="003A4F79">
        <w:rPr>
          <w:noProof/>
          <w:lang w:eastAsia="en-GB"/>
        </w:rPr>
        <w:t xml:space="preserve"> </w:t>
      </w:r>
      <w:r w:rsidR="00C30066" w:rsidRPr="003A4F79">
        <w:rPr>
          <w:noProof/>
          <w:lang w:eastAsia="en-GB"/>
        </w:rPr>
        <w:t>Table 3</w:t>
      </w:r>
      <w:r w:rsidR="002529CD" w:rsidRPr="003A4F79">
        <w:rPr>
          <w:noProof/>
          <w:lang w:eastAsia="en-GB"/>
        </w:rPr>
        <w:t xml:space="preserve"> includes</w:t>
      </w:r>
      <w:r w:rsidR="009473A7" w:rsidRPr="003A4F79">
        <w:rPr>
          <w:noProof/>
          <w:lang w:eastAsia="en-GB"/>
        </w:rPr>
        <w:t xml:space="preserve"> </w:t>
      </w:r>
      <w:r w:rsidR="009473A7" w:rsidRPr="003A4F79">
        <w:rPr>
          <w:i/>
          <w:noProof/>
          <w:lang w:eastAsia="en-GB"/>
        </w:rPr>
        <w:t>AllRet</w:t>
      </w:r>
      <w:r w:rsidR="008E75CF" w:rsidRPr="003A4F79">
        <w:rPr>
          <w:noProof/>
          <w:lang w:eastAsia="en-GB"/>
        </w:rPr>
        <w:t>.</w:t>
      </w:r>
      <w:r w:rsidR="00C30253" w:rsidRPr="003A4F79">
        <w:rPr>
          <w:noProof/>
          <w:lang w:eastAsia="en-GB"/>
        </w:rPr>
        <w:t xml:space="preserve"> </w:t>
      </w:r>
      <w:r w:rsidR="002529CD" w:rsidRPr="003A4F79">
        <w:rPr>
          <w:noProof/>
          <w:lang w:eastAsia="en-GB"/>
        </w:rPr>
        <w:t>E</w:t>
      </w:r>
      <w:r w:rsidR="00746F6E" w:rsidRPr="003A4F79">
        <w:rPr>
          <w:noProof/>
          <w:lang w:eastAsia="en-GB"/>
        </w:rPr>
        <w:t>ach table</w:t>
      </w:r>
      <w:r w:rsidR="002529CD" w:rsidRPr="003A4F79">
        <w:rPr>
          <w:noProof/>
          <w:lang w:eastAsia="en-GB"/>
        </w:rPr>
        <w:t xml:space="preserve"> has</w:t>
      </w:r>
      <w:r w:rsidR="006F6087" w:rsidRPr="003A4F79">
        <w:rPr>
          <w:noProof/>
          <w:lang w:eastAsia="en-GB"/>
        </w:rPr>
        <w:t xml:space="preserve"> four </w:t>
      </w:r>
      <w:r w:rsidR="00CB0A3D" w:rsidRPr="003A4F79">
        <w:rPr>
          <w:noProof/>
          <w:lang w:eastAsia="en-GB"/>
        </w:rPr>
        <w:t>specifications</w:t>
      </w:r>
      <w:r w:rsidR="001E4D2B" w:rsidRPr="003A4F79">
        <w:rPr>
          <w:noProof/>
          <w:lang w:eastAsia="en-GB"/>
        </w:rPr>
        <w:t xml:space="preserve"> (Model</w:t>
      </w:r>
      <w:r w:rsidR="002529CD" w:rsidRPr="003A4F79">
        <w:rPr>
          <w:noProof/>
          <w:lang w:eastAsia="en-GB"/>
        </w:rPr>
        <w:t>s</w:t>
      </w:r>
      <w:r w:rsidR="001E4D2B" w:rsidRPr="003A4F79">
        <w:rPr>
          <w:noProof/>
          <w:lang w:eastAsia="en-GB"/>
        </w:rPr>
        <w:t xml:space="preserve"> 1 to 4)</w:t>
      </w:r>
      <w:r w:rsidR="002529CD" w:rsidRPr="003A4F79">
        <w:rPr>
          <w:noProof/>
          <w:lang w:eastAsia="en-GB"/>
        </w:rPr>
        <w:t>,</w:t>
      </w:r>
      <w:r w:rsidR="00CB0A3D" w:rsidRPr="003A4F79">
        <w:rPr>
          <w:noProof/>
          <w:lang w:eastAsia="en-GB"/>
        </w:rPr>
        <w:t xml:space="preserve"> depending on the </w:t>
      </w:r>
      <w:r w:rsidR="002529CD" w:rsidRPr="003A4F79">
        <w:rPr>
          <w:noProof/>
          <w:lang w:eastAsia="en-GB"/>
        </w:rPr>
        <w:t xml:space="preserve">chosen </w:t>
      </w:r>
      <w:r w:rsidR="00CB0A3D" w:rsidRPr="003A4F79">
        <w:rPr>
          <w:noProof/>
          <w:lang w:eastAsia="en-GB"/>
        </w:rPr>
        <w:t xml:space="preserve">set of control variables. </w:t>
      </w:r>
      <w:r w:rsidR="002529CD" w:rsidRPr="003A4F79">
        <w:rPr>
          <w:noProof/>
          <w:lang w:eastAsia="en-GB"/>
        </w:rPr>
        <w:t>W</w:t>
      </w:r>
      <w:r w:rsidR="007E6093" w:rsidRPr="003A4F79">
        <w:rPr>
          <w:noProof/>
          <w:lang w:eastAsia="en-GB"/>
        </w:rPr>
        <w:t>e include</w:t>
      </w:r>
      <w:r w:rsidR="00D53150" w:rsidRPr="003A4F79">
        <w:rPr>
          <w:noProof/>
          <w:lang w:eastAsia="en-GB"/>
        </w:rPr>
        <w:t xml:space="preserve"> </w:t>
      </w:r>
      <w:r w:rsidR="002529CD" w:rsidRPr="003A4F79">
        <w:rPr>
          <w:noProof/>
          <w:lang w:eastAsia="en-GB"/>
        </w:rPr>
        <w:t>six</w:t>
      </w:r>
      <w:r w:rsidR="00D53150" w:rsidRPr="003A4F79">
        <w:rPr>
          <w:noProof/>
          <w:lang w:eastAsia="en-GB"/>
        </w:rPr>
        <w:t xml:space="preserve"> variables</w:t>
      </w:r>
      <w:r w:rsidR="00CD006F" w:rsidRPr="003A4F79">
        <w:rPr>
          <w:noProof/>
          <w:lang w:eastAsia="en-GB"/>
        </w:rPr>
        <w:t xml:space="preserve"> – </w:t>
      </w:r>
      <w:r w:rsidR="00CD006F" w:rsidRPr="003A4F79">
        <w:rPr>
          <w:i/>
          <w:noProof/>
          <w:lang w:eastAsia="en-GB"/>
        </w:rPr>
        <w:t>M</w:t>
      </w:r>
      <w:r w:rsidR="00D53150" w:rsidRPr="003A4F79">
        <w:rPr>
          <w:i/>
          <w:noProof/>
          <w:lang w:eastAsia="en-GB"/>
        </w:rPr>
        <w:t xml:space="preserve">ktRet, MktVol, Female, Age, Burst, </w:t>
      </w:r>
      <w:r w:rsidR="001F50B6" w:rsidRPr="003A4F79">
        <w:rPr>
          <w:noProof/>
          <w:lang w:eastAsia="en-GB"/>
        </w:rPr>
        <w:t>and</w:t>
      </w:r>
      <w:r w:rsidR="001F50B6" w:rsidRPr="003A4F79">
        <w:rPr>
          <w:i/>
          <w:noProof/>
          <w:lang w:eastAsia="en-GB"/>
        </w:rPr>
        <w:t xml:space="preserve"> DurAway</w:t>
      </w:r>
      <w:r w:rsidR="00CD006F" w:rsidRPr="003A4F79">
        <w:rPr>
          <w:i/>
          <w:noProof/>
          <w:lang w:eastAsia="en-GB"/>
        </w:rPr>
        <w:t xml:space="preserve"> – </w:t>
      </w:r>
      <w:r w:rsidR="002529CD" w:rsidRPr="003A4F79">
        <w:rPr>
          <w:noProof/>
          <w:lang w:eastAsia="en-GB"/>
        </w:rPr>
        <w:t>and</w:t>
      </w:r>
      <w:r w:rsidR="009754AE" w:rsidRPr="003A4F79">
        <w:rPr>
          <w:noProof/>
          <w:lang w:eastAsia="en-GB"/>
        </w:rPr>
        <w:t xml:space="preserve"> the aforementioned fixed effects </w:t>
      </w:r>
      <w:r w:rsidR="00D53150" w:rsidRPr="003A4F79">
        <w:rPr>
          <w:noProof/>
          <w:lang w:eastAsia="en-GB"/>
        </w:rPr>
        <w:t>throughout the specification</w:t>
      </w:r>
      <w:r w:rsidR="002529CD" w:rsidRPr="003A4F79">
        <w:rPr>
          <w:noProof/>
          <w:lang w:eastAsia="en-GB"/>
        </w:rPr>
        <w:t>, while e</w:t>
      </w:r>
      <w:r w:rsidR="003604D5" w:rsidRPr="003A4F79">
        <w:rPr>
          <w:noProof/>
          <w:lang w:eastAsia="en-GB"/>
        </w:rPr>
        <w:t xml:space="preserve">xperience measures </w:t>
      </w:r>
      <w:r w:rsidR="002529CD" w:rsidRPr="003A4F79">
        <w:rPr>
          <w:noProof/>
          <w:lang w:eastAsia="en-GB"/>
        </w:rPr>
        <w:t xml:space="preserve">other </w:t>
      </w:r>
      <w:r w:rsidR="003604D5" w:rsidRPr="003A4F79">
        <w:rPr>
          <w:noProof/>
          <w:lang w:eastAsia="en-GB"/>
        </w:rPr>
        <w:t>than returns</w:t>
      </w:r>
      <w:r w:rsidR="00CD006F" w:rsidRPr="003A4F79">
        <w:rPr>
          <w:noProof/>
          <w:lang w:eastAsia="en-GB"/>
        </w:rPr>
        <w:t xml:space="preserve"> – </w:t>
      </w:r>
      <m:oMath>
        <m:r>
          <m:rPr>
            <m:sty m:val="p"/>
          </m:rPr>
          <w:rPr>
            <w:rFonts w:ascii="Cambria Math" w:hAnsi="Cambria Math"/>
            <w:noProof/>
            <w:lang w:eastAsia="en-GB"/>
          </w:rPr>
          <m:t xml:space="preserve"> </m:t>
        </m:r>
      </m:oMath>
      <w:r w:rsidR="0050358E" w:rsidRPr="003A4F79">
        <w:rPr>
          <w:i/>
          <w:noProof/>
          <w:lang w:eastAsia="en-GB"/>
        </w:rPr>
        <w:t>InvSiz, ZeroTrd, SglStock,</w:t>
      </w:r>
      <w:r w:rsidR="001A3E86" w:rsidRPr="003A4F79">
        <w:rPr>
          <w:i/>
          <w:noProof/>
          <w:lang w:eastAsia="en-GB"/>
        </w:rPr>
        <w:t xml:space="preserve"> </w:t>
      </w:r>
      <w:r w:rsidR="001A3E86" w:rsidRPr="003A4F79">
        <w:rPr>
          <w:noProof/>
          <w:lang w:eastAsia="en-GB"/>
        </w:rPr>
        <w:t>and</w:t>
      </w:r>
      <w:r w:rsidR="0050358E" w:rsidRPr="003A4F79">
        <w:rPr>
          <w:i/>
          <w:noProof/>
          <w:lang w:eastAsia="en-GB"/>
        </w:rPr>
        <w:t xml:space="preserve"> Nokia</w:t>
      </w:r>
      <m:oMath>
        <m:r>
          <m:rPr>
            <m:sty m:val="p"/>
          </m:rPr>
          <w:rPr>
            <w:rFonts w:ascii="Cambria Math" w:hAnsi="Cambria Math"/>
            <w:noProof/>
            <w:lang w:eastAsia="en-GB"/>
          </w:rPr>
          <m:t xml:space="preserve"> </m:t>
        </m:r>
      </m:oMath>
      <w:r w:rsidR="00CD006F" w:rsidRPr="003A4F79">
        <w:rPr>
          <w:noProof/>
          <w:lang w:eastAsia="en-GB"/>
        </w:rPr>
        <w:t>– a</w:t>
      </w:r>
      <w:r w:rsidR="003604D5" w:rsidRPr="003A4F79">
        <w:rPr>
          <w:noProof/>
          <w:lang w:eastAsia="en-GB"/>
        </w:rPr>
        <w:t xml:space="preserve">re considered in order. </w:t>
      </w:r>
      <w:r w:rsidR="009459FD" w:rsidRPr="003A4F79">
        <w:rPr>
          <w:noProof/>
          <w:lang w:eastAsia="en-GB"/>
        </w:rPr>
        <w:t xml:space="preserve">The </w:t>
      </w:r>
      <w:r w:rsidR="00FC5EBF" w:rsidRPr="003A4F79">
        <w:rPr>
          <w:noProof/>
          <w:lang w:eastAsia="en-GB"/>
        </w:rPr>
        <w:t xml:space="preserve">coefficients </w:t>
      </w:r>
      <w:r w:rsidR="002529CD" w:rsidRPr="003A4F79">
        <w:rPr>
          <w:noProof/>
          <w:lang w:eastAsia="en-GB"/>
        </w:rPr>
        <w:t xml:space="preserve">of </w:t>
      </w:r>
      <w:r w:rsidR="00FC5EBF" w:rsidRPr="003A4F79">
        <w:rPr>
          <w:noProof/>
          <w:lang w:eastAsia="en-GB"/>
        </w:rPr>
        <w:t xml:space="preserve">our main variable </w:t>
      </w:r>
      <w:r w:rsidR="00FC5EBF" w:rsidRPr="003A4F79">
        <w:rPr>
          <w:noProof/>
          <w:lang w:eastAsia="en-GB"/>
        </w:rPr>
        <w:lastRenderedPageBreak/>
        <w:t>(</w:t>
      </w:r>
      <w:r w:rsidR="009459FD" w:rsidRPr="003A4F79">
        <w:rPr>
          <w:i/>
          <w:noProof/>
          <w:lang w:eastAsia="en-GB"/>
        </w:rPr>
        <w:t>IniR</w:t>
      </w:r>
      <w:r w:rsidR="00FC5EBF" w:rsidRPr="003A4F79">
        <w:rPr>
          <w:i/>
          <w:noProof/>
          <w:lang w:eastAsia="en-GB"/>
        </w:rPr>
        <w:t>et</w:t>
      </w:r>
      <w:r w:rsidR="00FC5EBF" w:rsidRPr="003A4F79">
        <w:rPr>
          <w:noProof/>
          <w:lang w:eastAsia="en-GB"/>
        </w:rPr>
        <w:t>)</w:t>
      </w:r>
      <m:oMath>
        <m:r>
          <m:rPr>
            <m:sty m:val="p"/>
          </m:rPr>
          <w:rPr>
            <w:rFonts w:ascii="Cambria Math" w:hAnsi="Cambria Math"/>
            <w:noProof/>
            <w:lang w:eastAsia="en-GB"/>
          </w:rPr>
          <m:t>-</m:t>
        </m:r>
      </m:oMath>
      <w:r w:rsidR="008A4245" w:rsidRPr="003A4F79">
        <w:rPr>
          <w:noProof/>
          <w:lang w:eastAsia="en-GB"/>
        </w:rPr>
        <w:t xml:space="preserve">being reported in terms of </w:t>
      </w:r>
      <w:r w:rsidR="00D654DF" w:rsidRPr="003A4F79">
        <w:rPr>
          <w:noProof/>
          <w:lang w:eastAsia="en-GB"/>
        </w:rPr>
        <w:t xml:space="preserve">the </w:t>
      </w:r>
      <w:r w:rsidR="008A4245" w:rsidRPr="003A4F79">
        <w:rPr>
          <w:noProof/>
          <w:lang w:eastAsia="en-GB"/>
        </w:rPr>
        <w:t>odds ra</w:t>
      </w:r>
      <w:r w:rsidR="00D654DF" w:rsidRPr="003A4F79">
        <w:rPr>
          <w:noProof/>
          <w:lang w:eastAsia="en-GB"/>
        </w:rPr>
        <w:t>t</w:t>
      </w:r>
      <w:r w:rsidR="008A4245" w:rsidRPr="003A4F79">
        <w:rPr>
          <w:noProof/>
          <w:lang w:eastAsia="en-GB"/>
        </w:rPr>
        <w:t>ios</w:t>
      </w:r>
      <m:oMath>
        <m:r>
          <m:rPr>
            <m:sty m:val="p"/>
          </m:rPr>
          <w:rPr>
            <w:rFonts w:ascii="Cambria Math" w:hAnsi="Cambria Math"/>
            <w:noProof/>
            <w:lang w:eastAsia="en-GB"/>
          </w:rPr>
          <m:t>-</m:t>
        </m:r>
      </m:oMath>
      <w:r w:rsidR="00FC5EBF" w:rsidRPr="003A4F79">
        <w:rPr>
          <w:noProof/>
          <w:lang w:eastAsia="en-GB"/>
        </w:rPr>
        <w:t xml:space="preserve">are </w:t>
      </w:r>
      <w:r w:rsidR="002529CD" w:rsidRPr="003A4F79">
        <w:rPr>
          <w:noProof/>
          <w:lang w:eastAsia="en-GB"/>
        </w:rPr>
        <w:t xml:space="preserve">consistently </w:t>
      </w:r>
      <w:r w:rsidR="00FC5EBF" w:rsidRPr="003A4F79">
        <w:rPr>
          <w:noProof/>
          <w:lang w:eastAsia="en-GB"/>
        </w:rPr>
        <w:t xml:space="preserve">positive and </w:t>
      </w:r>
      <w:r w:rsidR="002D0DEF" w:rsidRPr="003A4F79">
        <w:rPr>
          <w:noProof/>
          <w:lang w:eastAsia="en-GB"/>
        </w:rPr>
        <w:t>statistically</w:t>
      </w:r>
      <w:r w:rsidR="00FC5EBF" w:rsidRPr="003A4F79">
        <w:rPr>
          <w:noProof/>
          <w:lang w:eastAsia="en-GB"/>
        </w:rPr>
        <w:t xml:space="preserve"> significant</w:t>
      </w:r>
      <w:r w:rsidR="002529CD" w:rsidRPr="003A4F79">
        <w:rPr>
          <w:noProof/>
          <w:lang w:eastAsia="en-GB"/>
        </w:rPr>
        <w:t>,</w:t>
      </w:r>
      <w:r w:rsidR="00FC5EBF" w:rsidRPr="003A4F79">
        <w:rPr>
          <w:noProof/>
          <w:lang w:eastAsia="en-GB"/>
        </w:rPr>
        <w:t xml:space="preserve"> </w:t>
      </w:r>
      <w:r w:rsidR="009459FD" w:rsidRPr="003A4F79">
        <w:rPr>
          <w:noProof/>
          <w:lang w:eastAsia="en-GB"/>
        </w:rPr>
        <w:t xml:space="preserve">irrespective of </w:t>
      </w:r>
      <w:r w:rsidR="002529CD" w:rsidRPr="003A4F79">
        <w:rPr>
          <w:noProof/>
          <w:lang w:eastAsia="en-GB"/>
        </w:rPr>
        <w:t xml:space="preserve">controlling </w:t>
      </w:r>
      <w:r w:rsidR="00620514" w:rsidRPr="003A4F79">
        <w:rPr>
          <w:noProof/>
          <w:lang w:eastAsia="en-GB"/>
        </w:rPr>
        <w:t xml:space="preserve">for other experience measures </w:t>
      </w:r>
      <w:r w:rsidR="002529CD" w:rsidRPr="003A4F79">
        <w:rPr>
          <w:noProof/>
          <w:lang w:eastAsia="en-GB"/>
        </w:rPr>
        <w:t>and</w:t>
      </w:r>
      <w:r w:rsidR="00620514" w:rsidRPr="003A4F79">
        <w:rPr>
          <w:noProof/>
          <w:lang w:eastAsia="en-GB"/>
        </w:rPr>
        <w:t xml:space="preserve"> accounting for</w:t>
      </w:r>
      <w:r w:rsidR="002529CD" w:rsidRPr="003A4F79">
        <w:rPr>
          <w:noProof/>
          <w:lang w:eastAsia="en-GB"/>
        </w:rPr>
        <w:t xml:space="preserve"> the fixed effects of</w:t>
      </w:r>
      <w:r w:rsidR="00620514" w:rsidRPr="003A4F79">
        <w:rPr>
          <w:noProof/>
          <w:lang w:eastAsia="en-GB"/>
        </w:rPr>
        <w:t xml:space="preserve"> </w:t>
      </w:r>
      <w:r w:rsidR="009459FD" w:rsidRPr="003A4F79">
        <w:rPr>
          <w:noProof/>
          <w:lang w:eastAsia="en-GB"/>
        </w:rPr>
        <w:t>investment size</w:t>
      </w:r>
      <w:r w:rsidR="00CD006F" w:rsidRPr="003A4F79">
        <w:rPr>
          <w:noProof/>
          <w:lang w:eastAsia="en-GB"/>
        </w:rPr>
        <w:t xml:space="preserve">, </w:t>
      </w:r>
      <w:r w:rsidR="00474B4F" w:rsidRPr="003A4F79">
        <w:rPr>
          <w:noProof/>
          <w:lang w:eastAsia="en-GB"/>
        </w:rPr>
        <w:t xml:space="preserve">exit </w:t>
      </w:r>
      <w:r w:rsidR="009459FD" w:rsidRPr="003A4F79">
        <w:rPr>
          <w:noProof/>
          <w:lang w:eastAsia="en-GB"/>
        </w:rPr>
        <w:t>time</w:t>
      </w:r>
      <w:r w:rsidR="002529CD" w:rsidRPr="003A4F79">
        <w:rPr>
          <w:noProof/>
          <w:lang w:eastAsia="en-GB"/>
        </w:rPr>
        <w:t xml:space="preserve">, </w:t>
      </w:r>
      <w:r w:rsidR="009459FD" w:rsidRPr="003A4F79">
        <w:rPr>
          <w:noProof/>
          <w:lang w:eastAsia="en-GB"/>
        </w:rPr>
        <w:t>and zip code</w:t>
      </w:r>
      <w:r w:rsidR="00FC5EBF" w:rsidRPr="003A4F79">
        <w:rPr>
          <w:noProof/>
          <w:lang w:eastAsia="en-GB"/>
        </w:rPr>
        <w:t xml:space="preserve">. </w:t>
      </w:r>
      <w:r w:rsidR="00396DA4" w:rsidRPr="003A4F79">
        <w:rPr>
          <w:noProof/>
          <w:lang w:eastAsia="en-GB"/>
        </w:rPr>
        <w:t xml:space="preserve">The </w:t>
      </w:r>
      <w:r w:rsidR="00F70E0A" w:rsidRPr="003A4F79">
        <w:rPr>
          <w:noProof/>
          <w:lang w:eastAsia="en-GB"/>
        </w:rPr>
        <w:t xml:space="preserve">economic </w:t>
      </w:r>
      <w:r w:rsidR="00396DA4" w:rsidRPr="003A4F79">
        <w:rPr>
          <w:noProof/>
          <w:lang w:eastAsia="en-GB"/>
        </w:rPr>
        <w:t xml:space="preserve">magnitude of </w:t>
      </w:r>
      <w:r w:rsidR="002529CD" w:rsidRPr="003A4F79">
        <w:rPr>
          <w:noProof/>
          <w:lang w:eastAsia="en-GB"/>
        </w:rPr>
        <w:t xml:space="preserve">the </w:t>
      </w:r>
      <w:r w:rsidR="00396DA4" w:rsidRPr="003A4F79">
        <w:rPr>
          <w:noProof/>
          <w:lang w:eastAsia="en-GB"/>
        </w:rPr>
        <w:t>coefficient</w:t>
      </w:r>
      <w:r w:rsidR="00BD494E" w:rsidRPr="003A4F79">
        <w:rPr>
          <w:noProof/>
          <w:lang w:eastAsia="en-GB"/>
        </w:rPr>
        <w:t>s</w:t>
      </w:r>
      <w:r w:rsidR="008A4245" w:rsidRPr="003A4F79">
        <w:rPr>
          <w:noProof/>
          <w:lang w:eastAsia="en-GB"/>
        </w:rPr>
        <w:t xml:space="preserve"> </w:t>
      </w:r>
      <w:r w:rsidR="00F70E0A" w:rsidRPr="003A4F79">
        <w:rPr>
          <w:noProof/>
          <w:lang w:eastAsia="en-GB"/>
        </w:rPr>
        <w:t xml:space="preserve">is </w:t>
      </w:r>
      <w:r w:rsidR="005500FD" w:rsidRPr="003A4F79">
        <w:rPr>
          <w:noProof/>
          <w:lang w:eastAsia="en-GB"/>
        </w:rPr>
        <w:t>interpreted as</w:t>
      </w:r>
      <w:r w:rsidR="00F70E0A" w:rsidRPr="003A4F79">
        <w:rPr>
          <w:noProof/>
          <w:lang w:eastAsia="en-GB"/>
        </w:rPr>
        <w:t xml:space="preserve"> </w:t>
      </w:r>
      <w:r w:rsidR="007F46F9" w:rsidRPr="003A4F79">
        <w:rPr>
          <w:noProof/>
          <w:lang w:eastAsia="en-GB"/>
        </w:rPr>
        <w:t xml:space="preserve">one </w:t>
      </w:r>
      <w:r w:rsidR="000C74D8" w:rsidRPr="003A4F79">
        <w:rPr>
          <w:noProof/>
          <w:lang w:eastAsia="en-GB"/>
        </w:rPr>
        <w:t xml:space="preserve">unit </w:t>
      </w:r>
      <w:r w:rsidR="007F46F9" w:rsidRPr="003A4F79">
        <w:rPr>
          <w:noProof/>
          <w:lang w:eastAsia="en-GB"/>
        </w:rPr>
        <w:t xml:space="preserve">increase in </w:t>
      </w:r>
      <w:r w:rsidR="009D4460" w:rsidRPr="003A4F79">
        <w:rPr>
          <w:i/>
          <w:noProof/>
          <w:lang w:eastAsia="en-GB"/>
        </w:rPr>
        <w:t>IniRet</w:t>
      </w:r>
      <w:r w:rsidR="007F46F9" w:rsidRPr="003A4F79">
        <w:rPr>
          <w:noProof/>
          <w:lang w:eastAsia="en-GB"/>
        </w:rPr>
        <w:t xml:space="preserve"> </w:t>
      </w:r>
      <w:r w:rsidR="002529CD" w:rsidRPr="003A4F79">
        <w:rPr>
          <w:noProof/>
          <w:lang w:eastAsia="en-GB"/>
        </w:rPr>
        <w:t xml:space="preserve">leading </w:t>
      </w:r>
      <w:r w:rsidR="00A70714" w:rsidRPr="003A4F79">
        <w:rPr>
          <w:noProof/>
          <w:lang w:eastAsia="en-GB"/>
        </w:rPr>
        <w:t xml:space="preserve">to </w:t>
      </w:r>
      <w:r w:rsidR="001E5878" w:rsidRPr="003A4F79">
        <w:rPr>
          <w:noProof/>
          <w:lang w:eastAsia="en-GB"/>
        </w:rPr>
        <w:t xml:space="preserve">an increase in the </w:t>
      </w:r>
      <w:r w:rsidR="00FA1CC3" w:rsidRPr="003A4F79">
        <w:rPr>
          <w:noProof/>
          <w:lang w:eastAsia="en-GB"/>
        </w:rPr>
        <w:t>estimated odds</w:t>
      </w:r>
      <w:r w:rsidR="002773DA" w:rsidRPr="003A4F79">
        <w:rPr>
          <w:noProof/>
          <w:lang w:eastAsia="en-GB"/>
        </w:rPr>
        <w:t xml:space="preserve"> o</w:t>
      </w:r>
      <w:r w:rsidR="001E5878" w:rsidRPr="003A4F79">
        <w:rPr>
          <w:noProof/>
          <w:lang w:eastAsia="en-GB"/>
        </w:rPr>
        <w:t>f re-entry by</w:t>
      </w:r>
      <w:r w:rsidR="000C74D8" w:rsidRPr="003A4F79">
        <w:rPr>
          <w:noProof/>
          <w:lang w:eastAsia="en-GB"/>
        </w:rPr>
        <w:t xml:space="preserve"> </w:t>
      </w:r>
      <w:r w:rsidR="008E6450" w:rsidRPr="003A4F79">
        <w:rPr>
          <w:noProof/>
          <w:lang w:eastAsia="en-GB"/>
        </w:rPr>
        <w:t>1.</w:t>
      </w:r>
      <w:r w:rsidR="000C74D8" w:rsidRPr="003A4F79">
        <w:rPr>
          <w:noProof/>
          <w:lang w:eastAsia="en-GB"/>
        </w:rPr>
        <w:t xml:space="preserve">44 to </w:t>
      </w:r>
      <w:r w:rsidR="008E6450" w:rsidRPr="003A4F79">
        <w:rPr>
          <w:noProof/>
          <w:lang w:eastAsia="en-GB"/>
        </w:rPr>
        <w:t>1.</w:t>
      </w:r>
      <w:r w:rsidR="000C74D8" w:rsidRPr="003A4F79">
        <w:rPr>
          <w:noProof/>
          <w:lang w:eastAsia="en-GB"/>
        </w:rPr>
        <w:t>68</w:t>
      </w:r>
      <w:r w:rsidR="002D18E4" w:rsidRPr="003A4F79">
        <w:rPr>
          <w:noProof/>
          <w:lang w:eastAsia="en-GB"/>
        </w:rPr>
        <w:t xml:space="preserve"> </w:t>
      </w:r>
      <w:r w:rsidR="008E6450" w:rsidRPr="003A4F79">
        <w:rPr>
          <w:noProof/>
          <w:lang w:eastAsia="en-GB"/>
        </w:rPr>
        <w:t>times.</w:t>
      </w:r>
      <w:r w:rsidR="00BE1C65" w:rsidRPr="003A4F79">
        <w:rPr>
          <w:noProof/>
          <w:lang w:eastAsia="en-GB"/>
        </w:rPr>
        <w:t xml:space="preserve"> </w:t>
      </w:r>
      <w:r w:rsidR="002D18E4" w:rsidRPr="003A4F79">
        <w:rPr>
          <w:noProof/>
          <w:lang w:eastAsia="en-GB"/>
        </w:rPr>
        <w:t>For the investor who has the sample average of r</w:t>
      </w:r>
      <w:r w:rsidR="00BE1C65" w:rsidRPr="003A4F79">
        <w:rPr>
          <w:noProof/>
          <w:lang w:eastAsia="en-GB"/>
        </w:rPr>
        <w:t>e</w:t>
      </w:r>
      <w:r w:rsidR="002D18E4" w:rsidRPr="003A4F79">
        <w:rPr>
          <w:noProof/>
          <w:lang w:eastAsia="en-GB"/>
        </w:rPr>
        <w:t>-entry probability</w:t>
      </w:r>
      <w:r w:rsidR="00BE1C65" w:rsidRPr="003A4F79">
        <w:rPr>
          <w:noProof/>
          <w:lang w:eastAsia="en-GB"/>
        </w:rPr>
        <w:t xml:space="preserve"> (</w:t>
      </w:r>
      <w:r w:rsidR="002D18E4" w:rsidRPr="003A4F79">
        <w:rPr>
          <w:noProof/>
          <w:lang w:eastAsia="en-GB"/>
        </w:rPr>
        <w:t>36.57%), this impact amounts to more than 16 percentage point</w:t>
      </w:r>
      <w:r w:rsidR="000F13DA" w:rsidRPr="003A4F79">
        <w:rPr>
          <w:noProof/>
          <w:lang w:eastAsia="en-GB"/>
        </w:rPr>
        <w:t>s</w:t>
      </w:r>
      <w:r w:rsidR="002D18E4" w:rsidRPr="003A4F79">
        <w:rPr>
          <w:noProof/>
          <w:lang w:eastAsia="en-GB"/>
        </w:rPr>
        <w:t xml:space="preserve"> </w:t>
      </w:r>
      <w:r w:rsidR="00A05B66" w:rsidRPr="003A4F79">
        <w:rPr>
          <w:noProof/>
          <w:lang w:eastAsia="en-GB"/>
        </w:rPr>
        <w:t>increase in re-enty rate.</w:t>
      </w:r>
    </w:p>
    <w:p w14:paraId="307FB7F8" w14:textId="65C9A0F6" w:rsidR="007169C9" w:rsidRPr="003A4F79" w:rsidRDefault="007169C9" w:rsidP="00290F9F">
      <w:pPr>
        <w:pStyle w:val="InsertInstruct"/>
      </w:pPr>
      <w:r w:rsidRPr="003A4F79">
        <w:t>[Insert Table 2 here]</w:t>
      </w:r>
    </w:p>
    <w:p w14:paraId="0A700C84" w14:textId="61C68502" w:rsidR="007A119F" w:rsidRPr="003A4F79" w:rsidRDefault="002529CD">
      <w:pPr>
        <w:rPr>
          <w:noProof/>
          <w:lang w:eastAsia="en-GB"/>
        </w:rPr>
      </w:pPr>
      <w:r w:rsidRPr="003A4F79">
        <w:rPr>
          <w:noProof/>
          <w:lang w:eastAsia="en-GB"/>
        </w:rPr>
        <w:t>T</w:t>
      </w:r>
      <w:r w:rsidR="00052A56" w:rsidRPr="003A4F79">
        <w:rPr>
          <w:noProof/>
          <w:lang w:eastAsia="en-GB"/>
        </w:rPr>
        <w:t xml:space="preserve">he coefficients </w:t>
      </w:r>
      <w:r w:rsidRPr="003A4F79">
        <w:rPr>
          <w:noProof/>
          <w:lang w:eastAsia="en-GB"/>
        </w:rPr>
        <w:t xml:space="preserve">of </w:t>
      </w:r>
      <w:r w:rsidR="00052A56" w:rsidRPr="003A4F79">
        <w:rPr>
          <w:noProof/>
          <w:lang w:eastAsia="en-GB"/>
        </w:rPr>
        <w:t xml:space="preserve">the </w:t>
      </w:r>
      <w:r w:rsidR="00052A56" w:rsidRPr="003A4F79">
        <w:rPr>
          <w:i/>
          <w:noProof/>
          <w:lang w:eastAsia="en-GB"/>
        </w:rPr>
        <w:t xml:space="preserve">SglStock </w:t>
      </w:r>
      <w:r w:rsidR="00052A56" w:rsidRPr="003A4F79">
        <w:rPr>
          <w:noProof/>
          <w:lang w:eastAsia="en-GB"/>
        </w:rPr>
        <w:t xml:space="preserve">and </w:t>
      </w:r>
      <w:r w:rsidR="00052A56" w:rsidRPr="003A4F79">
        <w:rPr>
          <w:i/>
          <w:noProof/>
          <w:lang w:eastAsia="en-GB"/>
        </w:rPr>
        <w:t>ZeroTrd</w:t>
      </w:r>
      <w:r w:rsidRPr="003A4F79">
        <w:rPr>
          <w:noProof/>
          <w:lang w:eastAsia="en-GB"/>
        </w:rPr>
        <w:t xml:space="preserve"> variables</w:t>
      </w:r>
      <w:r w:rsidR="00BE1A40" w:rsidRPr="003A4F79">
        <w:rPr>
          <w:i/>
          <w:noProof/>
          <w:lang w:eastAsia="en-GB"/>
        </w:rPr>
        <w:t xml:space="preserve"> </w:t>
      </w:r>
      <w:r w:rsidR="00364642" w:rsidRPr="003A4F79">
        <w:rPr>
          <w:noProof/>
          <w:lang w:eastAsia="en-GB"/>
        </w:rPr>
        <w:t xml:space="preserve">reveal </w:t>
      </w:r>
      <w:r w:rsidR="00052A56" w:rsidRPr="003A4F79">
        <w:rPr>
          <w:noProof/>
          <w:lang w:eastAsia="en-GB"/>
        </w:rPr>
        <w:t>interesting</w:t>
      </w:r>
      <w:r w:rsidR="00C81099" w:rsidRPr="003A4F79">
        <w:rPr>
          <w:noProof/>
          <w:lang w:eastAsia="en-GB"/>
        </w:rPr>
        <w:t xml:space="preserve"> </w:t>
      </w:r>
      <w:r w:rsidR="00052A56" w:rsidRPr="003A4F79">
        <w:rPr>
          <w:noProof/>
          <w:lang w:eastAsia="en-GB"/>
        </w:rPr>
        <w:t>results</w:t>
      </w:r>
      <w:r w:rsidR="00D571B3" w:rsidRPr="003A4F79">
        <w:rPr>
          <w:noProof/>
          <w:lang w:eastAsia="en-GB"/>
        </w:rPr>
        <w:t xml:space="preserve">. The </w:t>
      </w:r>
      <w:r w:rsidR="00FA407D" w:rsidRPr="003A4F79">
        <w:rPr>
          <w:noProof/>
          <w:lang w:eastAsia="en-GB"/>
        </w:rPr>
        <w:t xml:space="preserve">odds ratio </w:t>
      </w:r>
      <w:r w:rsidRPr="003A4F79">
        <w:rPr>
          <w:noProof/>
          <w:lang w:eastAsia="en-GB"/>
        </w:rPr>
        <w:t xml:space="preserve">of </w:t>
      </w:r>
      <w:r w:rsidR="00D571B3" w:rsidRPr="003A4F79">
        <w:rPr>
          <w:i/>
          <w:noProof/>
          <w:lang w:eastAsia="en-GB"/>
        </w:rPr>
        <w:t>SglStock</w:t>
      </w:r>
      <w:r w:rsidR="00D571B3" w:rsidRPr="003A4F79">
        <w:rPr>
          <w:noProof/>
          <w:lang w:eastAsia="en-GB"/>
        </w:rPr>
        <w:t xml:space="preserve"> is </w:t>
      </w:r>
      <w:r w:rsidR="00FA407D" w:rsidRPr="003A4F79">
        <w:rPr>
          <w:noProof/>
          <w:lang w:eastAsia="en-GB"/>
        </w:rPr>
        <w:t xml:space="preserve">smaller than one (i.e., the logit coefficient is </w:t>
      </w:r>
      <w:r w:rsidR="00D571B3" w:rsidRPr="003A4F79">
        <w:rPr>
          <w:noProof/>
          <w:lang w:eastAsia="en-GB"/>
        </w:rPr>
        <w:t>negative</w:t>
      </w:r>
      <w:r w:rsidR="00FA407D" w:rsidRPr="003A4F79">
        <w:rPr>
          <w:noProof/>
          <w:lang w:eastAsia="en-GB"/>
        </w:rPr>
        <w:t>)</w:t>
      </w:r>
      <w:r w:rsidRPr="003A4F79">
        <w:rPr>
          <w:noProof/>
          <w:lang w:eastAsia="en-GB"/>
        </w:rPr>
        <w:t>,</w:t>
      </w:r>
      <w:r w:rsidR="00D571B3" w:rsidRPr="003A4F79">
        <w:rPr>
          <w:noProof/>
          <w:lang w:eastAsia="en-GB"/>
        </w:rPr>
        <w:t xml:space="preserve"> </w:t>
      </w:r>
      <w:r w:rsidRPr="003A4F79">
        <w:rPr>
          <w:noProof/>
          <w:lang w:eastAsia="en-GB"/>
        </w:rPr>
        <w:t>as it is</w:t>
      </w:r>
      <w:r w:rsidR="00D571B3" w:rsidRPr="003A4F79">
        <w:rPr>
          <w:noProof/>
          <w:lang w:eastAsia="en-GB"/>
        </w:rPr>
        <w:t xml:space="preserve"> for the interaction of </w:t>
      </w:r>
      <w:r w:rsidR="00D571B3" w:rsidRPr="003A4F79">
        <w:rPr>
          <w:i/>
          <w:noProof/>
          <w:lang w:eastAsia="en-GB"/>
        </w:rPr>
        <w:t>SglStock</w:t>
      </w:r>
      <w:r w:rsidR="00D571B3" w:rsidRPr="003A4F79">
        <w:rPr>
          <w:noProof/>
          <w:lang w:eastAsia="en-GB"/>
        </w:rPr>
        <w:t xml:space="preserve"> with </w:t>
      </w:r>
      <w:r w:rsidR="00D571B3" w:rsidRPr="003A4F79">
        <w:rPr>
          <w:i/>
          <w:noProof/>
          <w:lang w:eastAsia="en-GB"/>
        </w:rPr>
        <w:t>ZeroTrd</w:t>
      </w:r>
      <w:r w:rsidR="006E5D49" w:rsidRPr="003A4F79">
        <w:rPr>
          <w:noProof/>
          <w:lang w:eastAsia="en-GB"/>
        </w:rPr>
        <w:t xml:space="preserve">. This suggests that </w:t>
      </w:r>
      <w:r w:rsidR="0010348E" w:rsidRPr="003A4F79">
        <w:rPr>
          <w:noProof/>
          <w:lang w:eastAsia="en-GB"/>
        </w:rPr>
        <w:t>investor</w:t>
      </w:r>
      <w:r w:rsidRPr="003A4F79">
        <w:rPr>
          <w:noProof/>
          <w:lang w:eastAsia="en-GB"/>
        </w:rPr>
        <w:t>s</w:t>
      </w:r>
      <w:r w:rsidR="00522809" w:rsidRPr="003A4F79">
        <w:rPr>
          <w:noProof/>
          <w:lang w:eastAsia="en-GB"/>
        </w:rPr>
        <w:t xml:space="preserve"> who own </w:t>
      </w:r>
      <w:r w:rsidR="0063262C" w:rsidRPr="003A4F79">
        <w:rPr>
          <w:noProof/>
          <w:lang w:eastAsia="en-GB"/>
        </w:rPr>
        <w:t>a single s</w:t>
      </w:r>
      <w:r w:rsidR="00522809" w:rsidRPr="003A4F79">
        <w:rPr>
          <w:noProof/>
          <w:lang w:eastAsia="en-GB"/>
        </w:rPr>
        <w:t>t</w:t>
      </w:r>
      <w:r w:rsidR="0063262C" w:rsidRPr="003A4F79">
        <w:rPr>
          <w:noProof/>
          <w:lang w:eastAsia="en-GB"/>
        </w:rPr>
        <w:t xml:space="preserve">ock </w:t>
      </w:r>
      <w:r w:rsidR="0063262C" w:rsidRPr="003A4F79">
        <w:rPr>
          <w:i/>
          <w:noProof/>
          <w:lang w:eastAsia="en-GB"/>
        </w:rPr>
        <w:t>and</w:t>
      </w:r>
      <w:r w:rsidR="0063262C" w:rsidRPr="003A4F79">
        <w:rPr>
          <w:noProof/>
          <w:lang w:eastAsia="en-GB"/>
        </w:rPr>
        <w:t xml:space="preserve"> do not trade at all between </w:t>
      </w:r>
      <w:r w:rsidRPr="003A4F79">
        <w:rPr>
          <w:noProof/>
          <w:lang w:eastAsia="en-GB"/>
        </w:rPr>
        <w:t xml:space="preserve">their </w:t>
      </w:r>
      <w:r w:rsidR="0063262C" w:rsidRPr="003A4F79">
        <w:rPr>
          <w:noProof/>
          <w:lang w:eastAsia="en-GB"/>
        </w:rPr>
        <w:t xml:space="preserve">initial purchase and </w:t>
      </w:r>
      <w:r w:rsidRPr="003A4F79">
        <w:rPr>
          <w:noProof/>
          <w:lang w:eastAsia="en-GB"/>
        </w:rPr>
        <w:t xml:space="preserve">market </w:t>
      </w:r>
      <w:r w:rsidR="0063262C" w:rsidRPr="003A4F79">
        <w:rPr>
          <w:noProof/>
          <w:lang w:eastAsia="en-GB"/>
        </w:rPr>
        <w:t>exit</w:t>
      </w:r>
      <w:r w:rsidR="00CD006F" w:rsidRPr="003A4F79">
        <w:rPr>
          <w:noProof/>
          <w:lang w:eastAsia="en-GB"/>
        </w:rPr>
        <w:t xml:space="preserve"> – </w:t>
      </w:r>
      <w:r w:rsidRPr="003A4F79">
        <w:rPr>
          <w:noProof/>
          <w:lang w:eastAsia="en-GB"/>
        </w:rPr>
        <w:t>referred to as</w:t>
      </w:r>
      <w:r w:rsidR="00522809" w:rsidRPr="003A4F79">
        <w:rPr>
          <w:noProof/>
          <w:lang w:eastAsia="en-GB"/>
        </w:rPr>
        <w:t xml:space="preserve"> </w:t>
      </w:r>
      <w:r w:rsidR="00522809" w:rsidRPr="003A4F79">
        <w:rPr>
          <w:i/>
          <w:noProof/>
          <w:lang w:eastAsia="en-GB"/>
        </w:rPr>
        <w:t>try-out investo</w:t>
      </w:r>
      <w:r w:rsidR="00CD006F" w:rsidRPr="003A4F79">
        <w:rPr>
          <w:i/>
          <w:noProof/>
          <w:lang w:eastAsia="en-GB"/>
        </w:rPr>
        <w:t>r</w:t>
      </w:r>
      <w:r w:rsidRPr="003A4F79">
        <w:rPr>
          <w:i/>
          <w:noProof/>
          <w:lang w:eastAsia="en-GB"/>
        </w:rPr>
        <w:t>s</w:t>
      </w:r>
      <w:r w:rsidR="00CD006F" w:rsidRPr="003A4F79">
        <w:rPr>
          <w:i/>
          <w:noProof/>
          <w:lang w:eastAsia="en-GB"/>
        </w:rPr>
        <w:t xml:space="preserve"> – </w:t>
      </w:r>
      <w:r w:rsidR="0010348E" w:rsidRPr="003A4F79">
        <w:rPr>
          <w:noProof/>
          <w:lang w:eastAsia="en-GB"/>
        </w:rPr>
        <w:t xml:space="preserve">show a stronger tendency not </w:t>
      </w:r>
      <w:r w:rsidRPr="003A4F79">
        <w:rPr>
          <w:noProof/>
          <w:lang w:eastAsia="en-GB"/>
        </w:rPr>
        <w:t xml:space="preserve">to </w:t>
      </w:r>
      <w:r w:rsidR="0010348E" w:rsidRPr="003A4F79">
        <w:rPr>
          <w:noProof/>
          <w:lang w:eastAsia="en-GB"/>
        </w:rPr>
        <w:t>return to the market</w:t>
      </w:r>
      <w:r w:rsidR="00EB4D0C" w:rsidRPr="003A4F79">
        <w:rPr>
          <w:noProof/>
          <w:lang w:eastAsia="en-GB"/>
        </w:rPr>
        <w:t xml:space="preserve"> after withdrawing from it for any reason</w:t>
      </w:r>
      <w:r w:rsidR="0010348E" w:rsidRPr="003A4F79">
        <w:rPr>
          <w:noProof/>
          <w:lang w:eastAsia="en-GB"/>
        </w:rPr>
        <w:t>.</w:t>
      </w:r>
      <w:r w:rsidR="00364642" w:rsidRPr="003A4F79">
        <w:rPr>
          <w:noProof/>
          <w:lang w:eastAsia="en-GB"/>
        </w:rPr>
        <w:t xml:space="preserve"> </w:t>
      </w:r>
      <w:r w:rsidR="00967479" w:rsidRPr="003A4F79">
        <w:rPr>
          <w:noProof/>
          <w:lang w:eastAsia="en-GB"/>
        </w:rPr>
        <w:t xml:space="preserve">Such patterns may arise due to different reasons. First, </w:t>
      </w:r>
      <w:r w:rsidR="00E03586" w:rsidRPr="003A4F79">
        <w:rPr>
          <w:noProof/>
          <w:lang w:eastAsia="en-GB"/>
        </w:rPr>
        <w:t>i</w:t>
      </w:r>
      <w:r w:rsidR="00E86DEA" w:rsidRPr="003A4F79">
        <w:rPr>
          <w:noProof/>
          <w:lang w:eastAsia="en-GB"/>
        </w:rPr>
        <w:t xml:space="preserve">t is conceivable that </w:t>
      </w:r>
      <w:r w:rsidR="00967479" w:rsidRPr="003A4F79">
        <w:rPr>
          <w:noProof/>
          <w:lang w:eastAsia="en-GB"/>
        </w:rPr>
        <w:t>those</w:t>
      </w:r>
      <w:r w:rsidR="00E86DEA" w:rsidRPr="003A4F79">
        <w:rPr>
          <w:noProof/>
          <w:lang w:eastAsia="en-GB"/>
        </w:rPr>
        <w:t xml:space="preserve"> investors are financially illiterate compared to their peers </w:t>
      </w:r>
      <w:r w:rsidR="00EA2182" w:rsidRPr="003A4F79">
        <w:rPr>
          <w:noProof/>
          <w:lang w:eastAsia="en-GB"/>
        </w:rPr>
        <w:t>investing actively in</w:t>
      </w:r>
      <w:r w:rsidR="00E86DEA" w:rsidRPr="003A4F79">
        <w:rPr>
          <w:noProof/>
          <w:lang w:eastAsia="en-GB"/>
        </w:rPr>
        <w:t xml:space="preserve"> multiple stocks</w:t>
      </w:r>
      <w:r w:rsidR="00EA2182" w:rsidRPr="003A4F79">
        <w:rPr>
          <w:noProof/>
          <w:lang w:eastAsia="en-GB"/>
        </w:rPr>
        <w:t xml:space="preserve">, and such investors with low literacy </w:t>
      </w:r>
      <w:r w:rsidR="00967479" w:rsidRPr="003A4F79">
        <w:rPr>
          <w:noProof/>
          <w:lang w:eastAsia="en-GB"/>
        </w:rPr>
        <w:t xml:space="preserve"> </w:t>
      </w:r>
      <w:r w:rsidR="00596804" w:rsidRPr="003A4F79">
        <w:rPr>
          <w:noProof/>
          <w:lang w:eastAsia="en-GB"/>
        </w:rPr>
        <w:t xml:space="preserve">are </w:t>
      </w:r>
      <w:r w:rsidR="00EA2182" w:rsidRPr="003A4F79">
        <w:rPr>
          <w:noProof/>
          <w:lang w:eastAsia="en-GB"/>
        </w:rPr>
        <w:t xml:space="preserve">found </w:t>
      </w:r>
      <w:r w:rsidR="00967479" w:rsidRPr="003A4F79">
        <w:rPr>
          <w:noProof/>
          <w:lang w:eastAsia="en-GB"/>
        </w:rPr>
        <w:t xml:space="preserve">be </w:t>
      </w:r>
      <w:r w:rsidR="00EA2182" w:rsidRPr="003A4F79">
        <w:rPr>
          <w:noProof/>
          <w:lang w:eastAsia="en-GB"/>
        </w:rPr>
        <w:t>much less likely to participate in the sock market (</w:t>
      </w:r>
      <w:r w:rsidR="005C1B70" w:rsidRPr="003A4F79">
        <w:rPr>
          <w:noProof/>
          <w:lang w:eastAsia="en-GB"/>
        </w:rPr>
        <w:t>van Rooij, Lusardi, and Alessie, 2011</w:t>
      </w:r>
      <w:r w:rsidR="00EA2182" w:rsidRPr="003A4F79">
        <w:rPr>
          <w:noProof/>
          <w:lang w:eastAsia="en-GB"/>
        </w:rPr>
        <w:t>)</w:t>
      </w:r>
      <w:r w:rsidR="00967479" w:rsidRPr="003A4F79">
        <w:rPr>
          <w:noProof/>
          <w:lang w:eastAsia="en-GB"/>
        </w:rPr>
        <w:t>.</w:t>
      </w:r>
      <w:r w:rsidR="007A119F" w:rsidRPr="003A4F79">
        <w:rPr>
          <w:noProof/>
          <w:lang w:eastAsia="en-GB"/>
        </w:rPr>
        <w:t xml:space="preserve"> </w:t>
      </w:r>
      <w:r w:rsidR="00030B81" w:rsidRPr="003A4F79">
        <w:rPr>
          <w:noProof/>
          <w:lang w:eastAsia="en-GB"/>
        </w:rPr>
        <w:t>Alternatively, it may be related to the</w:t>
      </w:r>
      <w:r w:rsidR="004746C8" w:rsidRPr="003A4F79">
        <w:rPr>
          <w:noProof/>
          <w:lang w:eastAsia="en-GB"/>
        </w:rPr>
        <w:t xml:space="preserve">ir motivation of trading stocks </w:t>
      </w:r>
      <w:r w:rsidR="00030B81" w:rsidRPr="003A4F79">
        <w:rPr>
          <w:noProof/>
          <w:lang w:eastAsia="en-GB"/>
        </w:rPr>
        <w:t xml:space="preserve">in the first place. </w:t>
      </w:r>
      <w:r w:rsidR="00DA7BE8" w:rsidRPr="003A4F79">
        <w:rPr>
          <w:noProof/>
          <w:lang w:eastAsia="en-GB"/>
        </w:rPr>
        <w:t xml:space="preserve">For example, </w:t>
      </w:r>
      <w:r w:rsidR="00AF3938" w:rsidRPr="003A4F79">
        <w:rPr>
          <w:noProof/>
          <w:lang w:eastAsia="en-GB"/>
        </w:rPr>
        <w:t xml:space="preserve">they may have held stocks of their company as part of </w:t>
      </w:r>
      <w:r w:rsidR="005D78D7" w:rsidRPr="003A4F79">
        <w:rPr>
          <w:noProof/>
          <w:lang w:eastAsia="en-GB"/>
        </w:rPr>
        <w:t xml:space="preserve">an </w:t>
      </w:r>
      <w:r w:rsidR="00AF3938" w:rsidRPr="003A4F79">
        <w:rPr>
          <w:noProof/>
          <w:lang w:eastAsia="en-GB"/>
        </w:rPr>
        <w:t xml:space="preserve">employee stock-ownership scheme, or, it is possible </w:t>
      </w:r>
      <w:r w:rsidR="005D78D7" w:rsidRPr="003A4F79">
        <w:rPr>
          <w:noProof/>
          <w:lang w:eastAsia="en-GB"/>
        </w:rPr>
        <w:t xml:space="preserve">that they </w:t>
      </w:r>
      <w:r w:rsidR="00AF3938" w:rsidRPr="003A4F79">
        <w:rPr>
          <w:noProof/>
          <w:lang w:eastAsia="en-GB"/>
        </w:rPr>
        <w:t>inherit</w:t>
      </w:r>
      <w:r w:rsidR="005D78D7" w:rsidRPr="003A4F79">
        <w:rPr>
          <w:noProof/>
          <w:lang w:eastAsia="en-GB"/>
        </w:rPr>
        <w:t>ed</w:t>
      </w:r>
      <w:r w:rsidR="00AF3938" w:rsidRPr="003A4F79">
        <w:rPr>
          <w:noProof/>
          <w:lang w:eastAsia="en-GB"/>
        </w:rPr>
        <w:t xml:space="preserve"> it from </w:t>
      </w:r>
      <w:r w:rsidR="005D78D7" w:rsidRPr="003A4F79">
        <w:rPr>
          <w:noProof/>
          <w:lang w:eastAsia="en-GB"/>
        </w:rPr>
        <w:t>a deceased</w:t>
      </w:r>
      <w:r w:rsidR="00AF3938" w:rsidRPr="003A4F79">
        <w:rPr>
          <w:noProof/>
          <w:lang w:eastAsia="en-GB"/>
        </w:rPr>
        <w:t xml:space="preserve"> relative. </w:t>
      </w:r>
      <w:r w:rsidR="00ED57A5" w:rsidRPr="003A4F79">
        <w:rPr>
          <w:noProof/>
          <w:lang w:eastAsia="en-GB"/>
        </w:rPr>
        <w:t>The issue of inheritance</w:t>
      </w:r>
      <w:r w:rsidR="00662130" w:rsidRPr="003A4F79">
        <w:rPr>
          <w:noProof/>
          <w:lang w:eastAsia="en-GB"/>
        </w:rPr>
        <w:t>, however,</w:t>
      </w:r>
      <w:r w:rsidR="00E36809" w:rsidRPr="003A4F79">
        <w:rPr>
          <w:noProof/>
          <w:lang w:eastAsia="en-GB"/>
        </w:rPr>
        <w:t xml:space="preserve"> is not</w:t>
      </w:r>
      <w:r w:rsidR="00213C70" w:rsidRPr="003A4F79">
        <w:rPr>
          <w:noProof/>
          <w:lang w:eastAsia="en-GB"/>
        </w:rPr>
        <w:t xml:space="preserve"> likely to affect our</w:t>
      </w:r>
      <w:r w:rsidR="00ED57A5" w:rsidRPr="003A4F79">
        <w:rPr>
          <w:noProof/>
          <w:lang w:eastAsia="en-GB"/>
        </w:rPr>
        <w:t xml:space="preserve"> results as </w:t>
      </w:r>
      <w:r w:rsidR="007F743B" w:rsidRPr="003A4F79">
        <w:rPr>
          <w:noProof/>
          <w:lang w:eastAsia="en-GB"/>
        </w:rPr>
        <w:t xml:space="preserve">we </w:t>
      </w:r>
      <w:r w:rsidR="005A7F60" w:rsidRPr="003A4F79">
        <w:rPr>
          <w:noProof/>
          <w:lang w:eastAsia="en-GB"/>
        </w:rPr>
        <w:t xml:space="preserve">only </w:t>
      </w:r>
      <w:r w:rsidR="007F743B" w:rsidRPr="003A4F79">
        <w:rPr>
          <w:noProof/>
          <w:lang w:eastAsia="en-GB"/>
        </w:rPr>
        <w:t xml:space="preserve">have </w:t>
      </w:r>
      <w:r w:rsidR="007F743B" w:rsidRPr="003A4F79">
        <w:rPr>
          <w:noProof/>
          <w:lang w:eastAsia="en-GB"/>
        </w:rPr>
        <w:lastRenderedPageBreak/>
        <w:t>a few of inheritance</w:t>
      </w:r>
      <w:r w:rsidR="00ED57A5" w:rsidRPr="003A4F79">
        <w:rPr>
          <w:noProof/>
          <w:lang w:eastAsia="en-GB"/>
        </w:rPr>
        <w:t xml:space="preserve"> cases </w:t>
      </w:r>
      <w:r w:rsidR="00213C70" w:rsidRPr="003A4F79">
        <w:rPr>
          <w:noProof/>
          <w:lang w:eastAsia="en-GB"/>
        </w:rPr>
        <w:t xml:space="preserve">(less than 1% of investors) in our sample. </w:t>
      </w:r>
      <w:r w:rsidR="00577023" w:rsidRPr="003A4F79">
        <w:rPr>
          <w:noProof/>
          <w:lang w:eastAsia="en-GB"/>
        </w:rPr>
        <w:t>As for the employee stock</w:t>
      </w:r>
      <w:r w:rsidR="00141D4C" w:rsidRPr="003A4F79">
        <w:rPr>
          <w:noProof/>
          <w:lang w:eastAsia="en-GB"/>
        </w:rPr>
        <w:t>-</w:t>
      </w:r>
      <w:r w:rsidR="00577023" w:rsidRPr="003A4F79">
        <w:rPr>
          <w:noProof/>
          <w:lang w:eastAsia="en-GB"/>
        </w:rPr>
        <w:t xml:space="preserve">ownership plan, </w:t>
      </w:r>
      <w:r w:rsidR="00AA2A44" w:rsidRPr="003A4F79">
        <w:rPr>
          <w:noProof/>
          <w:lang w:eastAsia="en-GB"/>
        </w:rPr>
        <w:t xml:space="preserve">it is plausible that part of our investors are employee-investors which we cannot know with certainty </w:t>
      </w:r>
      <w:r w:rsidR="007A119F" w:rsidRPr="003A4F79">
        <w:rPr>
          <w:noProof/>
          <w:lang w:eastAsia="en-GB"/>
        </w:rPr>
        <w:t>due to data unavailability</w:t>
      </w:r>
      <w:r w:rsidR="00AA2A44" w:rsidRPr="003A4F79">
        <w:rPr>
          <w:noProof/>
          <w:lang w:eastAsia="en-GB"/>
        </w:rPr>
        <w:t>. B</w:t>
      </w:r>
      <w:r w:rsidR="00577023" w:rsidRPr="003A4F79">
        <w:rPr>
          <w:noProof/>
          <w:lang w:eastAsia="en-GB"/>
        </w:rPr>
        <w:t>ut</w:t>
      </w:r>
      <w:r w:rsidR="00AA2A44" w:rsidRPr="003A4F79">
        <w:rPr>
          <w:noProof/>
          <w:lang w:eastAsia="en-GB"/>
        </w:rPr>
        <w:t>, we will</w:t>
      </w:r>
      <w:r w:rsidR="00B36943" w:rsidRPr="003A4F79">
        <w:rPr>
          <w:noProof/>
          <w:lang w:eastAsia="en-GB"/>
        </w:rPr>
        <w:t xml:space="preserve"> take </w:t>
      </w:r>
      <w:r w:rsidR="00AA2A44" w:rsidRPr="003A4F79">
        <w:rPr>
          <w:noProof/>
          <w:lang w:eastAsia="en-GB"/>
        </w:rPr>
        <w:t>thi</w:t>
      </w:r>
      <w:r w:rsidR="005A7F60" w:rsidRPr="003A4F79">
        <w:rPr>
          <w:noProof/>
          <w:lang w:eastAsia="en-GB"/>
        </w:rPr>
        <w:t>s</w:t>
      </w:r>
      <w:r w:rsidR="00AA2A44" w:rsidRPr="003A4F79">
        <w:rPr>
          <w:noProof/>
          <w:lang w:eastAsia="en-GB"/>
        </w:rPr>
        <w:t xml:space="preserve"> issue </w:t>
      </w:r>
      <w:r w:rsidR="00B36943" w:rsidRPr="003A4F79">
        <w:rPr>
          <w:noProof/>
          <w:lang w:eastAsia="en-GB"/>
        </w:rPr>
        <w:t>into consideration later by creating a proxy</w:t>
      </w:r>
      <w:r w:rsidR="008E7CFD" w:rsidRPr="003A4F79">
        <w:rPr>
          <w:noProof/>
          <w:lang w:eastAsia="en-GB"/>
        </w:rPr>
        <w:t xml:space="preserve"> for </w:t>
      </w:r>
      <w:r w:rsidR="00B36943" w:rsidRPr="003A4F79">
        <w:rPr>
          <w:noProof/>
          <w:lang w:eastAsia="en-GB"/>
        </w:rPr>
        <w:t>employee</w:t>
      </w:r>
      <w:r w:rsidR="00837871" w:rsidRPr="003A4F79">
        <w:rPr>
          <w:noProof/>
          <w:lang w:eastAsia="en-GB"/>
        </w:rPr>
        <w:t xml:space="preserve"> </w:t>
      </w:r>
      <w:r w:rsidR="00B36943" w:rsidRPr="003A4F79">
        <w:rPr>
          <w:noProof/>
          <w:lang w:eastAsia="en-GB"/>
        </w:rPr>
        <w:t>stock ownership</w:t>
      </w:r>
      <w:r w:rsidR="00FB5A0B" w:rsidRPr="003A4F79">
        <w:rPr>
          <w:noProof/>
          <w:lang w:eastAsia="en-GB"/>
        </w:rPr>
        <w:t xml:space="preserve">. </w:t>
      </w:r>
      <w:r w:rsidR="007A119F" w:rsidRPr="003A4F79">
        <w:rPr>
          <w:noProof/>
          <w:lang w:eastAsia="en-GB"/>
        </w:rPr>
        <w:t xml:space="preserve"> </w:t>
      </w:r>
    </w:p>
    <w:p w14:paraId="7B76BEAA" w14:textId="66D93A72" w:rsidR="00EF7AE7" w:rsidRPr="003A4F79" w:rsidRDefault="00CD2BC0">
      <w:pPr>
        <w:rPr>
          <w:noProof/>
          <w:lang w:eastAsia="en-GB"/>
        </w:rPr>
      </w:pPr>
      <w:r w:rsidRPr="003A4F79">
        <w:rPr>
          <w:noProof/>
          <w:lang w:eastAsia="en-GB"/>
        </w:rPr>
        <w:t>For other variables, w</w:t>
      </w:r>
      <w:r w:rsidR="006A0125" w:rsidRPr="003A4F79">
        <w:rPr>
          <w:noProof/>
          <w:lang w:eastAsia="en-GB"/>
        </w:rPr>
        <w:t xml:space="preserve">e observe a positive </w:t>
      </w:r>
      <w:r w:rsidR="0091275F" w:rsidRPr="003A4F79">
        <w:rPr>
          <w:noProof/>
          <w:lang w:eastAsia="en-GB"/>
        </w:rPr>
        <w:t>relation</w:t>
      </w:r>
      <w:r w:rsidR="00AB6C68" w:rsidRPr="003A4F79">
        <w:rPr>
          <w:noProof/>
          <w:lang w:eastAsia="en-GB"/>
        </w:rPr>
        <w:t xml:space="preserve"> (i.e</w:t>
      </w:r>
      <w:r w:rsidR="00897059" w:rsidRPr="003A4F79">
        <w:rPr>
          <w:noProof/>
          <w:lang w:eastAsia="en-GB"/>
        </w:rPr>
        <w:t>.</w:t>
      </w:r>
      <w:r w:rsidR="00AB6C68" w:rsidRPr="003A4F79">
        <w:rPr>
          <w:noProof/>
          <w:lang w:eastAsia="en-GB"/>
        </w:rPr>
        <w:t xml:space="preserve">, the </w:t>
      </w:r>
      <w:r w:rsidR="0091275F" w:rsidRPr="003A4F79">
        <w:rPr>
          <w:noProof/>
          <w:lang w:eastAsia="en-GB"/>
        </w:rPr>
        <w:t xml:space="preserve">reported </w:t>
      </w:r>
      <w:r w:rsidR="00AB6C68" w:rsidRPr="003A4F79">
        <w:rPr>
          <w:noProof/>
          <w:lang w:eastAsia="en-GB"/>
        </w:rPr>
        <w:t>odds ratio being greater than one)</w:t>
      </w:r>
      <w:r w:rsidR="006A0125" w:rsidRPr="003A4F79">
        <w:rPr>
          <w:noProof/>
          <w:lang w:eastAsia="en-GB"/>
        </w:rPr>
        <w:t xml:space="preserve"> for</w:t>
      </w:r>
      <w:r w:rsidR="00A45032" w:rsidRPr="003A4F79">
        <w:rPr>
          <w:i/>
          <w:noProof/>
          <w:lang w:eastAsia="en-GB"/>
        </w:rPr>
        <w:t xml:space="preserve"> InvSiz</w:t>
      </w:r>
      <w:r w:rsidR="003C55AC" w:rsidRPr="003A4F79">
        <w:rPr>
          <w:i/>
          <w:noProof/>
          <w:lang w:eastAsia="en-GB"/>
        </w:rPr>
        <w:t xml:space="preserve"> </w:t>
      </w:r>
      <w:r w:rsidR="003C55AC" w:rsidRPr="003A4F79">
        <w:rPr>
          <w:noProof/>
          <w:lang w:eastAsia="en-GB"/>
        </w:rPr>
        <w:t>and</w:t>
      </w:r>
      <w:r w:rsidR="006A0125" w:rsidRPr="003A4F79">
        <w:rPr>
          <w:i/>
          <w:noProof/>
          <w:lang w:eastAsia="en-GB"/>
        </w:rPr>
        <w:t xml:space="preserve"> Nokia</w:t>
      </w:r>
      <w:r w:rsidR="006A0125" w:rsidRPr="003A4F79">
        <w:rPr>
          <w:noProof/>
          <w:lang w:eastAsia="en-GB"/>
        </w:rPr>
        <w:t xml:space="preserve">, </w:t>
      </w:r>
      <w:r w:rsidRPr="003A4F79">
        <w:rPr>
          <w:noProof/>
          <w:lang w:eastAsia="en-GB"/>
        </w:rPr>
        <w:t xml:space="preserve">but </w:t>
      </w:r>
      <w:r w:rsidR="003C55AC" w:rsidRPr="003A4F79">
        <w:rPr>
          <w:noProof/>
          <w:lang w:eastAsia="en-GB"/>
        </w:rPr>
        <w:t>a negative relation</w:t>
      </w:r>
      <w:r w:rsidR="006A0125" w:rsidRPr="003A4F79">
        <w:rPr>
          <w:noProof/>
          <w:lang w:eastAsia="en-GB"/>
        </w:rPr>
        <w:t xml:space="preserve"> for </w:t>
      </w:r>
      <w:r w:rsidRPr="003A4F79">
        <w:rPr>
          <w:i/>
          <w:noProof/>
          <w:lang w:eastAsia="en-GB"/>
        </w:rPr>
        <w:t>MktRet</w:t>
      </w:r>
      <w:r w:rsidR="002C515C" w:rsidRPr="003A4F79">
        <w:rPr>
          <w:i/>
          <w:noProof/>
          <w:lang w:eastAsia="en-GB"/>
        </w:rPr>
        <w:t>,</w:t>
      </w:r>
      <w:r w:rsidR="003C55AC" w:rsidRPr="003A4F79">
        <w:rPr>
          <w:i/>
          <w:noProof/>
          <w:lang w:eastAsia="en-GB"/>
        </w:rPr>
        <w:t xml:space="preserve"> MktVol</w:t>
      </w:r>
      <w:r w:rsidR="003C55AC" w:rsidRPr="003A4F79">
        <w:rPr>
          <w:noProof/>
          <w:lang w:eastAsia="en-GB"/>
        </w:rPr>
        <w:t>,</w:t>
      </w:r>
      <w:r w:rsidR="002C515C" w:rsidRPr="003A4F79">
        <w:rPr>
          <w:i/>
          <w:noProof/>
          <w:lang w:eastAsia="en-GB"/>
        </w:rPr>
        <w:t xml:space="preserve"> Female</w:t>
      </w:r>
      <w:r w:rsidR="006A0125" w:rsidRPr="003A4F79">
        <w:rPr>
          <w:i/>
          <w:noProof/>
          <w:lang w:eastAsia="en-GB"/>
        </w:rPr>
        <w:t xml:space="preserve">, </w:t>
      </w:r>
      <w:r w:rsidR="002C515C" w:rsidRPr="003A4F79">
        <w:rPr>
          <w:i/>
          <w:noProof/>
          <w:lang w:eastAsia="en-GB"/>
        </w:rPr>
        <w:t>Age</w:t>
      </w:r>
      <w:r w:rsidR="006A24C2" w:rsidRPr="003A4F79">
        <w:rPr>
          <w:i/>
          <w:noProof/>
          <w:lang w:eastAsia="en-GB"/>
        </w:rPr>
        <w:t>, Burst</w:t>
      </w:r>
      <w:r w:rsidR="002529CD" w:rsidRPr="003A4F79">
        <w:rPr>
          <w:noProof/>
          <w:lang w:eastAsia="en-GB"/>
        </w:rPr>
        <w:t>,</w:t>
      </w:r>
      <w:r w:rsidR="00762F08" w:rsidRPr="003A4F79">
        <w:rPr>
          <w:i/>
          <w:noProof/>
          <w:lang w:eastAsia="en-GB"/>
        </w:rPr>
        <w:t xml:space="preserve"> </w:t>
      </w:r>
      <w:r w:rsidR="006A0125" w:rsidRPr="003A4F79">
        <w:rPr>
          <w:noProof/>
          <w:lang w:eastAsia="en-GB"/>
        </w:rPr>
        <w:t>and</w:t>
      </w:r>
      <w:r w:rsidR="006A0125" w:rsidRPr="003A4F79">
        <w:rPr>
          <w:i/>
          <w:noProof/>
          <w:lang w:eastAsia="en-GB"/>
        </w:rPr>
        <w:t xml:space="preserve"> </w:t>
      </w:r>
      <w:r w:rsidR="00F15D28" w:rsidRPr="003A4F79">
        <w:rPr>
          <w:i/>
          <w:noProof/>
          <w:lang w:eastAsia="en-GB"/>
        </w:rPr>
        <w:t>DurAway</w:t>
      </w:r>
      <w:r w:rsidR="006A0125" w:rsidRPr="003A4F79">
        <w:rPr>
          <w:noProof/>
          <w:lang w:eastAsia="en-GB"/>
        </w:rPr>
        <w:t xml:space="preserve">. </w:t>
      </w:r>
      <w:r w:rsidR="00BE02F2" w:rsidRPr="003A4F79">
        <w:rPr>
          <w:noProof/>
          <w:lang w:eastAsia="en-GB"/>
        </w:rPr>
        <w:t xml:space="preserve">The result for </w:t>
      </w:r>
      <w:r w:rsidR="00BE02F2" w:rsidRPr="003A4F79">
        <w:rPr>
          <w:i/>
          <w:noProof/>
          <w:lang w:eastAsia="en-GB"/>
        </w:rPr>
        <w:t>Female</w:t>
      </w:r>
      <w:r w:rsidR="00BE02F2" w:rsidRPr="003A4F79">
        <w:rPr>
          <w:noProof/>
          <w:lang w:eastAsia="en-GB"/>
        </w:rPr>
        <w:t xml:space="preserve"> indicates </w:t>
      </w:r>
      <w:r w:rsidR="005A7F60" w:rsidRPr="003A4F79">
        <w:rPr>
          <w:noProof/>
          <w:lang w:eastAsia="en-GB"/>
        </w:rPr>
        <w:t>a</w:t>
      </w:r>
      <w:r w:rsidR="00BE02F2" w:rsidRPr="003A4F79">
        <w:rPr>
          <w:noProof/>
          <w:lang w:eastAsia="en-GB"/>
        </w:rPr>
        <w:t xml:space="preserve"> gender difference in re-entry</w:t>
      </w:r>
      <w:r w:rsidR="001D4682" w:rsidRPr="003A4F79">
        <w:rPr>
          <w:noProof/>
          <w:lang w:eastAsia="en-GB"/>
        </w:rPr>
        <w:t xml:space="preserve"> </w:t>
      </w:r>
      <w:r w:rsidR="00BE02F2" w:rsidRPr="003A4F79">
        <w:rPr>
          <w:noProof/>
          <w:lang w:eastAsia="en-GB"/>
        </w:rPr>
        <w:t>suggest</w:t>
      </w:r>
      <w:r w:rsidR="001D4682" w:rsidRPr="003A4F79">
        <w:rPr>
          <w:noProof/>
          <w:lang w:eastAsia="en-GB"/>
        </w:rPr>
        <w:t>ing</w:t>
      </w:r>
      <w:r w:rsidR="00BE02F2" w:rsidRPr="003A4F79">
        <w:rPr>
          <w:noProof/>
          <w:lang w:eastAsia="en-GB"/>
        </w:rPr>
        <w:t xml:space="preserve"> that female investors are less likely to </w:t>
      </w:r>
      <w:r w:rsidR="00DA71E5" w:rsidRPr="003A4F79">
        <w:rPr>
          <w:noProof/>
          <w:lang w:eastAsia="en-GB"/>
        </w:rPr>
        <w:t>(</w:t>
      </w:r>
      <w:r w:rsidR="00BE02F2" w:rsidRPr="003A4F79">
        <w:rPr>
          <w:noProof/>
          <w:lang w:eastAsia="en-GB"/>
        </w:rPr>
        <w:t>re-</w:t>
      </w:r>
      <w:r w:rsidR="00DA71E5" w:rsidRPr="003A4F79">
        <w:rPr>
          <w:noProof/>
          <w:lang w:eastAsia="en-GB"/>
        </w:rPr>
        <w:t>)</w:t>
      </w:r>
      <w:r w:rsidR="00BE02F2" w:rsidRPr="003A4F79">
        <w:rPr>
          <w:noProof/>
          <w:lang w:eastAsia="en-GB"/>
        </w:rPr>
        <w:t>enter the stock market, which is in line with</w:t>
      </w:r>
      <w:r w:rsidR="0097174D" w:rsidRPr="003A4F79">
        <w:rPr>
          <w:noProof/>
          <w:lang w:eastAsia="en-GB"/>
        </w:rPr>
        <w:t xml:space="preserve"> the finding of </w:t>
      </w:r>
      <w:r w:rsidR="00BE02F2" w:rsidRPr="003A4F79">
        <w:rPr>
          <w:noProof/>
          <w:lang w:eastAsia="en-GB"/>
        </w:rPr>
        <w:t xml:space="preserve"> Barber and Odean (2001) that men</w:t>
      </w:r>
      <w:r w:rsidR="00861A8F" w:rsidRPr="003A4F79">
        <w:rPr>
          <w:noProof/>
          <w:lang w:eastAsia="en-GB"/>
        </w:rPr>
        <w:t xml:space="preserve"> are</w:t>
      </w:r>
      <w:r w:rsidR="00BE02F2" w:rsidRPr="003A4F79">
        <w:rPr>
          <w:noProof/>
          <w:lang w:eastAsia="en-GB"/>
        </w:rPr>
        <w:t xml:space="preserve"> overconfident</w:t>
      </w:r>
      <w:r w:rsidR="00861A8F" w:rsidRPr="003A4F79">
        <w:rPr>
          <w:noProof/>
          <w:lang w:eastAsia="en-GB"/>
        </w:rPr>
        <w:t>,</w:t>
      </w:r>
      <w:r w:rsidR="0097174D" w:rsidRPr="003A4F79">
        <w:rPr>
          <w:noProof/>
          <w:lang w:eastAsia="en-GB"/>
        </w:rPr>
        <w:t xml:space="preserve"> </w:t>
      </w:r>
      <w:r w:rsidR="00861A8F" w:rsidRPr="003A4F79">
        <w:rPr>
          <w:noProof/>
          <w:lang w:eastAsia="en-GB"/>
        </w:rPr>
        <w:t>and hence trade more</w:t>
      </w:r>
      <w:r w:rsidR="00BE02F2" w:rsidRPr="003A4F79">
        <w:rPr>
          <w:noProof/>
          <w:lang w:eastAsia="en-GB"/>
        </w:rPr>
        <w:t xml:space="preserve"> than women.</w:t>
      </w:r>
      <w:r w:rsidR="00E109C2" w:rsidRPr="003A4F79">
        <w:rPr>
          <w:noProof/>
          <w:lang w:eastAsia="en-GB"/>
        </w:rPr>
        <w:t xml:space="preserve"> </w:t>
      </w:r>
      <w:r w:rsidR="00F059C0" w:rsidRPr="003A4F79">
        <w:rPr>
          <w:noProof/>
          <w:lang w:eastAsia="en-GB"/>
        </w:rPr>
        <w:t xml:space="preserve">The positive coefficient </w:t>
      </w:r>
      <w:r w:rsidR="002529CD" w:rsidRPr="003A4F79">
        <w:rPr>
          <w:noProof/>
          <w:lang w:eastAsia="en-GB"/>
        </w:rPr>
        <w:t xml:space="preserve">of </w:t>
      </w:r>
      <w:r w:rsidR="00F059C0" w:rsidRPr="003A4F79">
        <w:rPr>
          <w:i/>
          <w:noProof/>
          <w:lang w:eastAsia="en-GB"/>
        </w:rPr>
        <w:t>InvSiz</w:t>
      </w:r>
      <w:r w:rsidR="00F059C0" w:rsidRPr="003A4F79">
        <w:rPr>
          <w:noProof/>
          <w:lang w:eastAsia="en-GB"/>
        </w:rPr>
        <w:t xml:space="preserve"> may imply that affluent individual</w:t>
      </w:r>
      <w:r w:rsidR="002529CD" w:rsidRPr="003A4F79">
        <w:rPr>
          <w:noProof/>
          <w:lang w:eastAsia="en-GB"/>
        </w:rPr>
        <w:t>s</w:t>
      </w:r>
      <w:r w:rsidR="00F059C0" w:rsidRPr="003A4F79">
        <w:rPr>
          <w:noProof/>
          <w:lang w:eastAsia="en-GB"/>
        </w:rPr>
        <w:t xml:space="preserve"> </w:t>
      </w:r>
      <w:r w:rsidR="002529CD" w:rsidRPr="003A4F79">
        <w:rPr>
          <w:noProof/>
          <w:lang w:eastAsia="en-GB"/>
        </w:rPr>
        <w:t xml:space="preserve">are </w:t>
      </w:r>
      <w:r w:rsidR="00F059C0" w:rsidRPr="003A4F79">
        <w:rPr>
          <w:noProof/>
          <w:lang w:eastAsia="en-GB"/>
        </w:rPr>
        <w:t>more apt to invest in financial market</w:t>
      </w:r>
      <w:r w:rsidR="00E80423" w:rsidRPr="003A4F79">
        <w:rPr>
          <w:noProof/>
          <w:lang w:eastAsia="en-GB"/>
        </w:rPr>
        <w:t>s</w:t>
      </w:r>
      <w:r w:rsidR="00F059C0" w:rsidRPr="003A4F79">
        <w:rPr>
          <w:noProof/>
          <w:lang w:eastAsia="en-GB"/>
        </w:rPr>
        <w:t>,</w:t>
      </w:r>
      <w:r w:rsidR="00F059C0" w:rsidRPr="003A4F79">
        <w:rPr>
          <w:rStyle w:val="FootnoteReference"/>
          <w:noProof/>
          <w:lang w:eastAsia="en-GB"/>
        </w:rPr>
        <w:footnoteReference w:id="16"/>
      </w:r>
      <w:r w:rsidR="00F059C0" w:rsidRPr="003A4F79">
        <w:rPr>
          <w:noProof/>
          <w:lang w:eastAsia="en-GB"/>
        </w:rPr>
        <w:t xml:space="preserve"> and th</w:t>
      </w:r>
      <w:r w:rsidR="003923B1" w:rsidRPr="003A4F79">
        <w:rPr>
          <w:noProof/>
          <w:lang w:eastAsia="en-GB"/>
        </w:rPr>
        <w:t xml:space="preserve">e negative coefficient </w:t>
      </w:r>
      <w:r w:rsidR="002529CD" w:rsidRPr="003A4F79">
        <w:rPr>
          <w:noProof/>
          <w:lang w:eastAsia="en-GB"/>
        </w:rPr>
        <w:t xml:space="preserve">of </w:t>
      </w:r>
      <w:r w:rsidR="003923B1" w:rsidRPr="003A4F79">
        <w:rPr>
          <w:i/>
          <w:noProof/>
          <w:lang w:eastAsia="en-GB"/>
        </w:rPr>
        <w:t>DurAway</w:t>
      </w:r>
      <w:r w:rsidR="003923B1" w:rsidRPr="003A4F79">
        <w:rPr>
          <w:noProof/>
          <w:lang w:eastAsia="en-GB"/>
        </w:rPr>
        <w:t xml:space="preserve"> </w:t>
      </w:r>
      <w:r w:rsidR="00821775" w:rsidRPr="003A4F79">
        <w:rPr>
          <w:noProof/>
          <w:lang w:eastAsia="en-GB"/>
        </w:rPr>
        <w:t xml:space="preserve">implies that investors </w:t>
      </w:r>
      <w:r w:rsidR="002529CD" w:rsidRPr="003A4F79">
        <w:rPr>
          <w:noProof/>
          <w:lang w:eastAsia="en-GB"/>
        </w:rPr>
        <w:t xml:space="preserve">will </w:t>
      </w:r>
      <w:r w:rsidR="00821775" w:rsidRPr="003A4F79">
        <w:rPr>
          <w:noProof/>
          <w:lang w:eastAsia="en-GB"/>
        </w:rPr>
        <w:t xml:space="preserve">return to the stock market </w:t>
      </w:r>
      <w:r w:rsidR="002529CD" w:rsidRPr="003A4F79">
        <w:rPr>
          <w:noProof/>
          <w:lang w:eastAsia="en-GB"/>
        </w:rPr>
        <w:t xml:space="preserve">sooner </w:t>
      </w:r>
      <w:r w:rsidR="00821775" w:rsidRPr="003A4F79">
        <w:rPr>
          <w:noProof/>
          <w:lang w:eastAsia="en-GB"/>
        </w:rPr>
        <w:t>rather than later.</w:t>
      </w:r>
      <w:r w:rsidR="007E3C68" w:rsidRPr="003A4F79">
        <w:rPr>
          <w:noProof/>
          <w:lang w:eastAsia="en-GB"/>
        </w:rPr>
        <w:t xml:space="preserve"> </w:t>
      </w:r>
      <w:r w:rsidR="00D50AA0" w:rsidRPr="003A4F79">
        <w:rPr>
          <w:noProof/>
          <w:lang w:eastAsia="en-GB"/>
        </w:rPr>
        <w:t>The result for</w:t>
      </w:r>
      <w:r w:rsidR="007E3C68" w:rsidRPr="003A4F79">
        <w:rPr>
          <w:noProof/>
          <w:lang w:eastAsia="en-GB"/>
        </w:rPr>
        <w:t xml:space="preserve"> </w:t>
      </w:r>
      <w:r w:rsidR="007E3C68" w:rsidRPr="003A4F79">
        <w:rPr>
          <w:i/>
          <w:noProof/>
          <w:lang w:eastAsia="en-GB"/>
        </w:rPr>
        <w:t>Burst</w:t>
      </w:r>
      <w:r w:rsidR="007E3C68" w:rsidRPr="003A4F79">
        <w:rPr>
          <w:noProof/>
          <w:lang w:eastAsia="en-GB"/>
        </w:rPr>
        <w:t xml:space="preserve"> </w:t>
      </w:r>
      <w:r w:rsidR="002529CD" w:rsidRPr="003A4F79">
        <w:rPr>
          <w:noProof/>
          <w:lang w:eastAsia="en-GB"/>
        </w:rPr>
        <w:t xml:space="preserve">reveals </w:t>
      </w:r>
      <w:r w:rsidR="007E3C68" w:rsidRPr="003A4F79">
        <w:rPr>
          <w:noProof/>
          <w:lang w:eastAsia="en-GB"/>
        </w:rPr>
        <w:t xml:space="preserve">that </w:t>
      </w:r>
      <w:r w:rsidR="00857257" w:rsidRPr="003A4F79">
        <w:rPr>
          <w:noProof/>
          <w:lang w:eastAsia="en-GB"/>
        </w:rPr>
        <w:t xml:space="preserve">after controlling for initial returns and exit </w:t>
      </w:r>
      <w:r w:rsidR="00E21BCF" w:rsidRPr="003A4F79">
        <w:rPr>
          <w:noProof/>
          <w:lang w:eastAsia="en-GB"/>
        </w:rPr>
        <w:t xml:space="preserve">time (among others), </w:t>
      </w:r>
      <w:r w:rsidR="007E3C68" w:rsidRPr="003A4F79">
        <w:rPr>
          <w:noProof/>
          <w:lang w:eastAsia="en-GB"/>
        </w:rPr>
        <w:t xml:space="preserve">investors </w:t>
      </w:r>
      <w:r w:rsidR="00A52F9D" w:rsidRPr="003A4F79">
        <w:rPr>
          <w:noProof/>
          <w:lang w:eastAsia="en-GB"/>
        </w:rPr>
        <w:t>are</w:t>
      </w:r>
      <w:r w:rsidR="002529CD" w:rsidRPr="003A4F79">
        <w:rPr>
          <w:noProof/>
          <w:lang w:eastAsia="en-GB"/>
        </w:rPr>
        <w:t xml:space="preserve"> </w:t>
      </w:r>
      <w:r w:rsidR="007E3C68" w:rsidRPr="003A4F79">
        <w:rPr>
          <w:noProof/>
          <w:lang w:eastAsia="en-GB"/>
        </w:rPr>
        <w:t>less likely to (re-)enter the market</w:t>
      </w:r>
      <w:r w:rsidR="00D50AA0" w:rsidRPr="003A4F79">
        <w:rPr>
          <w:noProof/>
          <w:lang w:eastAsia="en-GB"/>
        </w:rPr>
        <w:t xml:space="preserve"> </w:t>
      </w:r>
      <w:r w:rsidR="002B42A3" w:rsidRPr="003A4F79">
        <w:rPr>
          <w:noProof/>
          <w:lang w:eastAsia="en-GB"/>
        </w:rPr>
        <w:t xml:space="preserve">during the period </w:t>
      </w:r>
      <w:r w:rsidR="002529CD" w:rsidRPr="003A4F79">
        <w:rPr>
          <w:noProof/>
          <w:lang w:eastAsia="en-GB"/>
        </w:rPr>
        <w:t>when</w:t>
      </w:r>
      <w:r w:rsidR="002B42A3" w:rsidRPr="003A4F79">
        <w:rPr>
          <w:noProof/>
          <w:lang w:eastAsia="en-GB"/>
        </w:rPr>
        <w:t xml:space="preserve"> </w:t>
      </w:r>
      <w:r w:rsidR="00D50AA0" w:rsidRPr="003A4F79">
        <w:rPr>
          <w:noProof/>
          <w:lang w:eastAsia="en-GB"/>
        </w:rPr>
        <w:t>the Finnish stock market</w:t>
      </w:r>
      <w:r w:rsidR="002B42A3" w:rsidRPr="003A4F79">
        <w:rPr>
          <w:noProof/>
          <w:lang w:eastAsia="en-GB"/>
        </w:rPr>
        <w:t xml:space="preserve"> plummeted</w:t>
      </w:r>
      <w:r w:rsidR="00E21BCF" w:rsidRPr="003A4F79">
        <w:rPr>
          <w:noProof/>
          <w:lang w:eastAsia="en-GB"/>
        </w:rPr>
        <w:t xml:space="preserve"> (i.e., the post-crash period)</w:t>
      </w:r>
      <w:r w:rsidR="002B42A3" w:rsidRPr="003A4F79">
        <w:rPr>
          <w:noProof/>
          <w:lang w:eastAsia="en-GB"/>
        </w:rPr>
        <w:t xml:space="preserve">. </w:t>
      </w:r>
      <w:r w:rsidR="002529CD" w:rsidRPr="003A4F79">
        <w:rPr>
          <w:noProof/>
          <w:lang w:eastAsia="en-GB"/>
        </w:rPr>
        <w:t xml:space="preserve">The greater tendency for </w:t>
      </w:r>
      <w:r w:rsidR="00761692" w:rsidRPr="003A4F79">
        <w:rPr>
          <w:noProof/>
          <w:lang w:eastAsia="en-GB"/>
        </w:rPr>
        <w:t xml:space="preserve">Nokia investors to return to the market is in line with the univariate </w:t>
      </w:r>
      <w:r w:rsidR="00E80423" w:rsidRPr="003A4F79">
        <w:rPr>
          <w:noProof/>
          <w:lang w:eastAsia="en-GB"/>
        </w:rPr>
        <w:t xml:space="preserve">analysis results </w:t>
      </w:r>
      <w:r w:rsidR="002529CD" w:rsidRPr="003A4F79">
        <w:rPr>
          <w:noProof/>
          <w:lang w:eastAsia="en-GB"/>
        </w:rPr>
        <w:t>presented earlier, in which</w:t>
      </w:r>
      <w:r w:rsidR="00761692" w:rsidRPr="003A4F79">
        <w:rPr>
          <w:noProof/>
          <w:lang w:eastAsia="en-GB"/>
        </w:rPr>
        <w:t xml:space="preserve"> the proportion of re-entering investor</w:t>
      </w:r>
      <w:r w:rsidR="002529CD" w:rsidRPr="003A4F79">
        <w:rPr>
          <w:noProof/>
          <w:lang w:eastAsia="en-GB"/>
        </w:rPr>
        <w:t>s</w:t>
      </w:r>
      <w:r w:rsidR="00761692" w:rsidRPr="003A4F79">
        <w:rPr>
          <w:noProof/>
          <w:lang w:eastAsia="en-GB"/>
        </w:rPr>
        <w:t xml:space="preserve"> </w:t>
      </w:r>
      <w:r w:rsidR="002529CD" w:rsidRPr="003A4F79">
        <w:rPr>
          <w:noProof/>
          <w:lang w:eastAsia="en-GB"/>
        </w:rPr>
        <w:t xml:space="preserve">was </w:t>
      </w:r>
      <w:r w:rsidR="00761692" w:rsidRPr="003A4F79">
        <w:rPr>
          <w:noProof/>
          <w:lang w:eastAsia="en-GB"/>
        </w:rPr>
        <w:t xml:space="preserve">much higher for Nokia investors than for </w:t>
      </w:r>
      <w:r w:rsidR="002529CD" w:rsidRPr="003A4F79">
        <w:rPr>
          <w:noProof/>
          <w:lang w:eastAsia="en-GB"/>
        </w:rPr>
        <w:t>non</w:t>
      </w:r>
      <w:r w:rsidR="00761692" w:rsidRPr="003A4F79">
        <w:rPr>
          <w:noProof/>
          <w:lang w:eastAsia="en-GB"/>
        </w:rPr>
        <w:t>-Nokia investors</w:t>
      </w:r>
      <w:r w:rsidR="002529CD" w:rsidRPr="003A4F79">
        <w:rPr>
          <w:noProof/>
          <w:lang w:eastAsia="en-GB"/>
        </w:rPr>
        <w:t>,</w:t>
      </w:r>
      <w:r w:rsidR="00761692" w:rsidRPr="003A4F79">
        <w:rPr>
          <w:noProof/>
          <w:lang w:eastAsia="en-GB"/>
        </w:rPr>
        <w:t xml:space="preserve"> regardless of initial returns.</w:t>
      </w:r>
      <w:r w:rsidR="00844AC8" w:rsidRPr="003A4F79">
        <w:rPr>
          <w:noProof/>
          <w:lang w:eastAsia="en-GB"/>
        </w:rPr>
        <w:t xml:space="preserve"> </w:t>
      </w:r>
      <w:r w:rsidR="000B6137" w:rsidRPr="003A4F79">
        <w:rPr>
          <w:noProof/>
          <w:lang w:eastAsia="en-GB"/>
        </w:rPr>
        <w:t>The negative</w:t>
      </w:r>
      <w:r w:rsidR="005324D7" w:rsidRPr="003A4F79">
        <w:rPr>
          <w:noProof/>
          <w:lang w:eastAsia="en-GB"/>
        </w:rPr>
        <w:t xml:space="preserve"> effect of </w:t>
      </w:r>
      <w:r w:rsidR="005324D7" w:rsidRPr="003A4F79">
        <w:rPr>
          <w:i/>
          <w:noProof/>
          <w:lang w:eastAsia="en-GB"/>
        </w:rPr>
        <w:t>MktVol</w:t>
      </w:r>
      <w:r w:rsidR="005324D7" w:rsidRPr="003A4F79">
        <w:rPr>
          <w:noProof/>
          <w:lang w:eastAsia="en-GB"/>
        </w:rPr>
        <w:t xml:space="preserve"> on </w:t>
      </w:r>
      <w:r w:rsidR="005324D7" w:rsidRPr="003A4F79">
        <w:rPr>
          <w:noProof/>
          <w:lang w:eastAsia="en-GB"/>
        </w:rPr>
        <w:lastRenderedPageBreak/>
        <w:t>re-entry indicates investors’ reluctance to stock investing during a turbul</w:t>
      </w:r>
      <w:r w:rsidR="005A7F60" w:rsidRPr="003A4F79">
        <w:rPr>
          <w:noProof/>
          <w:lang w:eastAsia="en-GB"/>
        </w:rPr>
        <w:t>e</w:t>
      </w:r>
      <w:r w:rsidR="005324D7" w:rsidRPr="003A4F79">
        <w:rPr>
          <w:noProof/>
          <w:lang w:eastAsia="en-GB"/>
        </w:rPr>
        <w:t xml:space="preserve">nt time. </w:t>
      </w:r>
      <w:r w:rsidR="00844AC8" w:rsidRPr="003A4F79">
        <w:rPr>
          <w:noProof/>
          <w:lang w:eastAsia="en-GB"/>
        </w:rPr>
        <w:t xml:space="preserve">The </w:t>
      </w:r>
      <w:r w:rsidR="00BD393F" w:rsidRPr="003A4F79">
        <w:rPr>
          <w:noProof/>
          <w:lang w:eastAsia="en-GB"/>
        </w:rPr>
        <w:t xml:space="preserve">negative </w:t>
      </w:r>
      <w:r w:rsidR="00F85E63" w:rsidRPr="003A4F79">
        <w:rPr>
          <w:noProof/>
          <w:lang w:eastAsia="en-GB"/>
        </w:rPr>
        <w:t xml:space="preserve">relation between </w:t>
      </w:r>
      <w:r w:rsidR="00844AC8" w:rsidRPr="003A4F79">
        <w:rPr>
          <w:i/>
          <w:noProof/>
          <w:lang w:eastAsia="en-GB"/>
        </w:rPr>
        <w:t>MktRet</w:t>
      </w:r>
      <w:r w:rsidR="00F85E63" w:rsidRPr="003A4F79">
        <w:rPr>
          <w:noProof/>
          <w:lang w:eastAsia="en-GB"/>
        </w:rPr>
        <w:t xml:space="preserve"> and </w:t>
      </w:r>
      <w:r w:rsidR="00F85E63" w:rsidRPr="003A4F79">
        <w:rPr>
          <w:i/>
          <w:noProof/>
          <w:lang w:eastAsia="en-GB"/>
        </w:rPr>
        <w:t xml:space="preserve">Re-entry </w:t>
      </w:r>
      <w:r w:rsidR="00844AC8" w:rsidRPr="003A4F79">
        <w:rPr>
          <w:noProof/>
          <w:lang w:eastAsia="en-GB"/>
        </w:rPr>
        <w:t>is</w:t>
      </w:r>
      <w:r w:rsidR="00182121" w:rsidRPr="003A4F79">
        <w:rPr>
          <w:noProof/>
          <w:lang w:eastAsia="en-GB"/>
        </w:rPr>
        <w:t xml:space="preserve">, however, hard to understand </w:t>
      </w:r>
      <w:r w:rsidR="0034739B" w:rsidRPr="003A4F79">
        <w:rPr>
          <w:noProof/>
          <w:lang w:eastAsia="en-GB"/>
        </w:rPr>
        <w:t>because it suggests positive (negative) market performance</w:t>
      </w:r>
      <w:r w:rsidR="00C420DE" w:rsidRPr="003A4F79">
        <w:rPr>
          <w:noProof/>
          <w:lang w:eastAsia="en-GB"/>
        </w:rPr>
        <w:t xml:space="preserve"> for a prior month</w:t>
      </w:r>
      <w:r w:rsidR="0034739B" w:rsidRPr="003A4F79">
        <w:rPr>
          <w:noProof/>
          <w:lang w:eastAsia="en-GB"/>
        </w:rPr>
        <w:t xml:space="preserve"> decreases (increases) the probability of re-entry</w:t>
      </w:r>
      <w:r w:rsidR="00286CDC" w:rsidRPr="003A4F79">
        <w:rPr>
          <w:noProof/>
          <w:lang w:eastAsia="en-GB"/>
        </w:rPr>
        <w:t xml:space="preserve">. </w:t>
      </w:r>
      <w:r w:rsidR="00E35B52" w:rsidRPr="003A4F79">
        <w:rPr>
          <w:noProof/>
          <w:lang w:eastAsia="en-GB"/>
        </w:rPr>
        <w:t xml:space="preserve">This negative relationship may be due to </w:t>
      </w:r>
      <w:r w:rsidR="00963D51" w:rsidRPr="003A4F79">
        <w:rPr>
          <w:noProof/>
          <w:lang w:eastAsia="en-GB"/>
        </w:rPr>
        <w:t>investors’ hesitancy about buying stocks whose prices they may think are too high</w:t>
      </w:r>
      <w:r w:rsidR="00F64877" w:rsidRPr="003A4F79">
        <w:rPr>
          <w:noProof/>
          <w:lang w:eastAsia="en-GB"/>
        </w:rPr>
        <w:t>,</w:t>
      </w:r>
      <w:r w:rsidR="00963D51" w:rsidRPr="003A4F79">
        <w:rPr>
          <w:noProof/>
          <w:lang w:eastAsia="en-GB"/>
        </w:rPr>
        <w:t xml:space="preserve"> as </w:t>
      </w:r>
      <w:r w:rsidR="00212F3C" w:rsidRPr="003A4F79">
        <w:rPr>
          <w:noProof/>
          <w:lang w:eastAsia="en-GB"/>
        </w:rPr>
        <w:t xml:space="preserve">high </w:t>
      </w:r>
      <w:r w:rsidR="00963D51" w:rsidRPr="003A4F79">
        <w:rPr>
          <w:noProof/>
          <w:lang w:eastAsia="en-GB"/>
        </w:rPr>
        <w:t>l</w:t>
      </w:r>
      <w:r w:rsidR="00E35B52" w:rsidRPr="003A4F79">
        <w:rPr>
          <w:noProof/>
          <w:lang w:eastAsia="en-GB"/>
        </w:rPr>
        <w:t>agged market returns render</w:t>
      </w:r>
      <w:r w:rsidR="00963D51" w:rsidRPr="003A4F79">
        <w:rPr>
          <w:noProof/>
          <w:lang w:eastAsia="en-GB"/>
        </w:rPr>
        <w:t xml:space="preserve"> </w:t>
      </w:r>
      <w:r w:rsidR="00E35B52" w:rsidRPr="003A4F79">
        <w:rPr>
          <w:noProof/>
          <w:lang w:eastAsia="en-GB"/>
        </w:rPr>
        <w:t>stocks more expensive on average</w:t>
      </w:r>
      <w:r w:rsidR="00963D51" w:rsidRPr="003A4F79">
        <w:rPr>
          <w:noProof/>
          <w:lang w:eastAsia="en-GB"/>
        </w:rPr>
        <w:t xml:space="preserve">. Investors </w:t>
      </w:r>
      <w:r w:rsidR="00E35B52" w:rsidRPr="003A4F79">
        <w:rPr>
          <w:noProof/>
          <w:lang w:eastAsia="en-GB"/>
        </w:rPr>
        <w:t xml:space="preserve">may </w:t>
      </w:r>
      <w:r w:rsidR="00F36FE2" w:rsidRPr="003A4F79">
        <w:rPr>
          <w:noProof/>
          <w:lang w:eastAsia="en-GB"/>
        </w:rPr>
        <w:t xml:space="preserve">want to </w:t>
      </w:r>
      <w:r w:rsidR="00E35B52" w:rsidRPr="003A4F79">
        <w:rPr>
          <w:noProof/>
          <w:lang w:eastAsia="en-GB"/>
        </w:rPr>
        <w:t xml:space="preserve">wait for </w:t>
      </w:r>
      <w:r w:rsidR="00F36FE2" w:rsidRPr="003A4F79">
        <w:rPr>
          <w:noProof/>
          <w:lang w:eastAsia="en-GB"/>
        </w:rPr>
        <w:t xml:space="preserve">the </w:t>
      </w:r>
      <w:r w:rsidR="00E35B52" w:rsidRPr="003A4F79">
        <w:rPr>
          <w:noProof/>
          <w:lang w:eastAsia="en-GB"/>
        </w:rPr>
        <w:t>prices to start falling</w:t>
      </w:r>
      <w:r w:rsidR="00F36FE2" w:rsidRPr="003A4F79">
        <w:rPr>
          <w:noProof/>
          <w:lang w:eastAsia="en-GB"/>
        </w:rPr>
        <w:t xml:space="preserve">, which is expected to happen, </w:t>
      </w:r>
      <w:r w:rsidR="00E35B52" w:rsidRPr="003A4F79">
        <w:rPr>
          <w:noProof/>
          <w:lang w:eastAsia="en-GB"/>
        </w:rPr>
        <w:t xml:space="preserve">on average, during </w:t>
      </w:r>
      <w:r w:rsidR="00E861F5" w:rsidRPr="003A4F79">
        <w:rPr>
          <w:noProof/>
          <w:lang w:eastAsia="en-GB"/>
        </w:rPr>
        <w:t xml:space="preserve">a </w:t>
      </w:r>
      <w:r w:rsidR="00E35B52" w:rsidRPr="003A4F79">
        <w:rPr>
          <w:noProof/>
          <w:lang w:eastAsia="en-GB"/>
        </w:rPr>
        <w:t xml:space="preserve">market </w:t>
      </w:r>
      <w:r w:rsidR="00F36FE2" w:rsidRPr="003A4F79">
        <w:rPr>
          <w:noProof/>
          <w:lang w:eastAsia="en-GB"/>
        </w:rPr>
        <w:t>downturn.</w:t>
      </w:r>
      <w:r w:rsidR="00F85E63" w:rsidRPr="003A4F79">
        <w:rPr>
          <w:noProof/>
          <w:lang w:eastAsia="en-GB"/>
        </w:rPr>
        <w:t xml:space="preserve"> </w:t>
      </w:r>
      <w:r w:rsidR="0034739B" w:rsidRPr="003A4F79">
        <w:rPr>
          <w:noProof/>
          <w:lang w:eastAsia="en-GB"/>
        </w:rPr>
        <w:t xml:space="preserve"> </w:t>
      </w:r>
    </w:p>
    <w:p w14:paraId="6393EEA2" w14:textId="40F3C6C3" w:rsidR="00180526" w:rsidRPr="003A4F79" w:rsidRDefault="00AB1084" w:rsidP="00290F9F">
      <w:pPr>
        <w:pStyle w:val="Heading2"/>
        <w:rPr>
          <w:noProof/>
          <w:szCs w:val="23"/>
          <w:lang w:eastAsia="en-GB"/>
        </w:rPr>
      </w:pPr>
      <w:r w:rsidRPr="003A4F79">
        <w:t>5</w:t>
      </w:r>
      <w:r w:rsidR="00C73113" w:rsidRPr="003A4F79">
        <w:t xml:space="preserve">.2 </w:t>
      </w:r>
      <w:r w:rsidR="00180526" w:rsidRPr="003A4F79">
        <w:t xml:space="preserve">Beyond </w:t>
      </w:r>
      <w:r w:rsidR="004D61CC" w:rsidRPr="003A4F79">
        <w:t>initial re</w:t>
      </w:r>
      <w:r w:rsidR="00180526" w:rsidRPr="003A4F79">
        <w:t xml:space="preserve">turns: </w:t>
      </w:r>
      <w:r w:rsidR="009F0421" w:rsidRPr="003A4F79">
        <w:t>Average</w:t>
      </w:r>
      <w:r w:rsidR="00D324F0" w:rsidRPr="003A4F79">
        <w:t>,</w:t>
      </w:r>
      <w:r w:rsidR="004D61CC" w:rsidRPr="003A4F79">
        <w:t xml:space="preserve"> recent</w:t>
      </w:r>
      <w:r w:rsidR="009411A3" w:rsidRPr="003A4F79">
        <w:t xml:space="preserve">, </w:t>
      </w:r>
      <w:r w:rsidR="00D324F0" w:rsidRPr="003A4F79">
        <w:t>and reali</w:t>
      </w:r>
      <w:r w:rsidR="00C95B94" w:rsidRPr="003A4F79">
        <w:t>s</w:t>
      </w:r>
      <w:r w:rsidR="00D324F0" w:rsidRPr="003A4F79">
        <w:t>ed retur</w:t>
      </w:r>
      <w:r w:rsidR="00B21B83" w:rsidRPr="003A4F79">
        <w:t>n</w:t>
      </w:r>
      <w:r w:rsidR="00D324F0" w:rsidRPr="003A4F79">
        <w:t>s</w:t>
      </w:r>
    </w:p>
    <w:p w14:paraId="6E3B7F07" w14:textId="4B004BD7" w:rsidR="00FE6C08" w:rsidRPr="003A4F79" w:rsidRDefault="003E55DA">
      <w:r w:rsidRPr="003A4F79">
        <w:t xml:space="preserve">The results presented in Table 2 </w:t>
      </w:r>
      <w:r w:rsidR="002529CD" w:rsidRPr="003A4F79">
        <w:t>suggest</w:t>
      </w:r>
      <w:r w:rsidRPr="003A4F79">
        <w:t xml:space="preserve"> that initial returns strong</w:t>
      </w:r>
      <w:r w:rsidR="002529CD" w:rsidRPr="003A4F79">
        <w:t>ly</w:t>
      </w:r>
      <w:r w:rsidRPr="003A4F79">
        <w:t xml:space="preserve"> influence investors</w:t>
      </w:r>
      <w:r w:rsidR="002529CD" w:rsidRPr="003A4F79">
        <w:t>’</w:t>
      </w:r>
      <w:r w:rsidRPr="003A4F79">
        <w:t xml:space="preserve"> decision</w:t>
      </w:r>
      <w:r w:rsidR="002529CD" w:rsidRPr="003A4F79">
        <w:t>s</w:t>
      </w:r>
      <w:r w:rsidRPr="003A4F79">
        <w:t xml:space="preserve"> to return to the stock market after </w:t>
      </w:r>
      <w:r w:rsidR="002529CD" w:rsidRPr="003A4F79">
        <w:t xml:space="preserve">withdrawal </w:t>
      </w:r>
      <w:r w:rsidRPr="003A4F79">
        <w:t>and absen</w:t>
      </w:r>
      <w:r w:rsidR="002529CD" w:rsidRPr="003A4F79">
        <w:t>ce</w:t>
      </w:r>
      <w:r w:rsidRPr="003A4F79">
        <w:t xml:space="preserve"> from </w:t>
      </w:r>
      <w:r w:rsidR="002529CD" w:rsidRPr="003A4F79">
        <w:t>it</w:t>
      </w:r>
      <w:r w:rsidRPr="003A4F79">
        <w:t xml:space="preserve">. </w:t>
      </w:r>
      <w:r w:rsidR="00F01713" w:rsidRPr="003A4F79">
        <w:t>However, t</w:t>
      </w:r>
      <w:r w:rsidR="001D22C4" w:rsidRPr="003A4F79">
        <w:t>h</w:t>
      </w:r>
      <w:r w:rsidR="00F01713" w:rsidRPr="003A4F79">
        <w:t xml:space="preserve">e particular importance of initial returns </w:t>
      </w:r>
      <w:r w:rsidR="002529CD" w:rsidRPr="003A4F79">
        <w:t>themselves</w:t>
      </w:r>
      <w:r w:rsidR="00F01713" w:rsidRPr="003A4F79">
        <w:rPr>
          <w:i/>
        </w:rPr>
        <w:t xml:space="preserve"> </w:t>
      </w:r>
      <w:r w:rsidR="002529CD" w:rsidRPr="003A4F79">
        <w:t>is not</w:t>
      </w:r>
      <w:r w:rsidR="00F01713" w:rsidRPr="003A4F79">
        <w:t xml:space="preserve"> evidenced by this result alone</w:t>
      </w:r>
      <w:r w:rsidR="002529CD" w:rsidRPr="003A4F79">
        <w:t>,</w:t>
      </w:r>
      <w:r w:rsidR="00F01713" w:rsidRPr="003A4F79">
        <w:t xml:space="preserve"> since </w:t>
      </w:r>
      <w:r w:rsidR="008B51A4" w:rsidRPr="003A4F79">
        <w:t>investors</w:t>
      </w:r>
      <w:r w:rsidR="002529CD" w:rsidRPr="003A4F79">
        <w:t>’</w:t>
      </w:r>
      <w:r w:rsidR="008B51A4" w:rsidRPr="003A4F79">
        <w:t xml:space="preserve"> entire holding period </w:t>
      </w:r>
      <w:r w:rsidR="00EC18E0" w:rsidRPr="003A4F79">
        <w:t xml:space="preserve">is much longer than </w:t>
      </w:r>
      <w:r w:rsidR="002529CD" w:rsidRPr="003A4F79">
        <w:t xml:space="preserve">a </w:t>
      </w:r>
      <w:r w:rsidR="00EC18E0" w:rsidRPr="003A4F79">
        <w:t>month and</w:t>
      </w:r>
      <w:r w:rsidR="002529CD" w:rsidRPr="003A4F79">
        <w:t>,</w:t>
      </w:r>
      <w:r w:rsidR="00EC18E0" w:rsidRPr="003A4F79">
        <w:t xml:space="preserve"> more importantly, </w:t>
      </w:r>
      <w:r w:rsidR="004F4C36" w:rsidRPr="003A4F79">
        <w:t>the average return during th</w:t>
      </w:r>
      <w:r w:rsidR="00B14800" w:rsidRPr="003A4F79">
        <w:t>at</w:t>
      </w:r>
      <w:r w:rsidR="004F4C36" w:rsidRPr="003A4F79">
        <w:t xml:space="preserve"> period (</w:t>
      </w:r>
      <w:r w:rsidR="004F4C36" w:rsidRPr="003A4F79">
        <w:rPr>
          <w:i/>
        </w:rPr>
        <w:t>AllRet</w:t>
      </w:r>
      <w:r w:rsidR="004F4C36" w:rsidRPr="003A4F79">
        <w:t xml:space="preserve">) may be correlated with </w:t>
      </w:r>
      <w:r w:rsidR="00E36377" w:rsidRPr="003A4F79">
        <w:t>the return in the first month</w:t>
      </w:r>
      <w:r w:rsidR="004F4C36" w:rsidRPr="003A4F79">
        <w:t>.</w:t>
      </w:r>
      <w:r w:rsidR="00F01713" w:rsidRPr="003A4F79">
        <w:t xml:space="preserve"> </w:t>
      </w:r>
      <w:r w:rsidR="00AF0FB7" w:rsidRPr="003A4F79">
        <w:t xml:space="preserve">Therefore, </w:t>
      </w:r>
      <w:r w:rsidR="00DA4EC0" w:rsidRPr="003A4F79">
        <w:t>it is necessary</w:t>
      </w:r>
      <w:r w:rsidR="00AF0FB7" w:rsidRPr="003A4F79">
        <w:t xml:space="preserve"> to control for </w:t>
      </w:r>
      <w:r w:rsidR="00AF0FB7" w:rsidRPr="003A4F79">
        <w:rPr>
          <w:i/>
        </w:rPr>
        <w:t>AllRet</w:t>
      </w:r>
      <w:r w:rsidR="00AF0FB7" w:rsidRPr="003A4F79">
        <w:t xml:space="preserve"> in </w:t>
      </w:r>
      <w:r w:rsidR="00FA5101" w:rsidRPr="003A4F79">
        <w:t>regressions</w:t>
      </w:r>
      <w:r w:rsidR="00AF0FB7" w:rsidRPr="003A4F79">
        <w:t xml:space="preserve"> </w:t>
      </w:r>
      <w:r w:rsidR="00E80423" w:rsidRPr="003A4F79">
        <w:t xml:space="preserve">otherwise identical </w:t>
      </w:r>
      <w:r w:rsidR="00AF0FB7" w:rsidRPr="003A4F79">
        <w:t xml:space="preserve">to those </w:t>
      </w:r>
      <w:r w:rsidR="00A967B3" w:rsidRPr="003A4F79">
        <w:t xml:space="preserve">considered </w:t>
      </w:r>
      <w:r w:rsidR="00AF0FB7" w:rsidRPr="003A4F79">
        <w:t>in Table 2.</w:t>
      </w:r>
      <w:r w:rsidR="00DA4EC0" w:rsidRPr="003A4F79">
        <w:t xml:space="preserve"> </w:t>
      </w:r>
      <w:r w:rsidR="00BC2EB6" w:rsidRPr="003A4F79">
        <w:t xml:space="preserve">If investors place greater weight on returns in the first month of investing than on returns in subsequent months, we should </w:t>
      </w:r>
      <w:r w:rsidR="00BC2EB6" w:rsidRPr="003A4F79">
        <w:rPr>
          <w:i/>
        </w:rPr>
        <w:t>still</w:t>
      </w:r>
      <w:r w:rsidR="00BC2EB6" w:rsidRPr="003A4F79">
        <w:t xml:space="preserve"> observe a significantly positive coefficient for </w:t>
      </w:r>
      <w:r w:rsidR="00BC2EB6" w:rsidRPr="003A4F79">
        <w:rPr>
          <w:i/>
        </w:rPr>
        <w:t>IniRet</w:t>
      </w:r>
      <w:r w:rsidR="00BC2EB6" w:rsidRPr="003A4F79">
        <w:t xml:space="preserve">. </w:t>
      </w:r>
      <w:r w:rsidR="0048758B" w:rsidRPr="003A4F79">
        <w:t xml:space="preserve">In fact, the coefficients </w:t>
      </w:r>
      <w:r w:rsidR="00DA4EC0" w:rsidRPr="003A4F79">
        <w:t xml:space="preserve">for </w:t>
      </w:r>
      <w:r w:rsidR="0048758B" w:rsidRPr="003A4F79">
        <w:rPr>
          <w:i/>
        </w:rPr>
        <w:t>IniRet</w:t>
      </w:r>
      <w:r w:rsidR="0048758B" w:rsidRPr="003A4F79">
        <w:t xml:space="preserve"> remain positive and statistically significant</w:t>
      </w:r>
      <w:r w:rsidR="00DA4EC0" w:rsidRPr="003A4F79">
        <w:t>,</w:t>
      </w:r>
      <w:r w:rsidR="0048758B" w:rsidRPr="003A4F79">
        <w:t xml:space="preserve"> even after controlling for </w:t>
      </w:r>
      <w:r w:rsidR="0048758B" w:rsidRPr="003A4F79">
        <w:rPr>
          <w:i/>
        </w:rPr>
        <w:t>AllRet</w:t>
      </w:r>
      <w:r w:rsidR="00DA4EC0" w:rsidRPr="003A4F79">
        <w:t>,</w:t>
      </w:r>
      <w:r w:rsidR="0048758B" w:rsidRPr="003A4F79">
        <w:t xml:space="preserve"> regardless of model specifications</w:t>
      </w:r>
      <w:r w:rsidR="00CE5280" w:rsidRPr="003A4F79">
        <w:t xml:space="preserve"> (Table 3)</w:t>
      </w:r>
      <w:r w:rsidR="0048758B" w:rsidRPr="003A4F79">
        <w:t xml:space="preserve">. </w:t>
      </w:r>
      <w:r w:rsidR="000D5FF2" w:rsidRPr="003A4F79">
        <w:t xml:space="preserve">In contrast, the effect of </w:t>
      </w:r>
      <w:r w:rsidR="000D5FF2" w:rsidRPr="003A4F79">
        <w:rPr>
          <w:i/>
        </w:rPr>
        <w:t>AllRet</w:t>
      </w:r>
      <w:r w:rsidR="000D5FF2" w:rsidRPr="003A4F79">
        <w:t xml:space="preserve"> is much weaker in terms of both magnitude and statistical </w:t>
      </w:r>
      <w:r w:rsidR="000D5FF2" w:rsidRPr="003A4F79">
        <w:lastRenderedPageBreak/>
        <w:t>significance.</w:t>
      </w:r>
      <w:r w:rsidR="009948A9" w:rsidRPr="003A4F79">
        <w:t xml:space="preserve"> This finding suggests that initial returns are not only robust</w:t>
      </w:r>
      <w:r w:rsidR="00DA4EC0" w:rsidRPr="003A4F79">
        <w:t xml:space="preserve">, </w:t>
      </w:r>
      <w:r w:rsidR="009948A9" w:rsidRPr="003A4F79">
        <w:t>but ha</w:t>
      </w:r>
      <w:r w:rsidR="009E58C2" w:rsidRPr="003A4F79">
        <w:t>ve</w:t>
      </w:r>
      <w:r w:rsidR="009948A9" w:rsidRPr="003A4F79">
        <w:t xml:space="preserve"> a do</w:t>
      </w:r>
      <w:r w:rsidR="009E58C2" w:rsidRPr="003A4F79">
        <w:t xml:space="preserve">minant effect after including </w:t>
      </w:r>
      <w:r w:rsidR="00E91FE8" w:rsidRPr="003A4F79">
        <w:t xml:space="preserve">average </w:t>
      </w:r>
      <w:r w:rsidR="009E58C2" w:rsidRPr="003A4F79">
        <w:t xml:space="preserve">monthly returns </w:t>
      </w:r>
      <w:r w:rsidR="00E91FE8" w:rsidRPr="003A4F79">
        <w:t>during the entire period of investment</w:t>
      </w:r>
      <w:r w:rsidR="009E58C2" w:rsidRPr="003A4F79">
        <w:t>.</w:t>
      </w:r>
    </w:p>
    <w:p w14:paraId="00CB74F7" w14:textId="0CF744E4" w:rsidR="007F438A" w:rsidRPr="003A4F79" w:rsidRDefault="007F438A" w:rsidP="00290F9F">
      <w:pPr>
        <w:pStyle w:val="InsertInstruct"/>
      </w:pPr>
      <w:r w:rsidRPr="003A4F79">
        <w:t xml:space="preserve">[Insert Table </w:t>
      </w:r>
      <w:r w:rsidR="00595BDB" w:rsidRPr="003A4F79">
        <w:t>3</w:t>
      </w:r>
      <w:r w:rsidRPr="003A4F79">
        <w:t xml:space="preserve"> here]</w:t>
      </w:r>
    </w:p>
    <w:p w14:paraId="336D09E3" w14:textId="74792264" w:rsidR="00682E36" w:rsidRPr="003A4F79" w:rsidRDefault="00372C70">
      <w:r w:rsidRPr="003A4F79">
        <w:t>Next,</w:t>
      </w:r>
      <w:r w:rsidR="00C742FB" w:rsidRPr="003A4F79">
        <w:t xml:space="preserve"> </w:t>
      </w:r>
      <w:r w:rsidR="00AA2CFB" w:rsidRPr="003A4F79">
        <w:t xml:space="preserve">we </w:t>
      </w:r>
      <w:r w:rsidR="00935FE4" w:rsidRPr="003A4F79">
        <w:t>consider return</w:t>
      </w:r>
      <w:r w:rsidR="00DA4EC0" w:rsidRPr="003A4F79">
        <w:t>s</w:t>
      </w:r>
      <w:r w:rsidR="00935FE4" w:rsidRPr="003A4F79">
        <w:t xml:space="preserve"> in the last month of investing</w:t>
      </w:r>
      <w:r w:rsidR="00682E36" w:rsidRPr="003A4F79">
        <w:t xml:space="preserve"> (</w:t>
      </w:r>
      <w:r w:rsidR="00682E36" w:rsidRPr="003A4F79">
        <w:rPr>
          <w:i/>
        </w:rPr>
        <w:t>R</w:t>
      </w:r>
      <w:r w:rsidR="00935FE4" w:rsidRPr="003A4F79">
        <w:rPr>
          <w:i/>
        </w:rPr>
        <w:t>ecR</w:t>
      </w:r>
      <w:r w:rsidR="00682E36" w:rsidRPr="003A4F79">
        <w:rPr>
          <w:i/>
        </w:rPr>
        <w:t>et</w:t>
      </w:r>
      <w:r w:rsidR="00682E36" w:rsidRPr="003A4F79">
        <w:t>)</w:t>
      </w:r>
      <w:r w:rsidR="00DA4EC0" w:rsidRPr="003A4F79">
        <w:t xml:space="preserve"> </w:t>
      </w:r>
      <w:r w:rsidR="00AA2CFB" w:rsidRPr="003A4F79">
        <w:t xml:space="preserve">as </w:t>
      </w:r>
      <w:r w:rsidR="002965C7" w:rsidRPr="003A4F79">
        <w:t xml:space="preserve">an </w:t>
      </w:r>
      <w:r w:rsidR="00E80423" w:rsidRPr="003A4F79">
        <w:t xml:space="preserve">important </w:t>
      </w:r>
      <w:r w:rsidR="002965C7" w:rsidRPr="003A4F79">
        <w:t xml:space="preserve">additional control variable. </w:t>
      </w:r>
      <w:r w:rsidR="00DA4EC0" w:rsidRPr="003A4F79">
        <w:t>U</w:t>
      </w:r>
      <w:r w:rsidR="009F4C67" w:rsidRPr="003A4F79">
        <w:t>se of thi</w:t>
      </w:r>
      <w:r w:rsidR="00682E36" w:rsidRPr="003A4F79">
        <w:t xml:space="preserve">s variable is </w:t>
      </w:r>
      <w:r w:rsidR="00DA4EC0" w:rsidRPr="003A4F79">
        <w:t>based on</w:t>
      </w:r>
      <w:r w:rsidR="009F4C67" w:rsidRPr="003A4F79">
        <w:t xml:space="preserve"> the </w:t>
      </w:r>
      <w:r w:rsidR="00682E36" w:rsidRPr="003A4F79">
        <w:t xml:space="preserve">so-called </w:t>
      </w:r>
      <w:r w:rsidR="00682E36" w:rsidRPr="003A4F79">
        <w:rPr>
          <w:i/>
        </w:rPr>
        <w:t>recency effect</w:t>
      </w:r>
      <w:r w:rsidR="00951022" w:rsidRPr="003A4F79">
        <w:t xml:space="preserve"> in </w:t>
      </w:r>
      <w:r w:rsidR="00DA4EC0" w:rsidRPr="003A4F79">
        <w:t xml:space="preserve">psychology </w:t>
      </w:r>
      <w:r w:rsidR="00951022" w:rsidRPr="003A4F79">
        <w:t>literature</w:t>
      </w:r>
      <w:r w:rsidR="00153768" w:rsidRPr="003A4F79">
        <w:t xml:space="preserve"> (e.g., </w:t>
      </w:r>
      <w:r w:rsidR="00153768" w:rsidRPr="003A4F79">
        <w:rPr>
          <w:noProof/>
          <w:lang w:val="en-GB"/>
        </w:rPr>
        <w:t>Hogarth and Einhorn, 1992</w:t>
      </w:r>
      <w:r w:rsidR="00153768" w:rsidRPr="003A4F79">
        <w:t>)</w:t>
      </w:r>
      <w:r w:rsidR="00771C82" w:rsidRPr="003A4F79">
        <w:t xml:space="preserve"> that </w:t>
      </w:r>
      <w:r w:rsidR="00DA4EC0" w:rsidRPr="003A4F79">
        <w:t xml:space="preserve">proposes a </w:t>
      </w:r>
      <w:r w:rsidR="0070053C" w:rsidRPr="003A4F79">
        <w:t xml:space="preserve">salient </w:t>
      </w:r>
      <w:r w:rsidR="00682E36" w:rsidRPr="003A4F79">
        <w:t xml:space="preserve">effect of the last </w:t>
      </w:r>
      <w:r w:rsidR="00DA4EC0" w:rsidRPr="003A4F79">
        <w:t xml:space="preserve">in a series of experiences </w:t>
      </w:r>
      <w:r w:rsidR="006B7230" w:rsidRPr="003A4F79">
        <w:t>(as opposed to the first experience</w:t>
      </w:r>
      <w:r w:rsidR="009D3EB8" w:rsidRPr="003A4F79">
        <w:t xml:space="preserve"> in the primacy effect</w:t>
      </w:r>
      <w:r w:rsidR="006B7230" w:rsidRPr="003A4F79">
        <w:t>)</w:t>
      </w:r>
      <w:r w:rsidR="008A469B" w:rsidRPr="003A4F79">
        <w:t>.</w:t>
      </w:r>
      <w:r w:rsidR="006D7A44" w:rsidRPr="003A4F79">
        <w:t xml:space="preserve"> </w:t>
      </w:r>
      <w:r w:rsidR="00DA4EC0" w:rsidRPr="003A4F79">
        <w:t xml:space="preserve">With regard to </w:t>
      </w:r>
      <w:r w:rsidR="008B2E99" w:rsidRPr="003A4F79">
        <w:t xml:space="preserve">the </w:t>
      </w:r>
      <w:r w:rsidR="00DA4EC0" w:rsidRPr="003A4F79">
        <w:t xml:space="preserve">finance </w:t>
      </w:r>
      <w:r w:rsidR="008003EF" w:rsidRPr="003A4F79">
        <w:t xml:space="preserve">literature, </w:t>
      </w:r>
      <w:r w:rsidR="00F17AEA" w:rsidRPr="003A4F79">
        <w:t>Nofsinger and Varma</w:t>
      </w:r>
      <w:r w:rsidR="00DA4EC0" w:rsidRPr="003A4F79">
        <w:t>’s</w:t>
      </w:r>
      <w:r w:rsidR="00F17AEA" w:rsidRPr="003A4F79">
        <w:t xml:space="preserve"> (2013)</w:t>
      </w:r>
      <w:r w:rsidR="00DA4EC0" w:rsidRPr="003A4F79">
        <w:t xml:space="preserve"> result</w:t>
      </w:r>
      <w:r w:rsidR="00F17AEA" w:rsidRPr="003A4F79">
        <w:t xml:space="preserve"> impl</w:t>
      </w:r>
      <w:r w:rsidR="008003EF" w:rsidRPr="003A4F79">
        <w:t>ies</w:t>
      </w:r>
      <w:r w:rsidR="00F17AEA" w:rsidRPr="003A4F79">
        <w:t xml:space="preserve"> that </w:t>
      </w:r>
      <w:r w:rsidR="008B2E99" w:rsidRPr="003A4F79">
        <w:t>investors</w:t>
      </w:r>
      <w:r w:rsidR="00DA4EC0" w:rsidRPr="003A4F79">
        <w:t>’</w:t>
      </w:r>
      <w:r w:rsidR="008B2E99" w:rsidRPr="003A4F79">
        <w:t xml:space="preserve"> </w:t>
      </w:r>
      <w:r w:rsidR="00F17AEA" w:rsidRPr="003A4F79">
        <w:t xml:space="preserve">recent experience is relevant and </w:t>
      </w:r>
      <w:r w:rsidR="00DA4EC0" w:rsidRPr="003A4F79">
        <w:t>may</w:t>
      </w:r>
      <w:r w:rsidR="00F17AEA" w:rsidRPr="003A4F79">
        <w:t xml:space="preserve"> dominate earlier experiences in influencing </w:t>
      </w:r>
      <w:r w:rsidR="00AD0336" w:rsidRPr="003A4F79">
        <w:t>decision</w:t>
      </w:r>
      <w:r w:rsidR="00DA4EC0" w:rsidRPr="003A4F79">
        <w:t>s</w:t>
      </w:r>
      <w:r w:rsidR="00AD0336" w:rsidRPr="003A4F79">
        <w:t xml:space="preserve"> to </w:t>
      </w:r>
      <w:r w:rsidR="00F17AEA" w:rsidRPr="003A4F79">
        <w:t xml:space="preserve">repurchase </w:t>
      </w:r>
      <w:r w:rsidR="00EB100E" w:rsidRPr="003A4F79">
        <w:t>stock</w:t>
      </w:r>
      <w:r w:rsidR="00F17AEA" w:rsidRPr="003A4F79">
        <w:t>.</w:t>
      </w:r>
      <w:r w:rsidR="00063087" w:rsidRPr="003A4F79">
        <w:t xml:space="preserve"> In the context of our analysis, the return in the last month of investing</w:t>
      </w:r>
      <w:r w:rsidR="007B169C" w:rsidRPr="003A4F79">
        <w:t xml:space="preserve"> (i.e., the exit month) </w:t>
      </w:r>
      <w:r w:rsidR="00063087" w:rsidRPr="003A4F79">
        <w:t>serve</w:t>
      </w:r>
      <w:r w:rsidR="00DA4EC0" w:rsidRPr="003A4F79">
        <w:t>s</w:t>
      </w:r>
      <w:r w:rsidR="00063087" w:rsidRPr="003A4F79">
        <w:t xml:space="preserve"> as the last</w:t>
      </w:r>
      <w:r w:rsidR="00DA4EC0" w:rsidRPr="003A4F79">
        <w:t xml:space="preserve">, and </w:t>
      </w:r>
      <w:r w:rsidR="00063087" w:rsidRPr="003A4F79">
        <w:t>also most recent</w:t>
      </w:r>
      <w:r w:rsidR="00DA4EC0" w:rsidRPr="003A4F79">
        <w:t>,</w:t>
      </w:r>
      <w:r w:rsidR="00063087" w:rsidRPr="003A4F79">
        <w:t xml:space="preserve"> experience before investors</w:t>
      </w:r>
      <w:r w:rsidR="00DA4EC0" w:rsidRPr="003A4F79">
        <w:t>’</w:t>
      </w:r>
      <w:r w:rsidR="00063087" w:rsidRPr="003A4F79">
        <w:t xml:space="preserve"> decision</w:t>
      </w:r>
      <w:r w:rsidR="00DA4EC0" w:rsidRPr="003A4F79">
        <w:t>s</w:t>
      </w:r>
      <w:r w:rsidR="00063087" w:rsidRPr="003A4F79">
        <w:t xml:space="preserve"> to return to the market</w:t>
      </w:r>
      <w:r w:rsidR="00633497" w:rsidRPr="003A4F79">
        <w:t xml:space="preserve"> </w:t>
      </w:r>
      <w:r w:rsidR="00DA4EC0" w:rsidRPr="003A4F79">
        <w:t xml:space="preserve">following withdrawal </w:t>
      </w:r>
      <w:r w:rsidR="00633497" w:rsidRPr="003A4F79">
        <w:t>and absen</w:t>
      </w:r>
      <w:r w:rsidR="00DA4EC0" w:rsidRPr="003A4F79">
        <w:t>ce</w:t>
      </w:r>
      <w:r w:rsidR="00906DF5" w:rsidRPr="003A4F79">
        <w:t xml:space="preserve">. </w:t>
      </w:r>
      <w:r w:rsidR="00595BDB" w:rsidRPr="003A4F79">
        <w:t xml:space="preserve">Therefore, </w:t>
      </w:r>
      <w:r w:rsidR="00DA4EC0" w:rsidRPr="003A4F79">
        <w:t>if t</w:t>
      </w:r>
      <w:r w:rsidR="00595BDB" w:rsidRPr="003A4F79">
        <w:t xml:space="preserve">he primacy effect </w:t>
      </w:r>
      <w:r w:rsidR="00BC4960" w:rsidRPr="003A4F79">
        <w:t xml:space="preserve">is </w:t>
      </w:r>
      <w:r w:rsidR="00595BDB" w:rsidRPr="003A4F79">
        <w:t>dominated by the recency effect, we should observe that the effect of initial returns is subsumed by the inclusion of recent return</w:t>
      </w:r>
      <w:r w:rsidR="00AF6FCD" w:rsidRPr="003A4F79">
        <w:t>s</w:t>
      </w:r>
      <w:r w:rsidR="00595BDB" w:rsidRPr="003A4F79">
        <w:t xml:space="preserve"> as a control variable</w:t>
      </w:r>
      <w:r w:rsidR="00063087" w:rsidRPr="003A4F79">
        <w:t>.</w:t>
      </w:r>
    </w:p>
    <w:p w14:paraId="6823EC58" w14:textId="4B92A562" w:rsidR="00595BDB" w:rsidRPr="003A4F79" w:rsidRDefault="00595BDB" w:rsidP="00290F9F">
      <w:pPr>
        <w:pStyle w:val="InsertInstruct"/>
      </w:pPr>
      <w:r w:rsidRPr="003A4F79">
        <w:t>[Insert Table 4 here]</w:t>
      </w:r>
    </w:p>
    <w:p w14:paraId="60E6FBC4" w14:textId="18D029CC" w:rsidR="00595BDB" w:rsidRPr="003A4F79" w:rsidRDefault="00024AD6">
      <w:pPr>
        <w:rPr>
          <w:noProof/>
          <w:lang w:eastAsia="en-GB"/>
        </w:rPr>
      </w:pPr>
      <w:r w:rsidRPr="003A4F79">
        <w:rPr>
          <w:noProof/>
          <w:lang w:eastAsia="en-GB"/>
        </w:rPr>
        <w:t xml:space="preserve">Table 4 presents the results of </w:t>
      </w:r>
      <w:r w:rsidR="00BA2883" w:rsidRPr="003A4F79">
        <w:rPr>
          <w:noProof/>
          <w:lang w:eastAsia="en-GB"/>
        </w:rPr>
        <w:t xml:space="preserve">our </w:t>
      </w:r>
      <w:r w:rsidR="00835E2D" w:rsidRPr="003A4F79">
        <w:rPr>
          <w:noProof/>
          <w:lang w:eastAsia="en-GB"/>
        </w:rPr>
        <w:t>regressions</w:t>
      </w:r>
      <w:r w:rsidR="00DA4EC0" w:rsidRPr="003A4F79">
        <w:rPr>
          <w:noProof/>
          <w:lang w:eastAsia="en-GB"/>
        </w:rPr>
        <w:t xml:space="preserve"> while controlling for</w:t>
      </w:r>
      <w:r w:rsidR="00835E2D" w:rsidRPr="003A4F79">
        <w:rPr>
          <w:noProof/>
          <w:lang w:eastAsia="en-GB"/>
        </w:rPr>
        <w:t xml:space="preserve"> </w:t>
      </w:r>
      <w:r w:rsidR="00835E2D" w:rsidRPr="003A4F79">
        <w:rPr>
          <w:i/>
          <w:noProof/>
          <w:lang w:eastAsia="en-GB"/>
        </w:rPr>
        <w:t>RecRet</w:t>
      </w:r>
      <w:r w:rsidR="008152E7" w:rsidRPr="003A4F79">
        <w:rPr>
          <w:noProof/>
          <w:lang w:eastAsia="en-GB"/>
        </w:rPr>
        <w:t xml:space="preserve"> (</w:t>
      </w:r>
      <w:r w:rsidR="00DA4EC0" w:rsidRPr="003A4F79">
        <w:rPr>
          <w:noProof/>
          <w:lang w:eastAsia="en-GB"/>
        </w:rPr>
        <w:t>and</w:t>
      </w:r>
      <w:r w:rsidR="008152E7" w:rsidRPr="003A4F79">
        <w:rPr>
          <w:noProof/>
          <w:lang w:eastAsia="en-GB"/>
        </w:rPr>
        <w:t xml:space="preserve"> </w:t>
      </w:r>
      <w:r w:rsidR="008152E7" w:rsidRPr="003A4F79">
        <w:rPr>
          <w:i/>
          <w:noProof/>
          <w:lang w:eastAsia="en-GB"/>
        </w:rPr>
        <w:t>AllRet</w:t>
      </w:r>
      <w:r w:rsidR="008152E7" w:rsidRPr="003A4F79">
        <w:rPr>
          <w:noProof/>
          <w:lang w:eastAsia="en-GB"/>
        </w:rPr>
        <w:t>)</w:t>
      </w:r>
      <w:r w:rsidR="00BA2883" w:rsidRPr="003A4F79">
        <w:rPr>
          <w:noProof/>
          <w:lang w:eastAsia="en-GB"/>
        </w:rPr>
        <w:t xml:space="preserve">, which </w:t>
      </w:r>
      <w:r w:rsidR="00DA4EC0" w:rsidRPr="003A4F79">
        <w:rPr>
          <w:noProof/>
          <w:lang w:eastAsia="en-GB"/>
        </w:rPr>
        <w:t xml:space="preserve">are </w:t>
      </w:r>
      <w:r w:rsidRPr="003A4F79">
        <w:rPr>
          <w:noProof/>
          <w:lang w:eastAsia="en-GB"/>
        </w:rPr>
        <w:t xml:space="preserve">otherwise identical </w:t>
      </w:r>
      <w:r w:rsidR="00BA2883" w:rsidRPr="003A4F79">
        <w:rPr>
          <w:noProof/>
          <w:lang w:eastAsia="en-GB"/>
        </w:rPr>
        <w:t xml:space="preserve">to the regressions considered </w:t>
      </w:r>
      <w:r w:rsidR="00DA4EC0" w:rsidRPr="003A4F79">
        <w:rPr>
          <w:noProof/>
          <w:lang w:eastAsia="en-GB"/>
        </w:rPr>
        <w:t xml:space="preserve">in </w:t>
      </w:r>
      <w:r w:rsidR="00BA2883" w:rsidRPr="003A4F79">
        <w:rPr>
          <w:noProof/>
          <w:lang w:eastAsia="en-GB"/>
        </w:rPr>
        <w:t xml:space="preserve">Table 3. </w:t>
      </w:r>
      <w:r w:rsidR="00DA4EC0" w:rsidRPr="003A4F79">
        <w:rPr>
          <w:noProof/>
          <w:lang w:eastAsia="en-GB"/>
        </w:rPr>
        <w:t>O</w:t>
      </w:r>
      <w:r w:rsidR="00997355" w:rsidRPr="003A4F79">
        <w:rPr>
          <w:noProof/>
          <w:lang w:eastAsia="en-GB"/>
        </w:rPr>
        <w:t>ur earlier results with initial returns are robust</w:t>
      </w:r>
      <w:r w:rsidR="00DD6FBE" w:rsidRPr="003A4F79">
        <w:rPr>
          <w:noProof/>
          <w:lang w:eastAsia="en-GB"/>
        </w:rPr>
        <w:t xml:space="preserve"> to the </w:t>
      </w:r>
      <w:r w:rsidR="00DA4EC0" w:rsidRPr="003A4F79">
        <w:rPr>
          <w:noProof/>
          <w:lang w:eastAsia="en-GB"/>
        </w:rPr>
        <w:t xml:space="preserve">inclusion </w:t>
      </w:r>
      <w:r w:rsidR="00DD6FBE" w:rsidRPr="003A4F79">
        <w:rPr>
          <w:noProof/>
          <w:lang w:eastAsia="en-GB"/>
        </w:rPr>
        <w:t xml:space="preserve">of </w:t>
      </w:r>
      <w:r w:rsidR="00DD6FBE" w:rsidRPr="003A4F79">
        <w:rPr>
          <w:i/>
          <w:noProof/>
          <w:lang w:eastAsia="en-GB"/>
        </w:rPr>
        <w:t>RecRet</w:t>
      </w:r>
      <w:r w:rsidR="00DA4EC0" w:rsidRPr="003A4F79">
        <w:rPr>
          <w:noProof/>
          <w:lang w:eastAsia="en-GB"/>
        </w:rPr>
        <w:t>,</w:t>
      </w:r>
      <w:r w:rsidR="00DD6FBE" w:rsidRPr="003A4F79">
        <w:rPr>
          <w:noProof/>
          <w:lang w:eastAsia="en-GB"/>
        </w:rPr>
        <w:t xml:space="preserve"> </w:t>
      </w:r>
      <w:r w:rsidR="00DA4EC0" w:rsidRPr="003A4F79">
        <w:rPr>
          <w:noProof/>
          <w:lang w:eastAsia="en-GB"/>
        </w:rPr>
        <w:t>except that</w:t>
      </w:r>
      <w:r w:rsidR="00997355" w:rsidRPr="003A4F79">
        <w:rPr>
          <w:noProof/>
          <w:lang w:eastAsia="en-GB"/>
        </w:rPr>
        <w:t xml:space="preserve"> the magnitude of </w:t>
      </w:r>
      <w:r w:rsidR="002C30CB" w:rsidRPr="003A4F79">
        <w:rPr>
          <w:noProof/>
          <w:lang w:eastAsia="en-GB"/>
        </w:rPr>
        <w:t xml:space="preserve">their </w:t>
      </w:r>
      <w:r w:rsidR="00997355" w:rsidRPr="003A4F79">
        <w:rPr>
          <w:noProof/>
          <w:lang w:eastAsia="en-GB"/>
        </w:rPr>
        <w:t xml:space="preserve">coefficients </w:t>
      </w:r>
      <w:r w:rsidR="00DA4EC0" w:rsidRPr="003A4F79">
        <w:rPr>
          <w:noProof/>
          <w:lang w:eastAsia="en-GB"/>
        </w:rPr>
        <w:t xml:space="preserve">decreases </w:t>
      </w:r>
      <w:r w:rsidR="00E63197" w:rsidRPr="003A4F79">
        <w:rPr>
          <w:noProof/>
          <w:lang w:eastAsia="en-GB"/>
        </w:rPr>
        <w:t>slightly.</w:t>
      </w:r>
      <w:r w:rsidR="00344D00" w:rsidRPr="003A4F79">
        <w:rPr>
          <w:noProof/>
          <w:lang w:eastAsia="en-GB"/>
        </w:rPr>
        <w:t xml:space="preserve"> In contrast, </w:t>
      </w:r>
      <w:r w:rsidRPr="003A4F79">
        <w:rPr>
          <w:noProof/>
          <w:lang w:eastAsia="en-GB"/>
        </w:rPr>
        <w:t>t</w:t>
      </w:r>
      <w:r w:rsidR="00684362" w:rsidRPr="003A4F79">
        <w:rPr>
          <w:noProof/>
          <w:lang w:eastAsia="en-GB"/>
        </w:rPr>
        <w:t xml:space="preserve">he coefficients </w:t>
      </w:r>
      <w:r w:rsidR="00DA4EC0" w:rsidRPr="003A4F79">
        <w:rPr>
          <w:noProof/>
          <w:lang w:eastAsia="en-GB"/>
        </w:rPr>
        <w:t xml:space="preserve">for </w:t>
      </w:r>
      <w:r w:rsidR="00684362" w:rsidRPr="003A4F79">
        <w:rPr>
          <w:noProof/>
          <w:lang w:eastAsia="en-GB"/>
        </w:rPr>
        <w:t xml:space="preserve">recent returns are at best weakly </w:t>
      </w:r>
      <w:r w:rsidR="00684362" w:rsidRPr="003A4F79">
        <w:rPr>
          <w:noProof/>
          <w:lang w:eastAsia="en-GB"/>
        </w:rPr>
        <w:lastRenderedPageBreak/>
        <w:t>significant (</w:t>
      </w:r>
      <w:r w:rsidR="00B6311E" w:rsidRPr="003A4F79">
        <w:rPr>
          <w:noProof/>
          <w:lang w:eastAsia="en-GB"/>
        </w:rPr>
        <w:t>Model</w:t>
      </w:r>
      <w:r w:rsidR="00CD006F" w:rsidRPr="003A4F79">
        <w:rPr>
          <w:noProof/>
          <w:lang w:eastAsia="en-GB"/>
        </w:rPr>
        <w:t>s</w:t>
      </w:r>
      <w:r w:rsidR="00B6311E" w:rsidRPr="003A4F79">
        <w:rPr>
          <w:noProof/>
          <w:lang w:eastAsia="en-GB"/>
        </w:rPr>
        <w:t xml:space="preserve"> 1 and 2) and their sign is negative</w:t>
      </w:r>
      <w:r w:rsidR="00DA4EC0" w:rsidRPr="003A4F79">
        <w:rPr>
          <w:noProof/>
          <w:lang w:eastAsia="en-GB"/>
        </w:rPr>
        <w:t>,</w:t>
      </w:r>
      <w:r w:rsidR="00B6311E" w:rsidRPr="003A4F79">
        <w:rPr>
          <w:noProof/>
          <w:lang w:eastAsia="en-GB"/>
        </w:rPr>
        <w:t xml:space="preserve"> </w:t>
      </w:r>
      <w:r w:rsidR="00320F11" w:rsidRPr="003A4F79">
        <w:rPr>
          <w:noProof/>
          <w:lang w:eastAsia="en-GB"/>
        </w:rPr>
        <w:t xml:space="preserve">regardless of model specification, </w:t>
      </w:r>
      <w:r w:rsidR="00DA4EC0" w:rsidRPr="003A4F79">
        <w:rPr>
          <w:noProof/>
          <w:lang w:eastAsia="en-GB"/>
        </w:rPr>
        <w:t>in contrast to the positive</w:t>
      </w:r>
      <w:r w:rsidR="00B6311E" w:rsidRPr="003A4F79">
        <w:rPr>
          <w:noProof/>
          <w:lang w:eastAsia="en-GB"/>
        </w:rPr>
        <w:t xml:space="preserve"> sign for initial returns. </w:t>
      </w:r>
      <w:r w:rsidR="003F43E2" w:rsidRPr="003A4F79">
        <w:rPr>
          <w:noProof/>
          <w:lang w:eastAsia="en-GB"/>
        </w:rPr>
        <w:t>Th</w:t>
      </w:r>
      <w:r w:rsidR="00FC4670" w:rsidRPr="003A4F79">
        <w:rPr>
          <w:noProof/>
          <w:lang w:eastAsia="en-GB"/>
        </w:rPr>
        <w:t xml:space="preserve">e negative </w:t>
      </w:r>
      <w:r w:rsidR="002705DD" w:rsidRPr="003A4F79">
        <w:rPr>
          <w:noProof/>
          <w:lang w:eastAsia="en-GB"/>
        </w:rPr>
        <w:t xml:space="preserve">influence of </w:t>
      </w:r>
      <w:r w:rsidR="00C04CCC" w:rsidRPr="003A4F79">
        <w:rPr>
          <w:noProof/>
          <w:lang w:eastAsia="en-GB"/>
        </w:rPr>
        <w:t xml:space="preserve">recent returns </w:t>
      </w:r>
      <w:r w:rsidR="002705DD" w:rsidRPr="003A4F79">
        <w:rPr>
          <w:noProof/>
          <w:lang w:eastAsia="en-GB"/>
        </w:rPr>
        <w:t xml:space="preserve">on stock market re-entry </w:t>
      </w:r>
      <w:r w:rsidR="00FC4670" w:rsidRPr="003A4F79">
        <w:rPr>
          <w:noProof/>
          <w:lang w:eastAsia="en-GB"/>
        </w:rPr>
        <w:t>does not seem intuitive</w:t>
      </w:r>
      <w:r w:rsidR="00CF1DA6" w:rsidRPr="003A4F79">
        <w:rPr>
          <w:noProof/>
          <w:lang w:eastAsia="en-GB"/>
        </w:rPr>
        <w:t xml:space="preserve">, which </w:t>
      </w:r>
      <w:r w:rsidR="003F43E2" w:rsidRPr="003A4F79">
        <w:rPr>
          <w:noProof/>
          <w:lang w:eastAsia="en-GB"/>
        </w:rPr>
        <w:t xml:space="preserve">may be </w:t>
      </w:r>
      <w:r w:rsidR="00DA4EC0" w:rsidRPr="003A4F79">
        <w:rPr>
          <w:noProof/>
          <w:lang w:eastAsia="en-GB"/>
        </w:rPr>
        <w:t>because</w:t>
      </w:r>
      <w:r w:rsidR="007C2A99" w:rsidRPr="003A4F79">
        <w:rPr>
          <w:noProof/>
          <w:lang w:eastAsia="en-GB"/>
        </w:rPr>
        <w:t xml:space="preserve"> our recent return variable</w:t>
      </w:r>
      <w:r w:rsidR="00B97719" w:rsidRPr="003A4F79">
        <w:rPr>
          <w:noProof/>
          <w:lang w:eastAsia="en-GB"/>
        </w:rPr>
        <w:t xml:space="preserve"> is endogenous</w:t>
      </w:r>
      <w:r w:rsidR="007A32B1" w:rsidRPr="003A4F79">
        <w:rPr>
          <w:noProof/>
          <w:lang w:eastAsia="en-GB"/>
        </w:rPr>
        <w:t>. B</w:t>
      </w:r>
      <w:r w:rsidR="00B97719" w:rsidRPr="003A4F79">
        <w:rPr>
          <w:noProof/>
          <w:lang w:eastAsia="en-GB"/>
        </w:rPr>
        <w:t>y construction</w:t>
      </w:r>
      <w:r w:rsidR="00531C5D" w:rsidRPr="003A4F79">
        <w:rPr>
          <w:noProof/>
          <w:lang w:eastAsia="en-GB"/>
        </w:rPr>
        <w:t>, it is a</w:t>
      </w:r>
      <w:r w:rsidR="00B97719" w:rsidRPr="003A4F79">
        <w:rPr>
          <w:noProof/>
          <w:lang w:eastAsia="en-GB"/>
        </w:rPr>
        <w:t xml:space="preserve"> </w:t>
      </w:r>
      <w:r w:rsidR="00DA4EC0" w:rsidRPr="003A4F79">
        <w:rPr>
          <w:noProof/>
          <w:lang w:eastAsia="en-GB"/>
        </w:rPr>
        <w:t xml:space="preserve">measure </w:t>
      </w:r>
      <w:r w:rsidR="00B97719" w:rsidRPr="003A4F79">
        <w:rPr>
          <w:noProof/>
          <w:lang w:eastAsia="en-GB"/>
        </w:rPr>
        <w:t xml:space="preserve">of </w:t>
      </w:r>
      <w:r w:rsidR="00B97719" w:rsidRPr="003A4F79">
        <w:rPr>
          <w:i/>
          <w:noProof/>
          <w:lang w:eastAsia="en-GB"/>
        </w:rPr>
        <w:t>reali</w:t>
      </w:r>
      <w:r w:rsidR="00C95B94" w:rsidRPr="003A4F79">
        <w:rPr>
          <w:i/>
          <w:noProof/>
          <w:lang w:eastAsia="en-GB"/>
        </w:rPr>
        <w:t>s</w:t>
      </w:r>
      <w:r w:rsidR="00B97719" w:rsidRPr="003A4F79">
        <w:rPr>
          <w:i/>
          <w:noProof/>
          <w:lang w:eastAsia="en-GB"/>
        </w:rPr>
        <w:t>ed</w:t>
      </w:r>
      <w:r w:rsidR="00B97719" w:rsidRPr="003A4F79">
        <w:rPr>
          <w:noProof/>
          <w:lang w:eastAsia="en-GB"/>
        </w:rPr>
        <w:t xml:space="preserve"> return </w:t>
      </w:r>
      <w:r w:rsidR="00DB0DC8" w:rsidRPr="003A4F79">
        <w:rPr>
          <w:noProof/>
          <w:lang w:eastAsia="en-GB"/>
        </w:rPr>
        <w:t>(</w:t>
      </w:r>
      <w:r w:rsidR="00531C5D" w:rsidRPr="003A4F79">
        <w:rPr>
          <w:noProof/>
          <w:lang w:eastAsia="en-GB"/>
        </w:rPr>
        <w:t>whereas</w:t>
      </w:r>
      <w:r w:rsidR="00DB0DC8" w:rsidRPr="003A4F79">
        <w:rPr>
          <w:noProof/>
          <w:lang w:eastAsia="en-GB"/>
        </w:rPr>
        <w:t xml:space="preserve"> initial returns </w:t>
      </w:r>
      <w:r w:rsidR="00531C5D" w:rsidRPr="003A4F79">
        <w:rPr>
          <w:noProof/>
          <w:lang w:eastAsia="en-GB"/>
        </w:rPr>
        <w:t xml:space="preserve">are usually </w:t>
      </w:r>
      <w:r w:rsidR="00DB0DC8" w:rsidRPr="003A4F79">
        <w:rPr>
          <w:i/>
          <w:noProof/>
          <w:lang w:eastAsia="en-GB"/>
        </w:rPr>
        <w:t>unreali</w:t>
      </w:r>
      <w:r w:rsidR="00C95B94" w:rsidRPr="003A4F79">
        <w:rPr>
          <w:i/>
          <w:noProof/>
          <w:lang w:eastAsia="en-GB"/>
        </w:rPr>
        <w:t>s</w:t>
      </w:r>
      <w:r w:rsidR="00DB0DC8" w:rsidRPr="003A4F79">
        <w:rPr>
          <w:i/>
          <w:noProof/>
          <w:lang w:eastAsia="en-GB"/>
        </w:rPr>
        <w:t>ed</w:t>
      </w:r>
      <w:r w:rsidR="00DB0DC8" w:rsidRPr="003A4F79">
        <w:rPr>
          <w:noProof/>
          <w:lang w:eastAsia="en-GB"/>
        </w:rPr>
        <w:t>)</w:t>
      </w:r>
      <w:r w:rsidR="00531C5D" w:rsidRPr="003A4F79">
        <w:rPr>
          <w:noProof/>
          <w:lang w:eastAsia="en-GB"/>
        </w:rPr>
        <w:t>;</w:t>
      </w:r>
      <w:r w:rsidR="00B97719" w:rsidRPr="003A4F79">
        <w:rPr>
          <w:noProof/>
          <w:lang w:eastAsia="en-GB"/>
        </w:rPr>
        <w:t xml:space="preserve"> </w:t>
      </w:r>
      <w:r w:rsidR="00DB0DC8" w:rsidRPr="003A4F79">
        <w:rPr>
          <w:noProof/>
          <w:lang w:eastAsia="en-GB"/>
        </w:rPr>
        <w:t xml:space="preserve">hence, it is </w:t>
      </w:r>
      <w:r w:rsidR="00B97719" w:rsidRPr="003A4F79">
        <w:rPr>
          <w:noProof/>
          <w:lang w:eastAsia="en-GB"/>
        </w:rPr>
        <w:t>a function of when the investor chooses to sell and exit the market.</w:t>
      </w:r>
      <w:r w:rsidR="001825E4" w:rsidRPr="003A4F79">
        <w:rPr>
          <w:noProof/>
          <w:lang w:eastAsia="en-GB"/>
        </w:rPr>
        <w:t xml:space="preserve"> </w:t>
      </w:r>
      <w:r w:rsidR="00531C5D" w:rsidRPr="003A4F79">
        <w:rPr>
          <w:noProof/>
          <w:lang w:eastAsia="en-GB"/>
        </w:rPr>
        <w:t xml:space="preserve">In </w:t>
      </w:r>
      <w:r w:rsidR="001825E4" w:rsidRPr="003A4F79">
        <w:rPr>
          <w:noProof/>
          <w:lang w:eastAsia="en-GB"/>
        </w:rPr>
        <w:t>a similar vein</w:t>
      </w:r>
      <w:r w:rsidR="00531C5D" w:rsidRPr="003A4F79">
        <w:rPr>
          <w:noProof/>
          <w:lang w:eastAsia="en-GB"/>
        </w:rPr>
        <w:t>, this explains why,</w:t>
      </w:r>
      <w:r w:rsidR="00D34E92" w:rsidRPr="003A4F79">
        <w:rPr>
          <w:noProof/>
          <w:lang w:eastAsia="en-GB"/>
        </w:rPr>
        <w:t xml:space="preserve"> after</w:t>
      </w:r>
      <w:r w:rsidR="001825E4" w:rsidRPr="003A4F79">
        <w:rPr>
          <w:noProof/>
          <w:lang w:eastAsia="en-GB"/>
        </w:rPr>
        <w:t xml:space="preserve"> </w:t>
      </w:r>
      <w:r w:rsidR="00AA7ACC" w:rsidRPr="003A4F79">
        <w:rPr>
          <w:noProof/>
          <w:lang w:eastAsia="en-GB"/>
        </w:rPr>
        <w:t>accounting for real</w:t>
      </w:r>
      <w:r w:rsidR="004E4A00" w:rsidRPr="003A4F79">
        <w:rPr>
          <w:noProof/>
          <w:lang w:eastAsia="en-GB"/>
        </w:rPr>
        <w:t>i</w:t>
      </w:r>
      <w:r w:rsidR="00C95B94" w:rsidRPr="003A4F79">
        <w:rPr>
          <w:noProof/>
          <w:lang w:eastAsia="en-GB"/>
        </w:rPr>
        <w:t>s</w:t>
      </w:r>
      <w:r w:rsidR="00AA7ACC" w:rsidRPr="003A4F79">
        <w:rPr>
          <w:noProof/>
          <w:lang w:eastAsia="en-GB"/>
        </w:rPr>
        <w:t>ed recent returns</w:t>
      </w:r>
      <w:r w:rsidR="00D34E92" w:rsidRPr="003A4F79">
        <w:rPr>
          <w:noProof/>
          <w:lang w:eastAsia="en-GB"/>
        </w:rPr>
        <w:t xml:space="preserve">, </w:t>
      </w:r>
      <w:r w:rsidR="00843A80" w:rsidRPr="003A4F79">
        <w:rPr>
          <w:noProof/>
          <w:lang w:eastAsia="en-GB"/>
        </w:rPr>
        <w:t>t</w:t>
      </w:r>
      <w:r w:rsidR="001825E4" w:rsidRPr="003A4F79">
        <w:rPr>
          <w:noProof/>
          <w:lang w:eastAsia="en-GB"/>
        </w:rPr>
        <w:t xml:space="preserve">he </w:t>
      </w:r>
      <w:r w:rsidR="00843A80" w:rsidRPr="003A4F79">
        <w:rPr>
          <w:noProof/>
          <w:lang w:eastAsia="en-GB"/>
        </w:rPr>
        <w:t xml:space="preserve">coefficients </w:t>
      </w:r>
      <w:r w:rsidR="00E80423" w:rsidRPr="003A4F79">
        <w:rPr>
          <w:noProof/>
          <w:lang w:eastAsia="en-GB"/>
        </w:rPr>
        <w:t xml:space="preserve">for </w:t>
      </w:r>
      <w:r w:rsidR="001825E4" w:rsidRPr="003A4F79">
        <w:rPr>
          <w:i/>
          <w:noProof/>
          <w:lang w:eastAsia="en-GB"/>
        </w:rPr>
        <w:t>AllRet</w:t>
      </w:r>
      <w:r w:rsidR="001825E4" w:rsidRPr="003A4F79">
        <w:rPr>
          <w:noProof/>
          <w:lang w:eastAsia="en-GB"/>
        </w:rPr>
        <w:t xml:space="preserve"> become </w:t>
      </w:r>
      <w:r w:rsidR="00FC1F7D" w:rsidRPr="003A4F79">
        <w:rPr>
          <w:noProof/>
          <w:lang w:eastAsia="en-GB"/>
        </w:rPr>
        <w:t xml:space="preserve">more </w:t>
      </w:r>
      <w:r w:rsidR="001825E4" w:rsidRPr="003A4F79">
        <w:rPr>
          <w:noProof/>
          <w:lang w:eastAsia="en-GB"/>
        </w:rPr>
        <w:t>significant.</w:t>
      </w:r>
    </w:p>
    <w:p w14:paraId="12C04432" w14:textId="5309215E" w:rsidR="00D37623" w:rsidRPr="003A4F79" w:rsidRDefault="00D37623">
      <w:pPr>
        <w:rPr>
          <w:noProof/>
          <w:lang w:eastAsia="en-GB"/>
        </w:rPr>
      </w:pPr>
      <w:r w:rsidRPr="003A4F79">
        <w:rPr>
          <w:noProof/>
          <w:lang w:eastAsia="en-GB"/>
        </w:rPr>
        <w:t xml:space="preserve">Lastly, </w:t>
      </w:r>
      <w:r w:rsidR="007D1DF3" w:rsidRPr="003A4F79">
        <w:rPr>
          <w:noProof/>
          <w:lang w:eastAsia="en-GB"/>
        </w:rPr>
        <w:t xml:space="preserve">we want to see whether the </w:t>
      </w:r>
      <w:r w:rsidR="008C7914" w:rsidRPr="003A4F79">
        <w:rPr>
          <w:noProof/>
          <w:lang w:eastAsia="en-GB"/>
        </w:rPr>
        <w:t>importance</w:t>
      </w:r>
      <w:r w:rsidR="007D1DF3" w:rsidRPr="003A4F79">
        <w:rPr>
          <w:noProof/>
          <w:lang w:eastAsia="en-GB"/>
        </w:rPr>
        <w:t xml:space="preserve"> of initial returns</w:t>
      </w:r>
      <w:r w:rsidR="008C7914" w:rsidRPr="003A4F79">
        <w:rPr>
          <w:noProof/>
          <w:lang w:eastAsia="en-GB"/>
        </w:rPr>
        <w:t xml:space="preserve"> in re-entry decisions</w:t>
      </w:r>
      <w:r w:rsidR="007D1DF3" w:rsidRPr="003A4F79">
        <w:rPr>
          <w:noProof/>
          <w:lang w:eastAsia="en-GB"/>
        </w:rPr>
        <w:t xml:space="preserve"> are</w:t>
      </w:r>
      <w:r w:rsidR="007D11F3" w:rsidRPr="003A4F79">
        <w:rPr>
          <w:noProof/>
          <w:lang w:eastAsia="en-GB"/>
        </w:rPr>
        <w:t xml:space="preserve"> affected by </w:t>
      </w:r>
      <w:r w:rsidR="00FE793B" w:rsidRPr="003A4F79">
        <w:rPr>
          <w:i/>
          <w:noProof/>
          <w:lang w:eastAsia="en-GB"/>
        </w:rPr>
        <w:t>reali</w:t>
      </w:r>
      <w:r w:rsidR="00C95B94" w:rsidRPr="003A4F79">
        <w:rPr>
          <w:i/>
          <w:noProof/>
          <w:lang w:eastAsia="en-GB"/>
        </w:rPr>
        <w:t>s</w:t>
      </w:r>
      <w:r w:rsidR="00FE793B" w:rsidRPr="003A4F79">
        <w:rPr>
          <w:i/>
          <w:noProof/>
          <w:lang w:eastAsia="en-GB"/>
        </w:rPr>
        <w:t>ed</w:t>
      </w:r>
      <w:r w:rsidR="00FE793B" w:rsidRPr="003A4F79">
        <w:rPr>
          <w:noProof/>
          <w:lang w:eastAsia="en-GB"/>
        </w:rPr>
        <w:t xml:space="preserve"> </w:t>
      </w:r>
      <w:r w:rsidR="007D1DF3" w:rsidRPr="003A4F79">
        <w:rPr>
          <w:noProof/>
          <w:lang w:eastAsia="en-GB"/>
        </w:rPr>
        <w:t xml:space="preserve">returns </w:t>
      </w:r>
      <w:r w:rsidR="00FE793B" w:rsidRPr="003A4F79">
        <w:rPr>
          <w:noProof/>
          <w:lang w:eastAsia="en-GB"/>
        </w:rPr>
        <w:t xml:space="preserve">over the </w:t>
      </w:r>
      <w:r w:rsidR="007D1DF3" w:rsidRPr="003A4F79">
        <w:rPr>
          <w:noProof/>
          <w:lang w:eastAsia="en-GB"/>
        </w:rPr>
        <w:t>entire</w:t>
      </w:r>
      <w:r w:rsidR="00FE793B" w:rsidRPr="003A4F79">
        <w:rPr>
          <w:noProof/>
          <w:lang w:eastAsia="en-GB"/>
        </w:rPr>
        <w:t xml:space="preserve"> period of invest</w:t>
      </w:r>
      <w:r w:rsidR="007D1DF3" w:rsidRPr="003A4F79">
        <w:rPr>
          <w:noProof/>
          <w:lang w:eastAsia="en-GB"/>
        </w:rPr>
        <w:t xml:space="preserve">ing </w:t>
      </w:r>
      <w:r w:rsidR="00FE793B" w:rsidRPr="003A4F79">
        <w:rPr>
          <w:noProof/>
          <w:lang w:eastAsia="en-GB"/>
        </w:rPr>
        <w:t>(i.e., from entering through to exiting the market)</w:t>
      </w:r>
      <w:r w:rsidR="00C728D4" w:rsidRPr="003A4F79">
        <w:rPr>
          <w:noProof/>
          <w:lang w:eastAsia="en-GB"/>
        </w:rPr>
        <w:t xml:space="preserve">. </w:t>
      </w:r>
      <w:r w:rsidR="008C7914" w:rsidRPr="003A4F79">
        <w:rPr>
          <w:noProof/>
          <w:lang w:eastAsia="en-GB"/>
        </w:rPr>
        <w:t xml:space="preserve">It is conceivable that </w:t>
      </w:r>
      <w:r w:rsidR="00C859D8" w:rsidRPr="003A4F79">
        <w:rPr>
          <w:noProof/>
          <w:lang w:eastAsia="en-GB"/>
        </w:rPr>
        <w:t xml:space="preserve">the re-entry probablity for investors is also </w:t>
      </w:r>
      <w:r w:rsidR="00B3025D" w:rsidRPr="003A4F79">
        <w:rPr>
          <w:noProof/>
          <w:lang w:eastAsia="en-GB"/>
        </w:rPr>
        <w:t>influenced</w:t>
      </w:r>
      <w:r w:rsidR="00C859D8" w:rsidRPr="003A4F79">
        <w:rPr>
          <w:noProof/>
          <w:lang w:eastAsia="en-GB"/>
        </w:rPr>
        <w:t xml:space="preserve"> by their previous experience upon selling (and exi</w:t>
      </w:r>
      <w:r w:rsidR="001A52DA" w:rsidRPr="003A4F79">
        <w:rPr>
          <w:noProof/>
          <w:lang w:eastAsia="en-GB"/>
        </w:rPr>
        <w:t>ting)</w:t>
      </w:r>
      <w:r w:rsidR="007175FE" w:rsidRPr="003A4F79">
        <w:rPr>
          <w:noProof/>
          <w:lang w:eastAsia="en-GB"/>
        </w:rPr>
        <w:t>,</w:t>
      </w:r>
      <w:r w:rsidR="001A52DA" w:rsidRPr="003A4F79">
        <w:rPr>
          <w:noProof/>
          <w:lang w:eastAsia="en-GB"/>
        </w:rPr>
        <w:t xml:space="preserve"> as it may affect </w:t>
      </w:r>
      <w:r w:rsidR="008B2C7F" w:rsidRPr="003A4F79">
        <w:rPr>
          <w:noProof/>
          <w:lang w:eastAsia="en-GB"/>
        </w:rPr>
        <w:t>i</w:t>
      </w:r>
      <w:r w:rsidR="001A52DA" w:rsidRPr="003A4F79">
        <w:rPr>
          <w:noProof/>
          <w:lang w:eastAsia="en-GB"/>
        </w:rPr>
        <w:t>nvestors</w:t>
      </w:r>
      <w:r w:rsidR="008B2C7F" w:rsidRPr="003A4F79">
        <w:rPr>
          <w:noProof/>
          <w:lang w:eastAsia="en-GB"/>
        </w:rPr>
        <w:t>’</w:t>
      </w:r>
      <w:r w:rsidR="001A52DA" w:rsidRPr="003A4F79">
        <w:rPr>
          <w:noProof/>
          <w:lang w:eastAsia="en-GB"/>
        </w:rPr>
        <w:t xml:space="preserve"> disposition towards equity investing</w:t>
      </w:r>
      <w:r w:rsidR="008B2C7F" w:rsidRPr="003A4F79">
        <w:rPr>
          <w:noProof/>
          <w:lang w:eastAsia="en-GB"/>
        </w:rPr>
        <w:t xml:space="preserve"> and hence, their re-entry</w:t>
      </w:r>
      <w:r w:rsidR="001A52DA" w:rsidRPr="003A4F79">
        <w:rPr>
          <w:noProof/>
          <w:lang w:eastAsia="en-GB"/>
        </w:rPr>
        <w:t>.</w:t>
      </w:r>
      <w:r w:rsidR="00FE793B" w:rsidRPr="003A4F79">
        <w:rPr>
          <w:noProof/>
          <w:lang w:eastAsia="en-GB"/>
        </w:rPr>
        <w:t xml:space="preserve"> To investigate this issue, we </w:t>
      </w:r>
      <w:r w:rsidR="00FE3D8B" w:rsidRPr="003A4F79">
        <w:rPr>
          <w:noProof/>
          <w:lang w:eastAsia="en-GB"/>
        </w:rPr>
        <w:t xml:space="preserve">also </w:t>
      </w:r>
      <w:r w:rsidR="00FE793B" w:rsidRPr="003A4F79">
        <w:rPr>
          <w:noProof/>
          <w:lang w:eastAsia="en-GB"/>
        </w:rPr>
        <w:t>construct and control for the reali</w:t>
      </w:r>
      <w:r w:rsidR="00C95B94" w:rsidRPr="003A4F79">
        <w:rPr>
          <w:noProof/>
          <w:lang w:eastAsia="en-GB"/>
        </w:rPr>
        <w:t>s</w:t>
      </w:r>
      <w:r w:rsidR="00FE793B" w:rsidRPr="003A4F79">
        <w:rPr>
          <w:noProof/>
          <w:lang w:eastAsia="en-GB"/>
        </w:rPr>
        <w:t>ed return on the actual investment period (</w:t>
      </w:r>
      <w:r w:rsidR="00FE793B" w:rsidRPr="003A4F79">
        <w:rPr>
          <w:i/>
          <w:noProof/>
          <w:lang w:eastAsia="en-GB"/>
        </w:rPr>
        <w:t>RealRet</w:t>
      </w:r>
      <w:r w:rsidR="00FE793B" w:rsidRPr="003A4F79">
        <w:rPr>
          <w:noProof/>
          <w:lang w:eastAsia="en-GB"/>
        </w:rPr>
        <w:t>) in the regressions. This setting would enable us to see the effect of initial returns vis-à-vis reali</w:t>
      </w:r>
      <w:r w:rsidR="00C95B94" w:rsidRPr="003A4F79">
        <w:rPr>
          <w:noProof/>
          <w:lang w:eastAsia="en-GB"/>
        </w:rPr>
        <w:t>s</w:t>
      </w:r>
      <w:r w:rsidR="00FE793B" w:rsidRPr="003A4F79">
        <w:rPr>
          <w:noProof/>
          <w:lang w:eastAsia="en-GB"/>
        </w:rPr>
        <w:t xml:space="preserve">ed returns. New results reported in Table </w:t>
      </w:r>
      <w:r w:rsidR="00FC0CB9" w:rsidRPr="003A4F79">
        <w:rPr>
          <w:noProof/>
          <w:lang w:eastAsia="en-GB"/>
        </w:rPr>
        <w:t>5</w:t>
      </w:r>
      <w:r w:rsidR="00FE793B" w:rsidRPr="003A4F79">
        <w:rPr>
          <w:noProof/>
          <w:lang w:eastAsia="en-GB"/>
        </w:rPr>
        <w:t xml:space="preserve"> </w:t>
      </w:r>
      <w:r w:rsidR="00FC0CB9" w:rsidRPr="003A4F79">
        <w:rPr>
          <w:noProof/>
          <w:lang w:eastAsia="en-GB"/>
        </w:rPr>
        <w:t>s</w:t>
      </w:r>
      <w:r w:rsidR="00FE793B" w:rsidRPr="003A4F79">
        <w:rPr>
          <w:noProof/>
          <w:lang w:eastAsia="en-GB"/>
        </w:rPr>
        <w:t xml:space="preserve">how that </w:t>
      </w:r>
      <w:r w:rsidR="00693B4F" w:rsidRPr="003A4F79">
        <w:rPr>
          <w:noProof/>
          <w:lang w:eastAsia="en-GB"/>
        </w:rPr>
        <w:t>reali</w:t>
      </w:r>
      <w:r w:rsidR="00C95B94" w:rsidRPr="003A4F79">
        <w:rPr>
          <w:noProof/>
          <w:lang w:eastAsia="en-GB"/>
        </w:rPr>
        <w:t>s</w:t>
      </w:r>
      <w:r w:rsidR="00693B4F" w:rsidRPr="003A4F79">
        <w:rPr>
          <w:noProof/>
          <w:lang w:eastAsia="en-GB"/>
        </w:rPr>
        <w:t xml:space="preserve">ed returns have a significantly positive effect on the re-entry probability. </w:t>
      </w:r>
      <w:r w:rsidR="00F86A24" w:rsidRPr="003A4F79">
        <w:rPr>
          <w:noProof/>
          <w:lang w:eastAsia="en-GB"/>
        </w:rPr>
        <w:t>However, importantly, the inclusion of the reali</w:t>
      </w:r>
      <w:r w:rsidR="00C95B94" w:rsidRPr="003A4F79">
        <w:rPr>
          <w:noProof/>
          <w:lang w:eastAsia="en-GB"/>
        </w:rPr>
        <w:t>s</w:t>
      </w:r>
      <w:r w:rsidR="00F86A24" w:rsidRPr="003A4F79">
        <w:rPr>
          <w:noProof/>
          <w:lang w:eastAsia="en-GB"/>
        </w:rPr>
        <w:t>ed return variable do</w:t>
      </w:r>
      <w:r w:rsidR="0031409C" w:rsidRPr="003A4F79">
        <w:rPr>
          <w:noProof/>
          <w:lang w:eastAsia="en-GB"/>
        </w:rPr>
        <w:t>es</w:t>
      </w:r>
      <w:r w:rsidR="00F86A24" w:rsidRPr="003A4F79">
        <w:rPr>
          <w:noProof/>
          <w:lang w:eastAsia="en-GB"/>
        </w:rPr>
        <w:t xml:space="preserve"> not subsume the effect of initial return</w:t>
      </w:r>
      <w:r w:rsidR="00021CB3" w:rsidRPr="003A4F79">
        <w:rPr>
          <w:noProof/>
          <w:lang w:eastAsia="en-GB"/>
        </w:rPr>
        <w:t>s</w:t>
      </w:r>
      <w:r w:rsidR="00F86A24" w:rsidRPr="003A4F79">
        <w:rPr>
          <w:noProof/>
          <w:lang w:eastAsia="en-GB"/>
        </w:rPr>
        <w:t>.</w:t>
      </w:r>
    </w:p>
    <w:p w14:paraId="1E459FD5" w14:textId="31A1808C" w:rsidR="00D37623" w:rsidRPr="003A4F79" w:rsidRDefault="00D37623" w:rsidP="00D37623">
      <w:pPr>
        <w:pStyle w:val="InsertInstruct"/>
      </w:pPr>
      <w:r w:rsidRPr="003A4F79">
        <w:t>[Insert Table 5 here]</w:t>
      </w:r>
    </w:p>
    <w:p w14:paraId="5BBDDB51" w14:textId="2051E319" w:rsidR="00FE4893" w:rsidRPr="003A4F79" w:rsidRDefault="00531C5D">
      <w:r w:rsidRPr="003A4F79">
        <w:rPr>
          <w:noProof/>
          <w:lang w:eastAsia="en-GB"/>
        </w:rPr>
        <w:lastRenderedPageBreak/>
        <w:t>In summary</w:t>
      </w:r>
      <w:r w:rsidR="005C4B3F" w:rsidRPr="003A4F79">
        <w:rPr>
          <w:noProof/>
          <w:lang w:eastAsia="en-GB"/>
        </w:rPr>
        <w:t xml:space="preserve">, </w:t>
      </w:r>
      <w:r w:rsidR="00B60FF5" w:rsidRPr="003A4F79">
        <w:rPr>
          <w:noProof/>
          <w:lang w:eastAsia="en-GB"/>
        </w:rPr>
        <w:t>the results present</w:t>
      </w:r>
      <w:r w:rsidRPr="003A4F79">
        <w:rPr>
          <w:noProof/>
          <w:lang w:eastAsia="en-GB"/>
        </w:rPr>
        <w:t>ed</w:t>
      </w:r>
      <w:r w:rsidR="00B60FF5" w:rsidRPr="003A4F79">
        <w:rPr>
          <w:noProof/>
          <w:lang w:eastAsia="en-GB"/>
        </w:rPr>
        <w:t xml:space="preserve"> so far suggest</w:t>
      </w:r>
      <w:r w:rsidR="00FE4893" w:rsidRPr="003A4F79">
        <w:rPr>
          <w:noProof/>
          <w:lang w:eastAsia="en-GB"/>
        </w:rPr>
        <w:t xml:space="preserve"> that a </w:t>
      </w:r>
      <w:r w:rsidR="00B60FF5" w:rsidRPr="003A4F79">
        <w:rPr>
          <w:noProof/>
          <w:lang w:eastAsia="en-GB"/>
        </w:rPr>
        <w:t>larger</w:t>
      </w:r>
      <w:r w:rsidR="00FE4893" w:rsidRPr="003A4F79">
        <w:rPr>
          <w:noProof/>
          <w:lang w:eastAsia="en-GB"/>
        </w:rPr>
        <w:t xml:space="preserve"> initial return is associated with a </w:t>
      </w:r>
      <w:r w:rsidR="00B60FF5" w:rsidRPr="003A4F79">
        <w:rPr>
          <w:noProof/>
          <w:lang w:eastAsia="en-GB"/>
        </w:rPr>
        <w:t xml:space="preserve">higher </w:t>
      </w:r>
      <w:r w:rsidR="00FE4893" w:rsidRPr="003A4F79">
        <w:rPr>
          <w:noProof/>
          <w:lang w:eastAsia="en-GB"/>
        </w:rPr>
        <w:t xml:space="preserve">hazard </w:t>
      </w:r>
      <w:r w:rsidR="00B60FF5" w:rsidRPr="003A4F79">
        <w:rPr>
          <w:noProof/>
          <w:lang w:eastAsia="en-GB"/>
        </w:rPr>
        <w:t>probability</w:t>
      </w:r>
      <w:r w:rsidR="00FE4893" w:rsidRPr="003A4F79">
        <w:rPr>
          <w:noProof/>
          <w:lang w:eastAsia="en-GB"/>
        </w:rPr>
        <w:t xml:space="preserve"> of </w:t>
      </w:r>
      <w:r w:rsidR="00B60FF5" w:rsidRPr="003A4F79">
        <w:rPr>
          <w:noProof/>
          <w:lang w:eastAsia="en-GB"/>
        </w:rPr>
        <w:t xml:space="preserve">an </w:t>
      </w:r>
      <w:r w:rsidR="00FE4893" w:rsidRPr="003A4F79">
        <w:rPr>
          <w:noProof/>
          <w:lang w:eastAsia="en-GB"/>
        </w:rPr>
        <w:t>investor returning to the stock market,</w:t>
      </w:r>
      <w:r w:rsidR="00194A7B" w:rsidRPr="003A4F79">
        <w:rPr>
          <w:noProof/>
          <w:lang w:eastAsia="en-GB"/>
        </w:rPr>
        <w:t xml:space="preserve"> and</w:t>
      </w:r>
      <w:r w:rsidR="00AC48B0" w:rsidRPr="003A4F79">
        <w:rPr>
          <w:noProof/>
          <w:lang w:eastAsia="en-GB"/>
        </w:rPr>
        <w:t xml:space="preserve"> that</w:t>
      </w:r>
      <w:r w:rsidR="00194A7B" w:rsidRPr="003A4F79">
        <w:rPr>
          <w:noProof/>
          <w:lang w:eastAsia="en-GB"/>
        </w:rPr>
        <w:t xml:space="preserve"> this is the case </w:t>
      </w:r>
      <w:r w:rsidR="00FE4893" w:rsidRPr="003A4F79">
        <w:rPr>
          <w:noProof/>
          <w:lang w:eastAsia="en-GB"/>
        </w:rPr>
        <w:t>even after controlling for recent return</w:t>
      </w:r>
      <w:r w:rsidR="00194A7B" w:rsidRPr="003A4F79">
        <w:rPr>
          <w:noProof/>
          <w:lang w:eastAsia="en-GB"/>
        </w:rPr>
        <w:t>s</w:t>
      </w:r>
      <w:r w:rsidR="000246BD" w:rsidRPr="003A4F79">
        <w:rPr>
          <w:noProof/>
          <w:lang w:eastAsia="en-GB"/>
        </w:rPr>
        <w:t xml:space="preserve"> as well as </w:t>
      </w:r>
      <w:r w:rsidR="00AC48B0" w:rsidRPr="003A4F79">
        <w:rPr>
          <w:noProof/>
          <w:lang w:eastAsia="en-GB"/>
        </w:rPr>
        <w:t xml:space="preserve">average </w:t>
      </w:r>
      <w:r w:rsidR="00194A7B" w:rsidRPr="003A4F79">
        <w:rPr>
          <w:noProof/>
          <w:lang w:eastAsia="en-GB"/>
        </w:rPr>
        <w:t>returns</w:t>
      </w:r>
      <w:r w:rsidR="000246BD" w:rsidRPr="003A4F79">
        <w:rPr>
          <w:noProof/>
          <w:lang w:eastAsia="en-GB"/>
        </w:rPr>
        <w:t xml:space="preserve"> and/or reali</w:t>
      </w:r>
      <w:r w:rsidR="00C95B94" w:rsidRPr="003A4F79">
        <w:rPr>
          <w:noProof/>
          <w:lang w:eastAsia="en-GB"/>
        </w:rPr>
        <w:t>s</w:t>
      </w:r>
      <w:r w:rsidR="000246BD" w:rsidRPr="003A4F79">
        <w:rPr>
          <w:noProof/>
          <w:lang w:eastAsia="en-GB"/>
        </w:rPr>
        <w:t>ed returns for the investment period</w:t>
      </w:r>
      <w:r w:rsidR="00FE4893" w:rsidRPr="003A4F79">
        <w:rPr>
          <w:noProof/>
          <w:lang w:eastAsia="en-GB"/>
        </w:rPr>
        <w:t xml:space="preserve">. This </w:t>
      </w:r>
      <w:r w:rsidR="00331884" w:rsidRPr="003A4F79">
        <w:rPr>
          <w:noProof/>
          <w:lang w:eastAsia="en-GB"/>
        </w:rPr>
        <w:t xml:space="preserve">finding is consistent with </w:t>
      </w:r>
      <w:r w:rsidR="00FE4893" w:rsidRPr="003A4F79">
        <w:t>our</w:t>
      </w:r>
      <w:r w:rsidR="00331884" w:rsidRPr="003A4F79">
        <w:t xml:space="preserve"> </w:t>
      </w:r>
      <w:r w:rsidR="007A0024" w:rsidRPr="003A4F79">
        <w:t xml:space="preserve">first </w:t>
      </w:r>
      <w:r w:rsidR="00FE4893" w:rsidRPr="003A4F79">
        <w:t>hypothesis (H1) that investor</w:t>
      </w:r>
      <w:r w:rsidR="00AC48B0" w:rsidRPr="003A4F79">
        <w:t>s</w:t>
      </w:r>
      <w:r w:rsidR="00FE4893" w:rsidRPr="003A4F79">
        <w:t xml:space="preserve"> </w:t>
      </w:r>
      <w:r w:rsidR="00AC48B0" w:rsidRPr="003A4F79">
        <w:t xml:space="preserve">are </w:t>
      </w:r>
      <w:r w:rsidR="00FE4893" w:rsidRPr="003A4F79">
        <w:t xml:space="preserve">subject to experience-based learning </w:t>
      </w:r>
      <w:r w:rsidR="00AC48B0" w:rsidRPr="003A4F79">
        <w:t xml:space="preserve">and their </w:t>
      </w:r>
      <w:r w:rsidR="00653526" w:rsidRPr="003A4F79">
        <w:t xml:space="preserve">initial experience </w:t>
      </w:r>
      <w:r w:rsidR="00AC48B0" w:rsidRPr="003A4F79">
        <w:t>has</w:t>
      </w:r>
      <w:r w:rsidR="00653526" w:rsidRPr="003A4F79">
        <w:t xml:space="preserve"> a </w:t>
      </w:r>
      <w:r w:rsidR="00AC48B0" w:rsidRPr="003A4F79">
        <w:t xml:space="preserve">particularly </w:t>
      </w:r>
      <w:r w:rsidR="00653526" w:rsidRPr="003A4F79">
        <w:t xml:space="preserve">strong influence on </w:t>
      </w:r>
      <w:r w:rsidR="00AC48B0" w:rsidRPr="003A4F79">
        <w:t xml:space="preserve">their </w:t>
      </w:r>
      <w:r w:rsidR="00653526" w:rsidRPr="003A4F79">
        <w:t>decision</w:t>
      </w:r>
      <w:r w:rsidR="00AC48B0" w:rsidRPr="003A4F79">
        <w:t>s</w:t>
      </w:r>
      <w:r w:rsidR="00653526" w:rsidRPr="003A4F79">
        <w:t xml:space="preserve"> to return to the stock market after </w:t>
      </w:r>
      <w:r w:rsidR="00AC48B0" w:rsidRPr="003A4F79">
        <w:t xml:space="preserve">withdrawal </w:t>
      </w:r>
      <w:r w:rsidR="00653526" w:rsidRPr="003A4F79">
        <w:t xml:space="preserve">and </w:t>
      </w:r>
      <w:r w:rsidR="00AC48B0" w:rsidRPr="003A4F79">
        <w:t xml:space="preserve">absence </w:t>
      </w:r>
      <w:r w:rsidR="00653526" w:rsidRPr="003A4F79">
        <w:t>from it for a while</w:t>
      </w:r>
      <w:r w:rsidR="00FE4893" w:rsidRPr="003A4F79">
        <w:t>.</w:t>
      </w:r>
    </w:p>
    <w:p w14:paraId="7E0CF1FD" w14:textId="755ED6CF" w:rsidR="006D538B" w:rsidRPr="003A4F79" w:rsidRDefault="006D538B" w:rsidP="006D538B">
      <w:pPr>
        <w:pStyle w:val="Heading2"/>
      </w:pPr>
      <w:r w:rsidRPr="003A4F79">
        <w:t>5.</w:t>
      </w:r>
      <w:r w:rsidR="00AF1B83" w:rsidRPr="003A4F79">
        <w:t>3</w:t>
      </w:r>
      <w:r w:rsidRPr="003A4F79">
        <w:t xml:space="preserve"> </w:t>
      </w:r>
      <w:r w:rsidR="00AF1B83" w:rsidRPr="003A4F79">
        <w:t>Primacy vs. Salienc</w:t>
      </w:r>
      <w:r w:rsidR="00B37426" w:rsidRPr="003A4F79">
        <w:t>e</w:t>
      </w:r>
      <w:r w:rsidR="004D1B63" w:rsidRPr="003A4F79">
        <w:rPr>
          <w:rStyle w:val="FootnoteReference"/>
        </w:rPr>
        <w:footnoteReference w:id="17"/>
      </w:r>
    </w:p>
    <w:p w14:paraId="20128E3E" w14:textId="008208A8" w:rsidR="00BF5E1B" w:rsidRPr="003A4F79" w:rsidRDefault="002E5AFD" w:rsidP="00533B6E">
      <w:pPr>
        <w:rPr>
          <w:noProof/>
          <w:lang w:eastAsia="en-GB"/>
        </w:rPr>
      </w:pPr>
      <w:r w:rsidRPr="003A4F79">
        <w:rPr>
          <w:noProof/>
          <w:lang w:eastAsia="en-GB"/>
        </w:rPr>
        <w:t xml:space="preserve">The </w:t>
      </w:r>
      <w:r w:rsidR="0049517D" w:rsidRPr="003A4F79">
        <w:rPr>
          <w:noProof/>
          <w:lang w:eastAsia="en-GB"/>
        </w:rPr>
        <w:t xml:space="preserve">salience </w:t>
      </w:r>
      <w:r w:rsidR="00B91ACF" w:rsidRPr="003A4F79">
        <w:rPr>
          <w:noProof/>
          <w:lang w:eastAsia="en-GB"/>
        </w:rPr>
        <w:t>theory of choice</w:t>
      </w:r>
      <w:r w:rsidRPr="003A4F79">
        <w:rPr>
          <w:noProof/>
          <w:lang w:eastAsia="en-GB"/>
        </w:rPr>
        <w:t xml:space="preserve"> (Bordalo, Gennaioli and Shleifer, 2012) implies that an investor pays more</w:t>
      </w:r>
      <w:r w:rsidR="00C05239" w:rsidRPr="003A4F79">
        <w:rPr>
          <w:noProof/>
          <w:lang w:eastAsia="en-GB"/>
        </w:rPr>
        <w:t xml:space="preserve"> attention </w:t>
      </w:r>
      <w:r w:rsidRPr="003A4F79">
        <w:rPr>
          <w:noProof/>
          <w:lang w:eastAsia="en-GB"/>
        </w:rPr>
        <w:t>to</w:t>
      </w:r>
      <w:r w:rsidR="00C05239" w:rsidRPr="003A4F79">
        <w:rPr>
          <w:noProof/>
          <w:lang w:eastAsia="en-GB"/>
        </w:rPr>
        <w:t xml:space="preserve"> salient </w:t>
      </w:r>
      <w:r w:rsidRPr="003A4F79">
        <w:rPr>
          <w:noProof/>
          <w:lang w:eastAsia="en-GB"/>
        </w:rPr>
        <w:t>returns</w:t>
      </w:r>
      <w:r w:rsidR="00C05239" w:rsidRPr="003A4F79">
        <w:rPr>
          <w:noProof/>
          <w:lang w:eastAsia="en-GB"/>
        </w:rPr>
        <w:t xml:space="preserve">, which is defined as such </w:t>
      </w:r>
      <w:r w:rsidRPr="003A4F79">
        <w:rPr>
          <w:noProof/>
          <w:lang w:eastAsia="en-GB"/>
        </w:rPr>
        <w:t>returns</w:t>
      </w:r>
      <w:r w:rsidR="00C05239" w:rsidRPr="003A4F79">
        <w:rPr>
          <w:noProof/>
          <w:lang w:eastAsia="en-GB"/>
        </w:rPr>
        <w:t xml:space="preserve"> </w:t>
      </w:r>
      <w:r w:rsidRPr="003A4F79">
        <w:rPr>
          <w:noProof/>
          <w:lang w:eastAsia="en-GB"/>
        </w:rPr>
        <w:t>that are much different from the reali</w:t>
      </w:r>
      <w:r w:rsidR="00C95B94" w:rsidRPr="003A4F79">
        <w:rPr>
          <w:noProof/>
          <w:lang w:eastAsia="en-GB"/>
        </w:rPr>
        <w:t>s</w:t>
      </w:r>
      <w:r w:rsidRPr="003A4F79">
        <w:rPr>
          <w:noProof/>
          <w:lang w:eastAsia="en-GB"/>
        </w:rPr>
        <w:t xml:space="preserve">ed path of returns for the investor. </w:t>
      </w:r>
      <w:r w:rsidR="00B226E9" w:rsidRPr="003A4F79">
        <w:rPr>
          <w:noProof/>
          <w:lang w:eastAsia="en-GB"/>
        </w:rPr>
        <w:t>If this is the case, it would be</w:t>
      </w:r>
      <w:r w:rsidR="00A2062A" w:rsidRPr="003A4F79">
        <w:rPr>
          <w:noProof/>
          <w:lang w:eastAsia="en-GB"/>
        </w:rPr>
        <w:t xml:space="preserve"> possible </w:t>
      </w:r>
      <w:r w:rsidR="00B226E9" w:rsidRPr="003A4F79">
        <w:rPr>
          <w:noProof/>
          <w:lang w:eastAsia="en-GB"/>
        </w:rPr>
        <w:t>that initial returns are overweigh</w:t>
      </w:r>
      <w:r w:rsidR="009A587F" w:rsidRPr="003A4F79">
        <w:rPr>
          <w:noProof/>
          <w:lang w:eastAsia="en-GB"/>
        </w:rPr>
        <w:t>ed by the investor not because it is the first return experience, but because it is a very differe</w:t>
      </w:r>
      <w:r w:rsidR="002810AB" w:rsidRPr="003A4F79">
        <w:rPr>
          <w:noProof/>
          <w:lang w:eastAsia="en-GB"/>
        </w:rPr>
        <w:t>n</w:t>
      </w:r>
      <w:r w:rsidR="009A587F" w:rsidRPr="003A4F79">
        <w:rPr>
          <w:noProof/>
          <w:lang w:eastAsia="en-GB"/>
        </w:rPr>
        <w:t>t experience</w:t>
      </w:r>
      <w:r w:rsidR="008065D1" w:rsidRPr="003A4F79">
        <w:rPr>
          <w:noProof/>
          <w:lang w:eastAsia="en-GB"/>
        </w:rPr>
        <w:t xml:space="preserve"> relative to all other experiences</w:t>
      </w:r>
      <w:r w:rsidR="009A587F" w:rsidRPr="003A4F79">
        <w:rPr>
          <w:noProof/>
          <w:lang w:eastAsia="en-GB"/>
        </w:rPr>
        <w:t xml:space="preserve">. </w:t>
      </w:r>
      <w:r w:rsidR="00554F18" w:rsidRPr="003A4F79">
        <w:rPr>
          <w:noProof/>
          <w:lang w:eastAsia="en-GB"/>
        </w:rPr>
        <w:t xml:space="preserve">To disentangle </w:t>
      </w:r>
      <w:r w:rsidR="00EB2E76" w:rsidRPr="003A4F79">
        <w:rPr>
          <w:noProof/>
          <w:lang w:eastAsia="en-GB"/>
        </w:rPr>
        <w:t>the</w:t>
      </w:r>
      <w:r w:rsidR="00554F18" w:rsidRPr="003A4F79">
        <w:rPr>
          <w:noProof/>
          <w:lang w:eastAsia="en-GB"/>
        </w:rPr>
        <w:t xml:space="preserve"> prim</w:t>
      </w:r>
      <w:r w:rsidR="00EB2E76" w:rsidRPr="003A4F79">
        <w:rPr>
          <w:noProof/>
          <w:lang w:eastAsia="en-GB"/>
        </w:rPr>
        <w:t>a</w:t>
      </w:r>
      <w:r w:rsidR="00554F18" w:rsidRPr="003A4F79">
        <w:rPr>
          <w:noProof/>
          <w:lang w:eastAsia="en-GB"/>
        </w:rPr>
        <w:t xml:space="preserve">cy explanation from the salience hypothesis, </w:t>
      </w:r>
      <w:r w:rsidR="0049517D" w:rsidRPr="003A4F79">
        <w:rPr>
          <w:noProof/>
          <w:lang w:eastAsia="en-GB"/>
        </w:rPr>
        <w:t xml:space="preserve">we want to </w:t>
      </w:r>
      <w:r w:rsidR="00BF5E1B" w:rsidRPr="003A4F79">
        <w:rPr>
          <w:noProof/>
          <w:lang w:eastAsia="en-GB"/>
        </w:rPr>
        <w:t>examine</w:t>
      </w:r>
      <w:r w:rsidR="0049517D" w:rsidRPr="003A4F79">
        <w:rPr>
          <w:noProof/>
          <w:lang w:eastAsia="en-GB"/>
        </w:rPr>
        <w:t xml:space="preserve"> </w:t>
      </w:r>
      <w:r w:rsidR="00BF5E1B" w:rsidRPr="003A4F79">
        <w:rPr>
          <w:noProof/>
          <w:lang w:eastAsia="en-GB"/>
        </w:rPr>
        <w:t>whether</w:t>
      </w:r>
      <w:r w:rsidR="0049517D" w:rsidRPr="003A4F79">
        <w:rPr>
          <w:noProof/>
          <w:lang w:eastAsia="en-GB"/>
        </w:rPr>
        <w:t xml:space="preserve"> </w:t>
      </w:r>
      <w:r w:rsidR="00EB2E76" w:rsidRPr="003A4F79">
        <w:rPr>
          <w:noProof/>
          <w:lang w:eastAsia="en-GB"/>
        </w:rPr>
        <w:t>the</w:t>
      </w:r>
      <w:r w:rsidR="0049517D" w:rsidRPr="003A4F79">
        <w:rPr>
          <w:noProof/>
          <w:lang w:eastAsia="en-GB"/>
        </w:rPr>
        <w:t xml:space="preserve"> initial return variable will survive even after controlling for </w:t>
      </w:r>
      <w:r w:rsidR="008146A4" w:rsidRPr="003A4F79">
        <w:rPr>
          <w:noProof/>
          <w:lang w:eastAsia="en-GB"/>
        </w:rPr>
        <w:t xml:space="preserve">the extent to which </w:t>
      </w:r>
      <w:r w:rsidR="0049517D" w:rsidRPr="003A4F79">
        <w:rPr>
          <w:noProof/>
          <w:lang w:eastAsia="en-GB"/>
        </w:rPr>
        <w:t>it</w:t>
      </w:r>
      <w:r w:rsidR="008146A4" w:rsidRPr="003A4F79">
        <w:rPr>
          <w:noProof/>
          <w:lang w:eastAsia="en-GB"/>
        </w:rPr>
        <w:t xml:space="preserve"> is salient.</w:t>
      </w:r>
      <w:r w:rsidR="0049517D" w:rsidRPr="003A4F79">
        <w:rPr>
          <w:noProof/>
          <w:lang w:eastAsia="en-GB"/>
        </w:rPr>
        <w:t xml:space="preserve"> </w:t>
      </w:r>
      <w:r w:rsidR="005E17C5" w:rsidRPr="003A4F79">
        <w:rPr>
          <w:noProof/>
          <w:lang w:eastAsia="en-GB"/>
        </w:rPr>
        <w:t>As postulated in our hypothesis H1a, t</w:t>
      </w:r>
      <w:r w:rsidR="00BF5E1B" w:rsidRPr="003A4F79">
        <w:rPr>
          <w:noProof/>
          <w:lang w:eastAsia="en-GB"/>
        </w:rPr>
        <w:t xml:space="preserve">he idea is </w:t>
      </w:r>
      <w:r w:rsidR="005E17C5" w:rsidRPr="003A4F79">
        <w:rPr>
          <w:noProof/>
          <w:lang w:eastAsia="en-GB"/>
        </w:rPr>
        <w:t>that if the initial return – market re-entry relation is to be attributed to the primacy effect as opposed to the salienc</w:t>
      </w:r>
      <w:r w:rsidR="00B37426" w:rsidRPr="003A4F79">
        <w:rPr>
          <w:noProof/>
          <w:lang w:eastAsia="en-GB"/>
        </w:rPr>
        <w:t>e</w:t>
      </w:r>
      <w:r w:rsidR="005E17C5" w:rsidRPr="003A4F79">
        <w:rPr>
          <w:noProof/>
          <w:lang w:eastAsia="en-GB"/>
        </w:rPr>
        <w:t xml:space="preserve"> effect, the initial return effect should remain significant even after controlling for the extent to which the initial return is salient (or, different from other return experiences). </w:t>
      </w:r>
    </w:p>
    <w:p w14:paraId="0A609804" w14:textId="1792CEF4" w:rsidR="0049517D" w:rsidRPr="003A4F79" w:rsidRDefault="0049174A" w:rsidP="00533B6E">
      <w:pPr>
        <w:rPr>
          <w:noProof/>
          <w:lang w:eastAsia="en-GB"/>
        </w:rPr>
      </w:pPr>
      <w:r w:rsidRPr="003A4F79">
        <w:rPr>
          <w:noProof/>
          <w:lang w:eastAsia="en-GB"/>
        </w:rPr>
        <w:lastRenderedPageBreak/>
        <w:t xml:space="preserve">Based on </w:t>
      </w:r>
      <w:r w:rsidR="0072071D" w:rsidRPr="003A4F79">
        <w:rPr>
          <w:noProof/>
          <w:lang w:eastAsia="en-GB"/>
        </w:rPr>
        <w:t>Bordalo, Gennaioli and Shleifer (2012)</w:t>
      </w:r>
      <w:r w:rsidR="00B3176C" w:rsidRPr="003A4F79">
        <w:rPr>
          <w:noProof/>
          <w:lang w:eastAsia="en-GB"/>
        </w:rPr>
        <w:t>, we construct a salience</w:t>
      </w:r>
      <w:r w:rsidR="0049517D" w:rsidRPr="003A4F79">
        <w:rPr>
          <w:noProof/>
          <w:lang w:eastAsia="en-GB"/>
        </w:rPr>
        <w:t xml:space="preserve"> measure (</w:t>
      </w:r>
      <w:r w:rsidR="0049517D" w:rsidRPr="003A4F79">
        <w:rPr>
          <w:i/>
          <w:noProof/>
          <w:lang w:eastAsia="en-GB"/>
        </w:rPr>
        <w:t>Saliency</w:t>
      </w:r>
      <w:r w:rsidR="0049517D" w:rsidRPr="003A4F79">
        <w:rPr>
          <w:noProof/>
          <w:lang w:eastAsia="en-GB"/>
        </w:rPr>
        <w:t xml:space="preserve">) </w:t>
      </w:r>
      <w:r w:rsidR="00957C4C" w:rsidRPr="003A4F79">
        <w:rPr>
          <w:noProof/>
          <w:lang w:eastAsia="en-GB"/>
        </w:rPr>
        <w:t xml:space="preserve">assuming that </w:t>
      </w:r>
      <w:r w:rsidR="00424784" w:rsidRPr="003A4F79">
        <w:rPr>
          <w:noProof/>
          <w:lang w:eastAsia="en-GB"/>
        </w:rPr>
        <w:t>the</w:t>
      </w:r>
      <w:r w:rsidR="0049517D" w:rsidRPr="003A4F79">
        <w:rPr>
          <w:noProof/>
          <w:lang w:eastAsia="en-GB"/>
        </w:rPr>
        <w:t xml:space="preserve"> </w:t>
      </w:r>
      <w:r w:rsidR="00424784" w:rsidRPr="003A4F79">
        <w:rPr>
          <w:noProof/>
          <w:lang w:eastAsia="en-GB"/>
        </w:rPr>
        <w:t xml:space="preserve">initial </w:t>
      </w:r>
      <w:r w:rsidR="0049517D" w:rsidRPr="003A4F79">
        <w:rPr>
          <w:noProof/>
          <w:lang w:eastAsia="en-GB"/>
        </w:rPr>
        <w:t>return</w:t>
      </w:r>
      <w:r w:rsidR="00957C4C" w:rsidRPr="003A4F79">
        <w:rPr>
          <w:noProof/>
          <w:lang w:eastAsia="en-GB"/>
        </w:rPr>
        <w:t xml:space="preserve"> is salient if it is very different (in percentage terms) </w:t>
      </w:r>
      <w:r w:rsidR="0049517D" w:rsidRPr="003A4F79">
        <w:rPr>
          <w:noProof/>
          <w:lang w:eastAsia="en-GB"/>
        </w:rPr>
        <w:t xml:space="preserve">from </w:t>
      </w:r>
      <w:r w:rsidR="00424784" w:rsidRPr="003A4F79">
        <w:rPr>
          <w:noProof/>
          <w:lang w:eastAsia="en-GB"/>
        </w:rPr>
        <w:t xml:space="preserve">all other </w:t>
      </w:r>
      <w:r w:rsidR="0049517D" w:rsidRPr="003A4F79">
        <w:rPr>
          <w:noProof/>
          <w:lang w:eastAsia="en-GB"/>
        </w:rPr>
        <w:t>return</w:t>
      </w:r>
      <w:r w:rsidR="00424784" w:rsidRPr="003A4F79">
        <w:rPr>
          <w:noProof/>
          <w:lang w:eastAsia="en-GB"/>
        </w:rPr>
        <w:t>s</w:t>
      </w:r>
      <w:r w:rsidR="005F4922" w:rsidRPr="003A4F79">
        <w:rPr>
          <w:noProof/>
          <w:lang w:eastAsia="en-GB"/>
        </w:rPr>
        <w:t xml:space="preserve">. </w:t>
      </w:r>
      <w:r w:rsidR="005C126E" w:rsidRPr="003A4F79">
        <w:rPr>
          <w:noProof/>
          <w:lang w:eastAsia="en-GB"/>
        </w:rPr>
        <w:t xml:space="preserve">In doing so, </w:t>
      </w:r>
      <w:r w:rsidR="0049517D" w:rsidRPr="003A4F79">
        <w:rPr>
          <w:noProof/>
          <w:lang w:eastAsia="en-GB"/>
        </w:rPr>
        <w:t xml:space="preserve">we first compute </w:t>
      </w:r>
      <w:r w:rsidR="00B3176C" w:rsidRPr="003A4F79">
        <w:rPr>
          <w:noProof/>
          <w:lang w:eastAsia="en-GB"/>
        </w:rPr>
        <w:t xml:space="preserve">the </w:t>
      </w:r>
      <w:r w:rsidR="0049517D" w:rsidRPr="003A4F79">
        <w:rPr>
          <w:noProof/>
          <w:lang w:eastAsia="en-GB"/>
        </w:rPr>
        <w:t>absolute difference</w:t>
      </w:r>
      <w:r w:rsidR="009A1456" w:rsidRPr="003A4F79">
        <w:rPr>
          <w:noProof/>
          <w:lang w:eastAsia="en-GB"/>
        </w:rPr>
        <w:t xml:space="preserve"> (</w:t>
      </w:r>
      <w:r w:rsidR="00B3176C" w:rsidRPr="003A4F79">
        <w:rPr>
          <w:noProof/>
          <w:lang w:eastAsia="en-GB"/>
        </w:rPr>
        <w:t xml:space="preserve">or, </w:t>
      </w:r>
      <w:r w:rsidR="009A1456" w:rsidRPr="003A4F79">
        <w:rPr>
          <w:noProof/>
          <w:lang w:eastAsia="en-GB"/>
        </w:rPr>
        <w:t>distance)</w:t>
      </w:r>
      <w:r w:rsidR="0049517D" w:rsidRPr="003A4F79">
        <w:rPr>
          <w:noProof/>
          <w:lang w:eastAsia="en-GB"/>
        </w:rPr>
        <w:t xml:space="preserve"> between </w:t>
      </w:r>
      <w:r w:rsidR="005C126E" w:rsidRPr="003A4F79">
        <w:rPr>
          <w:noProof/>
          <w:lang w:eastAsia="en-GB"/>
        </w:rPr>
        <w:t xml:space="preserve">the </w:t>
      </w:r>
      <w:r w:rsidR="0049517D" w:rsidRPr="003A4F79">
        <w:rPr>
          <w:noProof/>
          <w:lang w:eastAsia="en-GB"/>
        </w:rPr>
        <w:t xml:space="preserve">initial return </w:t>
      </w:r>
      <w:r w:rsidR="005F4922" w:rsidRPr="003A4F79">
        <w:rPr>
          <w:noProof/>
          <w:lang w:eastAsia="en-GB"/>
        </w:rPr>
        <w:t xml:space="preserve">and </w:t>
      </w:r>
      <w:r w:rsidR="0049517D" w:rsidRPr="003A4F79">
        <w:rPr>
          <w:noProof/>
          <w:lang w:eastAsia="en-GB"/>
        </w:rPr>
        <w:t xml:space="preserve">the average return for the duration of investing. Then, we </w:t>
      </w:r>
      <w:r w:rsidR="005A7F60" w:rsidRPr="003A4F79">
        <w:rPr>
          <w:noProof/>
          <w:lang w:eastAsia="en-GB"/>
        </w:rPr>
        <w:t>s</w:t>
      </w:r>
      <w:r w:rsidR="00895F5C" w:rsidRPr="003A4F79">
        <w:rPr>
          <w:noProof/>
          <w:lang w:eastAsia="en-GB"/>
        </w:rPr>
        <w:t>c</w:t>
      </w:r>
      <w:r w:rsidR="005A7F60" w:rsidRPr="003A4F79">
        <w:rPr>
          <w:noProof/>
          <w:lang w:eastAsia="en-GB"/>
        </w:rPr>
        <w:t>a</w:t>
      </w:r>
      <w:r w:rsidR="00895F5C" w:rsidRPr="003A4F79">
        <w:rPr>
          <w:noProof/>
          <w:lang w:eastAsia="en-GB"/>
        </w:rPr>
        <w:t xml:space="preserve">le this to have percentage terms </w:t>
      </w:r>
      <w:r w:rsidR="005C126E" w:rsidRPr="003A4F79">
        <w:rPr>
          <w:noProof/>
          <w:lang w:eastAsia="en-GB"/>
        </w:rPr>
        <w:t xml:space="preserve">by </w:t>
      </w:r>
      <w:r w:rsidR="0049517D" w:rsidRPr="003A4F79">
        <w:rPr>
          <w:noProof/>
          <w:lang w:eastAsia="en-GB"/>
        </w:rPr>
        <w:t>divid</w:t>
      </w:r>
      <w:r w:rsidR="005C126E" w:rsidRPr="003A4F79">
        <w:rPr>
          <w:noProof/>
          <w:lang w:eastAsia="en-GB"/>
        </w:rPr>
        <w:t xml:space="preserve">ing it </w:t>
      </w:r>
      <w:r w:rsidR="0049517D" w:rsidRPr="003A4F79">
        <w:rPr>
          <w:noProof/>
          <w:lang w:eastAsia="en-GB"/>
        </w:rPr>
        <w:t>by the absolute value of average return</w:t>
      </w:r>
      <w:r w:rsidR="00921A65" w:rsidRPr="003A4F79">
        <w:rPr>
          <w:noProof/>
          <w:lang w:eastAsia="en-GB"/>
        </w:rPr>
        <w:t xml:space="preserve">. </w:t>
      </w:r>
      <w:r w:rsidR="001D4D84" w:rsidRPr="003A4F79">
        <w:rPr>
          <w:noProof/>
          <w:lang w:eastAsia="en-GB"/>
        </w:rPr>
        <w:t xml:space="preserve">As shown in </w:t>
      </w:r>
      <w:r w:rsidR="0049517D" w:rsidRPr="003A4F79">
        <w:rPr>
          <w:noProof/>
          <w:lang w:eastAsia="en-GB"/>
        </w:rPr>
        <w:t xml:space="preserve">Table </w:t>
      </w:r>
      <w:r w:rsidR="00E311F4" w:rsidRPr="003A4F79">
        <w:rPr>
          <w:noProof/>
          <w:lang w:eastAsia="en-GB"/>
        </w:rPr>
        <w:t>6</w:t>
      </w:r>
      <w:r w:rsidR="00F620AA" w:rsidRPr="003A4F79">
        <w:rPr>
          <w:noProof/>
          <w:lang w:eastAsia="en-GB"/>
        </w:rPr>
        <w:t xml:space="preserve"> for new regression results</w:t>
      </w:r>
      <w:r w:rsidR="001D4D84" w:rsidRPr="003A4F79">
        <w:rPr>
          <w:noProof/>
          <w:lang w:eastAsia="en-GB"/>
        </w:rPr>
        <w:t xml:space="preserve">, </w:t>
      </w:r>
      <w:r w:rsidR="0049517D" w:rsidRPr="003A4F79">
        <w:rPr>
          <w:noProof/>
          <w:lang w:eastAsia="en-GB"/>
        </w:rPr>
        <w:t xml:space="preserve">our </w:t>
      </w:r>
      <w:r w:rsidR="001D4D84" w:rsidRPr="003A4F79">
        <w:rPr>
          <w:noProof/>
          <w:lang w:eastAsia="en-GB"/>
        </w:rPr>
        <w:t>salienc</w:t>
      </w:r>
      <w:r w:rsidR="00C9307E" w:rsidRPr="003A4F79">
        <w:rPr>
          <w:noProof/>
          <w:lang w:eastAsia="en-GB"/>
        </w:rPr>
        <w:t>e</w:t>
      </w:r>
      <w:r w:rsidR="001D4D84" w:rsidRPr="003A4F79">
        <w:rPr>
          <w:noProof/>
          <w:lang w:eastAsia="en-GB"/>
        </w:rPr>
        <w:t xml:space="preserve"> </w:t>
      </w:r>
      <w:r w:rsidR="0049517D" w:rsidRPr="003A4F79">
        <w:rPr>
          <w:noProof/>
          <w:lang w:eastAsia="en-GB"/>
        </w:rPr>
        <w:t xml:space="preserve">variable </w:t>
      </w:r>
      <w:r w:rsidR="001D4D84" w:rsidRPr="003A4F79">
        <w:rPr>
          <w:noProof/>
          <w:lang w:eastAsia="en-GB"/>
        </w:rPr>
        <w:t>for</w:t>
      </w:r>
      <w:r w:rsidR="0049517D" w:rsidRPr="003A4F79">
        <w:rPr>
          <w:noProof/>
          <w:lang w:eastAsia="en-GB"/>
        </w:rPr>
        <w:t xml:space="preserve"> initial return </w:t>
      </w:r>
      <w:r w:rsidR="001D4D84" w:rsidRPr="003A4F79">
        <w:rPr>
          <w:noProof/>
          <w:lang w:eastAsia="en-GB"/>
        </w:rPr>
        <w:t>carries</w:t>
      </w:r>
      <w:r w:rsidR="0049517D" w:rsidRPr="003A4F79">
        <w:rPr>
          <w:noProof/>
          <w:lang w:eastAsia="en-GB"/>
        </w:rPr>
        <w:t xml:space="preserve"> positive and statistically</w:t>
      </w:r>
      <w:r w:rsidR="00B739A5" w:rsidRPr="003A4F79">
        <w:rPr>
          <w:noProof/>
          <w:lang w:eastAsia="en-GB"/>
        </w:rPr>
        <w:t xml:space="preserve"> s</w:t>
      </w:r>
      <w:r w:rsidR="0049517D" w:rsidRPr="003A4F79">
        <w:rPr>
          <w:noProof/>
          <w:lang w:eastAsia="en-GB"/>
        </w:rPr>
        <w:t xml:space="preserve">ignificant </w:t>
      </w:r>
      <w:r w:rsidR="00B739A5" w:rsidRPr="003A4F79">
        <w:rPr>
          <w:noProof/>
          <w:lang w:eastAsia="en-GB"/>
        </w:rPr>
        <w:t xml:space="preserve">coefficients </w:t>
      </w:r>
      <w:r w:rsidR="0049517D" w:rsidRPr="003A4F79">
        <w:rPr>
          <w:noProof/>
          <w:lang w:eastAsia="en-GB"/>
        </w:rPr>
        <w:t>regardless of model specifications</w:t>
      </w:r>
      <w:r w:rsidR="00921A65" w:rsidRPr="003A4F79">
        <w:rPr>
          <w:noProof/>
          <w:lang w:eastAsia="en-GB"/>
        </w:rPr>
        <w:t>. This implies that an investor tends to overweigh initial returns more when it is very different or salient</w:t>
      </w:r>
      <w:r w:rsidR="001D4D84" w:rsidRPr="003A4F79">
        <w:rPr>
          <w:noProof/>
          <w:lang w:eastAsia="en-GB"/>
        </w:rPr>
        <w:t>, which is consistent with the salience theory</w:t>
      </w:r>
      <w:r w:rsidR="00921A65" w:rsidRPr="003A4F79">
        <w:rPr>
          <w:noProof/>
          <w:lang w:eastAsia="en-GB"/>
        </w:rPr>
        <w:t xml:space="preserve"> of choice</w:t>
      </w:r>
      <w:r w:rsidR="0049517D" w:rsidRPr="003A4F79">
        <w:rPr>
          <w:noProof/>
          <w:lang w:eastAsia="en-GB"/>
        </w:rPr>
        <w:t xml:space="preserve">. More importantly, our initial return variable </w:t>
      </w:r>
      <w:r w:rsidR="00B036BB" w:rsidRPr="003A4F79">
        <w:rPr>
          <w:noProof/>
          <w:lang w:eastAsia="en-GB"/>
        </w:rPr>
        <w:t>remains</w:t>
      </w:r>
      <w:r w:rsidR="0049517D" w:rsidRPr="003A4F79">
        <w:rPr>
          <w:noProof/>
          <w:lang w:eastAsia="en-GB"/>
        </w:rPr>
        <w:t xml:space="preserve"> intact after the inclusion of the salienc</w:t>
      </w:r>
      <w:r w:rsidR="00C9307E" w:rsidRPr="003A4F79">
        <w:rPr>
          <w:noProof/>
          <w:lang w:eastAsia="en-GB"/>
        </w:rPr>
        <w:t>e</w:t>
      </w:r>
      <w:r w:rsidR="0049517D" w:rsidRPr="003A4F79">
        <w:rPr>
          <w:noProof/>
          <w:lang w:eastAsia="en-GB"/>
        </w:rPr>
        <w:t xml:space="preserve"> measure, which suggests the primacy effect we consider in </w:t>
      </w:r>
      <w:r w:rsidR="00C64DA2" w:rsidRPr="003A4F79">
        <w:rPr>
          <w:noProof/>
          <w:lang w:eastAsia="en-GB"/>
        </w:rPr>
        <w:t>this</w:t>
      </w:r>
      <w:r w:rsidR="0049517D" w:rsidRPr="003A4F79">
        <w:rPr>
          <w:noProof/>
          <w:lang w:eastAsia="en-GB"/>
        </w:rPr>
        <w:t xml:space="preserve"> paper is unlikely to be driven by the salienc</w:t>
      </w:r>
      <w:r w:rsidR="00DC0537" w:rsidRPr="003A4F79">
        <w:rPr>
          <w:noProof/>
          <w:lang w:eastAsia="en-GB"/>
        </w:rPr>
        <w:t>e</w:t>
      </w:r>
      <w:r w:rsidR="0049517D" w:rsidRPr="003A4F79">
        <w:rPr>
          <w:noProof/>
          <w:lang w:eastAsia="en-GB"/>
        </w:rPr>
        <w:t xml:space="preserve"> effect.</w:t>
      </w:r>
      <w:r w:rsidR="00B33DE5" w:rsidRPr="003A4F79">
        <w:rPr>
          <w:noProof/>
          <w:lang w:eastAsia="en-GB"/>
        </w:rPr>
        <w:t xml:space="preserve"> </w:t>
      </w:r>
    </w:p>
    <w:p w14:paraId="4CD93FA7" w14:textId="070C4C5C" w:rsidR="0084350D" w:rsidRPr="003A4F79" w:rsidRDefault="0084350D" w:rsidP="0084350D">
      <w:pPr>
        <w:pStyle w:val="InsertInstruct"/>
      </w:pPr>
      <w:r w:rsidRPr="003A4F79">
        <w:t xml:space="preserve">[Insert Table </w:t>
      </w:r>
      <w:r w:rsidR="00925D7E" w:rsidRPr="003A4F79">
        <w:t>6</w:t>
      </w:r>
      <w:r w:rsidRPr="003A4F79">
        <w:t xml:space="preserve"> here]</w:t>
      </w:r>
    </w:p>
    <w:p w14:paraId="5CF136A2" w14:textId="0128841A" w:rsidR="004F6E5E" w:rsidRPr="003A4F79" w:rsidRDefault="00AB1084" w:rsidP="00290F9F">
      <w:pPr>
        <w:pStyle w:val="Heading2"/>
      </w:pPr>
      <w:r w:rsidRPr="003A4F79">
        <w:t>5</w:t>
      </w:r>
      <w:r w:rsidR="004C702F" w:rsidRPr="003A4F79">
        <w:t>.</w:t>
      </w:r>
      <w:r w:rsidR="006D538B" w:rsidRPr="003A4F79">
        <w:t>4</w:t>
      </w:r>
      <w:r w:rsidR="004C702F" w:rsidRPr="003A4F79">
        <w:t xml:space="preserve"> </w:t>
      </w:r>
      <w:r w:rsidR="004F6E5E" w:rsidRPr="003A4F79">
        <w:t xml:space="preserve">Sensitivity of </w:t>
      </w:r>
      <w:r w:rsidR="004D61CC" w:rsidRPr="003A4F79">
        <w:t>re-entry to initial ret</w:t>
      </w:r>
      <w:r w:rsidR="003C2FEC" w:rsidRPr="003A4F79">
        <w:t>urns</w:t>
      </w:r>
      <w:r w:rsidR="00930EA3" w:rsidRPr="003A4F79">
        <w:t>: Losses v</w:t>
      </w:r>
      <w:r w:rsidR="004D61CC" w:rsidRPr="003A4F79">
        <w:t>ersus</w:t>
      </w:r>
      <w:r w:rsidR="00930EA3" w:rsidRPr="003A4F79">
        <w:t xml:space="preserve"> </w:t>
      </w:r>
      <w:r w:rsidR="004D61CC" w:rsidRPr="003A4F79">
        <w:t>gains</w:t>
      </w:r>
    </w:p>
    <w:p w14:paraId="36C17343" w14:textId="75375E03" w:rsidR="00552046" w:rsidRPr="003A4F79" w:rsidRDefault="00E53AFF">
      <w:r w:rsidRPr="003A4F79">
        <w:rPr>
          <w:noProof/>
          <w:lang w:eastAsia="en-GB"/>
        </w:rPr>
        <w:t>In this section</w:t>
      </w:r>
      <w:r w:rsidR="00302F23" w:rsidRPr="003A4F79">
        <w:t xml:space="preserve">, </w:t>
      </w:r>
      <w:r w:rsidR="00680818" w:rsidRPr="003A4F79">
        <w:t>w</w:t>
      </w:r>
      <w:r w:rsidR="00302F23" w:rsidRPr="003A4F79">
        <w:t>e explore whether investor</w:t>
      </w:r>
      <w:r w:rsidR="00AC48B0" w:rsidRPr="003A4F79">
        <w:t>s</w:t>
      </w:r>
      <w:r w:rsidR="00302F23" w:rsidRPr="003A4F79">
        <w:t xml:space="preserve"> </w:t>
      </w:r>
      <w:r w:rsidR="009B3053" w:rsidRPr="003A4F79">
        <w:t>learn</w:t>
      </w:r>
      <w:r w:rsidR="007C6585" w:rsidRPr="003A4F79">
        <w:t xml:space="preserve"> </w:t>
      </w:r>
      <w:r w:rsidR="00EF645F" w:rsidRPr="003A4F79">
        <w:rPr>
          <w:i/>
        </w:rPr>
        <w:t>differently</w:t>
      </w:r>
      <w:r w:rsidR="00BE1328" w:rsidRPr="003A4F79">
        <w:t xml:space="preserve"> </w:t>
      </w:r>
      <w:r w:rsidR="009B3053" w:rsidRPr="003A4F79">
        <w:t>from</w:t>
      </w:r>
      <w:r w:rsidR="00302F23" w:rsidRPr="003A4F79">
        <w:t xml:space="preserve"> </w:t>
      </w:r>
      <w:r w:rsidR="007779D7" w:rsidRPr="003A4F79">
        <w:t>experience</w:t>
      </w:r>
      <w:r w:rsidR="00AC48B0" w:rsidRPr="003A4F79">
        <w:t>s</w:t>
      </w:r>
      <w:r w:rsidR="007779D7" w:rsidRPr="003A4F79">
        <w:t xml:space="preserve"> of </w:t>
      </w:r>
      <w:r w:rsidR="00A52AF5" w:rsidRPr="003A4F79">
        <w:t>initial</w:t>
      </w:r>
      <w:r w:rsidR="00302F23" w:rsidRPr="003A4F79">
        <w:t xml:space="preserve"> return</w:t>
      </w:r>
      <w:r w:rsidR="00BE1328" w:rsidRPr="003A4F79">
        <w:t>s</w:t>
      </w:r>
      <w:r w:rsidR="00AC48B0" w:rsidRPr="003A4F79">
        <w:t>,</w:t>
      </w:r>
      <w:r w:rsidR="00302F23" w:rsidRPr="003A4F79">
        <w:t xml:space="preserve"> depending </w:t>
      </w:r>
      <w:r w:rsidR="005A7F60" w:rsidRPr="003A4F79">
        <w:t xml:space="preserve">on </w:t>
      </w:r>
      <w:r w:rsidR="00302F23" w:rsidRPr="003A4F79">
        <w:t xml:space="preserve">whether </w:t>
      </w:r>
      <w:r w:rsidR="00BE1328" w:rsidRPr="003A4F79">
        <w:t>they</w:t>
      </w:r>
      <w:r w:rsidR="00787D10" w:rsidRPr="003A4F79">
        <w:t xml:space="preserve"> are negative </w:t>
      </w:r>
      <w:r w:rsidR="003B7A4F" w:rsidRPr="003A4F79">
        <w:t>(losses)</w:t>
      </w:r>
      <w:r w:rsidR="00794864" w:rsidRPr="003A4F79">
        <w:t xml:space="preserve"> </w:t>
      </w:r>
      <w:r w:rsidR="00302F23" w:rsidRPr="003A4F79">
        <w:t>or</w:t>
      </w:r>
      <w:r w:rsidR="00787D10" w:rsidRPr="003A4F79">
        <w:t xml:space="preserve"> positive</w:t>
      </w:r>
      <w:r w:rsidR="00155585" w:rsidRPr="003A4F79">
        <w:t xml:space="preserve"> </w:t>
      </w:r>
      <w:r w:rsidR="003B7A4F" w:rsidRPr="003A4F79">
        <w:t>(gains)</w:t>
      </w:r>
      <w:r w:rsidR="00633157" w:rsidRPr="003A4F79">
        <w:t>.</w:t>
      </w:r>
      <w:r w:rsidR="0053714F" w:rsidRPr="003A4F79">
        <w:t xml:space="preserve"> </w:t>
      </w:r>
      <w:r w:rsidR="00373C63" w:rsidRPr="003A4F79">
        <w:t xml:space="preserve">To </w:t>
      </w:r>
      <w:r w:rsidR="00FE403A" w:rsidRPr="003A4F79">
        <w:t>test</w:t>
      </w:r>
      <w:r w:rsidR="00373C63" w:rsidRPr="003A4F79">
        <w:t xml:space="preserve"> </w:t>
      </w:r>
      <w:r w:rsidR="00AC48B0" w:rsidRPr="003A4F79">
        <w:t xml:space="preserve">the </w:t>
      </w:r>
      <w:r w:rsidR="0060160C" w:rsidRPr="003A4F79">
        <w:t>potential</w:t>
      </w:r>
      <w:r w:rsidR="00AC48B0" w:rsidRPr="003A4F79">
        <w:t>ly</w:t>
      </w:r>
      <w:r w:rsidR="0060160C" w:rsidRPr="003A4F79">
        <w:t xml:space="preserve"> </w:t>
      </w:r>
      <w:r w:rsidR="003C019E" w:rsidRPr="003A4F79">
        <w:t>asymmetr</w:t>
      </w:r>
      <w:r w:rsidR="002520E8" w:rsidRPr="003A4F79">
        <w:t xml:space="preserve">ic </w:t>
      </w:r>
      <w:r w:rsidR="0060160C" w:rsidRPr="003A4F79">
        <w:t>pattern</w:t>
      </w:r>
      <w:r w:rsidR="00682E1E" w:rsidRPr="003A4F79">
        <w:t xml:space="preserve"> of </w:t>
      </w:r>
      <w:r w:rsidR="0060160C" w:rsidRPr="003A4F79">
        <w:t xml:space="preserve">investor </w:t>
      </w:r>
      <w:r w:rsidR="0090118D" w:rsidRPr="003A4F79">
        <w:t xml:space="preserve">learning from </w:t>
      </w:r>
      <w:r w:rsidR="00BF0F0B" w:rsidRPr="003A4F79">
        <w:t>initial</w:t>
      </w:r>
      <w:r w:rsidR="003C019E" w:rsidRPr="003A4F79">
        <w:t xml:space="preserve"> returns</w:t>
      </w:r>
      <w:r w:rsidR="00373C63" w:rsidRPr="003A4F79">
        <w:t xml:space="preserve">, we </w:t>
      </w:r>
      <w:r w:rsidR="003C32EC" w:rsidRPr="003A4F79">
        <w:t xml:space="preserve">run the following piecewise regression by </w:t>
      </w:r>
      <w:r w:rsidR="00AB58E6" w:rsidRPr="003A4F79">
        <w:t>interact</w:t>
      </w:r>
      <w:r w:rsidR="003C32EC" w:rsidRPr="003A4F79">
        <w:t>ing</w:t>
      </w:r>
      <w:r w:rsidR="009B611B" w:rsidRPr="003A4F79">
        <w:t xml:space="preserve"> our</w:t>
      </w:r>
      <w:r w:rsidR="00B84EB4" w:rsidRPr="003A4F79">
        <w:t xml:space="preserve"> initial return </w:t>
      </w:r>
      <w:r w:rsidR="009B611B" w:rsidRPr="003A4F79">
        <w:t>variable</w:t>
      </w:r>
      <w:r w:rsidR="00684811" w:rsidRPr="003A4F79">
        <w:t xml:space="preserve"> </w:t>
      </w:r>
      <w:r w:rsidR="00E47A87" w:rsidRPr="003A4F79">
        <w:t xml:space="preserve">with </w:t>
      </w:r>
      <w:r w:rsidR="00CF2EFB" w:rsidRPr="003A4F79">
        <w:t>a</w:t>
      </w:r>
      <w:r w:rsidR="00AB58E6" w:rsidRPr="003A4F79">
        <w:t xml:space="preserve"> dummy </w:t>
      </w:r>
      <w:r w:rsidR="00B84EB4" w:rsidRPr="003A4F79">
        <w:t xml:space="preserve">variable </w:t>
      </w:r>
      <w:r w:rsidR="00373C63" w:rsidRPr="003A4F79">
        <w:t xml:space="preserve">for </w:t>
      </w:r>
      <w:r w:rsidR="003C32EC" w:rsidRPr="003A4F79">
        <w:t>each</w:t>
      </w:r>
      <w:r w:rsidR="00AB58E6" w:rsidRPr="003A4F79">
        <w:t xml:space="preserve"> </w:t>
      </w:r>
      <w:r w:rsidR="00B84EB4" w:rsidRPr="003A4F79">
        <w:t xml:space="preserve">domain of initial </w:t>
      </w:r>
      <w:r w:rsidR="00AE6E34" w:rsidRPr="003A4F79">
        <w:t>return</w:t>
      </w:r>
      <w:r w:rsidR="00F950A3" w:rsidRPr="003A4F79">
        <w:t>s</w:t>
      </w:r>
      <w:r w:rsidR="00B84EB4" w:rsidRPr="003A4F79">
        <w:t xml:space="preserve"> </w:t>
      </w:r>
      <w:r w:rsidR="009C4708" w:rsidRPr="003A4F79">
        <w:t xml:space="preserve">in </w:t>
      </w:r>
      <w:r w:rsidR="00AC48B0" w:rsidRPr="003A4F79">
        <w:t xml:space="preserve">a </w:t>
      </w:r>
      <w:r w:rsidR="009C4708" w:rsidRPr="003A4F79">
        <w:t xml:space="preserve">regression </w:t>
      </w:r>
      <w:r w:rsidR="00BF10A7" w:rsidRPr="003A4F79">
        <w:t>model</w:t>
      </w:r>
      <w:r w:rsidR="003C019E" w:rsidRPr="003A4F79">
        <w:t xml:space="preserve"> </w:t>
      </w:r>
      <w:r w:rsidR="00844EEA" w:rsidRPr="003A4F79">
        <w:t>otherwise identical</w:t>
      </w:r>
      <w:r w:rsidR="00844EEA" w:rsidRPr="003A4F79" w:rsidDel="00AC48B0">
        <w:t xml:space="preserve"> </w:t>
      </w:r>
      <w:r w:rsidR="00AC48B0" w:rsidRPr="003A4F79">
        <w:t>to</w:t>
      </w:r>
      <w:r w:rsidR="003C019E" w:rsidRPr="003A4F79">
        <w:t xml:space="preserve"> Equation </w:t>
      </w:r>
      <w:r w:rsidR="00705D74" w:rsidRPr="003A4F79">
        <w:t>(</w:t>
      </w:r>
      <w:r w:rsidR="00E43E40" w:rsidRPr="003A4F79">
        <w:t>4</w:t>
      </w:r>
      <w:r w:rsidR="00705D74" w:rsidRPr="003A4F79">
        <w:t>)</w:t>
      </w:r>
      <w:r w:rsidR="00F15D14" w:rsidRPr="003A4F79">
        <w:t>:</w:t>
      </w:r>
    </w:p>
    <w:p w14:paraId="0C93DACE" w14:textId="7236AFEF" w:rsidR="00EC1820" w:rsidRPr="003A4F79" w:rsidRDefault="00EC1820" w:rsidP="00290F9F">
      <w:pPr>
        <w:pStyle w:val="Equations"/>
        <w:ind w:left="851"/>
        <w:rPr>
          <w:noProof/>
          <w:lang w:eastAsia="en-GB"/>
        </w:rPr>
      </w:pPr>
      <w:r w:rsidRPr="003A4F79">
        <w:rPr>
          <w:i/>
        </w:rPr>
        <w:lastRenderedPageBreak/>
        <w:t>Logit(Re-entry</w:t>
      </w:r>
      <w:r w:rsidRPr="003A4F79">
        <w:rPr>
          <w:i/>
          <w:vertAlign w:val="subscript"/>
        </w:rPr>
        <w:t>i,t</w:t>
      </w:r>
      <w:r w:rsidRPr="003A4F79">
        <w:rPr>
          <w:i/>
        </w:rPr>
        <w:t>)</w:t>
      </w:r>
      <w:r w:rsidRPr="003A4F79">
        <w:rPr>
          <w:i/>
          <w:vertAlign w:val="subscript"/>
        </w:rPr>
        <w:t xml:space="preserve"> </w:t>
      </w:r>
      <w:r w:rsidRPr="003A4F79">
        <w:rPr>
          <w:i/>
        </w:rPr>
        <w:t>=  β</w:t>
      </w:r>
      <w:r w:rsidRPr="003A4F79">
        <w:rPr>
          <w:i/>
          <w:vertAlign w:val="subscript"/>
        </w:rPr>
        <w:t>0</w:t>
      </w:r>
      <w:r w:rsidRPr="003A4F79">
        <w:rPr>
          <w:i/>
        </w:rPr>
        <w:t xml:space="preserve"> + β</w:t>
      </w:r>
      <w:r w:rsidRPr="003A4F79">
        <w:rPr>
          <w:i/>
          <w:vertAlign w:val="subscript"/>
        </w:rPr>
        <w:t>1</w:t>
      </w:r>
      <w:r w:rsidRPr="003A4F79">
        <w:rPr>
          <w:i/>
        </w:rPr>
        <w:t>IniRet</w:t>
      </w:r>
      <w:r w:rsidRPr="003A4F79">
        <w:rPr>
          <w:i/>
          <w:vertAlign w:val="subscript"/>
        </w:rPr>
        <w:t>i</w:t>
      </w:r>
      <w:r w:rsidR="00844EEA" w:rsidRPr="003A4F79">
        <w:rPr>
          <w:i/>
          <w:vertAlign w:val="subscript"/>
        </w:rPr>
        <w:t xml:space="preserve"> </w:t>
      </w:r>
      <w:r w:rsidRPr="003A4F79">
        <w:rPr>
          <w:i/>
        </w:rPr>
        <w:t>×</w:t>
      </w:r>
      <w:r w:rsidR="00844EEA" w:rsidRPr="003A4F79">
        <w:rPr>
          <w:i/>
        </w:rPr>
        <w:t xml:space="preserve"> </w:t>
      </w:r>
      <w:r w:rsidRPr="003A4F79">
        <w:rPr>
          <w:i/>
        </w:rPr>
        <w:t>I(IniRet</w:t>
      </w:r>
      <w:r w:rsidRPr="003A4F79">
        <w:rPr>
          <w:i/>
          <w:vertAlign w:val="subscript"/>
        </w:rPr>
        <w:t xml:space="preserve">i </w:t>
      </w:r>
      <m:oMath>
        <m:r>
          <w:rPr>
            <w:rFonts w:ascii="Cambria Math" w:hAnsi="Cambria Math"/>
          </w:rPr>
          <m:t>≥</m:t>
        </m:r>
      </m:oMath>
      <w:r w:rsidRPr="003A4F79">
        <w:rPr>
          <w:i/>
        </w:rPr>
        <w:t xml:space="preserve"> 0)</w:t>
      </w:r>
      <w:r w:rsidR="00BC04A9" w:rsidRPr="003A4F79">
        <w:rPr>
          <w:i/>
        </w:rPr>
        <w:t xml:space="preserve"> +</w:t>
      </w:r>
      <w:r w:rsidR="00AC2E9F" w:rsidRPr="003A4F79">
        <w:rPr>
          <w:i/>
        </w:rPr>
        <w:t xml:space="preserve"> β</w:t>
      </w:r>
      <w:r w:rsidR="00AC2E9F" w:rsidRPr="003A4F79">
        <w:rPr>
          <w:i/>
          <w:vertAlign w:val="subscript"/>
        </w:rPr>
        <w:t>2</w:t>
      </w:r>
      <w:r w:rsidR="00AC2E9F" w:rsidRPr="003A4F79">
        <w:rPr>
          <w:i/>
        </w:rPr>
        <w:t>IniRet</w:t>
      </w:r>
      <w:r w:rsidR="00AC2E9F" w:rsidRPr="003A4F79">
        <w:rPr>
          <w:i/>
          <w:vertAlign w:val="subscript"/>
        </w:rPr>
        <w:t>i</w:t>
      </w:r>
      <w:r w:rsidR="00844EEA" w:rsidRPr="003A4F79">
        <w:rPr>
          <w:i/>
          <w:vertAlign w:val="subscript"/>
        </w:rPr>
        <w:t xml:space="preserve"> </w:t>
      </w:r>
      <w:r w:rsidR="00AC2E9F" w:rsidRPr="003A4F79">
        <w:rPr>
          <w:i/>
        </w:rPr>
        <w:t>×</w:t>
      </w:r>
      <w:r w:rsidR="00844EEA" w:rsidRPr="003A4F79">
        <w:rPr>
          <w:i/>
        </w:rPr>
        <w:t xml:space="preserve"> </w:t>
      </w:r>
      <w:r w:rsidR="00AC2E9F" w:rsidRPr="003A4F79">
        <w:rPr>
          <w:i/>
        </w:rPr>
        <w:t>I(IniRet</w:t>
      </w:r>
      <w:r w:rsidR="00AC2E9F" w:rsidRPr="003A4F79">
        <w:rPr>
          <w:i/>
          <w:vertAlign w:val="subscript"/>
        </w:rPr>
        <w:t xml:space="preserve">i </w:t>
      </w:r>
      <m:oMath>
        <m:r>
          <w:rPr>
            <w:rFonts w:ascii="Cambria Math" w:hAnsi="Cambria Math"/>
          </w:rPr>
          <m:t>&lt;</m:t>
        </m:r>
      </m:oMath>
      <w:r w:rsidR="00AC2E9F" w:rsidRPr="003A4F79">
        <w:rPr>
          <w:i/>
        </w:rPr>
        <w:t>0)</w:t>
      </w:r>
      <w:r w:rsidR="00844EEA" w:rsidRPr="003A4F79">
        <w:rPr>
          <w:i/>
        </w:rPr>
        <w:t xml:space="preserve"> </w:t>
      </w:r>
      <w:r w:rsidRPr="003A4F79">
        <w:rPr>
          <w:i/>
        </w:rPr>
        <w:t>+ β</w:t>
      </w:r>
      <w:r w:rsidR="000A40ED" w:rsidRPr="003A4F79">
        <w:rPr>
          <w:i/>
          <w:vertAlign w:val="subscript"/>
        </w:rPr>
        <w:t>3</w:t>
      </w:r>
      <w:r w:rsidRPr="003A4F79">
        <w:rPr>
          <w:i/>
        </w:rPr>
        <w:t>AllRet</w:t>
      </w:r>
      <w:r w:rsidRPr="003A4F79">
        <w:rPr>
          <w:i/>
          <w:vertAlign w:val="subscript"/>
        </w:rPr>
        <w:t>i</w:t>
      </w:r>
      <w:r w:rsidRPr="003A4F79">
        <w:rPr>
          <w:i/>
        </w:rPr>
        <w:t xml:space="preserve"> + β</w:t>
      </w:r>
      <w:r w:rsidR="000A40ED" w:rsidRPr="003A4F79">
        <w:rPr>
          <w:i/>
          <w:vertAlign w:val="subscript"/>
        </w:rPr>
        <w:t>4</w:t>
      </w:r>
      <w:r w:rsidRPr="003A4F79">
        <w:rPr>
          <w:i/>
        </w:rPr>
        <w:t>DurAway</w:t>
      </w:r>
      <w:r w:rsidRPr="003A4F79">
        <w:rPr>
          <w:i/>
          <w:vertAlign w:val="subscript"/>
        </w:rPr>
        <w:t>i,t</w:t>
      </w:r>
      <w:r w:rsidRPr="003A4F79">
        <w:rPr>
          <w:i/>
        </w:rPr>
        <w:t xml:space="preserve"> +</w:t>
      </w:r>
      <w:r w:rsidRPr="003A4F79">
        <w:rPr>
          <w:b/>
          <w:i/>
        </w:rPr>
        <w:t xml:space="preserve"> </w:t>
      </w:r>
      <w:r w:rsidRPr="003A4F79">
        <w:rPr>
          <w:i/>
        </w:rPr>
        <w:t>β</w:t>
      </w:r>
      <w:r w:rsidR="000A40ED" w:rsidRPr="003A4F79">
        <w:rPr>
          <w:i/>
          <w:vertAlign w:val="subscript"/>
        </w:rPr>
        <w:t>5</w:t>
      </w:r>
      <w:r w:rsidRPr="003A4F79">
        <w:rPr>
          <w:i/>
        </w:rPr>
        <w:t>Controls</w:t>
      </w:r>
      <w:r w:rsidR="00EB495F" w:rsidRPr="003A4F79">
        <w:rPr>
          <w:i/>
          <w:vertAlign w:val="subscript"/>
        </w:rPr>
        <w:t>i,t</w:t>
      </w:r>
      <w:r w:rsidRPr="003A4F79">
        <w:rPr>
          <w:i/>
        </w:rPr>
        <w:t xml:space="preserve"> + (investment</w:t>
      </w:r>
      <w:r w:rsidR="004C2C00" w:rsidRPr="003A4F79">
        <w:rPr>
          <w:i/>
        </w:rPr>
        <w:t>-</w:t>
      </w:r>
      <w:r w:rsidRPr="003A4F79">
        <w:rPr>
          <w:i/>
        </w:rPr>
        <w:t>size fixed effect)</w:t>
      </w:r>
      <w:r w:rsidR="00844EEA" w:rsidRPr="003A4F79">
        <w:rPr>
          <w:i/>
        </w:rPr>
        <w:t xml:space="preserve"> </w:t>
      </w:r>
      <w:r w:rsidRPr="003A4F79">
        <w:rPr>
          <w:i/>
        </w:rPr>
        <w:t>+</w:t>
      </w:r>
      <w:r w:rsidR="00844EEA" w:rsidRPr="003A4F79">
        <w:rPr>
          <w:i/>
        </w:rPr>
        <w:t xml:space="preserve"> </w:t>
      </w:r>
      <w:r w:rsidRPr="003A4F79">
        <w:rPr>
          <w:i/>
        </w:rPr>
        <w:t>(zip-code fixed effect)</w:t>
      </w:r>
      <w:r w:rsidR="00844EEA" w:rsidRPr="003A4F79">
        <w:rPr>
          <w:i/>
        </w:rPr>
        <w:t xml:space="preserve"> </w:t>
      </w:r>
      <w:r w:rsidRPr="003A4F79">
        <w:rPr>
          <w:i/>
        </w:rPr>
        <w:t>+</w:t>
      </w:r>
      <w:r w:rsidR="00844EEA" w:rsidRPr="003A4F79">
        <w:rPr>
          <w:i/>
        </w:rPr>
        <w:t xml:space="preserve"> </w:t>
      </w:r>
      <w:r w:rsidRPr="003A4F79">
        <w:rPr>
          <w:i/>
        </w:rPr>
        <w:t>(exit</w:t>
      </w:r>
      <w:r w:rsidR="004C2C00" w:rsidRPr="003A4F79">
        <w:rPr>
          <w:i/>
        </w:rPr>
        <w:t>-</w:t>
      </w:r>
      <w:r w:rsidRPr="003A4F79">
        <w:rPr>
          <w:i/>
        </w:rPr>
        <w:t>month fixed effect)</w:t>
      </w:r>
      <w:r w:rsidR="00844EEA" w:rsidRPr="003A4F79">
        <w:rPr>
          <w:i/>
        </w:rPr>
        <w:t xml:space="preserve"> </w:t>
      </w:r>
      <w:r w:rsidR="00C0509C" w:rsidRPr="003A4F79">
        <w:rPr>
          <w:i/>
        </w:rPr>
        <w:t>+ (time fixed effect)</w:t>
      </w:r>
      <w:r w:rsidRPr="003A4F79">
        <w:rPr>
          <w:i/>
        </w:rPr>
        <w:t>+</w:t>
      </w:r>
      <m:oMath>
        <m:r>
          <w:rPr>
            <w:rFonts w:ascii="Cambria Math" w:hAnsi="Cambria Math"/>
          </w:rPr>
          <m:t xml:space="preserve"> </m:t>
        </m:r>
        <m:sSub>
          <m:sSubPr>
            <m:ctrlPr>
              <w:rPr>
                <w:rFonts w:ascii="Cambria Math" w:hAnsi="Cambria Math"/>
                <w:i/>
              </w:rPr>
            </m:ctrlPr>
          </m:sSubPr>
          <m:e>
            <m:r>
              <w:rPr>
                <w:rFonts w:ascii="Cambria Math" w:hAnsi="Cambria Math" w:hint="eastAsia"/>
              </w:rPr>
              <m:t>ϵ</m:t>
            </m:r>
          </m:e>
          <m:sub>
            <m:r>
              <w:rPr>
                <w:rFonts w:ascii="Cambria Math" w:hAnsi="Cambria Math" w:hint="eastAsia"/>
              </w:rPr>
              <m:t>i</m:t>
            </m:r>
            <m:r>
              <w:rPr>
                <w:rFonts w:ascii="Cambria Math" w:hAnsi="Cambria Math"/>
              </w:rPr>
              <m:t>,t</m:t>
            </m:r>
          </m:sub>
        </m:sSub>
      </m:oMath>
      <w:r w:rsidR="00844EEA" w:rsidRPr="003A4F79">
        <w:tab/>
      </w:r>
      <w:r w:rsidR="00844EEA" w:rsidRPr="003A4F79">
        <w:tab/>
      </w:r>
      <w:r w:rsidR="00844EEA" w:rsidRPr="003A4F79">
        <w:tab/>
      </w:r>
      <w:r w:rsidR="00844EEA" w:rsidRPr="003A4F79">
        <w:tab/>
      </w:r>
      <w:r w:rsidR="00844EEA" w:rsidRPr="003A4F79">
        <w:tab/>
      </w:r>
      <w:r w:rsidR="00844EEA" w:rsidRPr="003A4F79">
        <w:tab/>
      </w:r>
      <w:r w:rsidRPr="003A4F79">
        <w:t>(</w:t>
      </w:r>
      <w:r w:rsidR="00AC3C43" w:rsidRPr="003A4F79">
        <w:t>5</w:t>
      </w:r>
      <w:r w:rsidRPr="003A4F79">
        <w:t>)</w:t>
      </w:r>
    </w:p>
    <w:p w14:paraId="5D12E75C" w14:textId="232182BB" w:rsidR="00FA2F05" w:rsidRPr="003A4F79" w:rsidRDefault="004D3C39" w:rsidP="00290F9F">
      <w:pPr>
        <w:pStyle w:val="NoIndentNormal"/>
      </w:pPr>
      <w:r w:rsidRPr="003A4F79">
        <w:rPr>
          <w:i/>
        </w:rPr>
        <w:t xml:space="preserve">I(·) </w:t>
      </w:r>
      <w:r w:rsidRPr="003A4F79">
        <w:t>is the indicator function</w:t>
      </w:r>
      <w:r w:rsidR="00AC48B0" w:rsidRPr="003A4F79">
        <w:t>,</w:t>
      </w:r>
      <w:r w:rsidRPr="003A4F79">
        <w:t xml:space="preserve"> where </w:t>
      </w:r>
      <w:r w:rsidRPr="003A4F79">
        <w:rPr>
          <w:i/>
        </w:rPr>
        <w:t>I(</w:t>
      </w:r>
      <w:r w:rsidR="002F4A62" w:rsidRPr="003A4F79">
        <w:rPr>
          <w:i/>
        </w:rPr>
        <w:t>IniR</w:t>
      </w:r>
      <w:r w:rsidRPr="003A4F79">
        <w:rPr>
          <w:i/>
        </w:rPr>
        <w:t>et</w:t>
      </w:r>
      <w:r w:rsidRPr="003A4F79">
        <w:rPr>
          <w:i/>
          <w:vertAlign w:val="subscript"/>
        </w:rPr>
        <w:t xml:space="preserve"> </w:t>
      </w:r>
      <m:oMath>
        <m:r>
          <m:rPr>
            <m:sty m:val="p"/>
          </m:rPr>
          <w:rPr>
            <w:rFonts w:ascii="Cambria Math" w:hAnsi="Cambria Math"/>
          </w:rPr>
          <m:t>≥</m:t>
        </m:r>
      </m:oMath>
      <w:r w:rsidRPr="003A4F79">
        <w:rPr>
          <w:i/>
        </w:rPr>
        <w:t xml:space="preserve"> 0) </w:t>
      </w:r>
      <w:r w:rsidRPr="003A4F79">
        <w:t xml:space="preserve">takes </w:t>
      </w:r>
      <w:r w:rsidR="00AC48B0" w:rsidRPr="003A4F79">
        <w:t xml:space="preserve">a </w:t>
      </w:r>
      <w:r w:rsidRPr="003A4F79">
        <w:t xml:space="preserve">value </w:t>
      </w:r>
      <w:r w:rsidR="006A08FE" w:rsidRPr="003A4F79">
        <w:t>of 1</w:t>
      </w:r>
      <w:r w:rsidRPr="003A4F79">
        <w:t xml:space="preserve"> if the </w:t>
      </w:r>
      <w:r w:rsidR="00FA6A8A" w:rsidRPr="003A4F79">
        <w:t>initial</w:t>
      </w:r>
      <w:r w:rsidRPr="003A4F79">
        <w:t xml:space="preserve"> return is </w:t>
      </w:r>
      <w:r w:rsidR="008101A7" w:rsidRPr="003A4F79">
        <w:t>zero or positive</w:t>
      </w:r>
      <w:r w:rsidR="006A08FE" w:rsidRPr="003A4F79">
        <w:t>,</w:t>
      </w:r>
      <w:r w:rsidRPr="003A4F79">
        <w:t xml:space="preserve"> and</w:t>
      </w:r>
      <w:r w:rsidR="006A08FE" w:rsidRPr="003A4F79">
        <w:t xml:space="preserve"> 0 </w:t>
      </w:r>
      <w:r w:rsidRPr="003A4F79">
        <w:t xml:space="preserve">otherwise. </w:t>
      </w:r>
      <w:r w:rsidR="00A148ED" w:rsidRPr="003A4F79">
        <w:t>The coefficients of inte</w:t>
      </w:r>
      <w:r w:rsidR="005D7951" w:rsidRPr="003A4F79">
        <w:t>rest</w:t>
      </w:r>
      <w:r w:rsidR="009E4992" w:rsidRPr="003A4F79">
        <w:t xml:space="preserve"> </w:t>
      </w:r>
      <w:r w:rsidR="00D40FB8" w:rsidRPr="003A4F79">
        <w:t>are</w:t>
      </w:r>
      <w:r w:rsidR="005D7951" w:rsidRPr="003A4F79">
        <w:t xml:space="preserve"> </w:t>
      </w:r>
      <w:r w:rsidR="005D7951" w:rsidRPr="003A4F79">
        <w:rPr>
          <w:i/>
        </w:rPr>
        <w:t>β</w:t>
      </w:r>
      <w:r w:rsidR="005D7951" w:rsidRPr="003A4F79">
        <w:rPr>
          <w:i/>
          <w:vertAlign w:val="subscript"/>
        </w:rPr>
        <w:t>1</w:t>
      </w:r>
      <w:r w:rsidR="00D16AED" w:rsidRPr="003A4F79">
        <w:rPr>
          <w:i/>
          <w:vertAlign w:val="subscript"/>
        </w:rPr>
        <w:t xml:space="preserve"> </w:t>
      </w:r>
      <w:r w:rsidR="00D16AED" w:rsidRPr="003A4F79">
        <w:t xml:space="preserve">and </w:t>
      </w:r>
      <w:r w:rsidR="00D16AED" w:rsidRPr="003A4F79">
        <w:rPr>
          <w:i/>
        </w:rPr>
        <w:t>β</w:t>
      </w:r>
      <w:r w:rsidR="00D16AED" w:rsidRPr="003A4F79">
        <w:rPr>
          <w:i/>
          <w:vertAlign w:val="subscript"/>
        </w:rPr>
        <w:t>2</w:t>
      </w:r>
      <w:r w:rsidR="000F6AD8" w:rsidRPr="003A4F79">
        <w:t>,</w:t>
      </w:r>
      <w:r w:rsidR="00CD1F1B" w:rsidRPr="003A4F79">
        <w:rPr>
          <w:i/>
          <w:vertAlign w:val="subscript"/>
        </w:rPr>
        <w:t xml:space="preserve"> </w:t>
      </w:r>
      <w:r w:rsidR="0015076A" w:rsidRPr="003A4F79">
        <w:t>which</w:t>
      </w:r>
      <w:r w:rsidR="00CD1F1B" w:rsidRPr="003A4F79">
        <w:t xml:space="preserve"> </w:t>
      </w:r>
      <w:r w:rsidR="00AC48B0" w:rsidRPr="003A4F79">
        <w:t>provide information on</w:t>
      </w:r>
      <w:r w:rsidR="006F7AD2" w:rsidRPr="003A4F79">
        <w:t xml:space="preserve"> </w:t>
      </w:r>
      <w:r w:rsidR="00AC48B0" w:rsidRPr="003A4F79">
        <w:t xml:space="preserve">the </w:t>
      </w:r>
      <w:r w:rsidR="00363B15" w:rsidRPr="003A4F79">
        <w:t xml:space="preserve">domain (loss </w:t>
      </w:r>
      <w:r w:rsidR="00AC48B0" w:rsidRPr="003A4F79">
        <w:t>versus</w:t>
      </w:r>
      <w:r w:rsidR="00363B15" w:rsidRPr="003A4F79">
        <w:t xml:space="preserve"> gain) </w:t>
      </w:r>
      <w:r w:rsidR="00CC7A31" w:rsidRPr="003A4F79">
        <w:t xml:space="preserve">in which </w:t>
      </w:r>
      <w:r w:rsidR="005D7951" w:rsidRPr="003A4F79">
        <w:t xml:space="preserve">the </w:t>
      </w:r>
      <w:r w:rsidR="00023B82" w:rsidRPr="003A4F79">
        <w:t>hazard</w:t>
      </w:r>
      <w:r w:rsidR="005D7951" w:rsidRPr="003A4F79">
        <w:t xml:space="preserve"> rate</w:t>
      </w:r>
      <w:r w:rsidR="00023B82" w:rsidRPr="003A4F79">
        <w:t xml:space="preserve"> of re-entry</w:t>
      </w:r>
      <w:r w:rsidR="00363B15" w:rsidRPr="003A4F79">
        <w:t xml:space="preserve"> is more sensitive</w:t>
      </w:r>
      <w:r w:rsidR="005D7951" w:rsidRPr="003A4F79">
        <w:t xml:space="preserve"> </w:t>
      </w:r>
      <w:r w:rsidR="009C2131" w:rsidRPr="003A4F79">
        <w:t>to i</w:t>
      </w:r>
      <w:r w:rsidR="00FA6A8A" w:rsidRPr="003A4F79">
        <w:t>nitial</w:t>
      </w:r>
      <w:r w:rsidR="005D7951" w:rsidRPr="003A4F79">
        <w:t xml:space="preserve"> returns.</w:t>
      </w:r>
    </w:p>
    <w:p w14:paraId="1ADB8022" w14:textId="58AC0079" w:rsidR="007362DA" w:rsidRPr="003A4F79" w:rsidRDefault="007362DA" w:rsidP="00290F9F">
      <w:pPr>
        <w:pStyle w:val="InsertInstruct"/>
      </w:pPr>
      <w:r w:rsidRPr="003A4F79">
        <w:t xml:space="preserve">[Insert Table </w:t>
      </w:r>
      <w:r w:rsidR="00E311F4" w:rsidRPr="003A4F79">
        <w:t>7</w:t>
      </w:r>
      <w:r w:rsidR="00302801" w:rsidRPr="003A4F79">
        <w:t xml:space="preserve"> </w:t>
      </w:r>
      <w:r w:rsidRPr="003A4F79">
        <w:t>here]</w:t>
      </w:r>
    </w:p>
    <w:p w14:paraId="20CBF1B6" w14:textId="44914A5E" w:rsidR="00A16F53" w:rsidRPr="003A4F79" w:rsidRDefault="00E32822">
      <w:r w:rsidRPr="003A4F79">
        <w:t>The results</w:t>
      </w:r>
      <w:r w:rsidR="00CC7A31" w:rsidRPr="003A4F79">
        <w:t xml:space="preserve"> provided</w:t>
      </w:r>
      <w:r w:rsidRPr="003A4F79">
        <w:t xml:space="preserve"> </w:t>
      </w:r>
      <w:r w:rsidR="00C24ADF" w:rsidRPr="003A4F79">
        <w:t>i</w:t>
      </w:r>
      <w:r w:rsidRPr="003A4F79">
        <w:t>n</w:t>
      </w:r>
      <w:r w:rsidR="007362DA" w:rsidRPr="003A4F79">
        <w:t xml:space="preserve"> </w:t>
      </w:r>
      <w:r w:rsidRPr="003A4F79">
        <w:t>Table</w:t>
      </w:r>
      <w:r w:rsidR="00C4500F" w:rsidRPr="003A4F79">
        <w:t xml:space="preserve"> </w:t>
      </w:r>
      <w:r w:rsidR="00E311F4" w:rsidRPr="003A4F79">
        <w:t>7</w:t>
      </w:r>
      <w:r w:rsidR="00DA407D" w:rsidRPr="003A4F79">
        <w:t xml:space="preserve"> </w:t>
      </w:r>
      <w:r w:rsidR="000A40ED" w:rsidRPr="003A4F79">
        <w:t>show</w:t>
      </w:r>
      <w:r w:rsidRPr="003A4F79">
        <w:t xml:space="preserve"> that </w:t>
      </w:r>
      <w:r w:rsidRPr="003A4F79">
        <w:rPr>
          <w:i/>
        </w:rPr>
        <w:t>β</w:t>
      </w:r>
      <w:r w:rsidRPr="003A4F79">
        <w:rPr>
          <w:i/>
          <w:vertAlign w:val="subscript"/>
        </w:rPr>
        <w:t>1</w:t>
      </w:r>
      <w:r w:rsidRPr="003A4F79">
        <w:t xml:space="preserve"> is </w:t>
      </w:r>
      <w:r w:rsidR="00397C2C" w:rsidRPr="003A4F79">
        <w:t>positive and statistically significant</w:t>
      </w:r>
      <w:r w:rsidR="00CC7A31" w:rsidRPr="003A4F79">
        <w:t>,</w:t>
      </w:r>
      <w:r w:rsidR="00397C2C" w:rsidRPr="003A4F79">
        <w:t xml:space="preserve"> whereas </w:t>
      </w:r>
      <w:r w:rsidR="008D7FFC" w:rsidRPr="003A4F79">
        <w:rPr>
          <w:i/>
        </w:rPr>
        <w:t>β</w:t>
      </w:r>
      <w:r w:rsidR="008D7FFC" w:rsidRPr="003A4F79">
        <w:rPr>
          <w:i/>
          <w:vertAlign w:val="subscript"/>
        </w:rPr>
        <w:t xml:space="preserve">2 </w:t>
      </w:r>
      <w:r w:rsidR="00CC283D" w:rsidRPr="003A4F79">
        <w:t xml:space="preserve">is insignificant, suggesting </w:t>
      </w:r>
      <w:r w:rsidR="00D72EC1" w:rsidRPr="003A4F79">
        <w:t xml:space="preserve">that </w:t>
      </w:r>
      <w:r w:rsidR="00CC283D" w:rsidRPr="003A4F79">
        <w:t xml:space="preserve">the influence of initial returns is salient when </w:t>
      </w:r>
      <w:r w:rsidR="00844EEA" w:rsidRPr="003A4F79">
        <w:t>they</w:t>
      </w:r>
      <w:r w:rsidR="00CC283D" w:rsidRPr="003A4F79">
        <w:t xml:space="preserve"> are positive. </w:t>
      </w:r>
      <w:r w:rsidR="00193479" w:rsidRPr="003A4F79">
        <w:t>S</w:t>
      </w:r>
      <w:r w:rsidR="00FE2C6E" w:rsidRPr="003A4F79">
        <w:t xml:space="preserve">pecifically, </w:t>
      </w:r>
      <w:r w:rsidR="006C0CC2" w:rsidRPr="003A4F79">
        <w:t xml:space="preserve">the odds ratio ranging from 1.58 to 1.91 is interpreted as </w:t>
      </w:r>
      <w:r w:rsidR="00CC7A31" w:rsidRPr="003A4F79">
        <w:t>a one-standard-</w:t>
      </w:r>
      <w:r w:rsidR="0035158A" w:rsidRPr="003A4F79">
        <w:t xml:space="preserve">deviation increase in </w:t>
      </w:r>
      <w:r w:rsidR="00FE2C6E" w:rsidRPr="003A4F79">
        <w:rPr>
          <w:i/>
        </w:rPr>
        <w:t>IniR</w:t>
      </w:r>
      <w:r w:rsidR="0035158A" w:rsidRPr="003A4F79">
        <w:rPr>
          <w:i/>
        </w:rPr>
        <w:t>et</w:t>
      </w:r>
      <w:r w:rsidR="0035158A" w:rsidRPr="003A4F79">
        <w:t xml:space="preserve"> </w:t>
      </w:r>
      <w:r w:rsidR="00755CA6" w:rsidRPr="003A4F79">
        <w:t xml:space="preserve">gains </w:t>
      </w:r>
      <w:r w:rsidR="00844EEA" w:rsidRPr="003A4F79">
        <w:t xml:space="preserve">(nine percentage points) </w:t>
      </w:r>
      <w:r w:rsidR="00003F8F" w:rsidRPr="003A4F79">
        <w:t>being</w:t>
      </w:r>
      <w:r w:rsidR="0099496B" w:rsidRPr="003A4F79">
        <w:t xml:space="preserve"> associated with </w:t>
      </w:r>
      <w:r w:rsidR="0042318C" w:rsidRPr="003A4F79">
        <w:t>an</w:t>
      </w:r>
      <w:r w:rsidR="00CC7A31" w:rsidRPr="003A4F79">
        <w:t xml:space="preserve"> approximately </w:t>
      </w:r>
      <w:r w:rsidR="00003F8F" w:rsidRPr="003A4F79">
        <w:t xml:space="preserve">four to six </w:t>
      </w:r>
      <w:r w:rsidR="00CC7A31" w:rsidRPr="003A4F79">
        <w:t>percent</w:t>
      </w:r>
      <w:r w:rsidR="0099496B" w:rsidRPr="003A4F79">
        <w:t xml:space="preserve"> increase in </w:t>
      </w:r>
      <w:r w:rsidR="003165E1" w:rsidRPr="003A4F79">
        <w:t xml:space="preserve">the </w:t>
      </w:r>
      <w:r w:rsidR="001472F6" w:rsidRPr="003A4F79">
        <w:t xml:space="preserve">hazard probability </w:t>
      </w:r>
      <w:r w:rsidR="003165E1" w:rsidRPr="003A4F79">
        <w:t>of re-entry</w:t>
      </w:r>
      <w:r w:rsidR="0099496B" w:rsidRPr="003A4F79">
        <w:t>.</w:t>
      </w:r>
      <w:r w:rsidR="00DC5FA7" w:rsidRPr="003A4F79">
        <w:t xml:space="preserve"> </w:t>
      </w:r>
      <w:r w:rsidR="00EC2081" w:rsidRPr="003A4F79">
        <w:t>Our</w:t>
      </w:r>
      <w:r w:rsidR="00D36E28" w:rsidRPr="003A4F79">
        <w:t xml:space="preserve"> finding</w:t>
      </w:r>
      <w:r w:rsidR="00501D65" w:rsidRPr="003A4F79">
        <w:t xml:space="preserve"> on individuals</w:t>
      </w:r>
      <w:r w:rsidR="00CC7A31" w:rsidRPr="003A4F79">
        <w:t>’</w:t>
      </w:r>
      <w:r w:rsidR="00501D65" w:rsidRPr="003A4F79">
        <w:t xml:space="preserve"> </w:t>
      </w:r>
      <w:r w:rsidR="00EC2081" w:rsidRPr="003A4F79">
        <w:t xml:space="preserve">asymmetric </w:t>
      </w:r>
      <w:r w:rsidR="00501D65" w:rsidRPr="003A4F79">
        <w:t>learning behavio</w:t>
      </w:r>
      <w:r w:rsidR="0062481E" w:rsidRPr="003A4F79">
        <w:t>u</w:t>
      </w:r>
      <w:r w:rsidR="00501D65" w:rsidRPr="003A4F79">
        <w:t>r</w:t>
      </w:r>
      <w:r w:rsidR="00D36E28" w:rsidRPr="003A4F79">
        <w:t xml:space="preserve"> </w:t>
      </w:r>
      <w:r w:rsidR="001D732C" w:rsidRPr="003A4F79">
        <w:t xml:space="preserve">is </w:t>
      </w:r>
      <w:r w:rsidR="0072029E" w:rsidRPr="003A4F79">
        <w:t>consistent with</w:t>
      </w:r>
      <w:r w:rsidR="00D60A5D" w:rsidRPr="003A4F79">
        <w:t xml:space="preserve"> the prediction of </w:t>
      </w:r>
      <w:r w:rsidR="00CC7A31" w:rsidRPr="003A4F79">
        <w:t>the</w:t>
      </w:r>
      <w:r w:rsidR="00D60A5D" w:rsidRPr="003A4F79">
        <w:t xml:space="preserve"> </w:t>
      </w:r>
      <w:r w:rsidR="00D60A5D" w:rsidRPr="003A4F79">
        <w:rPr>
          <w:i/>
        </w:rPr>
        <w:t>self-attribution</w:t>
      </w:r>
      <w:r w:rsidR="00D60A5D" w:rsidRPr="003A4F79">
        <w:t xml:space="preserve"> </w:t>
      </w:r>
      <w:r w:rsidR="00CC7A31" w:rsidRPr="003A4F79">
        <w:t xml:space="preserve">model </w:t>
      </w:r>
      <w:r w:rsidR="00D60A5D" w:rsidRPr="003A4F79">
        <w:t>(</w:t>
      </w:r>
      <w:r w:rsidR="00406225" w:rsidRPr="003A4F79">
        <w:t>Daniel, Hirshleifer, and Subrahmany</w:t>
      </w:r>
      <w:r w:rsidR="005A7F60" w:rsidRPr="003A4F79">
        <w:t>a</w:t>
      </w:r>
      <w:r w:rsidR="00406225" w:rsidRPr="003A4F79">
        <w:t>m</w:t>
      </w:r>
      <w:r w:rsidR="00D60A5D" w:rsidRPr="003A4F79">
        <w:t xml:space="preserve">, 1998; Gervais and Odean, 2001) </w:t>
      </w:r>
      <w:r w:rsidR="00CC7A31" w:rsidRPr="003A4F79">
        <w:t>for</w:t>
      </w:r>
      <w:r w:rsidR="00D60A5D" w:rsidRPr="003A4F79">
        <w:t xml:space="preserve"> individuals</w:t>
      </w:r>
      <w:r w:rsidR="00CC7A31" w:rsidRPr="003A4F79">
        <w:t>’</w:t>
      </w:r>
      <w:r w:rsidR="00D60A5D" w:rsidRPr="003A4F79">
        <w:t xml:space="preserve"> decision</w:t>
      </w:r>
      <w:r w:rsidR="00CC7A31" w:rsidRPr="003A4F79">
        <w:t xml:space="preserve"> </w:t>
      </w:r>
      <w:r w:rsidR="00D60A5D" w:rsidRPr="003A4F79">
        <w:t>making: individual</w:t>
      </w:r>
      <w:r w:rsidR="00CC7A31" w:rsidRPr="003A4F79">
        <w:t>s</w:t>
      </w:r>
      <w:r w:rsidR="00D60A5D" w:rsidRPr="003A4F79">
        <w:t xml:space="preserve"> </w:t>
      </w:r>
      <w:r w:rsidR="00CC7A31" w:rsidRPr="003A4F79">
        <w:t>tend</w:t>
      </w:r>
      <w:r w:rsidR="00D60A5D" w:rsidRPr="003A4F79">
        <w:t xml:space="preserve"> to attribute successes to </w:t>
      </w:r>
      <w:r w:rsidR="00CC7A31" w:rsidRPr="003A4F79">
        <w:t xml:space="preserve">their </w:t>
      </w:r>
      <w:r w:rsidR="00D60A5D" w:rsidRPr="003A4F79">
        <w:t xml:space="preserve">own skill but ascribe failures to bad luck. </w:t>
      </w:r>
      <w:r w:rsidR="00CC7A31" w:rsidRPr="003A4F79">
        <w:t>In other words</w:t>
      </w:r>
      <w:r w:rsidR="00C57F1C" w:rsidRPr="003A4F79">
        <w:t xml:space="preserve">, </w:t>
      </w:r>
      <w:r w:rsidR="00D60A5D" w:rsidRPr="003A4F79">
        <w:t xml:space="preserve">positive returns </w:t>
      </w:r>
      <w:r w:rsidR="00CC7A31" w:rsidRPr="003A4F79">
        <w:t xml:space="preserve">give </w:t>
      </w:r>
      <w:r w:rsidR="00D60A5D" w:rsidRPr="003A4F79">
        <w:t>investor</w:t>
      </w:r>
      <w:r w:rsidR="00F276DE" w:rsidRPr="003A4F79">
        <w:t>s</w:t>
      </w:r>
      <w:r w:rsidR="00C57F1C" w:rsidRPr="003A4F79">
        <w:t xml:space="preserve"> enhanced </w:t>
      </w:r>
      <w:r w:rsidR="00D60A5D" w:rsidRPr="003A4F79">
        <w:t>perception</w:t>
      </w:r>
      <w:r w:rsidR="00CC7A31" w:rsidRPr="003A4F79">
        <w:t>s</w:t>
      </w:r>
      <w:r w:rsidR="00D60A5D" w:rsidRPr="003A4F79">
        <w:t xml:space="preserve"> of </w:t>
      </w:r>
      <w:r w:rsidR="00844EEA" w:rsidRPr="003A4F79">
        <w:t xml:space="preserve">their </w:t>
      </w:r>
      <w:r w:rsidR="00D60A5D" w:rsidRPr="003A4F79">
        <w:t>skill</w:t>
      </w:r>
      <w:r w:rsidR="00CC7A31" w:rsidRPr="003A4F79">
        <w:t>s</w:t>
      </w:r>
      <w:r w:rsidR="00D60A5D" w:rsidRPr="003A4F79">
        <w:t xml:space="preserve">, </w:t>
      </w:r>
      <w:r w:rsidR="00CC7A31" w:rsidRPr="003A4F79">
        <w:t xml:space="preserve">to </w:t>
      </w:r>
      <w:r w:rsidR="00D60A5D" w:rsidRPr="003A4F79">
        <w:t xml:space="preserve">which </w:t>
      </w:r>
      <w:r w:rsidR="00F276DE" w:rsidRPr="003A4F79">
        <w:t xml:space="preserve">they </w:t>
      </w:r>
      <w:r w:rsidR="00D60A5D" w:rsidRPr="003A4F79">
        <w:t xml:space="preserve">respond more sensitively. </w:t>
      </w:r>
      <w:r w:rsidR="004826B7" w:rsidRPr="003A4F79">
        <w:t xml:space="preserve">In </w:t>
      </w:r>
      <w:r w:rsidR="00F85A9C" w:rsidRPr="003A4F79">
        <w:t>line with our results</w:t>
      </w:r>
      <w:r w:rsidR="004826B7" w:rsidRPr="003A4F79">
        <w:t xml:space="preserve">, </w:t>
      </w:r>
      <w:r w:rsidR="009515E6" w:rsidRPr="003A4F79">
        <w:t>Ben-David</w:t>
      </w:r>
      <w:r w:rsidR="00406225" w:rsidRPr="003A4F79">
        <w:t>, Birru, and Prokopenya</w:t>
      </w:r>
      <w:r w:rsidR="009515E6" w:rsidRPr="003A4F79">
        <w:t xml:space="preserve"> (2016)</w:t>
      </w:r>
      <w:r w:rsidR="000F7EDA" w:rsidRPr="003A4F79">
        <w:t xml:space="preserve"> </w:t>
      </w:r>
      <w:r w:rsidR="002B2F8E" w:rsidRPr="003A4F79">
        <w:t xml:space="preserve">find </w:t>
      </w:r>
      <w:r w:rsidR="00DA41B3" w:rsidRPr="003A4F79">
        <w:t xml:space="preserve">that </w:t>
      </w:r>
      <w:r w:rsidR="002B2F8E" w:rsidRPr="003A4F79">
        <w:t xml:space="preserve">retail </w:t>
      </w:r>
      <w:r w:rsidR="00DA41B3" w:rsidRPr="003A4F79">
        <w:t>investors</w:t>
      </w:r>
      <w:r w:rsidR="002B2F8E" w:rsidRPr="003A4F79">
        <w:t xml:space="preserve"> in F</w:t>
      </w:r>
      <w:r w:rsidR="000D110E" w:rsidRPr="003A4F79">
        <w:t>orex</w:t>
      </w:r>
      <w:r w:rsidR="002B2F8E" w:rsidRPr="003A4F79">
        <w:t xml:space="preserve"> futures markets </w:t>
      </w:r>
      <w:r w:rsidR="002B2F8E" w:rsidRPr="003A4F79">
        <w:lastRenderedPageBreak/>
        <w:t xml:space="preserve">react more strongly to positive past outcomes that </w:t>
      </w:r>
      <w:r w:rsidR="00CC7A31" w:rsidRPr="003A4F79">
        <w:t xml:space="preserve">to </w:t>
      </w:r>
      <w:r w:rsidR="002B2F8E" w:rsidRPr="003A4F79">
        <w:t xml:space="preserve">negative outcomes. </w:t>
      </w:r>
      <w:r w:rsidR="00A16F53" w:rsidRPr="003A4F79">
        <w:t>T</w:t>
      </w:r>
      <w:r w:rsidR="00A416FD" w:rsidRPr="003A4F79">
        <w:t xml:space="preserve">his </w:t>
      </w:r>
      <w:r w:rsidR="00A16F53" w:rsidRPr="003A4F79">
        <w:t xml:space="preserve">result </w:t>
      </w:r>
      <w:r w:rsidR="00411B69" w:rsidRPr="003A4F79">
        <w:t xml:space="preserve">supports </w:t>
      </w:r>
      <w:r w:rsidR="00A16F53" w:rsidRPr="003A4F79">
        <w:t xml:space="preserve">our </w:t>
      </w:r>
      <w:r w:rsidR="00BA463E" w:rsidRPr="003A4F79">
        <w:t>second</w:t>
      </w:r>
      <w:r w:rsidR="00A16F53" w:rsidRPr="003A4F79">
        <w:t xml:space="preserve"> hypothesis (H2) </w:t>
      </w:r>
      <w:r w:rsidR="00411B69" w:rsidRPr="003A4F79">
        <w:t xml:space="preserve">that </w:t>
      </w:r>
      <w:r w:rsidR="00E300B6" w:rsidRPr="003A4F79">
        <w:t>investors’ experiential learning is asymmetric</w:t>
      </w:r>
      <w:r w:rsidR="00411B69" w:rsidRPr="003A4F79">
        <w:t>.</w:t>
      </w:r>
    </w:p>
    <w:p w14:paraId="4E5C40CE" w14:textId="7C7F3F9E" w:rsidR="00584001" w:rsidRPr="003A4F79" w:rsidRDefault="00AB1084" w:rsidP="00290F9F">
      <w:pPr>
        <w:pStyle w:val="Heading2"/>
      </w:pPr>
      <w:r w:rsidRPr="003A4F79">
        <w:t>5</w:t>
      </w:r>
      <w:r w:rsidR="009B4247" w:rsidRPr="003A4F79">
        <w:t>.</w:t>
      </w:r>
      <w:r w:rsidR="00E61502" w:rsidRPr="003A4F79">
        <w:t>5</w:t>
      </w:r>
      <w:r w:rsidR="00C60C81" w:rsidRPr="003A4F79">
        <w:t xml:space="preserve">. </w:t>
      </w:r>
      <w:r w:rsidR="0074622D" w:rsidRPr="003A4F79">
        <w:t xml:space="preserve">The </w:t>
      </w:r>
      <w:r w:rsidR="00EF2240" w:rsidRPr="003A4F79">
        <w:t>effect of initial returns by investor ty</w:t>
      </w:r>
      <w:r w:rsidR="00C77082" w:rsidRPr="003A4F79">
        <w:t>pe</w:t>
      </w:r>
    </w:p>
    <w:p w14:paraId="0E193371" w14:textId="05470C91" w:rsidR="00383305" w:rsidRPr="003A4F79" w:rsidRDefault="006D0333" w:rsidP="00383305">
      <w:r w:rsidRPr="003A4F79">
        <w:t xml:space="preserve">In this section, we examine </w:t>
      </w:r>
      <w:r w:rsidR="00EB7EB4" w:rsidRPr="003A4F79">
        <w:t>whether the effect of initial returns on re-entry decision</w:t>
      </w:r>
      <w:r w:rsidR="00CC7A31" w:rsidRPr="003A4F79">
        <w:t>s</w:t>
      </w:r>
      <w:r w:rsidR="00EB7EB4" w:rsidRPr="003A4F79">
        <w:t xml:space="preserve"> </w:t>
      </w:r>
      <w:r w:rsidR="00CC7A31" w:rsidRPr="003A4F79">
        <w:t>is</w:t>
      </w:r>
      <w:r w:rsidR="00EB7EB4" w:rsidRPr="003A4F79">
        <w:t xml:space="preserve"> more pronounced for certain </w:t>
      </w:r>
      <w:r w:rsidR="008777A4" w:rsidRPr="003A4F79">
        <w:t>type</w:t>
      </w:r>
      <w:r w:rsidR="00CC7A31" w:rsidRPr="003A4F79">
        <w:t>s</w:t>
      </w:r>
      <w:r w:rsidR="00EB7EB4" w:rsidRPr="003A4F79">
        <w:t xml:space="preserve"> of investor in our sample. </w:t>
      </w:r>
      <w:r w:rsidR="008777A4" w:rsidRPr="003A4F79">
        <w:t xml:space="preserve">In particular, we consider </w:t>
      </w:r>
      <w:r w:rsidR="00505A98" w:rsidRPr="003A4F79">
        <w:t xml:space="preserve">the following </w:t>
      </w:r>
      <w:r w:rsidR="00CC7A31" w:rsidRPr="003A4F79">
        <w:t xml:space="preserve">three </w:t>
      </w:r>
      <w:r w:rsidR="00505A98" w:rsidRPr="003A4F79">
        <w:t>types of investor</w:t>
      </w:r>
      <w:r w:rsidR="004C1374" w:rsidRPr="003A4F79">
        <w:t xml:space="preserve"> according to their investing characteristics</w:t>
      </w:r>
      <w:r w:rsidR="00CC7A31" w:rsidRPr="003A4F79">
        <w:t>:</w:t>
      </w:r>
      <w:r w:rsidR="00505A98" w:rsidRPr="003A4F79">
        <w:t xml:space="preserve"> (i) </w:t>
      </w:r>
      <w:r w:rsidR="00CC7A31" w:rsidRPr="003A4F79">
        <w:t xml:space="preserve">those </w:t>
      </w:r>
      <w:r w:rsidR="00505A98" w:rsidRPr="003A4F79">
        <w:t>own</w:t>
      </w:r>
      <w:r w:rsidR="00CC7A31" w:rsidRPr="003A4F79">
        <w:t>ing</w:t>
      </w:r>
      <w:r w:rsidR="00505A98" w:rsidRPr="003A4F79">
        <w:t xml:space="preserve"> one stock</w:t>
      </w:r>
      <w:r w:rsidR="00DE1B8A" w:rsidRPr="003A4F79">
        <w:t xml:space="preserve"> (</w:t>
      </w:r>
      <w:r w:rsidR="00DE1B8A" w:rsidRPr="003A4F79">
        <w:rPr>
          <w:i/>
        </w:rPr>
        <w:t>SglStock</w:t>
      </w:r>
      <w:r w:rsidR="00DE1B8A" w:rsidRPr="003A4F79">
        <w:t>=1</w:t>
      </w:r>
      <w:r w:rsidR="00CC7A31" w:rsidRPr="003A4F79">
        <w:t xml:space="preserve">); </w:t>
      </w:r>
      <w:r w:rsidR="00505A98" w:rsidRPr="003A4F79">
        <w:t xml:space="preserve">(ii) </w:t>
      </w:r>
      <w:r w:rsidR="00CC7A31" w:rsidRPr="003A4F79">
        <w:t xml:space="preserve">those </w:t>
      </w:r>
      <w:r w:rsidR="00505A98" w:rsidRPr="003A4F79">
        <w:t>purchas</w:t>
      </w:r>
      <w:r w:rsidR="00CC7A31" w:rsidRPr="003A4F79">
        <w:t>ing</w:t>
      </w:r>
      <w:r w:rsidR="00505A98" w:rsidRPr="003A4F79">
        <w:t xml:space="preserve"> Nokia stock</w:t>
      </w:r>
      <w:r w:rsidR="00DE1B8A" w:rsidRPr="003A4F79">
        <w:t xml:space="preserve"> (</w:t>
      </w:r>
      <w:r w:rsidR="00DE1B8A" w:rsidRPr="003A4F79">
        <w:rPr>
          <w:i/>
        </w:rPr>
        <w:t>Nokia</w:t>
      </w:r>
      <w:r w:rsidR="00DE1B8A" w:rsidRPr="003A4F79">
        <w:t>=1</w:t>
      </w:r>
      <w:r w:rsidR="00844EEA" w:rsidRPr="003A4F79">
        <w:t xml:space="preserve">); </w:t>
      </w:r>
      <w:r w:rsidR="00CC7A31" w:rsidRPr="003A4F79">
        <w:t xml:space="preserve">and </w:t>
      </w:r>
      <w:r w:rsidR="00505A98" w:rsidRPr="003A4F79">
        <w:t>(i</w:t>
      </w:r>
      <w:r w:rsidR="00C615A2" w:rsidRPr="003A4F79">
        <w:t>ii</w:t>
      </w:r>
      <w:r w:rsidR="00505A98" w:rsidRPr="003A4F79">
        <w:t xml:space="preserve">) </w:t>
      </w:r>
      <w:r w:rsidR="00CC7A31" w:rsidRPr="003A4F79">
        <w:t xml:space="preserve">those who are </w:t>
      </w:r>
      <w:r w:rsidR="00505A98" w:rsidRPr="003A4F79">
        <w:t>under age</w:t>
      </w:r>
      <w:r w:rsidR="00DE1B8A" w:rsidRPr="003A4F79">
        <w:t xml:space="preserve"> (</w:t>
      </w:r>
      <w:r w:rsidR="00B02346" w:rsidRPr="003A4F79">
        <w:rPr>
          <w:i/>
        </w:rPr>
        <w:t>Minor</w:t>
      </w:r>
      <w:r w:rsidR="00DE1B8A" w:rsidRPr="003A4F79">
        <w:t>=1)</w:t>
      </w:r>
      <w:r w:rsidR="00505A98" w:rsidRPr="003A4F79">
        <w:t>.</w:t>
      </w:r>
      <w:r w:rsidR="00E61502" w:rsidRPr="003A4F79">
        <w:t xml:space="preserve"> W</w:t>
      </w:r>
      <w:r w:rsidR="003A01F2" w:rsidRPr="003A4F79">
        <w:t xml:space="preserve">e </w:t>
      </w:r>
      <w:r w:rsidR="00032DE4" w:rsidRPr="003A4F79">
        <w:t>examine</w:t>
      </w:r>
      <w:r w:rsidR="003A01F2" w:rsidRPr="003A4F79">
        <w:t xml:space="preserve"> these </w:t>
      </w:r>
      <w:r w:rsidR="00032DE4" w:rsidRPr="003A4F79">
        <w:t xml:space="preserve">characteristics of </w:t>
      </w:r>
      <w:r w:rsidR="003A01F2" w:rsidRPr="003A4F79">
        <w:t xml:space="preserve">investors </w:t>
      </w:r>
      <w:r w:rsidR="00032DE4" w:rsidRPr="003A4F79">
        <w:t xml:space="preserve">especially </w:t>
      </w:r>
      <w:r w:rsidR="003A01F2" w:rsidRPr="003A4F79">
        <w:t>because the</w:t>
      </w:r>
      <w:r w:rsidR="00CC7A31" w:rsidRPr="003A4F79">
        <w:t xml:space="preserve">ir motivations </w:t>
      </w:r>
      <w:r w:rsidR="00844EEA" w:rsidRPr="003A4F79">
        <w:t>for</w:t>
      </w:r>
      <w:r w:rsidR="00CC7A31" w:rsidRPr="003A4F79">
        <w:t xml:space="preserve"> exit</w:t>
      </w:r>
      <w:r w:rsidR="00844EEA" w:rsidRPr="003A4F79">
        <w:t>ing</w:t>
      </w:r>
      <w:r w:rsidR="00CC7A31" w:rsidRPr="003A4F79">
        <w:t xml:space="preserve"> and re-enter</w:t>
      </w:r>
      <w:r w:rsidR="00844EEA" w:rsidRPr="003A4F79">
        <w:t>ing</w:t>
      </w:r>
      <w:r w:rsidR="00CC7A31" w:rsidRPr="003A4F79">
        <w:t xml:space="preserve"> the stock market may be</w:t>
      </w:r>
      <w:r w:rsidR="003A01F2" w:rsidRPr="003A4F79">
        <w:t xml:space="preserve"> very different from</w:t>
      </w:r>
      <w:r w:rsidR="00CC7A31" w:rsidRPr="003A4F79">
        <w:t xml:space="preserve"> those of</w:t>
      </w:r>
      <w:r w:rsidR="003A01F2" w:rsidRPr="003A4F79">
        <w:t xml:space="preserve"> other investors. For example, investors who </w:t>
      </w:r>
      <w:r w:rsidR="005409E5" w:rsidRPr="003A4F79">
        <w:t xml:space="preserve">buy one stock, sell it, and do not reinvest again may be different from those who invest in </w:t>
      </w:r>
      <w:r w:rsidR="00CC7A31" w:rsidRPr="003A4F79">
        <w:t xml:space="preserve">even a small </w:t>
      </w:r>
      <w:r w:rsidR="005409E5" w:rsidRPr="003A4F79">
        <w:t xml:space="preserve">portfolio. </w:t>
      </w:r>
      <w:r w:rsidR="00CC7A31" w:rsidRPr="003A4F79">
        <w:t>Similarly</w:t>
      </w:r>
      <w:r w:rsidR="00CF64B2" w:rsidRPr="003A4F79">
        <w:t>, non-Nokia investors may differ from Nokia investors</w:t>
      </w:r>
      <w:r w:rsidR="00CC7A31" w:rsidRPr="003A4F79">
        <w:t>,</w:t>
      </w:r>
      <w:r w:rsidR="00CF64B2" w:rsidRPr="003A4F79">
        <w:t xml:space="preserve"> especially </w:t>
      </w:r>
      <w:r w:rsidR="00CC7A31" w:rsidRPr="003A4F79">
        <w:t xml:space="preserve">since </w:t>
      </w:r>
      <w:r w:rsidR="00CF64B2" w:rsidRPr="003A4F79">
        <w:t xml:space="preserve">Nokia is such a prominent stock that it captures </w:t>
      </w:r>
      <w:r w:rsidR="00844EEA" w:rsidRPr="003A4F79">
        <w:t xml:space="preserve">almost </w:t>
      </w:r>
      <w:r w:rsidR="00CF64B2" w:rsidRPr="003A4F79">
        <w:t>3</w:t>
      </w:r>
      <w:r w:rsidR="00FD5D5B" w:rsidRPr="003A4F79">
        <w:t>6</w:t>
      </w:r>
      <w:r w:rsidR="00CF64B2" w:rsidRPr="003A4F79">
        <w:t>% of</w:t>
      </w:r>
      <w:r w:rsidR="00CC7A31" w:rsidRPr="003A4F79">
        <w:t xml:space="preserve"> the</w:t>
      </w:r>
      <w:r w:rsidR="00CF64B2" w:rsidRPr="003A4F79">
        <w:t xml:space="preserve"> total market capitalization of </w:t>
      </w:r>
      <w:r w:rsidR="00CC7A31" w:rsidRPr="003A4F79">
        <w:t xml:space="preserve">the </w:t>
      </w:r>
      <w:r w:rsidR="00CF64B2" w:rsidRPr="003A4F79">
        <w:t>Finnish stock market.</w:t>
      </w:r>
      <w:r w:rsidR="002E3DCC" w:rsidRPr="003A4F79">
        <w:t xml:space="preserve"> Lastly, under-age accounts may be distinct</w:t>
      </w:r>
      <w:r w:rsidR="00CC7A31" w:rsidRPr="003A4F79">
        <w:t>ive,</w:t>
      </w:r>
      <w:r w:rsidR="002E3DCC" w:rsidRPr="003A4F79">
        <w:t xml:space="preserve"> given that a high proportion of </w:t>
      </w:r>
      <w:r w:rsidR="00CC7A31" w:rsidRPr="003A4F79">
        <w:t xml:space="preserve">such </w:t>
      </w:r>
      <w:r w:rsidR="002E3DCC" w:rsidRPr="003A4F79">
        <w:t xml:space="preserve">accounts in Finnish stock markets are managed by </w:t>
      </w:r>
      <w:r w:rsidR="002E3DCC" w:rsidRPr="003A4F79">
        <w:rPr>
          <w:i/>
        </w:rPr>
        <w:t>informed</w:t>
      </w:r>
      <w:r w:rsidR="002E3DCC" w:rsidRPr="003A4F79">
        <w:t xml:space="preserve"> parents</w:t>
      </w:r>
      <w:r w:rsidR="00CC7A31" w:rsidRPr="003A4F79">
        <w:t xml:space="preserve"> or </w:t>
      </w:r>
      <w:r w:rsidR="002E3DCC" w:rsidRPr="003A4F79">
        <w:t>guardians</w:t>
      </w:r>
      <w:r w:rsidR="0032087E" w:rsidRPr="003A4F79">
        <w:t xml:space="preserve"> who</w:t>
      </w:r>
      <w:r w:rsidR="002E3DCC" w:rsidRPr="003A4F79">
        <w:t xml:space="preserve"> </w:t>
      </w:r>
      <w:r w:rsidR="00CC7A31" w:rsidRPr="003A4F79">
        <w:t xml:space="preserve">have had previous </w:t>
      </w:r>
      <w:r w:rsidR="002E3DCC" w:rsidRPr="003A4F79">
        <w:t>success</w:t>
      </w:r>
      <w:r w:rsidR="00CC7A31" w:rsidRPr="003A4F79">
        <w:t xml:space="preserve"> in</w:t>
      </w:r>
      <w:r w:rsidR="002E3DCC" w:rsidRPr="003A4F79">
        <w:t xml:space="preserve"> picking stocks (Berkman</w:t>
      </w:r>
      <w:r w:rsidR="00CD006F" w:rsidRPr="003A4F79">
        <w:t>, Koch, and Westerholm</w:t>
      </w:r>
      <w:r w:rsidR="002E3DCC" w:rsidRPr="003A4F79">
        <w:t>, 2014).</w:t>
      </w:r>
      <w:r w:rsidR="00032DE4" w:rsidRPr="003A4F79">
        <w:t xml:space="preserve"> </w:t>
      </w:r>
      <w:r w:rsidR="001F71EC" w:rsidRPr="003A4F79">
        <w:t>In addition to th</w:t>
      </w:r>
      <w:r w:rsidR="004555F8" w:rsidRPr="003A4F79">
        <w:t>ese</w:t>
      </w:r>
      <w:r w:rsidR="001F71EC" w:rsidRPr="003A4F79">
        <w:t xml:space="preserve"> characteristics, we also test whether the </w:t>
      </w:r>
      <w:r w:rsidR="00D01BB9" w:rsidRPr="003A4F79">
        <w:t>relation</w:t>
      </w:r>
      <w:r w:rsidR="001F71EC" w:rsidRPr="003A4F79">
        <w:t xml:space="preserve"> depend</w:t>
      </w:r>
      <w:r w:rsidR="00FE04FD" w:rsidRPr="003A4F79">
        <w:t>s</w:t>
      </w:r>
      <w:r w:rsidR="001F71EC" w:rsidRPr="003A4F79">
        <w:t xml:space="preserve"> on investors’ portfolio values (</w:t>
      </w:r>
      <w:r w:rsidR="001F71EC" w:rsidRPr="003A4F79">
        <w:rPr>
          <w:i/>
        </w:rPr>
        <w:t>Inv_Size_H=1</w:t>
      </w:r>
      <w:r w:rsidR="001F71EC" w:rsidRPr="003A4F79">
        <w:t xml:space="preserve">), demographics (e.g., </w:t>
      </w:r>
      <w:r w:rsidR="001F71EC" w:rsidRPr="003A4F79">
        <w:rPr>
          <w:i/>
        </w:rPr>
        <w:t>Female=1</w:t>
      </w:r>
      <w:r w:rsidR="001F71EC" w:rsidRPr="003A4F79">
        <w:t xml:space="preserve">, </w:t>
      </w:r>
      <w:r w:rsidR="001F71EC" w:rsidRPr="003A4F79">
        <w:rPr>
          <w:i/>
        </w:rPr>
        <w:t>or Old=1</w:t>
      </w:r>
      <w:r w:rsidR="001F71EC" w:rsidRPr="003A4F79">
        <w:t>), and locations (</w:t>
      </w:r>
      <w:r w:rsidR="001F71EC" w:rsidRPr="003A4F79">
        <w:rPr>
          <w:i/>
        </w:rPr>
        <w:t>Helsinki = 1</w:t>
      </w:r>
      <w:r w:rsidR="001F71EC" w:rsidRPr="003A4F79">
        <w:t>).</w:t>
      </w:r>
      <w:r w:rsidR="00383305" w:rsidRPr="003A4F79">
        <w:t xml:space="preserve"> </w:t>
      </w:r>
    </w:p>
    <w:p w14:paraId="11D971CE" w14:textId="51487938" w:rsidR="008777A4" w:rsidRPr="003A4F79" w:rsidRDefault="00383305" w:rsidP="00290F9F">
      <w:pPr>
        <w:pStyle w:val="InsertInstruct"/>
      </w:pPr>
      <w:r w:rsidRPr="003A4F79">
        <w:lastRenderedPageBreak/>
        <w:t xml:space="preserve"> </w:t>
      </w:r>
      <w:r w:rsidR="008777A4" w:rsidRPr="003A4F79">
        <w:t xml:space="preserve">[Insert Table </w:t>
      </w:r>
      <w:r w:rsidR="004C0A82" w:rsidRPr="003A4F79">
        <w:t>8</w:t>
      </w:r>
      <w:r w:rsidR="008777A4" w:rsidRPr="003A4F79">
        <w:t xml:space="preserve"> here]</w:t>
      </w:r>
    </w:p>
    <w:p w14:paraId="0874E757" w14:textId="3405A05A" w:rsidR="00233C06" w:rsidRPr="003A4F79" w:rsidRDefault="00EA1261">
      <w:r w:rsidRPr="003A4F79">
        <w:t xml:space="preserve">Table </w:t>
      </w:r>
      <w:r w:rsidR="00A701F2" w:rsidRPr="003A4F79">
        <w:t>8</w:t>
      </w:r>
      <w:r w:rsidR="00612560" w:rsidRPr="003A4F79">
        <w:t xml:space="preserve"> presents the results of </w:t>
      </w:r>
      <w:r w:rsidR="00305875" w:rsidRPr="003A4F79">
        <w:t xml:space="preserve">a </w:t>
      </w:r>
      <w:r w:rsidR="00612560" w:rsidRPr="003A4F79">
        <w:t xml:space="preserve">regression </w:t>
      </w:r>
      <w:r w:rsidR="00305875" w:rsidRPr="003A4F79">
        <w:t xml:space="preserve">in </w:t>
      </w:r>
      <w:r w:rsidR="00612560" w:rsidRPr="003A4F79">
        <w:t xml:space="preserve">which we </w:t>
      </w:r>
      <w:r w:rsidR="00844EEA" w:rsidRPr="003A4F79">
        <w:t xml:space="preserve">interact </w:t>
      </w:r>
      <w:r w:rsidR="00612560" w:rsidRPr="003A4F79">
        <w:t>our initial return variable with various dummy variables, each indicat</w:t>
      </w:r>
      <w:r w:rsidR="00844EEA" w:rsidRPr="003A4F79">
        <w:t>ing</w:t>
      </w:r>
      <w:r w:rsidR="00612560" w:rsidRPr="003A4F79">
        <w:t xml:space="preserve"> one of the aforementioned type</w:t>
      </w:r>
      <w:r w:rsidR="00305875" w:rsidRPr="003A4F79">
        <w:t>s</w:t>
      </w:r>
      <w:r w:rsidR="00612560" w:rsidRPr="003A4F79">
        <w:t xml:space="preserve"> of investor.</w:t>
      </w:r>
      <w:r w:rsidR="00607DDC" w:rsidRPr="003A4F79">
        <w:t xml:space="preserve"> </w:t>
      </w:r>
      <w:r w:rsidR="006810D8" w:rsidRPr="003A4F79">
        <w:t>T</w:t>
      </w:r>
      <w:r w:rsidR="00154639" w:rsidRPr="003A4F79">
        <w:t xml:space="preserve">he positive coefficient </w:t>
      </w:r>
      <w:r w:rsidR="00305875" w:rsidRPr="003A4F79">
        <w:t xml:space="preserve">for </w:t>
      </w:r>
      <w:r w:rsidR="00154639" w:rsidRPr="003A4F79">
        <w:rPr>
          <w:i/>
        </w:rPr>
        <w:t>IniRet</w:t>
      </w:r>
      <m:oMath>
        <m:r>
          <m:rPr>
            <m:sty m:val="p"/>
          </m:rPr>
          <w:rPr>
            <w:rFonts w:ascii="Cambria Math" w:hAnsi="Cambria Math"/>
          </w:rPr>
          <m:t>×</m:t>
        </m:r>
      </m:oMath>
      <w:r w:rsidR="00154639" w:rsidRPr="003A4F79">
        <w:rPr>
          <w:i/>
        </w:rPr>
        <w:t>SglStock</w:t>
      </w:r>
      <w:r w:rsidR="006810D8" w:rsidRPr="003A4F79">
        <w:rPr>
          <w:i/>
        </w:rPr>
        <w:t xml:space="preserve"> </w:t>
      </w:r>
      <w:r w:rsidR="00074545" w:rsidRPr="003A4F79">
        <w:t>suggest</w:t>
      </w:r>
      <w:r w:rsidR="006810D8" w:rsidRPr="003A4F79">
        <w:t xml:space="preserve">s </w:t>
      </w:r>
      <w:r w:rsidR="003140B7" w:rsidRPr="003A4F79">
        <w:t xml:space="preserve">that </w:t>
      </w:r>
      <w:r w:rsidR="006A7DD1" w:rsidRPr="003A4F79">
        <w:t>the influence of initial returns on investors</w:t>
      </w:r>
      <w:r w:rsidR="00305875" w:rsidRPr="003A4F79">
        <w:t>’</w:t>
      </w:r>
      <w:r w:rsidR="006A7DD1" w:rsidRPr="003A4F79">
        <w:t xml:space="preserve"> </w:t>
      </w:r>
      <w:r w:rsidR="007B0A7F" w:rsidRPr="003A4F79">
        <w:t>re-entry dec</w:t>
      </w:r>
      <w:r w:rsidR="006A7DD1" w:rsidRPr="003A4F79">
        <w:t>ision</w:t>
      </w:r>
      <w:r w:rsidR="00305875" w:rsidRPr="003A4F79">
        <w:t>s</w:t>
      </w:r>
      <w:r w:rsidR="006A7DD1" w:rsidRPr="003A4F79">
        <w:t xml:space="preserve"> is stronger for those who </w:t>
      </w:r>
      <w:r w:rsidR="00256A8C" w:rsidRPr="003A4F79">
        <w:t xml:space="preserve">invest in </w:t>
      </w:r>
      <w:r w:rsidR="00305875" w:rsidRPr="003A4F79">
        <w:t xml:space="preserve">only </w:t>
      </w:r>
      <w:r w:rsidR="006A7DD1" w:rsidRPr="003A4F79">
        <w:t xml:space="preserve">one stock </w:t>
      </w:r>
      <w:r w:rsidR="005A7C88" w:rsidRPr="003A4F79">
        <w:t xml:space="preserve">between initial purchase and </w:t>
      </w:r>
      <w:r w:rsidR="00305875" w:rsidRPr="003A4F79">
        <w:t xml:space="preserve">market </w:t>
      </w:r>
      <w:r w:rsidR="005A7C88" w:rsidRPr="003A4F79">
        <w:t>exit</w:t>
      </w:r>
      <w:r w:rsidR="00B82ECF" w:rsidRPr="003A4F79">
        <w:t xml:space="preserve">. </w:t>
      </w:r>
      <w:r w:rsidR="00D77CF2" w:rsidRPr="003A4F79">
        <w:t>This result may be due to that s</w:t>
      </w:r>
      <w:r w:rsidR="00305875" w:rsidRPr="003A4F79">
        <w:t xml:space="preserve">uch </w:t>
      </w:r>
      <w:r w:rsidR="00B82ECF" w:rsidRPr="003A4F79">
        <w:t xml:space="preserve">investors </w:t>
      </w:r>
      <w:r w:rsidR="00D77CF2" w:rsidRPr="003A4F79">
        <w:t>are</w:t>
      </w:r>
      <w:r w:rsidR="00B82ECF" w:rsidRPr="003A4F79">
        <w:t xml:space="preserve"> </w:t>
      </w:r>
      <w:r w:rsidR="000633DD" w:rsidRPr="003A4F79">
        <w:rPr>
          <w:i/>
        </w:rPr>
        <w:t>try</w:t>
      </w:r>
      <w:r w:rsidR="00305875" w:rsidRPr="003A4F79">
        <w:rPr>
          <w:i/>
        </w:rPr>
        <w:t>ing</w:t>
      </w:r>
      <w:r w:rsidR="00B82ECF" w:rsidRPr="003A4F79">
        <w:rPr>
          <w:i/>
        </w:rPr>
        <w:t xml:space="preserve"> </w:t>
      </w:r>
      <w:r w:rsidR="000633DD" w:rsidRPr="003A4F79">
        <w:rPr>
          <w:i/>
        </w:rPr>
        <w:t>out</w:t>
      </w:r>
      <w:r w:rsidR="000633DD" w:rsidRPr="003A4F79">
        <w:t xml:space="preserve"> </w:t>
      </w:r>
      <w:r w:rsidR="00B82ECF" w:rsidRPr="003A4F79">
        <w:t xml:space="preserve">their </w:t>
      </w:r>
      <w:r w:rsidR="00305875" w:rsidRPr="003A4F79">
        <w:t xml:space="preserve">investment </w:t>
      </w:r>
      <w:r w:rsidR="0026609E" w:rsidRPr="003A4F79">
        <w:t xml:space="preserve">on a </w:t>
      </w:r>
      <w:r w:rsidR="00305875" w:rsidRPr="003A4F79">
        <w:t>“</w:t>
      </w:r>
      <w:r w:rsidR="0026609E" w:rsidRPr="003A4F79">
        <w:t>suck-it-and-</w:t>
      </w:r>
      <w:r w:rsidR="00305875" w:rsidRPr="003A4F79">
        <w:t xml:space="preserve">see” </w:t>
      </w:r>
      <w:r w:rsidR="0026609E" w:rsidRPr="003A4F79">
        <w:t>principle</w:t>
      </w:r>
      <w:r w:rsidR="00D77CF2" w:rsidRPr="003A4F79">
        <w:t xml:space="preserve">. </w:t>
      </w:r>
      <w:r w:rsidR="00EA766A" w:rsidRPr="003A4F79">
        <w:t>One can also think that they are</w:t>
      </w:r>
      <w:r w:rsidR="00D67CE4" w:rsidRPr="003A4F79">
        <w:t xml:space="preserve"> more naïve</w:t>
      </w:r>
      <w:r w:rsidR="00EA766A" w:rsidRPr="003A4F79">
        <w:t xml:space="preserve"> (in financial terms)</w:t>
      </w:r>
      <w:r w:rsidR="00D67CE4" w:rsidRPr="003A4F79">
        <w:t xml:space="preserve"> </w:t>
      </w:r>
      <w:r w:rsidR="00832B28" w:rsidRPr="003A4F79">
        <w:t xml:space="preserve">compared to </w:t>
      </w:r>
      <w:r w:rsidR="00305875" w:rsidRPr="003A4F79">
        <w:t>th</w:t>
      </w:r>
      <w:r w:rsidR="00832B28" w:rsidRPr="003A4F79">
        <w:t>eir multiple-stock holding peers,</w:t>
      </w:r>
      <w:r w:rsidR="00EA766A" w:rsidRPr="003A4F79">
        <w:t xml:space="preserve"> and hence </w:t>
      </w:r>
      <w:r w:rsidR="00BB7019" w:rsidRPr="003A4F79">
        <w:t xml:space="preserve">more prone to </w:t>
      </w:r>
      <w:r w:rsidR="006852C9" w:rsidRPr="003A4F79">
        <w:t>behavioural</w:t>
      </w:r>
      <w:r w:rsidR="00BB7019" w:rsidRPr="003A4F79">
        <w:t xml:space="preserve"> bias</w:t>
      </w:r>
      <w:r w:rsidR="006852C9" w:rsidRPr="003A4F79">
        <w:t>es</w:t>
      </w:r>
      <w:r w:rsidR="00BB7019" w:rsidRPr="003A4F79">
        <w:t xml:space="preserve">. Alternatively, </w:t>
      </w:r>
      <w:r w:rsidR="003D4580" w:rsidRPr="003A4F79">
        <w:t xml:space="preserve">those investors are </w:t>
      </w:r>
      <w:r w:rsidR="00FB45F5" w:rsidRPr="003A4F79">
        <w:t xml:space="preserve">more affected by initial returns because </w:t>
      </w:r>
      <w:r w:rsidR="00BB7019" w:rsidRPr="003A4F79">
        <w:t xml:space="preserve">it is </w:t>
      </w:r>
      <w:r w:rsidR="00FB45F5" w:rsidRPr="003A4F79">
        <w:t xml:space="preserve">easier to </w:t>
      </w:r>
      <w:r w:rsidR="003D4580" w:rsidRPr="003A4F79">
        <w:t>recall</w:t>
      </w:r>
      <w:r w:rsidR="00FB45F5" w:rsidRPr="003A4F79">
        <w:t xml:space="preserve"> the i</w:t>
      </w:r>
      <w:r w:rsidR="003D4580" w:rsidRPr="003A4F79">
        <w:t>nitial return</w:t>
      </w:r>
      <w:r w:rsidR="00FB45F5" w:rsidRPr="003A4F79">
        <w:t xml:space="preserve"> of one stock than the initial returns </w:t>
      </w:r>
      <w:r w:rsidR="003D4580" w:rsidRPr="003A4F79">
        <w:t>of many stocks</w:t>
      </w:r>
      <w:r w:rsidR="00F6296F" w:rsidRPr="003A4F79">
        <w:t xml:space="preserve">. It is interesting to see that the significance of </w:t>
      </w:r>
      <w:r w:rsidR="00F6296F" w:rsidRPr="003A4F79">
        <w:rPr>
          <w:i/>
        </w:rPr>
        <w:t>IniRet</w:t>
      </w:r>
      <w:r w:rsidR="00F6296F" w:rsidRPr="003A4F79">
        <w:t xml:space="preserve"> itself becomes attenuated after the inclusion of </w:t>
      </w:r>
      <w:r w:rsidR="00F6296F" w:rsidRPr="003A4F79">
        <w:rPr>
          <w:i/>
        </w:rPr>
        <w:t>IniRet</w:t>
      </w:r>
      <m:oMath>
        <m:r>
          <m:rPr>
            <m:sty m:val="p"/>
          </m:rPr>
          <w:rPr>
            <w:rFonts w:ascii="Cambria Math" w:hAnsi="Cambria Math"/>
          </w:rPr>
          <m:t>×</m:t>
        </m:r>
      </m:oMath>
      <w:r w:rsidR="00F6296F" w:rsidRPr="003A4F79">
        <w:rPr>
          <w:i/>
        </w:rPr>
        <w:t xml:space="preserve">SglStock </w:t>
      </w:r>
      <w:r w:rsidR="00F6296F" w:rsidRPr="003A4F79">
        <w:t>in the regression, which indicates the primacy effect is pertinent to those investors with a single stock</w:t>
      </w:r>
      <w:r w:rsidR="00233C06" w:rsidRPr="003A4F79">
        <w:t>.</w:t>
      </w:r>
    </w:p>
    <w:p w14:paraId="3A5E530A" w14:textId="72212363" w:rsidR="00EA1261" w:rsidRPr="003A4F79" w:rsidRDefault="00E56F4C">
      <w:r w:rsidRPr="003A4F79">
        <w:t xml:space="preserve">It is also seen that </w:t>
      </w:r>
      <w:r w:rsidR="00567D4D" w:rsidRPr="003A4F79">
        <w:t>Nokia</w:t>
      </w:r>
      <w:r w:rsidR="00305875" w:rsidRPr="003A4F79">
        <w:t xml:space="preserve"> </w:t>
      </w:r>
      <w:r w:rsidR="00567D4D" w:rsidRPr="003A4F79">
        <w:t xml:space="preserve">investors </w:t>
      </w:r>
      <w:r w:rsidR="00234D88" w:rsidRPr="003A4F79">
        <w:t xml:space="preserve">are less likely to be </w:t>
      </w:r>
      <w:r w:rsidR="007F26DB" w:rsidRPr="003A4F79">
        <w:t xml:space="preserve">affected by </w:t>
      </w:r>
      <w:r w:rsidR="00234D88" w:rsidRPr="003A4F79">
        <w:t xml:space="preserve">initial returns (i.e., </w:t>
      </w:r>
      <w:r w:rsidR="007F26DB" w:rsidRPr="003A4F79">
        <w:t>a</w:t>
      </w:r>
      <w:r w:rsidR="00234D88" w:rsidRPr="003A4F79">
        <w:t xml:space="preserve"> negative coefficient </w:t>
      </w:r>
      <w:r w:rsidR="00305875" w:rsidRPr="003A4F79">
        <w:t xml:space="preserve">for </w:t>
      </w:r>
      <w:r w:rsidR="00234D88" w:rsidRPr="003A4F79">
        <w:rPr>
          <w:i/>
        </w:rPr>
        <w:t>IniRet</w:t>
      </w:r>
      <m:oMath>
        <m:r>
          <m:rPr>
            <m:sty m:val="p"/>
          </m:rPr>
          <w:rPr>
            <w:rFonts w:ascii="Cambria Math" w:hAnsi="Cambria Math"/>
          </w:rPr>
          <m:t>×</m:t>
        </m:r>
      </m:oMath>
      <w:r w:rsidR="00234D88" w:rsidRPr="003A4F79">
        <w:rPr>
          <w:i/>
        </w:rPr>
        <w:t>Nokia</w:t>
      </w:r>
      <w:r w:rsidR="00234D88" w:rsidRPr="003A4F79">
        <w:t xml:space="preserve">). </w:t>
      </w:r>
      <w:r w:rsidR="00F20C35" w:rsidRPr="003A4F79">
        <w:t>This phenome</w:t>
      </w:r>
      <w:r w:rsidR="00971C93" w:rsidRPr="003A4F79">
        <w:t>non m</w:t>
      </w:r>
      <w:r w:rsidR="00502F8A" w:rsidRPr="003A4F79">
        <w:t xml:space="preserve">ay </w:t>
      </w:r>
      <w:r w:rsidR="00971C93" w:rsidRPr="003A4F79">
        <w:t>be explained by individuals</w:t>
      </w:r>
      <w:r w:rsidR="00305875" w:rsidRPr="003A4F79">
        <w:t>’</w:t>
      </w:r>
      <w:r w:rsidR="00971C93" w:rsidRPr="003A4F79">
        <w:t xml:space="preserve"> </w:t>
      </w:r>
      <w:r w:rsidR="00971C93" w:rsidRPr="003A4F79">
        <w:rPr>
          <w:i/>
        </w:rPr>
        <w:t>self-serving</w:t>
      </w:r>
      <w:r w:rsidR="00971C93" w:rsidRPr="003A4F79">
        <w:t xml:space="preserve"> bias</w:t>
      </w:r>
      <w:r w:rsidR="00305875" w:rsidRPr="003A4F79">
        <w:t>, which leads them</w:t>
      </w:r>
      <w:r w:rsidR="00076034" w:rsidRPr="003A4F79">
        <w:t xml:space="preserve"> </w:t>
      </w:r>
      <w:r w:rsidR="00F66765" w:rsidRPr="003A4F79">
        <w:t xml:space="preserve">to </w:t>
      </w:r>
      <w:r w:rsidR="0010180B" w:rsidRPr="003A4F79">
        <w:t xml:space="preserve">ascribe </w:t>
      </w:r>
      <w:r w:rsidR="00076034" w:rsidRPr="003A4F79">
        <w:t>any successes</w:t>
      </w:r>
      <w:r w:rsidR="00305875" w:rsidRPr="003A4F79">
        <w:t xml:space="preserve"> or </w:t>
      </w:r>
      <w:r w:rsidR="00076034" w:rsidRPr="003A4F79">
        <w:t xml:space="preserve">failures from investing in such a prominent stock </w:t>
      </w:r>
      <w:r w:rsidR="00844EEA" w:rsidRPr="003A4F79">
        <w:rPr>
          <w:i/>
        </w:rPr>
        <w:t>less</w:t>
      </w:r>
      <w:r w:rsidR="00F66765" w:rsidRPr="003A4F79">
        <w:t xml:space="preserve"> to their skills, </w:t>
      </w:r>
      <w:r w:rsidR="00AA12AA" w:rsidRPr="003A4F79">
        <w:t>compared</w:t>
      </w:r>
      <w:r w:rsidR="00076034" w:rsidRPr="003A4F79">
        <w:t xml:space="preserve"> to a less</w:t>
      </w:r>
      <w:r w:rsidR="00F66765" w:rsidRPr="003A4F79">
        <w:t>er</w:t>
      </w:r>
      <w:r w:rsidR="00076034" w:rsidRPr="003A4F79">
        <w:t xml:space="preserve">-known stock </w:t>
      </w:r>
      <w:r w:rsidR="00B3682E" w:rsidRPr="003A4F79">
        <w:t>that</w:t>
      </w:r>
      <w:r w:rsidR="00076034" w:rsidRPr="003A4F79">
        <w:t xml:space="preserve"> </w:t>
      </w:r>
      <w:r w:rsidR="00B3682E" w:rsidRPr="003A4F79">
        <w:t xml:space="preserve">may </w:t>
      </w:r>
      <w:r w:rsidR="00076034" w:rsidRPr="003A4F79">
        <w:t xml:space="preserve">require some </w:t>
      </w:r>
      <w:r w:rsidR="00F66765" w:rsidRPr="003A4F79">
        <w:t xml:space="preserve">prior </w:t>
      </w:r>
      <w:r w:rsidR="00076034" w:rsidRPr="003A4F79">
        <w:t>knowledge or skill</w:t>
      </w:r>
      <w:r w:rsidR="00A512D8" w:rsidRPr="003A4F79">
        <w:t>s</w:t>
      </w:r>
      <w:r w:rsidR="00076034" w:rsidRPr="003A4F79">
        <w:t xml:space="preserve">. </w:t>
      </w:r>
      <w:r w:rsidR="00F66765" w:rsidRPr="003A4F79">
        <w:t>W</w:t>
      </w:r>
      <w:r w:rsidR="000F18D7" w:rsidRPr="003A4F79">
        <w:t xml:space="preserve">e </w:t>
      </w:r>
      <w:r w:rsidR="00F66765" w:rsidRPr="003A4F79">
        <w:t xml:space="preserve">also </w:t>
      </w:r>
      <w:r w:rsidR="000F18D7" w:rsidRPr="003A4F79">
        <w:t xml:space="preserve">find </w:t>
      </w:r>
      <w:r w:rsidR="00C87B0A" w:rsidRPr="003A4F79">
        <w:t>very</w:t>
      </w:r>
      <w:r w:rsidR="000F18D7" w:rsidRPr="003A4F79">
        <w:t xml:space="preserve"> strong evidence that </w:t>
      </w:r>
      <w:r w:rsidR="00A62949" w:rsidRPr="003A4F79">
        <w:t>initial returns do not</w:t>
      </w:r>
      <w:r w:rsidR="00F66765" w:rsidRPr="003A4F79">
        <w:t xml:space="preserve"> greatly</w:t>
      </w:r>
      <w:r w:rsidR="00A62949" w:rsidRPr="003A4F79">
        <w:t xml:space="preserve"> affect </w:t>
      </w:r>
      <w:r w:rsidR="000F18D7" w:rsidRPr="003A4F79">
        <w:t xml:space="preserve">the under-age group of investors (i.e., </w:t>
      </w:r>
      <w:r w:rsidR="00A62949" w:rsidRPr="003A4F79">
        <w:t>a</w:t>
      </w:r>
      <w:r w:rsidR="000F18D7" w:rsidRPr="003A4F79">
        <w:t xml:space="preserve"> negative coefficient </w:t>
      </w:r>
      <w:r w:rsidR="00F66765" w:rsidRPr="003A4F79">
        <w:t xml:space="preserve">for </w:t>
      </w:r>
      <w:r w:rsidR="000F18D7" w:rsidRPr="003A4F79">
        <w:rPr>
          <w:i/>
        </w:rPr>
        <w:t>IniRet</w:t>
      </w:r>
      <m:oMath>
        <m:r>
          <m:rPr>
            <m:sty m:val="p"/>
          </m:rPr>
          <w:rPr>
            <w:rFonts w:ascii="Cambria Math" w:hAnsi="Cambria Math"/>
          </w:rPr>
          <m:t>×</m:t>
        </m:r>
      </m:oMath>
      <w:r w:rsidR="002F723F" w:rsidRPr="003A4F79">
        <w:rPr>
          <w:i/>
        </w:rPr>
        <w:t>Minor</w:t>
      </w:r>
      <w:r w:rsidR="000F18D7" w:rsidRPr="003A4F79">
        <w:t>)</w:t>
      </w:r>
      <w:r w:rsidR="00F66765" w:rsidRPr="003A4F79">
        <w:t>,</w:t>
      </w:r>
      <w:r w:rsidR="000F18D7" w:rsidRPr="003A4F79">
        <w:t xml:space="preserve"> </w:t>
      </w:r>
      <w:r w:rsidR="00C5131C" w:rsidRPr="003A4F79">
        <w:t xml:space="preserve">which, along with our results for </w:t>
      </w:r>
      <w:r w:rsidR="00C5131C" w:rsidRPr="003A4F79">
        <w:rPr>
          <w:i/>
        </w:rPr>
        <w:t>IniRet</w:t>
      </w:r>
      <m:oMath>
        <m:r>
          <m:rPr>
            <m:sty m:val="p"/>
          </m:rPr>
          <w:rPr>
            <w:rFonts w:ascii="Cambria Math" w:hAnsi="Cambria Math"/>
          </w:rPr>
          <m:t>×</m:t>
        </m:r>
      </m:oMath>
      <w:r w:rsidR="00C5131C" w:rsidRPr="003A4F79">
        <w:rPr>
          <w:i/>
        </w:rPr>
        <w:t>SglStock</w:t>
      </w:r>
      <w:r w:rsidR="00C5131C" w:rsidRPr="003A4F79">
        <w:t>,</w:t>
      </w:r>
      <w:r w:rsidR="00C5131C" w:rsidRPr="003A4F79">
        <w:rPr>
          <w:i/>
        </w:rPr>
        <w:t xml:space="preserve"> </w:t>
      </w:r>
      <w:r w:rsidR="00C5131C" w:rsidRPr="003A4F79">
        <w:t xml:space="preserve">support the view </w:t>
      </w:r>
      <w:r w:rsidR="00C5131C" w:rsidRPr="003A4F79">
        <w:lastRenderedPageBreak/>
        <w:t xml:space="preserve">that </w:t>
      </w:r>
      <w:r w:rsidR="000F18D7" w:rsidRPr="003A4F79">
        <w:t xml:space="preserve">more informed or financially sophisticated investors are less subject to </w:t>
      </w:r>
      <w:r w:rsidR="001E4B7A" w:rsidRPr="003A4F79">
        <w:t xml:space="preserve">the </w:t>
      </w:r>
      <w:r w:rsidR="00A62949" w:rsidRPr="003A4F79">
        <w:t>primacy bias.</w:t>
      </w:r>
      <w:r w:rsidR="00AD31BD" w:rsidRPr="003A4F79">
        <w:t xml:space="preserve"> </w:t>
      </w:r>
      <w:r w:rsidR="00F93737" w:rsidRPr="003A4F79">
        <w:t xml:space="preserve">In contrast to these results, the interaction terms with </w:t>
      </w:r>
      <w:r w:rsidR="007E2CD6" w:rsidRPr="003A4F79">
        <w:rPr>
          <w:i/>
        </w:rPr>
        <w:t>InvSize_H</w:t>
      </w:r>
      <w:r w:rsidR="007E2CD6" w:rsidRPr="003A4F79">
        <w:t xml:space="preserve">, </w:t>
      </w:r>
      <w:r w:rsidR="00F93737" w:rsidRPr="003A4F79">
        <w:rPr>
          <w:i/>
        </w:rPr>
        <w:t>Female</w:t>
      </w:r>
      <w:r w:rsidR="00F93737" w:rsidRPr="003A4F79">
        <w:t xml:space="preserve">, </w:t>
      </w:r>
      <w:r w:rsidR="00F93737" w:rsidRPr="003A4F79">
        <w:rPr>
          <w:i/>
        </w:rPr>
        <w:t>Old</w:t>
      </w:r>
      <w:r w:rsidR="00F93737" w:rsidRPr="003A4F79">
        <w:t xml:space="preserve">, or </w:t>
      </w:r>
      <w:r w:rsidR="00F93737" w:rsidRPr="003A4F79">
        <w:rPr>
          <w:i/>
        </w:rPr>
        <w:t>Helsinki</w:t>
      </w:r>
      <w:r w:rsidR="00F93737" w:rsidRPr="003A4F79">
        <w:t xml:space="preserve">, are not significant, suggesting that the primacy effect does not appear to be more pronounced for any particular group of </w:t>
      </w:r>
      <w:r w:rsidR="007E2CD6" w:rsidRPr="003A4F79">
        <w:t xml:space="preserve">investment size, </w:t>
      </w:r>
      <w:r w:rsidR="00F93737" w:rsidRPr="003A4F79">
        <w:t>gender, age, or location.</w:t>
      </w:r>
    </w:p>
    <w:p w14:paraId="65E928BC" w14:textId="4C380709" w:rsidR="00636E36" w:rsidRPr="003A4F79" w:rsidRDefault="00636E36" w:rsidP="00636E36">
      <w:pPr>
        <w:pStyle w:val="Heading1"/>
      </w:pPr>
      <w:r w:rsidRPr="003A4F79">
        <w:t>6. Alternative explanations</w:t>
      </w:r>
    </w:p>
    <w:p w14:paraId="3CCCA3DE" w14:textId="1FD06BC6" w:rsidR="00636E36" w:rsidRPr="003A4F79" w:rsidRDefault="00920667" w:rsidP="00636E36">
      <w:pPr>
        <w:pStyle w:val="Heading2"/>
        <w:rPr>
          <w:lang w:eastAsia="ko-KR"/>
        </w:rPr>
      </w:pPr>
      <w:r w:rsidRPr="003A4F79">
        <w:t>6</w:t>
      </w:r>
      <w:r w:rsidR="00636E36" w:rsidRPr="003A4F79">
        <w:t>.1 Investor wealth</w:t>
      </w:r>
    </w:p>
    <w:p w14:paraId="11B740E3" w14:textId="77777777" w:rsidR="00636E36" w:rsidRPr="003A4F79" w:rsidRDefault="00636E36" w:rsidP="00636E36">
      <w:r w:rsidRPr="003A4F79">
        <w:t>In order to free our analysis from endogeneity, we would need to control for heterogeneity in investor wealth in our regressions, which we cannot do because the data are unavailable to us. This is because investors’ earlier investments induce changes in their (financial) wealth, which in turn affect their likelihood of returning to the stock market. However, we argue that our results are less likely to be contaminated by endogeneity because we already control for the average return for the entire period of investing in the stock market. To further address the issue of the wealth effect, we mitigate wealth heterogeneity by running all our regressions while accounting for two fixed effects, zip code and investment size. By exploiting variation within district (as opposed to across 100 districts), and within groups of investors with the same investment size, we seek to diminish the wealth gap among investors considered in our analyses. We also include, as an additional control variable, the average value of investors’ portfolio holdings during the period of investing in the stock market.</w:t>
      </w:r>
    </w:p>
    <w:p w14:paraId="3E40F1A6" w14:textId="672C8063" w:rsidR="00636E36" w:rsidRPr="003A4F79" w:rsidRDefault="00920667" w:rsidP="00636E36">
      <w:pPr>
        <w:pStyle w:val="Heading2"/>
      </w:pPr>
      <w:r w:rsidRPr="003A4F79">
        <w:lastRenderedPageBreak/>
        <w:t>6</w:t>
      </w:r>
      <w:r w:rsidR="00636E36" w:rsidRPr="003A4F79">
        <w:t>.2 Investor skill or financial sophistication</w:t>
      </w:r>
    </w:p>
    <w:p w14:paraId="5C833516" w14:textId="64C1930A" w:rsidR="00636E36" w:rsidRPr="003A4F79" w:rsidRDefault="00636E36" w:rsidP="0053753C">
      <w:r w:rsidRPr="003A4F79">
        <w:t>Informed and financially sophisticated investors are known to participate more actively in the stock market. They are also more likely to secure better investment performance by exploiting private information or superior financial knowledge. Therefore, o</w:t>
      </w:r>
      <w:r w:rsidR="00C3517D" w:rsidRPr="003A4F79">
        <w:t>ne m</w:t>
      </w:r>
      <w:r w:rsidR="00BF0663" w:rsidRPr="003A4F79">
        <w:t>ight</w:t>
      </w:r>
      <w:r w:rsidR="00C3517D" w:rsidRPr="003A4F79">
        <w:t xml:space="preserve"> argue that o</w:t>
      </w:r>
      <w:r w:rsidRPr="003A4F79">
        <w:t>ur result</w:t>
      </w:r>
      <w:r w:rsidR="0008063B" w:rsidRPr="003A4F79">
        <w:t>s</w:t>
      </w:r>
      <w:r w:rsidR="00C3517D" w:rsidRPr="003A4F79">
        <w:t xml:space="preserve"> of the positive relationship between initial returns and </w:t>
      </w:r>
      <w:r w:rsidR="00DA4A0C" w:rsidRPr="003A4F79">
        <w:t xml:space="preserve">the likelihood of </w:t>
      </w:r>
      <w:r w:rsidR="00C3517D" w:rsidRPr="003A4F79">
        <w:t xml:space="preserve">re-entry </w:t>
      </w:r>
      <w:r w:rsidR="0008063B" w:rsidRPr="003A4F79">
        <w:t>are</w:t>
      </w:r>
      <w:r w:rsidR="00C3517D" w:rsidRPr="003A4F79">
        <w:t xml:space="preserve"> not</w:t>
      </w:r>
      <w:r w:rsidR="002D09A5" w:rsidRPr="003A4F79">
        <w:t xml:space="preserve"> driven by </w:t>
      </w:r>
      <w:r w:rsidR="00C3517D" w:rsidRPr="003A4F79">
        <w:t xml:space="preserve">investors’ primacy bias, but </w:t>
      </w:r>
      <w:r w:rsidR="002D09A5" w:rsidRPr="003A4F79">
        <w:t xml:space="preserve">by </w:t>
      </w:r>
      <w:r w:rsidRPr="003A4F79">
        <w:t xml:space="preserve">investors with high initial returns </w:t>
      </w:r>
      <w:r w:rsidR="00C3517D" w:rsidRPr="003A4F79">
        <w:t>being</w:t>
      </w:r>
      <w:r w:rsidRPr="003A4F79">
        <w:t xml:space="preserve"> better informed</w:t>
      </w:r>
      <w:r w:rsidR="00C3517D" w:rsidRPr="003A4F79">
        <w:t>.</w:t>
      </w:r>
      <w:r w:rsidR="0093661A" w:rsidRPr="003A4F79">
        <w:t xml:space="preserve"> </w:t>
      </w:r>
      <w:r w:rsidR="00C25961" w:rsidRPr="003A4F79">
        <w:t xml:space="preserve">But, we find this argument tenuous </w:t>
      </w:r>
      <w:r w:rsidR="00B543F2" w:rsidRPr="003A4F79">
        <w:t xml:space="preserve">because </w:t>
      </w:r>
      <w:r w:rsidR="00C25961" w:rsidRPr="003A4F79">
        <w:t>the fact that initial returns are defined as month 1</w:t>
      </w:r>
      <w:r w:rsidR="00656C0E" w:rsidRPr="003A4F79">
        <w:t>-</w:t>
      </w:r>
      <w:r w:rsidR="00C25961" w:rsidRPr="003A4F79">
        <w:t>returns suggests an informed investor should reali</w:t>
      </w:r>
      <w:r w:rsidR="00C95B94" w:rsidRPr="003A4F79">
        <w:t>s</w:t>
      </w:r>
      <w:r w:rsidR="00C25961" w:rsidRPr="003A4F79">
        <w:t xml:space="preserve">e superior returns during the first month of their investments, </w:t>
      </w:r>
      <w:r w:rsidR="00316985" w:rsidRPr="003A4F79">
        <w:t>something</w:t>
      </w:r>
      <w:r w:rsidR="00C25961" w:rsidRPr="003A4F79">
        <w:t xml:space="preserve"> not necessarily intuitive or expected.</w:t>
      </w:r>
      <w:r w:rsidR="0053753C" w:rsidRPr="003A4F79">
        <w:t xml:space="preserve"> Furthermore, we control for average monthly returns during the entire period</w:t>
      </w:r>
      <w:r w:rsidR="00877246" w:rsidRPr="003A4F79">
        <w:t xml:space="preserve"> of invest</w:t>
      </w:r>
      <w:r w:rsidR="0099288B" w:rsidRPr="003A4F79">
        <w:t>ing</w:t>
      </w:r>
      <w:r w:rsidR="00877246" w:rsidRPr="003A4F79">
        <w:t xml:space="preserve"> between entry and exit</w:t>
      </w:r>
      <w:r w:rsidR="0053753C" w:rsidRPr="003A4F79">
        <w:t xml:space="preserve">, which </w:t>
      </w:r>
      <w:r w:rsidR="00877246" w:rsidRPr="003A4F79">
        <w:t>would capture investors’ skill or ability to some extent</w:t>
      </w:r>
      <w:r w:rsidR="0053753C" w:rsidRPr="003A4F79">
        <w:t>.</w:t>
      </w:r>
    </w:p>
    <w:p w14:paraId="30986748" w14:textId="31C22D78" w:rsidR="00636E36" w:rsidRPr="003A4F79" w:rsidRDefault="00920667" w:rsidP="00636E36">
      <w:pPr>
        <w:pStyle w:val="Heading2"/>
      </w:pPr>
      <w:r w:rsidRPr="003A4F79">
        <w:t>6</w:t>
      </w:r>
      <w:r w:rsidR="00636E36" w:rsidRPr="003A4F79">
        <w:t>.3 Indirect investment</w:t>
      </w:r>
    </w:p>
    <w:p w14:paraId="61BF0A46" w14:textId="0D020B49" w:rsidR="00636E36" w:rsidRPr="003A4F79" w:rsidRDefault="00636E36" w:rsidP="00636E36">
      <w:r w:rsidRPr="003A4F79">
        <w:t xml:space="preserve">It may be beneficial to know about individuals’ mutual fund investments because the exiting investors in our sample may have switched from individual securities to diversified funds. However, mutual fund investments were very small in Finland until 2003 (see e.g., Kaustia and Knüpfer, 2012), which coincides with the end of our sample period. Furthermore, examining direct stock investments is important because previous research suggests </w:t>
      </w:r>
      <w:r w:rsidR="009741AC" w:rsidRPr="003A4F79">
        <w:t xml:space="preserve">that the delegation of investment may </w:t>
      </w:r>
      <w:r w:rsidR="009741AC" w:rsidRPr="003A4F79">
        <w:lastRenderedPageBreak/>
        <w:t xml:space="preserve">cause the agency problems and incur high fees </w:t>
      </w:r>
      <w:r w:rsidRPr="003A4F79">
        <w:t xml:space="preserve">that may prevent investors from benefitting from the equity premium offered by equity markets (see e.g., </w:t>
      </w:r>
      <w:r w:rsidR="009741AC" w:rsidRPr="003A4F79">
        <w:t>Malkiel</w:t>
      </w:r>
      <w:r w:rsidRPr="003A4F79">
        <w:t>, 201</w:t>
      </w:r>
      <w:r w:rsidR="009741AC" w:rsidRPr="003A4F79">
        <w:t>3</w:t>
      </w:r>
      <w:r w:rsidRPr="003A4F79">
        <w:t>).</w:t>
      </w:r>
    </w:p>
    <w:p w14:paraId="2BAEF887" w14:textId="7BF6ED59" w:rsidR="00920667" w:rsidRPr="003A4F79" w:rsidRDefault="00920667" w:rsidP="00920667">
      <w:pPr>
        <w:pStyle w:val="Heading2"/>
      </w:pPr>
      <w:r w:rsidRPr="003A4F79">
        <w:t>6.4 Employee stock</w:t>
      </w:r>
      <w:r w:rsidR="00141D4C" w:rsidRPr="003A4F79">
        <w:t>-</w:t>
      </w:r>
      <w:r w:rsidRPr="003A4F79">
        <w:t>ownership plan</w:t>
      </w:r>
      <w:r w:rsidR="008F399B" w:rsidRPr="003A4F79">
        <w:rPr>
          <w:rStyle w:val="FootnoteReference"/>
        </w:rPr>
        <w:footnoteReference w:id="18"/>
      </w:r>
    </w:p>
    <w:p w14:paraId="72812BE8" w14:textId="62337062" w:rsidR="00920667" w:rsidRPr="003A4F79" w:rsidRDefault="00920667" w:rsidP="00920667">
      <w:r w:rsidRPr="003A4F79">
        <w:t xml:space="preserve">It is </w:t>
      </w:r>
      <w:r w:rsidR="009F547C" w:rsidRPr="003A4F79">
        <w:t>plausible</w:t>
      </w:r>
      <w:r w:rsidRPr="003A4F79">
        <w:t xml:space="preserve"> that investors may hold their company’s stocks due to its employee stock</w:t>
      </w:r>
      <w:r w:rsidR="00141D4C" w:rsidRPr="003A4F79">
        <w:t>-</w:t>
      </w:r>
      <w:r w:rsidRPr="003A4F79">
        <w:t>ownership plans. Though</w:t>
      </w:r>
      <w:r w:rsidR="00336F0F" w:rsidRPr="003A4F79">
        <w:t xml:space="preserve"> we have n</w:t>
      </w:r>
      <w:r w:rsidRPr="003A4F79">
        <w:t>ot take</w:t>
      </w:r>
      <w:r w:rsidR="00336F0F" w:rsidRPr="003A4F79">
        <w:t>n</w:t>
      </w:r>
      <w:r w:rsidRPr="003A4F79">
        <w:t xml:space="preserve"> into consideration the employee stock-ownership plan</w:t>
      </w:r>
      <w:r w:rsidR="00336F0F" w:rsidRPr="003A4F79">
        <w:t xml:space="preserve"> for our main analysis </w:t>
      </w:r>
      <w:r w:rsidRPr="003A4F79">
        <w:t>due to da</w:t>
      </w:r>
      <w:r w:rsidR="003E0FC2" w:rsidRPr="003A4F79">
        <w:t>t</w:t>
      </w:r>
      <w:r w:rsidRPr="003A4F79">
        <w:t xml:space="preserve">a unavailability, it </w:t>
      </w:r>
      <w:r w:rsidR="00FE1A75" w:rsidRPr="003A4F79">
        <w:t xml:space="preserve">should be somehow </w:t>
      </w:r>
      <w:r w:rsidRPr="003A4F79">
        <w:t xml:space="preserve">dealt with </w:t>
      </w:r>
      <w:r w:rsidR="008C230F" w:rsidRPr="003A4F79">
        <w:t>because investors under such a</w:t>
      </w:r>
      <w:r w:rsidRPr="003A4F79">
        <w:t xml:space="preserve"> plan </w:t>
      </w:r>
      <w:r w:rsidR="00F541EE" w:rsidRPr="003A4F79">
        <w:t xml:space="preserve">could </w:t>
      </w:r>
      <w:r w:rsidRPr="003A4F79">
        <w:t xml:space="preserve">have different motivation to </w:t>
      </w:r>
      <w:r w:rsidR="004146E6" w:rsidRPr="003A4F79">
        <w:t xml:space="preserve">participate in the stock market. </w:t>
      </w:r>
      <w:r w:rsidRPr="003A4F79">
        <w:t>To mitigate this concern, we want to get around the data unavailability issue by identifying the case of e</w:t>
      </w:r>
      <w:r w:rsidR="00457D18" w:rsidRPr="003A4F79">
        <w:t>mployee stock-</w:t>
      </w:r>
      <w:r w:rsidRPr="003A4F79">
        <w:t>ownership plan</w:t>
      </w:r>
      <w:r w:rsidR="00457D18" w:rsidRPr="003A4F79">
        <w:t xml:space="preserve">s, </w:t>
      </w:r>
      <w:r w:rsidRPr="003A4F79">
        <w:t xml:space="preserve">based on the distance between the locations of investor residency and </w:t>
      </w:r>
      <w:r w:rsidR="006C4485" w:rsidRPr="003A4F79">
        <w:t xml:space="preserve">the </w:t>
      </w:r>
      <w:r w:rsidRPr="003A4F79">
        <w:t>company</w:t>
      </w:r>
      <w:r w:rsidR="006C4485" w:rsidRPr="003A4F79">
        <w:t>’s</w:t>
      </w:r>
      <w:r w:rsidRPr="003A4F79">
        <w:t xml:space="preserve"> headquarter</w:t>
      </w:r>
      <w:r w:rsidR="00436812" w:rsidRPr="003A4F79">
        <w:t>s</w:t>
      </w:r>
      <w:r w:rsidRPr="003A4F79">
        <w:t>. More specifically, we construct a dummy variable (</w:t>
      </w:r>
      <w:r w:rsidRPr="003A4F79">
        <w:rPr>
          <w:i/>
        </w:rPr>
        <w:t>Vicinity</w:t>
      </w:r>
      <w:r w:rsidRPr="003A4F79">
        <w:t>) indicating whether an investor resides in the same municipality where the headquarter</w:t>
      </w:r>
      <w:r w:rsidR="00436812" w:rsidRPr="003A4F79">
        <w:t>s</w:t>
      </w:r>
      <w:r w:rsidRPr="003A4F79">
        <w:t xml:space="preserve"> of the company (whose stocks she holds) is located. The idea is that an investor is more likely to be an employee if she resides in the vicinity of a company than an investor who lives far away from it. </w:t>
      </w:r>
      <w:r w:rsidR="00003F09" w:rsidRPr="003A4F79">
        <w:t>The regression r</w:t>
      </w:r>
      <w:r w:rsidRPr="003A4F79">
        <w:t xml:space="preserve">esults reported in Table 9 show that the initial return effect </w:t>
      </w:r>
      <w:r w:rsidR="00E035E1" w:rsidRPr="003A4F79">
        <w:t>remains</w:t>
      </w:r>
      <w:r w:rsidRPr="003A4F79">
        <w:t xml:space="preserve"> robust to controlling for this vicinity variable. </w:t>
      </w:r>
    </w:p>
    <w:p w14:paraId="5306FD31" w14:textId="428D2589" w:rsidR="00636E36" w:rsidRPr="003A4F79" w:rsidRDefault="00920667" w:rsidP="004F3950">
      <w:pPr>
        <w:pStyle w:val="InsertInstruct"/>
      </w:pPr>
      <w:r w:rsidRPr="003A4F79">
        <w:t>[Insert Table 9 here]</w:t>
      </w:r>
    </w:p>
    <w:p w14:paraId="75F6FF2A" w14:textId="5C45DB26" w:rsidR="000C0A86" w:rsidRPr="003A4F79" w:rsidRDefault="00636E36">
      <w:pPr>
        <w:pStyle w:val="Heading1"/>
      </w:pPr>
      <w:r w:rsidRPr="003A4F79">
        <w:lastRenderedPageBreak/>
        <w:t>7</w:t>
      </w:r>
      <w:r w:rsidR="00852081" w:rsidRPr="003A4F79">
        <w:t xml:space="preserve">. </w:t>
      </w:r>
      <w:r w:rsidR="000C0A86" w:rsidRPr="003A4F79">
        <w:t>Robustness</w:t>
      </w:r>
      <w:r w:rsidR="000D4B23" w:rsidRPr="003A4F79">
        <w:t>: Sample selection</w:t>
      </w:r>
    </w:p>
    <w:p w14:paraId="609FD8A1" w14:textId="485B7696" w:rsidR="00920667" w:rsidRPr="003A4F79" w:rsidRDefault="00920667" w:rsidP="00920667">
      <w:r w:rsidRPr="003A4F79">
        <w:t xml:space="preserve">An investor’s initial entry decision may not be random </w:t>
      </w:r>
      <w:r w:rsidR="003B2C13" w:rsidRPr="003A4F79">
        <w:t>as</w:t>
      </w:r>
      <w:r w:rsidRPr="003A4F79">
        <w:t xml:space="preserve"> it is a function of </w:t>
      </w:r>
      <w:r w:rsidR="00DB5EDA" w:rsidRPr="003A4F79">
        <w:t xml:space="preserve">the </w:t>
      </w:r>
      <w:r w:rsidRPr="003A4F79">
        <w:t>investor</w:t>
      </w:r>
      <w:r w:rsidR="008201D9" w:rsidRPr="003A4F79">
        <w:t>’</w:t>
      </w:r>
      <w:r w:rsidR="00DB5EDA" w:rsidRPr="003A4F79">
        <w:t>s</w:t>
      </w:r>
      <w:r w:rsidRPr="003A4F79">
        <w:t xml:space="preserve"> risk-preference,</w:t>
      </w:r>
      <w:r w:rsidR="00642725" w:rsidRPr="003A4F79">
        <w:t xml:space="preserve"> investing style (e.g., momentum/contrarian-, or value/growth investing),</w:t>
      </w:r>
      <w:r w:rsidRPr="003A4F79">
        <w:t xml:space="preserve"> or the entry time </w:t>
      </w:r>
      <w:r w:rsidR="0016619D" w:rsidRPr="003A4F79">
        <w:t>can be</w:t>
      </w:r>
      <w:r w:rsidRPr="003A4F79">
        <w:t xml:space="preserve"> correlated with other variables such as macroeconomic environment and labor market outcomes (see, e.g.</w:t>
      </w:r>
      <w:r w:rsidR="00911149" w:rsidRPr="003A4F79">
        <w:t>,</w:t>
      </w:r>
      <w:r w:rsidRPr="003A4F79">
        <w:t xml:space="preserve"> works cited in Campbell, 2006; Badarinza, Campbell and Ramadorai, 2016). If this is the case, our initial return variable is made endogenous</w:t>
      </w:r>
      <w:r w:rsidR="00B068BD" w:rsidRPr="003A4F79">
        <w:t xml:space="preserve"> </w:t>
      </w:r>
      <w:r w:rsidRPr="003A4F79">
        <w:t xml:space="preserve">which may bias our inference. To </w:t>
      </w:r>
      <w:r w:rsidR="00C63395" w:rsidRPr="003A4F79">
        <w:t xml:space="preserve">alleviate </w:t>
      </w:r>
      <w:r w:rsidRPr="003A4F79">
        <w:t xml:space="preserve">this concern, we first try to control for investors’ risk preference based on risk characteristics (such as idiosyncratic volatility/skewness) of the stock they chose for </w:t>
      </w:r>
      <w:r w:rsidR="00B068BD" w:rsidRPr="003A4F79">
        <w:t xml:space="preserve">their </w:t>
      </w:r>
      <w:r w:rsidRPr="003A4F79">
        <w:t xml:space="preserve">initial </w:t>
      </w:r>
      <w:r w:rsidR="00CF026E" w:rsidRPr="003A4F79">
        <w:t>investment</w:t>
      </w:r>
      <w:r w:rsidRPr="003A4F79">
        <w:t>. The rationale is that investors’ risk preference should be reflected in their decision on which stocks to buy in the first place.</w:t>
      </w:r>
      <w:r w:rsidR="003D7C65" w:rsidRPr="003A4F79">
        <w:rPr>
          <w:rStyle w:val="FootnoteReference"/>
        </w:rPr>
        <w:footnoteReference w:id="19"/>
      </w:r>
      <w:r w:rsidRPr="003A4F79">
        <w:t xml:space="preserve"> Second, we try to exogeni</w:t>
      </w:r>
      <w:r w:rsidR="00CF026E" w:rsidRPr="003A4F79">
        <w:t>s</w:t>
      </w:r>
      <w:r w:rsidRPr="003A4F79">
        <w:t xml:space="preserve">e the entry time by controlling for stock market </w:t>
      </w:r>
      <w:r w:rsidR="00D24408" w:rsidRPr="003A4F79">
        <w:t xml:space="preserve">returns </w:t>
      </w:r>
      <w:r w:rsidRPr="003A4F79">
        <w:t xml:space="preserve">around the entry time, i.e., a month before- </w:t>
      </w:r>
      <w:r w:rsidR="00DC1AD8" w:rsidRPr="003A4F79">
        <w:t xml:space="preserve"> </w:t>
      </w:r>
      <w:r w:rsidRPr="003A4F79">
        <w:t>and after</w:t>
      </w:r>
      <w:r w:rsidR="00DC1AD8" w:rsidRPr="003A4F79">
        <w:t xml:space="preserve"> </w:t>
      </w:r>
      <w:r w:rsidRPr="003A4F79">
        <w:t xml:space="preserve">the entry month as well as the entry month. </w:t>
      </w:r>
      <w:r w:rsidR="00642725" w:rsidRPr="003A4F79">
        <w:t xml:space="preserve">Third, </w:t>
      </w:r>
      <w:r w:rsidR="00F15E71" w:rsidRPr="003A4F79">
        <w:t>we account for the effect of prior stock performance and book-to-market ratios of the stock to gauge whether investors’ susceptibility toward the primacy bias is linked to momentum/contrarian and value/growth styles.</w:t>
      </w:r>
      <w:r w:rsidR="00642725" w:rsidRPr="003A4F79">
        <w:t xml:space="preserve"> </w:t>
      </w:r>
      <w:r w:rsidRPr="003A4F79">
        <w:t>New results show that the initial return – re-entry relation is robust to</w:t>
      </w:r>
      <w:r w:rsidR="00144135" w:rsidRPr="003A4F79">
        <w:t xml:space="preserve"> controlling for the initial stock’s characteristics and stock market conditions around initial re-entry</w:t>
      </w:r>
      <w:r w:rsidR="009618FA" w:rsidRPr="003A4F79">
        <w:t>.</w:t>
      </w:r>
      <w:r w:rsidR="00EA5D98" w:rsidRPr="003A4F79">
        <w:rPr>
          <w:rStyle w:val="FootnoteReference"/>
        </w:rPr>
        <w:t xml:space="preserve"> </w:t>
      </w:r>
      <w:r w:rsidR="00EA5D98" w:rsidRPr="003A4F79">
        <w:rPr>
          <w:rStyle w:val="FootnoteReference"/>
        </w:rPr>
        <w:footnoteReference w:id="20"/>
      </w:r>
      <w:r w:rsidR="009618FA" w:rsidRPr="003A4F79">
        <w:t xml:space="preserve"> </w:t>
      </w:r>
    </w:p>
    <w:p w14:paraId="61255C0B" w14:textId="5168076A" w:rsidR="00CD3485" w:rsidRPr="003A4F79" w:rsidRDefault="00CC7006" w:rsidP="00CD3485">
      <w:r w:rsidRPr="003A4F79">
        <w:lastRenderedPageBreak/>
        <w:t xml:space="preserve">Sample selection biases could also arise due to investors’ exiting decision being potentially endogenous, as </w:t>
      </w:r>
      <w:r w:rsidR="00396881" w:rsidRPr="003A4F79">
        <w:t xml:space="preserve">we only </w:t>
      </w:r>
      <w:r w:rsidR="001D485E" w:rsidRPr="003A4F79">
        <w:t xml:space="preserve">take </w:t>
      </w:r>
      <w:r w:rsidR="00F66765" w:rsidRPr="003A4F79">
        <w:t>into consideration</w:t>
      </w:r>
      <w:r w:rsidR="00F66765" w:rsidRPr="003A4F79" w:rsidDel="00F66765">
        <w:t xml:space="preserve"> </w:t>
      </w:r>
      <w:r w:rsidR="00EA2949" w:rsidRPr="003A4F79">
        <w:t xml:space="preserve">for our sample </w:t>
      </w:r>
      <w:r w:rsidR="00942EAD" w:rsidRPr="003A4F79">
        <w:t>i</w:t>
      </w:r>
      <w:r w:rsidR="00757329" w:rsidRPr="003A4F79">
        <w:t>nvestor</w:t>
      </w:r>
      <w:r w:rsidR="00942EAD" w:rsidRPr="003A4F79">
        <w:t>s</w:t>
      </w:r>
      <w:r w:rsidR="00757329" w:rsidRPr="003A4F79">
        <w:t xml:space="preserve"> </w:t>
      </w:r>
      <w:r w:rsidR="00396881" w:rsidRPr="003A4F79">
        <w:t xml:space="preserve">who </w:t>
      </w:r>
      <w:r w:rsidR="001D485E" w:rsidRPr="003A4F79">
        <w:t xml:space="preserve">chose to </w:t>
      </w:r>
      <w:r w:rsidR="00396881" w:rsidRPr="003A4F79">
        <w:t>e</w:t>
      </w:r>
      <w:r w:rsidR="004F2EDC" w:rsidRPr="003A4F79">
        <w:t>xit</w:t>
      </w:r>
      <w:r w:rsidR="001D485E" w:rsidRPr="003A4F79">
        <w:t xml:space="preserve"> </w:t>
      </w:r>
      <w:r w:rsidR="004F2EDC" w:rsidRPr="003A4F79">
        <w:t>the</w:t>
      </w:r>
      <w:r w:rsidR="001D485E" w:rsidRPr="003A4F79">
        <w:t xml:space="preserve"> stock</w:t>
      </w:r>
      <w:r w:rsidR="004F2EDC" w:rsidRPr="003A4F79">
        <w:t xml:space="preserve"> market</w:t>
      </w:r>
      <w:r w:rsidR="001D485E" w:rsidRPr="003A4F79">
        <w:t xml:space="preserve">. </w:t>
      </w:r>
      <w:r w:rsidR="00C252F5" w:rsidRPr="003A4F79">
        <w:t>To alleviate th</w:t>
      </w:r>
      <w:r w:rsidR="006743B5" w:rsidRPr="003A4F79">
        <w:t xml:space="preserve">is </w:t>
      </w:r>
      <w:r w:rsidR="00C252F5" w:rsidRPr="003A4F79">
        <w:t xml:space="preserve">concern, </w:t>
      </w:r>
      <w:r w:rsidR="0069177B" w:rsidRPr="003A4F79">
        <w:t xml:space="preserve">we first check how different our sample is compared to a larger population of retail investors in Finland. </w:t>
      </w:r>
      <w:r w:rsidR="00D724C4" w:rsidRPr="003A4F79">
        <w:t>For this purpose, we report</w:t>
      </w:r>
      <w:r w:rsidR="003C0196" w:rsidRPr="003A4F79">
        <w:t xml:space="preserve"> in</w:t>
      </w:r>
      <w:r w:rsidR="0069177B" w:rsidRPr="003A4F79">
        <w:t xml:space="preserve"> </w:t>
      </w:r>
      <w:r w:rsidR="00160B5F" w:rsidRPr="003A4F79">
        <w:t xml:space="preserve">Panel A of </w:t>
      </w:r>
      <w:r w:rsidR="0069177B" w:rsidRPr="003A4F79">
        <w:t xml:space="preserve">Table </w:t>
      </w:r>
      <w:r w:rsidR="00160B5F" w:rsidRPr="003A4F79">
        <w:t>1</w:t>
      </w:r>
      <w:r w:rsidR="00D724C4" w:rsidRPr="003A4F79">
        <w:t xml:space="preserve"> </w:t>
      </w:r>
      <w:r w:rsidR="003C0196" w:rsidRPr="003A4F79">
        <w:t xml:space="preserve">sample characteristics for all investors in our database as well as our primary sample. The results appear to show that there </w:t>
      </w:r>
      <w:r w:rsidR="002D1AA5" w:rsidRPr="003A4F79">
        <w:t xml:space="preserve">is no </w:t>
      </w:r>
      <w:r w:rsidR="003C0196" w:rsidRPr="003A4F79">
        <w:t>marked difference between two groups</w:t>
      </w:r>
      <w:r w:rsidR="00F97493" w:rsidRPr="003A4F79">
        <w:t>,</w:t>
      </w:r>
      <w:r w:rsidR="00F11C13" w:rsidRPr="003A4F79">
        <w:t xml:space="preserve"> especially</w:t>
      </w:r>
      <w:r w:rsidR="003C0196" w:rsidRPr="003A4F79">
        <w:t xml:space="preserve"> </w:t>
      </w:r>
      <w:r w:rsidR="00F11C13" w:rsidRPr="003A4F79">
        <w:t>for</w:t>
      </w:r>
      <w:r w:rsidR="003C0196" w:rsidRPr="003A4F79">
        <w:t xml:space="preserve"> the variables</w:t>
      </w:r>
      <w:r w:rsidR="00F11C13" w:rsidRPr="003A4F79">
        <w:t xml:space="preserve"> that we do not </w:t>
      </w:r>
      <w:r w:rsidR="003C0196" w:rsidRPr="003A4F79">
        <w:t>control</w:t>
      </w:r>
      <w:r w:rsidR="00F11C13" w:rsidRPr="003A4F79">
        <w:t xml:space="preserve"> </w:t>
      </w:r>
      <w:r w:rsidR="003C0196" w:rsidRPr="003A4F79">
        <w:t xml:space="preserve">for in our </w:t>
      </w:r>
      <w:r w:rsidR="00F11C13" w:rsidRPr="003A4F79">
        <w:t>regressions</w:t>
      </w:r>
      <w:r w:rsidR="003C0196" w:rsidRPr="003A4F79">
        <w:t xml:space="preserve">. </w:t>
      </w:r>
      <w:r w:rsidR="0069177B" w:rsidRPr="003A4F79">
        <w:t xml:space="preserve">Furthermore, </w:t>
      </w:r>
      <w:r w:rsidR="00B8630A" w:rsidRPr="003A4F79">
        <w:t xml:space="preserve">we </w:t>
      </w:r>
      <w:r w:rsidR="00CF1DED" w:rsidRPr="003A4F79">
        <w:t>employ</w:t>
      </w:r>
      <w:r w:rsidR="00B8630A" w:rsidRPr="003A4F79">
        <w:t xml:space="preserve"> </w:t>
      </w:r>
      <w:r w:rsidR="00921771" w:rsidRPr="003A4F79">
        <w:t>a</w:t>
      </w:r>
      <w:r w:rsidR="00B8630A" w:rsidRPr="003A4F79">
        <w:t xml:space="preserve"> two-s</w:t>
      </w:r>
      <w:r w:rsidR="00F54440" w:rsidRPr="003A4F79">
        <w:t>tage</w:t>
      </w:r>
      <w:r w:rsidR="00B8630A" w:rsidRPr="003A4F79">
        <w:t xml:space="preserve"> </w:t>
      </w:r>
      <w:r w:rsidR="005943FE" w:rsidRPr="003A4F79">
        <w:t xml:space="preserve">Heckman (1976) </w:t>
      </w:r>
      <w:r w:rsidR="00B8630A" w:rsidRPr="003A4F79">
        <w:t>model</w:t>
      </w:r>
      <w:r w:rsidR="00CD3485" w:rsidRPr="003A4F79">
        <w:t xml:space="preserve"> </w:t>
      </w:r>
      <w:r w:rsidR="00195C4A" w:rsidRPr="003A4F79">
        <w:t xml:space="preserve">by exploiting the sample of the population of retail investors that comprises about 3.3 million investor months with almost 0.1 million investors. The results </w:t>
      </w:r>
      <w:r w:rsidR="00CD3485" w:rsidRPr="003A4F79">
        <w:t xml:space="preserve">confirm that the </w:t>
      </w:r>
      <w:r w:rsidR="00195C4A" w:rsidRPr="003A4F79">
        <w:t xml:space="preserve">initial return-re-entry relation </w:t>
      </w:r>
      <w:r w:rsidR="00CD3485" w:rsidRPr="003A4F79">
        <w:t>remain</w:t>
      </w:r>
      <w:r w:rsidR="00195C4A" w:rsidRPr="003A4F79">
        <w:t>s</w:t>
      </w:r>
      <w:r w:rsidR="00CD3485" w:rsidRPr="003A4F79">
        <w:t xml:space="preserve"> intact</w:t>
      </w:r>
      <w:r w:rsidR="00195C4A" w:rsidRPr="003A4F79">
        <w:t xml:space="preserve"> after accounting for the potential effect of the non-randomly chosen sample</w:t>
      </w:r>
      <w:r w:rsidR="00CD3485" w:rsidRPr="003A4F79">
        <w:t>.</w:t>
      </w:r>
      <w:r w:rsidR="00CD3485" w:rsidRPr="003A4F79">
        <w:rPr>
          <w:rStyle w:val="FootnoteReference"/>
        </w:rPr>
        <w:t xml:space="preserve"> </w:t>
      </w:r>
      <w:r w:rsidR="00CD3485" w:rsidRPr="003A4F79">
        <w:rPr>
          <w:rStyle w:val="FootnoteReference"/>
        </w:rPr>
        <w:footnoteReference w:id="21"/>
      </w:r>
      <w:r w:rsidR="00CD3485" w:rsidRPr="003A4F79">
        <w:t xml:space="preserve"> </w:t>
      </w:r>
      <w:r w:rsidR="00BC569D" w:rsidRPr="003A4F79">
        <w:t xml:space="preserve"> </w:t>
      </w:r>
    </w:p>
    <w:p w14:paraId="229D08B4" w14:textId="7A886EE4" w:rsidR="00205776" w:rsidRPr="003A4F79" w:rsidRDefault="00AB1084">
      <w:pPr>
        <w:pStyle w:val="Heading1"/>
      </w:pPr>
      <w:r w:rsidRPr="003A4F79">
        <w:lastRenderedPageBreak/>
        <w:t>8</w:t>
      </w:r>
      <w:r w:rsidR="00205776" w:rsidRPr="003A4F79">
        <w:t>. Conclusion</w:t>
      </w:r>
    </w:p>
    <w:p w14:paraId="3FE62FF5" w14:textId="77E13D6B" w:rsidR="00B62737" w:rsidRPr="003A4F79" w:rsidRDefault="003B0919">
      <w:r w:rsidRPr="003A4F79">
        <w:t>U</w:t>
      </w:r>
      <w:r w:rsidR="00EB2552" w:rsidRPr="003A4F79">
        <w:t xml:space="preserve">sing a detailed dataset </w:t>
      </w:r>
      <w:r w:rsidR="00982C0D" w:rsidRPr="003A4F79">
        <w:t xml:space="preserve">that </w:t>
      </w:r>
      <w:r w:rsidR="006D6181" w:rsidRPr="003A4F79">
        <w:t xml:space="preserve">gives a comprehensive picture of retail investors’ </w:t>
      </w:r>
      <w:r w:rsidR="00B95643" w:rsidRPr="003A4F79">
        <w:t xml:space="preserve">transactions and </w:t>
      </w:r>
      <w:r w:rsidR="006D6181" w:rsidRPr="003A4F79">
        <w:t>direct shareholdings in th</w:t>
      </w:r>
      <w:r w:rsidR="00EB2552" w:rsidRPr="003A4F79">
        <w:t>e Finnish stock market</w:t>
      </w:r>
      <w:r w:rsidR="00B95643" w:rsidRPr="003A4F79">
        <w:t xml:space="preserve"> from 1995 to 2003</w:t>
      </w:r>
      <w:r w:rsidR="00EB2552" w:rsidRPr="003A4F79">
        <w:t xml:space="preserve">, </w:t>
      </w:r>
      <w:r w:rsidR="002F06E7" w:rsidRPr="003A4F79">
        <w:t xml:space="preserve">we </w:t>
      </w:r>
      <w:r w:rsidR="006073C7" w:rsidRPr="003A4F79">
        <w:t xml:space="preserve">find </w:t>
      </w:r>
      <w:r w:rsidR="001B5327" w:rsidRPr="003A4F79">
        <w:t xml:space="preserve">that </w:t>
      </w:r>
      <w:r w:rsidR="009F15D4" w:rsidRPr="003A4F79">
        <w:t xml:space="preserve">their initial </w:t>
      </w:r>
      <w:r w:rsidR="006073C7" w:rsidRPr="003A4F79">
        <w:t xml:space="preserve">investment </w:t>
      </w:r>
      <w:r w:rsidR="009F15D4" w:rsidRPr="003A4F79">
        <w:t>experience strongly influence</w:t>
      </w:r>
      <w:r w:rsidR="006073C7" w:rsidRPr="003A4F79">
        <w:t>s</w:t>
      </w:r>
      <w:r w:rsidR="009F15D4" w:rsidRPr="003A4F79">
        <w:t xml:space="preserve"> </w:t>
      </w:r>
      <w:r w:rsidR="006073C7" w:rsidRPr="003A4F79">
        <w:t xml:space="preserve">their </w:t>
      </w:r>
      <w:r w:rsidR="00CB6D4B" w:rsidRPr="003A4F79">
        <w:t>decision</w:t>
      </w:r>
      <w:r w:rsidR="006073C7" w:rsidRPr="003A4F79">
        <w:t>s</w:t>
      </w:r>
      <w:r w:rsidR="00CB6D4B" w:rsidRPr="003A4F79">
        <w:t xml:space="preserve"> to </w:t>
      </w:r>
      <w:r w:rsidR="00867E97" w:rsidRPr="003A4F79">
        <w:t>return to</w:t>
      </w:r>
      <w:r w:rsidR="00233682" w:rsidRPr="003A4F79">
        <w:t xml:space="preserve"> </w:t>
      </w:r>
      <w:r w:rsidR="00CB6D4B" w:rsidRPr="003A4F79">
        <w:t xml:space="preserve">the </w:t>
      </w:r>
      <w:r w:rsidR="00EB2552" w:rsidRPr="003A4F79">
        <w:t xml:space="preserve">stock market </w:t>
      </w:r>
      <w:r w:rsidR="00FA0540" w:rsidRPr="003A4F79">
        <w:t xml:space="preserve">after </w:t>
      </w:r>
      <w:r w:rsidR="006073C7" w:rsidRPr="003A4F79">
        <w:t xml:space="preserve">withdrawal </w:t>
      </w:r>
      <w:r w:rsidR="00FA0540" w:rsidRPr="003A4F79">
        <w:t>and absen</w:t>
      </w:r>
      <w:r w:rsidR="006073C7" w:rsidRPr="003A4F79">
        <w:t>ce</w:t>
      </w:r>
      <w:r w:rsidR="00FA0540" w:rsidRPr="003A4F79">
        <w:t xml:space="preserve"> from it</w:t>
      </w:r>
      <w:r w:rsidR="00B22828" w:rsidRPr="003A4F79">
        <w:t>.</w:t>
      </w:r>
      <w:r w:rsidR="007524E7" w:rsidRPr="003A4F79">
        <w:t xml:space="preserve"> </w:t>
      </w:r>
      <w:r w:rsidR="001B5327" w:rsidRPr="003A4F79">
        <w:t xml:space="preserve">More specifically, </w:t>
      </w:r>
      <w:r w:rsidR="001B5327" w:rsidRPr="003A4F79">
        <w:rPr>
          <w:rFonts w:eastAsia="Batang"/>
        </w:rPr>
        <w:t xml:space="preserve">investors who experience lower </w:t>
      </w:r>
      <w:r w:rsidR="001B5327" w:rsidRPr="003A4F79">
        <w:rPr>
          <w:i/>
          <w:lang w:eastAsia="en-GB"/>
        </w:rPr>
        <w:t>initial returns</w:t>
      </w:r>
      <w:r w:rsidR="00CD006F" w:rsidRPr="003A4F79">
        <w:t xml:space="preserve"> </w:t>
      </w:r>
      <w:r w:rsidR="006073C7" w:rsidRPr="003A4F79">
        <w:t>(</w:t>
      </w:r>
      <w:r w:rsidR="001B5327" w:rsidRPr="003A4F79">
        <w:rPr>
          <w:rFonts w:eastAsia="Batang"/>
        </w:rPr>
        <w:t>returns in the first month of investing</w:t>
      </w:r>
      <w:r w:rsidR="006073C7" w:rsidRPr="003A4F79">
        <w:t>)</w:t>
      </w:r>
      <w:r w:rsidR="00CD006F" w:rsidRPr="003A4F79">
        <w:t xml:space="preserve"> </w:t>
      </w:r>
      <w:r w:rsidR="006C7905" w:rsidRPr="003A4F79">
        <w:t>are</w:t>
      </w:r>
      <w:r w:rsidR="001B5327" w:rsidRPr="003A4F79">
        <w:rPr>
          <w:rFonts w:eastAsia="Batang"/>
        </w:rPr>
        <w:t xml:space="preserve"> less likely to return to the market</w:t>
      </w:r>
      <w:r w:rsidR="006073C7" w:rsidRPr="003A4F79">
        <w:rPr>
          <w:rFonts w:eastAsia="Batang"/>
        </w:rPr>
        <w:t>,</w:t>
      </w:r>
      <w:r w:rsidR="001B5327" w:rsidRPr="003A4F79">
        <w:rPr>
          <w:rFonts w:eastAsia="Batang"/>
        </w:rPr>
        <w:t xml:space="preserve"> </w:t>
      </w:r>
      <w:r w:rsidR="006C7905" w:rsidRPr="003A4F79">
        <w:rPr>
          <w:rFonts w:eastAsia="Batang"/>
        </w:rPr>
        <w:t xml:space="preserve">even after controlling for </w:t>
      </w:r>
      <w:r w:rsidR="006C7905" w:rsidRPr="003A4F79">
        <w:rPr>
          <w:i/>
          <w:lang w:eastAsia="en-GB"/>
        </w:rPr>
        <w:t>recent returns</w:t>
      </w:r>
      <w:r w:rsidR="00CD006F" w:rsidRPr="003A4F79">
        <w:t xml:space="preserve"> </w:t>
      </w:r>
      <w:r w:rsidR="006073C7" w:rsidRPr="003A4F79">
        <w:t>(</w:t>
      </w:r>
      <w:r w:rsidR="006C7905" w:rsidRPr="003A4F79">
        <w:rPr>
          <w:rFonts w:eastAsia="Batang"/>
        </w:rPr>
        <w:t>returns in the last month of investing</w:t>
      </w:r>
      <w:r w:rsidR="006073C7" w:rsidRPr="003A4F79">
        <w:rPr>
          <w:rFonts w:eastAsia="Batang"/>
        </w:rPr>
        <w:t>)</w:t>
      </w:r>
      <w:r w:rsidR="006C7905" w:rsidRPr="003A4F79">
        <w:rPr>
          <w:rFonts w:eastAsia="Batang"/>
        </w:rPr>
        <w:t xml:space="preserve"> as well as </w:t>
      </w:r>
      <w:r w:rsidR="006C7905" w:rsidRPr="003A4F79">
        <w:rPr>
          <w:rFonts w:eastAsia="Batang"/>
          <w:i/>
        </w:rPr>
        <w:t>all returns</w:t>
      </w:r>
      <w:r w:rsidR="00CD006F" w:rsidRPr="003A4F79">
        <w:t xml:space="preserve"> </w:t>
      </w:r>
      <w:r w:rsidR="006073C7" w:rsidRPr="003A4F79">
        <w:t>(</w:t>
      </w:r>
      <w:r w:rsidR="006C7905" w:rsidRPr="003A4F79">
        <w:t xml:space="preserve">average </w:t>
      </w:r>
      <w:r w:rsidR="006C7905" w:rsidRPr="003A4F79">
        <w:rPr>
          <w:rFonts w:eastAsia="Batang"/>
        </w:rPr>
        <w:t xml:space="preserve">returns </w:t>
      </w:r>
      <w:r w:rsidR="006073C7" w:rsidRPr="003A4F79">
        <w:rPr>
          <w:rFonts w:eastAsia="Batang"/>
        </w:rPr>
        <w:t>for all</w:t>
      </w:r>
      <w:r w:rsidR="006C7905" w:rsidRPr="003A4F79">
        <w:rPr>
          <w:rFonts w:eastAsia="Batang"/>
        </w:rPr>
        <w:t xml:space="preserve"> months of investing</w:t>
      </w:r>
      <w:r w:rsidR="006073C7" w:rsidRPr="003A4F79">
        <w:rPr>
          <w:rFonts w:eastAsia="Batang"/>
        </w:rPr>
        <w:t>)</w:t>
      </w:r>
      <w:r w:rsidR="006C7905" w:rsidRPr="003A4F79">
        <w:rPr>
          <w:rFonts w:eastAsia="Batang"/>
        </w:rPr>
        <w:t>. The</w:t>
      </w:r>
      <w:r w:rsidR="002C7B5C" w:rsidRPr="003A4F79">
        <w:rPr>
          <w:rFonts w:eastAsia="Batang"/>
        </w:rPr>
        <w:t xml:space="preserve">se results are consistent with </w:t>
      </w:r>
      <w:r w:rsidR="00D64624" w:rsidRPr="003A4F79">
        <w:t xml:space="preserve">the </w:t>
      </w:r>
      <w:r w:rsidR="00C326F1" w:rsidRPr="003A4F79">
        <w:rPr>
          <w:i/>
        </w:rPr>
        <w:t>primacy</w:t>
      </w:r>
      <w:r w:rsidR="00C326F1" w:rsidRPr="003A4F79">
        <w:t xml:space="preserve"> </w:t>
      </w:r>
      <w:r w:rsidR="00C326F1" w:rsidRPr="003A4F79">
        <w:rPr>
          <w:i/>
        </w:rPr>
        <w:t>effect</w:t>
      </w:r>
      <w:r w:rsidR="006073C7" w:rsidRPr="003A4F79">
        <w:t>,</w:t>
      </w:r>
      <w:r w:rsidR="00C326F1" w:rsidRPr="003A4F79">
        <w:t xml:space="preserve"> </w:t>
      </w:r>
      <w:r w:rsidR="006073C7" w:rsidRPr="003A4F79">
        <w:t>whereby</w:t>
      </w:r>
      <w:r w:rsidR="00C326F1" w:rsidRPr="003A4F79">
        <w:t xml:space="preserve"> </w:t>
      </w:r>
      <w:r w:rsidR="00707CA3" w:rsidRPr="003A4F79">
        <w:t xml:space="preserve">individuals tend to rely more on </w:t>
      </w:r>
      <w:r w:rsidR="00C326F1" w:rsidRPr="003A4F79">
        <w:t>initial experience</w:t>
      </w:r>
      <w:r w:rsidR="006073C7" w:rsidRPr="003A4F79">
        <w:t>s</w:t>
      </w:r>
      <w:r w:rsidR="00C326F1" w:rsidRPr="003A4F79">
        <w:t xml:space="preserve"> </w:t>
      </w:r>
      <w:r w:rsidR="00707CA3" w:rsidRPr="003A4F79">
        <w:t xml:space="preserve">than on subsequent ones due to </w:t>
      </w:r>
      <w:r w:rsidR="0073716E" w:rsidRPr="003A4F79">
        <w:t xml:space="preserve">a </w:t>
      </w:r>
      <w:r w:rsidR="00707CA3" w:rsidRPr="003A4F79">
        <w:t>cognitive bias associated with memory (</w:t>
      </w:r>
      <w:r w:rsidR="00707CA3" w:rsidRPr="003A4F79">
        <w:rPr>
          <w:i/>
        </w:rPr>
        <w:t>primacy bias</w:t>
      </w:r>
      <w:r w:rsidR="00707CA3" w:rsidRPr="003A4F79">
        <w:t>)</w:t>
      </w:r>
      <w:r w:rsidR="00B62737" w:rsidRPr="003A4F79">
        <w:t>.</w:t>
      </w:r>
    </w:p>
    <w:p w14:paraId="0D00A250" w14:textId="76D3FAF9" w:rsidR="00EF2240" w:rsidRPr="003A4F79" w:rsidRDefault="003E4D1D" w:rsidP="00290F9F">
      <w:r w:rsidRPr="003A4F79">
        <w:t xml:space="preserve">Our findings </w:t>
      </w:r>
      <w:r w:rsidR="00226E03" w:rsidRPr="003A4F79">
        <w:t xml:space="preserve">highlight </w:t>
      </w:r>
      <w:r w:rsidR="008F2E38" w:rsidRPr="003A4F79">
        <w:t xml:space="preserve">the </w:t>
      </w:r>
      <w:r w:rsidR="004F4818" w:rsidRPr="003A4F79">
        <w:t>particular relevance</w:t>
      </w:r>
      <w:r w:rsidR="00B25D7F" w:rsidRPr="003A4F79">
        <w:t xml:space="preserve"> of</w:t>
      </w:r>
      <w:r w:rsidRPr="003A4F79">
        <w:t xml:space="preserve"> financial literacy</w:t>
      </w:r>
      <w:r w:rsidR="00D4419C" w:rsidRPr="003A4F79">
        <w:t xml:space="preserve"> to </w:t>
      </w:r>
      <w:r w:rsidR="000D4EE5" w:rsidRPr="003A4F79">
        <w:t>increase</w:t>
      </w:r>
      <w:r w:rsidR="006073C7" w:rsidRPr="003A4F79">
        <w:t>d</w:t>
      </w:r>
      <w:r w:rsidR="000D4EE5" w:rsidRPr="003A4F79">
        <w:t xml:space="preserve"> </w:t>
      </w:r>
      <w:r w:rsidR="007A4628" w:rsidRPr="003A4F79">
        <w:t xml:space="preserve">stock market </w:t>
      </w:r>
      <w:r w:rsidR="00D4419C" w:rsidRPr="003A4F79">
        <w:t>participation</w:t>
      </w:r>
      <w:r w:rsidR="006073C7" w:rsidRPr="003A4F79">
        <w:t xml:space="preserve"> by households. T</w:t>
      </w:r>
      <w:r w:rsidR="00B83148" w:rsidRPr="003A4F79">
        <w:t>o the extent that</w:t>
      </w:r>
      <w:r w:rsidR="00DC5A2E" w:rsidRPr="003A4F79">
        <w:t xml:space="preserve"> </w:t>
      </w:r>
      <w:r w:rsidR="00E97B97" w:rsidRPr="003A4F79">
        <w:t>initial success</w:t>
      </w:r>
      <w:r w:rsidR="006073C7" w:rsidRPr="003A4F79">
        <w:t xml:space="preserve"> or </w:t>
      </w:r>
      <w:r w:rsidR="00E97B97" w:rsidRPr="003A4F79">
        <w:t xml:space="preserve">failure </w:t>
      </w:r>
      <w:r w:rsidR="00834F99" w:rsidRPr="003A4F79">
        <w:t>has a considerable influence on</w:t>
      </w:r>
      <w:r w:rsidR="00D62934" w:rsidRPr="003A4F79">
        <w:t xml:space="preserve"> </w:t>
      </w:r>
      <w:r w:rsidR="00076530" w:rsidRPr="003A4F79">
        <w:t>i</w:t>
      </w:r>
      <w:r w:rsidR="002E7867" w:rsidRPr="003A4F79">
        <w:t>nvestor</w:t>
      </w:r>
      <w:r w:rsidR="00D62934" w:rsidRPr="003A4F79">
        <w:t>s</w:t>
      </w:r>
      <w:r w:rsidR="006073C7" w:rsidRPr="003A4F79">
        <w:t>’</w:t>
      </w:r>
      <w:r w:rsidR="00577177" w:rsidRPr="003A4F79">
        <w:t xml:space="preserve"> </w:t>
      </w:r>
      <w:r w:rsidR="001C1B5D" w:rsidRPr="003A4F79">
        <w:t xml:space="preserve">later </w:t>
      </w:r>
      <w:r w:rsidR="00CC61D8" w:rsidRPr="003A4F79">
        <w:t xml:space="preserve">market </w:t>
      </w:r>
      <w:r w:rsidR="00577177" w:rsidRPr="003A4F79">
        <w:t>participation</w:t>
      </w:r>
      <w:r w:rsidRPr="003A4F79">
        <w:t xml:space="preserve">, </w:t>
      </w:r>
      <w:r w:rsidR="006C1DDC" w:rsidRPr="003A4F79">
        <w:t xml:space="preserve">financial literacy </w:t>
      </w:r>
      <w:r w:rsidR="00B83148" w:rsidRPr="003A4F79">
        <w:t>program</w:t>
      </w:r>
      <w:r w:rsidR="006073C7" w:rsidRPr="003A4F79">
        <w:t>s</w:t>
      </w:r>
      <w:r w:rsidR="00B83148" w:rsidRPr="003A4F79">
        <w:t xml:space="preserve"> </w:t>
      </w:r>
      <w:r w:rsidR="004801DB" w:rsidRPr="003A4F79">
        <w:t xml:space="preserve">should pay particular attention </w:t>
      </w:r>
      <w:r w:rsidR="0074115C" w:rsidRPr="003A4F79">
        <w:t>to</w:t>
      </w:r>
      <w:r w:rsidR="004801DB" w:rsidRPr="003A4F79">
        <w:t xml:space="preserve"> first-time </w:t>
      </w:r>
      <w:r w:rsidR="006362F4" w:rsidRPr="003A4F79">
        <w:t>stock buyers</w:t>
      </w:r>
      <w:r w:rsidR="008C1581" w:rsidRPr="003A4F79">
        <w:t>,</w:t>
      </w:r>
      <w:r w:rsidR="00E93EAE" w:rsidRPr="003A4F79">
        <w:t xml:space="preserve"> </w:t>
      </w:r>
      <w:r w:rsidR="00360544" w:rsidRPr="003A4F79">
        <w:t xml:space="preserve">and </w:t>
      </w:r>
      <w:r w:rsidR="00B0025B" w:rsidRPr="003A4F79">
        <w:t>encourage</w:t>
      </w:r>
      <w:r w:rsidR="00360544" w:rsidRPr="003A4F79">
        <w:t xml:space="preserve"> </w:t>
      </w:r>
      <w:r w:rsidR="00E93EAE" w:rsidRPr="003A4F79">
        <w:t xml:space="preserve">them </w:t>
      </w:r>
      <w:r w:rsidRPr="003A4F79">
        <w:t xml:space="preserve">to </w:t>
      </w:r>
      <w:r w:rsidR="002B0E49" w:rsidRPr="003A4F79">
        <w:t xml:space="preserve">invest wisely </w:t>
      </w:r>
      <w:r w:rsidR="008836F5" w:rsidRPr="003A4F79">
        <w:t>with</w:t>
      </w:r>
      <w:r w:rsidR="001F6CFA" w:rsidRPr="003A4F79">
        <w:t xml:space="preserve"> a </w:t>
      </w:r>
      <w:r w:rsidR="00921998" w:rsidRPr="003A4F79">
        <w:t>long</w:t>
      </w:r>
      <w:r w:rsidR="008836F5" w:rsidRPr="003A4F79">
        <w:t>er</w:t>
      </w:r>
      <w:r w:rsidR="00921998" w:rsidRPr="003A4F79">
        <w:t>-term</w:t>
      </w:r>
      <w:r w:rsidRPr="003A4F79">
        <w:t xml:space="preserve"> </w:t>
      </w:r>
      <w:r w:rsidR="008836F5" w:rsidRPr="003A4F79">
        <w:t xml:space="preserve">perspective. </w:t>
      </w:r>
      <w:r w:rsidR="006073C7" w:rsidRPr="003A4F79">
        <w:t xml:space="preserve">In </w:t>
      </w:r>
      <w:r w:rsidR="00097477" w:rsidRPr="003A4F79">
        <w:t xml:space="preserve">this way, </w:t>
      </w:r>
      <w:r w:rsidR="00105A8D" w:rsidRPr="003A4F79">
        <w:t xml:space="preserve">the stock market </w:t>
      </w:r>
      <w:r w:rsidR="006073C7" w:rsidRPr="003A4F79">
        <w:t xml:space="preserve">might </w:t>
      </w:r>
      <w:r w:rsidR="00054AFF" w:rsidRPr="003A4F79">
        <w:t>retain</w:t>
      </w:r>
      <w:r w:rsidR="00A47ABF" w:rsidRPr="003A4F79">
        <w:t xml:space="preserve"> more of its original investors, </w:t>
      </w:r>
      <w:r w:rsidR="006073C7" w:rsidRPr="003A4F79">
        <w:t>enabling</w:t>
      </w:r>
      <w:r w:rsidR="006376C8" w:rsidRPr="003A4F79">
        <w:t xml:space="preserve"> them</w:t>
      </w:r>
      <w:r w:rsidR="00A21898" w:rsidRPr="003A4F79">
        <w:t xml:space="preserve"> </w:t>
      </w:r>
      <w:r w:rsidRPr="003A4F79">
        <w:t xml:space="preserve">to transfer </w:t>
      </w:r>
      <w:r w:rsidR="008E4A77" w:rsidRPr="003A4F79">
        <w:t xml:space="preserve">their </w:t>
      </w:r>
      <w:r w:rsidR="005A0815" w:rsidRPr="003A4F79">
        <w:t>wealth</w:t>
      </w:r>
      <w:r w:rsidRPr="003A4F79">
        <w:t xml:space="preserve"> to </w:t>
      </w:r>
      <w:r w:rsidR="006073C7" w:rsidRPr="003A4F79">
        <w:t xml:space="preserve">a </w:t>
      </w:r>
      <w:r w:rsidRPr="003A4F79">
        <w:t xml:space="preserve">period when </w:t>
      </w:r>
      <w:r w:rsidR="00106161" w:rsidRPr="003A4F79">
        <w:t xml:space="preserve">it </w:t>
      </w:r>
      <w:r w:rsidR="006073C7" w:rsidRPr="003A4F79">
        <w:t xml:space="preserve">will be </w:t>
      </w:r>
      <w:r w:rsidRPr="003A4F79">
        <w:t>most valued</w:t>
      </w:r>
      <w:r w:rsidR="006073C7" w:rsidRPr="003A4F79">
        <w:t xml:space="preserve">, during </w:t>
      </w:r>
      <w:r w:rsidR="00106161" w:rsidRPr="003A4F79">
        <w:t>the</w:t>
      </w:r>
      <w:r w:rsidR="006073C7" w:rsidRPr="003A4F79">
        <w:t>ir</w:t>
      </w:r>
      <w:r w:rsidR="00106161" w:rsidRPr="003A4F79">
        <w:t xml:space="preserve"> retirement</w:t>
      </w:r>
      <w:r w:rsidR="006073C7" w:rsidRPr="003A4F79">
        <w:t xml:space="preserve"> years</w:t>
      </w:r>
      <w:r w:rsidR="00106161" w:rsidRPr="003A4F79">
        <w:t>.</w:t>
      </w:r>
    </w:p>
    <w:p w14:paraId="574B48FF" w14:textId="36EE8B02" w:rsidR="00220CE9" w:rsidRPr="003A4F79" w:rsidRDefault="00220CE9" w:rsidP="00220CE9">
      <w:r w:rsidRPr="003A4F79">
        <w:t xml:space="preserve">When investors decide to exit the stock markets individually, they have other market choices to invest in such as bond markets, </w:t>
      </w:r>
      <w:r w:rsidR="00D16AAC" w:rsidRPr="003A4F79">
        <w:t>housing</w:t>
      </w:r>
      <w:r w:rsidRPr="003A4F79">
        <w:t xml:space="preserve"> markets, etc. This paper examines investors’ exit decisions but do not investigate their further decisions such </w:t>
      </w:r>
      <w:r w:rsidRPr="003A4F79">
        <w:lastRenderedPageBreak/>
        <w:t xml:space="preserve">as investing in alternative </w:t>
      </w:r>
      <w:r w:rsidR="00D16AAC" w:rsidRPr="003A4F79">
        <w:t xml:space="preserve">asset </w:t>
      </w:r>
      <w:r w:rsidR="008C49A0" w:rsidRPr="003A4F79">
        <w:t>classes</w:t>
      </w:r>
      <w:r w:rsidRPr="003A4F79">
        <w:t>. It is therefore a fruitful area for future researchers to examine factors behind switches from equity markets to alternative markets especially in the context of behavioural biases</w:t>
      </w:r>
      <w:r w:rsidR="00637933" w:rsidRPr="003A4F79">
        <w:t>,</w:t>
      </w:r>
      <w:r w:rsidRPr="003A4F79">
        <w:t xml:space="preserve"> one of which is examined in this paper. </w:t>
      </w:r>
    </w:p>
    <w:p w14:paraId="2AE75079" w14:textId="77777777" w:rsidR="00220CE9" w:rsidRPr="003A4F79" w:rsidRDefault="00220CE9" w:rsidP="00290F9F"/>
    <w:p w14:paraId="5FDC7D31" w14:textId="380AAFA2" w:rsidR="0001703F" w:rsidRPr="003A4F79" w:rsidRDefault="0001703F" w:rsidP="00290F9F">
      <w:pPr>
        <w:rPr>
          <w:rFonts w:eastAsiaTheme="majorEastAsia"/>
        </w:rPr>
      </w:pPr>
      <w:r w:rsidRPr="003A4F79">
        <w:br w:type="page"/>
      </w:r>
    </w:p>
    <w:p w14:paraId="105069B1" w14:textId="193B5779" w:rsidR="00DF0F1E" w:rsidRPr="003A4F79" w:rsidRDefault="0001703F" w:rsidP="00290F9F">
      <w:pPr>
        <w:pStyle w:val="Heading1"/>
        <w:rPr>
          <w:shd w:val="clear" w:color="auto" w:fill="FFFFFF"/>
        </w:rPr>
      </w:pPr>
      <w:r w:rsidRPr="003A4F79">
        <w:rPr>
          <w:lang w:val="en-GB" w:eastAsia="it-IT"/>
        </w:rPr>
        <w:lastRenderedPageBreak/>
        <w:t>Re</w:t>
      </w:r>
      <w:r w:rsidR="00493B69" w:rsidRPr="003A4F79">
        <w:rPr>
          <w:lang w:val="en-GB" w:eastAsia="it-IT"/>
        </w:rPr>
        <w:t>ferences</w:t>
      </w:r>
    </w:p>
    <w:p w14:paraId="2712BFE5" w14:textId="75E9FFBF" w:rsidR="00176EAC" w:rsidRPr="003A4F79" w:rsidRDefault="00176EAC" w:rsidP="00290F9F">
      <w:pPr>
        <w:pStyle w:val="Referenceinthetext"/>
        <w:rPr>
          <w:color w:val="auto"/>
        </w:rPr>
      </w:pPr>
      <w:r w:rsidRPr="003A4F79">
        <w:rPr>
          <w:color w:val="auto"/>
        </w:rPr>
        <w:t xml:space="preserve">Anagol, </w:t>
      </w:r>
      <w:r w:rsidR="00711BA8" w:rsidRPr="003A4F79">
        <w:rPr>
          <w:color w:val="auto"/>
        </w:rPr>
        <w:t>Santosh, Vimal Balasubramaniam, and Tarun Ramadorai,</w:t>
      </w:r>
      <w:r w:rsidRPr="003A4F79">
        <w:rPr>
          <w:color w:val="auto"/>
        </w:rPr>
        <w:t xml:space="preserve"> 2015. The </w:t>
      </w:r>
      <w:r w:rsidR="00711BA8" w:rsidRPr="003A4F79">
        <w:rPr>
          <w:color w:val="auto"/>
        </w:rPr>
        <w:t>effects of experience on investor behavio</w:t>
      </w:r>
      <w:r w:rsidRPr="003A4F79">
        <w:rPr>
          <w:color w:val="auto"/>
        </w:rPr>
        <w:t xml:space="preserve">r: Evidence from India’s IPO </w:t>
      </w:r>
      <w:r w:rsidR="00711BA8" w:rsidRPr="003A4F79">
        <w:rPr>
          <w:color w:val="auto"/>
        </w:rPr>
        <w:t xml:space="preserve">lotteries. </w:t>
      </w:r>
      <w:r w:rsidR="00711BA8" w:rsidRPr="003A4F79">
        <w:rPr>
          <w:i/>
          <w:color w:val="auto"/>
        </w:rPr>
        <w:t>Research paper</w:t>
      </w:r>
      <w:r w:rsidR="00711BA8" w:rsidRPr="003A4F79">
        <w:rPr>
          <w:color w:val="auto"/>
        </w:rPr>
        <w:t xml:space="preserve">. </w:t>
      </w:r>
      <w:hyperlink r:id="rId8" w:history="1">
        <w:r w:rsidR="00885890" w:rsidRPr="003A4F79">
          <w:rPr>
            <w:rStyle w:val="Hyperlink"/>
            <w:color w:val="auto"/>
          </w:rPr>
          <w:t>http://dx.doi.org/10.2139/ssrn.2568748</w:t>
        </w:r>
      </w:hyperlink>
      <w:r w:rsidR="00711BA8" w:rsidRPr="003A4F79">
        <w:rPr>
          <w:color w:val="auto"/>
        </w:rPr>
        <w:t>.</w:t>
      </w:r>
    </w:p>
    <w:p w14:paraId="56AFA40B" w14:textId="12FC9809" w:rsidR="006C7D26" w:rsidRPr="003A4F79" w:rsidRDefault="006C7D26" w:rsidP="00290F9F">
      <w:pPr>
        <w:pStyle w:val="Referenceinthetext"/>
        <w:rPr>
          <w:color w:val="auto"/>
        </w:rPr>
      </w:pPr>
      <w:r w:rsidRPr="003A4F79">
        <w:rPr>
          <w:color w:val="auto"/>
        </w:rPr>
        <w:t>Asch, S</w:t>
      </w:r>
      <w:r w:rsidR="00711BA8" w:rsidRPr="003A4F79">
        <w:rPr>
          <w:color w:val="auto"/>
        </w:rPr>
        <w:t>olomon E</w:t>
      </w:r>
      <w:r w:rsidRPr="003A4F79">
        <w:rPr>
          <w:color w:val="auto"/>
        </w:rPr>
        <w:t>.</w:t>
      </w:r>
      <w:r w:rsidR="00711BA8" w:rsidRPr="003A4F79">
        <w:rPr>
          <w:color w:val="auto"/>
        </w:rPr>
        <w:t>,</w:t>
      </w:r>
      <w:r w:rsidRPr="003A4F79">
        <w:rPr>
          <w:color w:val="auto"/>
        </w:rPr>
        <w:t xml:space="preserve"> 1946. Forming </w:t>
      </w:r>
      <w:r w:rsidR="00711BA8" w:rsidRPr="003A4F79">
        <w:rPr>
          <w:color w:val="auto"/>
        </w:rPr>
        <w:t>impressions of pe</w:t>
      </w:r>
      <w:r w:rsidRPr="003A4F79">
        <w:rPr>
          <w:color w:val="auto"/>
        </w:rPr>
        <w:t>rsonality</w:t>
      </w:r>
      <w:r w:rsidR="00711BA8" w:rsidRPr="003A4F79">
        <w:rPr>
          <w:color w:val="auto"/>
        </w:rPr>
        <w:t>,</w:t>
      </w:r>
      <w:r w:rsidRPr="003A4F79">
        <w:rPr>
          <w:color w:val="auto"/>
        </w:rPr>
        <w:t xml:space="preserve"> </w:t>
      </w:r>
      <w:r w:rsidRPr="003A4F79">
        <w:rPr>
          <w:i/>
          <w:color w:val="auto"/>
        </w:rPr>
        <w:t>Journal of Abnormal and Social Ps</w:t>
      </w:r>
      <w:r w:rsidR="00711BA8" w:rsidRPr="003A4F79">
        <w:rPr>
          <w:i/>
          <w:color w:val="auto"/>
        </w:rPr>
        <w:t>yc</w:t>
      </w:r>
      <w:r w:rsidRPr="003A4F79">
        <w:rPr>
          <w:i/>
          <w:color w:val="auto"/>
        </w:rPr>
        <w:t>hology</w:t>
      </w:r>
      <w:r w:rsidRPr="003A4F79">
        <w:rPr>
          <w:color w:val="auto"/>
        </w:rPr>
        <w:t xml:space="preserve"> 41</w:t>
      </w:r>
      <w:r w:rsidR="00711BA8" w:rsidRPr="003A4F79">
        <w:rPr>
          <w:color w:val="auto"/>
        </w:rPr>
        <w:t>,</w:t>
      </w:r>
      <w:r w:rsidRPr="003A4F79">
        <w:rPr>
          <w:color w:val="auto"/>
        </w:rPr>
        <w:t xml:space="preserve"> 258-290.</w:t>
      </w:r>
    </w:p>
    <w:p w14:paraId="5F414B12" w14:textId="0C0C57E2" w:rsidR="00B36CB1" w:rsidRPr="003A4F79" w:rsidRDefault="00B36CB1" w:rsidP="00290F9F">
      <w:pPr>
        <w:pStyle w:val="Referenceinthetext"/>
        <w:rPr>
          <w:color w:val="auto"/>
        </w:rPr>
      </w:pPr>
      <w:r w:rsidRPr="003A4F79">
        <w:rPr>
          <w:color w:val="auto"/>
        </w:rPr>
        <w:t xml:space="preserve">Ashton, </w:t>
      </w:r>
      <w:r w:rsidR="00090C51" w:rsidRPr="003A4F79">
        <w:rPr>
          <w:color w:val="auto"/>
        </w:rPr>
        <w:t xml:space="preserve">Alison H., and Robert H. Ashton, </w:t>
      </w:r>
      <w:r w:rsidRPr="003A4F79">
        <w:rPr>
          <w:color w:val="auto"/>
        </w:rPr>
        <w:t xml:space="preserve">1988. Sequential </w:t>
      </w:r>
      <w:r w:rsidR="00B24100" w:rsidRPr="003A4F79">
        <w:rPr>
          <w:color w:val="auto"/>
        </w:rPr>
        <w:t>belief revision in au</w:t>
      </w:r>
      <w:r w:rsidRPr="003A4F79">
        <w:rPr>
          <w:color w:val="auto"/>
        </w:rPr>
        <w:t>diting</w:t>
      </w:r>
      <w:r w:rsidR="00B24100" w:rsidRPr="003A4F79">
        <w:rPr>
          <w:color w:val="auto"/>
        </w:rPr>
        <w:t>,</w:t>
      </w:r>
      <w:r w:rsidRPr="003A4F79">
        <w:rPr>
          <w:color w:val="auto"/>
        </w:rPr>
        <w:t xml:space="preserve"> </w:t>
      </w:r>
      <w:r w:rsidRPr="003A4F79">
        <w:rPr>
          <w:i/>
          <w:color w:val="auto"/>
        </w:rPr>
        <w:t>Accounting Review</w:t>
      </w:r>
      <w:r w:rsidR="00090C51" w:rsidRPr="003A4F79">
        <w:rPr>
          <w:color w:val="auto"/>
        </w:rPr>
        <w:t xml:space="preserve"> 63,</w:t>
      </w:r>
      <w:r w:rsidRPr="003A4F79">
        <w:rPr>
          <w:color w:val="auto"/>
        </w:rPr>
        <w:t xml:space="preserve"> 623-641.</w:t>
      </w:r>
    </w:p>
    <w:p w14:paraId="6F0EA6E3" w14:textId="69C365FF" w:rsidR="00D759E0" w:rsidRPr="003A4F79" w:rsidRDefault="00D759E0" w:rsidP="00D759E0">
      <w:pPr>
        <w:pStyle w:val="Referenceinthetext"/>
        <w:rPr>
          <w:color w:val="auto"/>
        </w:rPr>
      </w:pPr>
      <w:r w:rsidRPr="003A4F79">
        <w:rPr>
          <w:color w:val="auto"/>
        </w:rPr>
        <w:t>Badarinza, Cristian, John Y. Campbell, and Tarun Ramadorai, 201</w:t>
      </w:r>
      <w:r w:rsidR="003C6837" w:rsidRPr="003A4F79">
        <w:rPr>
          <w:color w:val="auto"/>
        </w:rPr>
        <w:t>6</w:t>
      </w:r>
      <w:r w:rsidRPr="003A4F79">
        <w:rPr>
          <w:color w:val="auto"/>
        </w:rPr>
        <w:t xml:space="preserve">. </w:t>
      </w:r>
      <w:r w:rsidR="003C6837" w:rsidRPr="003A4F79">
        <w:rPr>
          <w:color w:val="auto"/>
        </w:rPr>
        <w:t>International comparative household finance</w:t>
      </w:r>
      <w:r w:rsidRPr="003A4F79">
        <w:rPr>
          <w:color w:val="auto"/>
        </w:rPr>
        <w:t xml:space="preserve">, </w:t>
      </w:r>
      <w:r w:rsidR="003C6837" w:rsidRPr="003A4F79">
        <w:rPr>
          <w:i/>
          <w:color w:val="auto"/>
        </w:rPr>
        <w:t>Annual R</w:t>
      </w:r>
      <w:r w:rsidRPr="003A4F79">
        <w:rPr>
          <w:i/>
          <w:color w:val="auto"/>
        </w:rPr>
        <w:t xml:space="preserve">eview of </w:t>
      </w:r>
      <w:r w:rsidR="003C6837" w:rsidRPr="003A4F79">
        <w:rPr>
          <w:i/>
          <w:color w:val="auto"/>
        </w:rPr>
        <w:t>Economics</w:t>
      </w:r>
      <w:r w:rsidRPr="003A4F79">
        <w:rPr>
          <w:color w:val="auto"/>
        </w:rPr>
        <w:t xml:space="preserve"> </w:t>
      </w:r>
      <w:r w:rsidR="003C6837" w:rsidRPr="003A4F79">
        <w:rPr>
          <w:color w:val="auto"/>
        </w:rPr>
        <w:t>8</w:t>
      </w:r>
      <w:r w:rsidRPr="003A4F79">
        <w:rPr>
          <w:color w:val="auto"/>
        </w:rPr>
        <w:t xml:space="preserve">, </w:t>
      </w:r>
      <w:r w:rsidR="003C6837" w:rsidRPr="003A4F79">
        <w:rPr>
          <w:color w:val="auto"/>
        </w:rPr>
        <w:t>111</w:t>
      </w:r>
      <w:r w:rsidRPr="003A4F79">
        <w:rPr>
          <w:color w:val="auto"/>
        </w:rPr>
        <w:t>-</w:t>
      </w:r>
      <w:r w:rsidR="003C6837" w:rsidRPr="003A4F79">
        <w:rPr>
          <w:color w:val="auto"/>
        </w:rPr>
        <w:t>144</w:t>
      </w:r>
      <w:r w:rsidRPr="003A4F79">
        <w:rPr>
          <w:color w:val="auto"/>
        </w:rPr>
        <w:t>.</w:t>
      </w:r>
    </w:p>
    <w:p w14:paraId="082CCE38" w14:textId="7B4E27B5" w:rsidR="00D2796C" w:rsidRPr="003A4F79" w:rsidRDefault="00D2796C" w:rsidP="00D759E0">
      <w:pPr>
        <w:pStyle w:val="Referenceinthetext"/>
        <w:rPr>
          <w:color w:val="auto"/>
        </w:rPr>
      </w:pPr>
      <w:r w:rsidRPr="003A4F79">
        <w:rPr>
          <w:color w:val="auto"/>
        </w:rPr>
        <w:t>Baltussen, Guido,</w:t>
      </w:r>
      <w:r w:rsidR="00973EF8" w:rsidRPr="003A4F79">
        <w:rPr>
          <w:color w:val="auto"/>
        </w:rPr>
        <w:t xml:space="preserve"> 2009, </w:t>
      </w:r>
      <w:r w:rsidRPr="003A4F79">
        <w:rPr>
          <w:color w:val="auto"/>
        </w:rPr>
        <w:t>Behavio</w:t>
      </w:r>
      <w:r w:rsidR="00AC048A" w:rsidRPr="003A4F79">
        <w:rPr>
          <w:color w:val="auto"/>
        </w:rPr>
        <w:t>u</w:t>
      </w:r>
      <w:r w:rsidRPr="003A4F79">
        <w:rPr>
          <w:color w:val="auto"/>
        </w:rPr>
        <w:t>ral Finance: An Introduction</w:t>
      </w:r>
      <w:r w:rsidR="00973EF8" w:rsidRPr="003A4F79">
        <w:rPr>
          <w:color w:val="auto"/>
        </w:rPr>
        <w:t xml:space="preserve">. Working paper. </w:t>
      </w:r>
      <w:r w:rsidRPr="003A4F79">
        <w:rPr>
          <w:color w:val="auto"/>
        </w:rPr>
        <w:t xml:space="preserve">https://ssrn.com/abstract=1488110 or </w:t>
      </w:r>
      <w:hyperlink r:id="rId9" w:history="1">
        <w:r w:rsidRPr="003A4F79">
          <w:rPr>
            <w:rStyle w:val="Hyperlink"/>
            <w:color w:val="auto"/>
          </w:rPr>
          <w:t>http://dx.doi.org/10.2139/ssrn.1488110</w:t>
        </w:r>
      </w:hyperlink>
    </w:p>
    <w:p w14:paraId="7442F5C6" w14:textId="29A2FC19" w:rsidR="000207AF" w:rsidRPr="003A4F79" w:rsidRDefault="000207AF" w:rsidP="00290F9F">
      <w:pPr>
        <w:pStyle w:val="Referenceinthetext"/>
        <w:rPr>
          <w:color w:val="auto"/>
        </w:rPr>
      </w:pPr>
      <w:r w:rsidRPr="003A4F79">
        <w:rPr>
          <w:color w:val="auto"/>
        </w:rPr>
        <w:t xml:space="preserve">Barber, </w:t>
      </w:r>
      <w:r w:rsidR="00090C51" w:rsidRPr="003A4F79">
        <w:rPr>
          <w:color w:val="auto"/>
        </w:rPr>
        <w:t>Brad M., and Terrance Odean,</w:t>
      </w:r>
      <w:r w:rsidR="00003D90" w:rsidRPr="003A4F79">
        <w:rPr>
          <w:color w:val="auto"/>
        </w:rPr>
        <w:t xml:space="preserve"> </w:t>
      </w:r>
      <w:r w:rsidRPr="003A4F79">
        <w:rPr>
          <w:color w:val="auto"/>
        </w:rPr>
        <w:t>2001</w:t>
      </w:r>
      <w:r w:rsidR="00003D90" w:rsidRPr="003A4F79">
        <w:rPr>
          <w:color w:val="auto"/>
        </w:rPr>
        <w:t>.</w:t>
      </w:r>
      <w:r w:rsidRPr="003A4F79">
        <w:rPr>
          <w:color w:val="auto"/>
        </w:rPr>
        <w:t xml:space="preserve"> Boys </w:t>
      </w:r>
      <w:r w:rsidR="00090C51" w:rsidRPr="003A4F79">
        <w:rPr>
          <w:color w:val="auto"/>
        </w:rPr>
        <w:t>will be bo</w:t>
      </w:r>
      <w:r w:rsidRPr="003A4F79">
        <w:rPr>
          <w:color w:val="auto"/>
        </w:rPr>
        <w:t xml:space="preserve">ys: Gender, </w:t>
      </w:r>
      <w:r w:rsidR="00090C51" w:rsidRPr="003A4F79">
        <w:rPr>
          <w:color w:val="auto"/>
        </w:rPr>
        <w:t>overconfidence</w:t>
      </w:r>
      <w:r w:rsidRPr="003A4F79">
        <w:rPr>
          <w:color w:val="auto"/>
        </w:rPr>
        <w:t xml:space="preserve">, and </w:t>
      </w:r>
      <w:r w:rsidR="00090C51" w:rsidRPr="003A4F79">
        <w:rPr>
          <w:color w:val="auto"/>
        </w:rPr>
        <w:t>common stock investme</w:t>
      </w:r>
      <w:r w:rsidRPr="003A4F79">
        <w:rPr>
          <w:color w:val="auto"/>
        </w:rPr>
        <w:t>nt</w:t>
      </w:r>
      <w:r w:rsidR="00090C51" w:rsidRPr="003A4F79">
        <w:rPr>
          <w:color w:val="auto"/>
        </w:rPr>
        <w:t>,</w:t>
      </w:r>
      <w:r w:rsidRPr="003A4F79">
        <w:rPr>
          <w:color w:val="auto"/>
        </w:rPr>
        <w:t xml:space="preserve"> </w:t>
      </w:r>
      <w:r w:rsidRPr="003A4F79">
        <w:rPr>
          <w:i/>
          <w:color w:val="auto"/>
        </w:rPr>
        <w:t>Quarterly Journal of Economics</w:t>
      </w:r>
      <w:r w:rsidRPr="003A4F79">
        <w:rPr>
          <w:color w:val="auto"/>
        </w:rPr>
        <w:t xml:space="preserve"> 116</w:t>
      </w:r>
      <w:r w:rsidR="00090C51" w:rsidRPr="003A4F79">
        <w:rPr>
          <w:color w:val="auto"/>
        </w:rPr>
        <w:t>,</w:t>
      </w:r>
      <w:r w:rsidRPr="003A4F79">
        <w:rPr>
          <w:color w:val="auto"/>
        </w:rPr>
        <w:t xml:space="preserve"> 261-292.</w:t>
      </w:r>
    </w:p>
    <w:p w14:paraId="5E41CD0F" w14:textId="63C0DACA" w:rsidR="00E361F6" w:rsidRPr="003A4F79" w:rsidRDefault="00E361F6" w:rsidP="00290F9F">
      <w:pPr>
        <w:pStyle w:val="Referenceinthetext"/>
        <w:rPr>
          <w:color w:val="auto"/>
        </w:rPr>
      </w:pPr>
      <w:r w:rsidRPr="003A4F79">
        <w:rPr>
          <w:color w:val="auto"/>
        </w:rPr>
        <w:t xml:space="preserve">Baumeister, </w:t>
      </w:r>
      <w:r w:rsidR="00090C51" w:rsidRPr="003A4F79">
        <w:rPr>
          <w:color w:val="auto"/>
        </w:rPr>
        <w:t>Roy F., Ellen Bratslavsky, Catrin Finkenauer, and Kathleen D. Vohs,</w:t>
      </w:r>
      <w:r w:rsidRPr="003A4F79">
        <w:rPr>
          <w:color w:val="auto"/>
        </w:rPr>
        <w:t xml:space="preserve"> 2001. Bad is </w:t>
      </w:r>
      <w:r w:rsidR="00090C51" w:rsidRPr="003A4F79">
        <w:rPr>
          <w:color w:val="auto"/>
        </w:rPr>
        <w:t xml:space="preserve">stronger </w:t>
      </w:r>
      <w:r w:rsidRPr="003A4F79">
        <w:rPr>
          <w:color w:val="auto"/>
        </w:rPr>
        <w:t xml:space="preserve">than </w:t>
      </w:r>
      <w:r w:rsidR="00090C51" w:rsidRPr="003A4F79">
        <w:rPr>
          <w:color w:val="auto"/>
        </w:rPr>
        <w:t>good,</w:t>
      </w:r>
      <w:r w:rsidRPr="003A4F79">
        <w:rPr>
          <w:color w:val="auto"/>
        </w:rPr>
        <w:t xml:space="preserve"> </w:t>
      </w:r>
      <w:r w:rsidRPr="003A4F79">
        <w:rPr>
          <w:i/>
          <w:color w:val="auto"/>
        </w:rPr>
        <w:t>Review of General Psychology</w:t>
      </w:r>
      <w:r w:rsidRPr="003A4F79">
        <w:rPr>
          <w:color w:val="auto"/>
        </w:rPr>
        <w:t xml:space="preserve"> 5</w:t>
      </w:r>
      <w:r w:rsidR="00090C51" w:rsidRPr="003A4F79">
        <w:rPr>
          <w:color w:val="auto"/>
        </w:rPr>
        <w:t xml:space="preserve">, </w:t>
      </w:r>
      <w:r w:rsidRPr="003A4F79">
        <w:rPr>
          <w:color w:val="auto"/>
        </w:rPr>
        <w:t>323-370.</w:t>
      </w:r>
    </w:p>
    <w:p w14:paraId="618E0709" w14:textId="6D49DB71" w:rsidR="00DF0F1E" w:rsidRPr="003A4F79" w:rsidRDefault="00DF0F1E" w:rsidP="00290F9F">
      <w:pPr>
        <w:pStyle w:val="Referenceinthetext"/>
        <w:rPr>
          <w:color w:val="auto"/>
        </w:rPr>
      </w:pPr>
      <w:r w:rsidRPr="003A4F79">
        <w:rPr>
          <w:color w:val="auto"/>
        </w:rPr>
        <w:t>Ben-David,</w:t>
      </w:r>
      <w:r w:rsidR="00090C51" w:rsidRPr="003A4F79">
        <w:rPr>
          <w:color w:val="auto"/>
        </w:rPr>
        <w:t xml:space="preserve"> Itzhak, Justin Birru, and Viktor Prokopenya,</w:t>
      </w:r>
      <w:r w:rsidR="00577D5D" w:rsidRPr="003A4F79">
        <w:rPr>
          <w:color w:val="auto"/>
        </w:rPr>
        <w:t xml:space="preserve"> 2016</w:t>
      </w:r>
      <w:r w:rsidRPr="003A4F79">
        <w:rPr>
          <w:color w:val="auto"/>
        </w:rPr>
        <w:t xml:space="preserve">. Uninformative </w:t>
      </w:r>
      <w:r w:rsidR="00090C51" w:rsidRPr="003A4F79">
        <w:rPr>
          <w:color w:val="auto"/>
        </w:rPr>
        <w:t>feedback and risk ta</w:t>
      </w:r>
      <w:r w:rsidRPr="003A4F79">
        <w:rPr>
          <w:color w:val="auto"/>
        </w:rPr>
        <w:t>king</w:t>
      </w:r>
      <w:r w:rsidR="00947C54" w:rsidRPr="003A4F79">
        <w:rPr>
          <w:color w:val="auto"/>
        </w:rPr>
        <w:t xml:space="preserve">: Evidence from </w:t>
      </w:r>
      <w:r w:rsidR="00090C51" w:rsidRPr="003A4F79">
        <w:rPr>
          <w:color w:val="auto"/>
        </w:rPr>
        <w:t xml:space="preserve">retail forex trading, </w:t>
      </w:r>
      <w:r w:rsidR="00090C51" w:rsidRPr="003A4F79">
        <w:rPr>
          <w:i/>
          <w:color w:val="auto"/>
        </w:rPr>
        <w:t>National Bureau of Economic</w:t>
      </w:r>
      <w:r w:rsidR="00C65C4F" w:rsidRPr="003A4F79">
        <w:rPr>
          <w:i/>
          <w:color w:val="auto"/>
        </w:rPr>
        <w:t xml:space="preserve"> Research</w:t>
      </w:r>
      <w:r w:rsidR="00090C51" w:rsidRPr="003A4F79">
        <w:rPr>
          <w:i/>
          <w:color w:val="auto"/>
        </w:rPr>
        <w:t xml:space="preserve"> Working Paper </w:t>
      </w:r>
      <w:r w:rsidR="00090C51" w:rsidRPr="003A4F79">
        <w:rPr>
          <w:color w:val="auto"/>
        </w:rPr>
        <w:t>w22146</w:t>
      </w:r>
      <w:r w:rsidRPr="003A4F79">
        <w:rPr>
          <w:color w:val="auto"/>
        </w:rPr>
        <w:t>.</w:t>
      </w:r>
    </w:p>
    <w:p w14:paraId="4EB82036" w14:textId="5A736B07" w:rsidR="00A749D6" w:rsidRPr="003A4F79" w:rsidRDefault="00A749D6" w:rsidP="00290F9F">
      <w:pPr>
        <w:pStyle w:val="Referenceinthetext"/>
        <w:rPr>
          <w:color w:val="auto"/>
        </w:rPr>
      </w:pPr>
      <w:r w:rsidRPr="003A4F79">
        <w:rPr>
          <w:color w:val="auto"/>
        </w:rPr>
        <w:t xml:space="preserve">Berkman, </w:t>
      </w:r>
      <w:r w:rsidR="00090C51" w:rsidRPr="003A4F79">
        <w:rPr>
          <w:color w:val="auto"/>
        </w:rPr>
        <w:t>Henk, Paul D. Koch, and P. Joakim Westerholm,</w:t>
      </w:r>
      <w:r w:rsidR="00F66E80" w:rsidRPr="003A4F79">
        <w:rPr>
          <w:color w:val="auto"/>
        </w:rPr>
        <w:t xml:space="preserve"> </w:t>
      </w:r>
      <w:r w:rsidR="004E020B" w:rsidRPr="003A4F79">
        <w:rPr>
          <w:color w:val="auto"/>
        </w:rPr>
        <w:t>2014.</w:t>
      </w:r>
      <w:r w:rsidRPr="003A4F79">
        <w:rPr>
          <w:color w:val="auto"/>
        </w:rPr>
        <w:t xml:space="preserve"> Informed </w:t>
      </w:r>
      <w:r w:rsidR="00090C51" w:rsidRPr="003A4F79">
        <w:rPr>
          <w:color w:val="auto"/>
        </w:rPr>
        <w:t>trading through the accounts of child</w:t>
      </w:r>
      <w:r w:rsidRPr="003A4F79">
        <w:rPr>
          <w:color w:val="auto"/>
        </w:rPr>
        <w:t>ren</w:t>
      </w:r>
      <w:r w:rsidR="00090C51" w:rsidRPr="003A4F79">
        <w:rPr>
          <w:color w:val="auto"/>
        </w:rPr>
        <w:t xml:space="preserve">, </w:t>
      </w:r>
      <w:r w:rsidRPr="003A4F79">
        <w:rPr>
          <w:i/>
          <w:color w:val="auto"/>
        </w:rPr>
        <w:t>Journal of Finance</w:t>
      </w:r>
      <w:r w:rsidRPr="003A4F79">
        <w:rPr>
          <w:color w:val="auto"/>
        </w:rPr>
        <w:t xml:space="preserve"> 69</w:t>
      </w:r>
      <w:r w:rsidR="00090C51" w:rsidRPr="003A4F79">
        <w:rPr>
          <w:color w:val="auto"/>
        </w:rPr>
        <w:t>,</w:t>
      </w:r>
      <w:r w:rsidR="00F66E80" w:rsidRPr="003A4F79">
        <w:rPr>
          <w:color w:val="auto"/>
        </w:rPr>
        <w:t xml:space="preserve"> </w:t>
      </w:r>
      <w:r w:rsidRPr="003A4F79">
        <w:rPr>
          <w:color w:val="auto"/>
        </w:rPr>
        <w:t>363-404.</w:t>
      </w:r>
    </w:p>
    <w:p w14:paraId="18DDDF63" w14:textId="64AE138D" w:rsidR="00FE433E" w:rsidRPr="003A4F79" w:rsidRDefault="00FE433E" w:rsidP="00290F9F">
      <w:pPr>
        <w:pStyle w:val="Referenceinthetext"/>
        <w:rPr>
          <w:color w:val="auto"/>
        </w:rPr>
      </w:pPr>
      <w:r w:rsidRPr="003A4F79">
        <w:rPr>
          <w:color w:val="auto"/>
        </w:rPr>
        <w:lastRenderedPageBreak/>
        <w:t xml:space="preserve">Bordalo, Pedro, Nicola Gennaioli, and Andrei Shleifer, 2012. Salience Theory of Choice Under Risk. </w:t>
      </w:r>
      <w:r w:rsidRPr="003A4F79">
        <w:rPr>
          <w:i/>
          <w:color w:val="auto"/>
        </w:rPr>
        <w:t>Quarterly Journal of Economics</w:t>
      </w:r>
      <w:r w:rsidRPr="003A4F79">
        <w:rPr>
          <w:color w:val="auto"/>
        </w:rPr>
        <w:t xml:space="preserve"> 127, 1243-1285.</w:t>
      </w:r>
    </w:p>
    <w:p w14:paraId="50994982" w14:textId="2ED8CCC0" w:rsidR="004B5A0F" w:rsidRPr="003A4F79" w:rsidRDefault="004B5A0F" w:rsidP="00290F9F">
      <w:pPr>
        <w:pStyle w:val="Referenceinthetext"/>
        <w:rPr>
          <w:color w:val="auto"/>
        </w:rPr>
      </w:pPr>
      <w:r w:rsidRPr="003A4F79">
        <w:rPr>
          <w:color w:val="auto"/>
        </w:rPr>
        <w:t>Brown, G</w:t>
      </w:r>
      <w:r w:rsidR="00DD43D0" w:rsidRPr="003A4F79">
        <w:rPr>
          <w:color w:val="auto"/>
        </w:rPr>
        <w:t>eorge</w:t>
      </w:r>
      <w:r w:rsidRPr="003A4F79">
        <w:rPr>
          <w:color w:val="auto"/>
        </w:rPr>
        <w:t xml:space="preserve"> W.</w:t>
      </w:r>
      <w:r w:rsidR="00DD43D0" w:rsidRPr="003A4F79">
        <w:rPr>
          <w:color w:val="auto"/>
        </w:rPr>
        <w:t>,</w:t>
      </w:r>
      <w:r w:rsidRPr="003A4F79">
        <w:rPr>
          <w:color w:val="auto"/>
        </w:rPr>
        <w:t xml:space="preserve"> 1951. Iterative </w:t>
      </w:r>
      <w:r w:rsidR="00DD43D0" w:rsidRPr="003A4F79">
        <w:rPr>
          <w:color w:val="auto"/>
        </w:rPr>
        <w:t>solution of games by fictitious p</w:t>
      </w:r>
      <w:r w:rsidRPr="003A4F79">
        <w:rPr>
          <w:color w:val="auto"/>
        </w:rPr>
        <w:t>lay</w:t>
      </w:r>
      <w:r w:rsidR="00DD43D0" w:rsidRPr="003A4F79">
        <w:rPr>
          <w:color w:val="auto"/>
        </w:rPr>
        <w:t xml:space="preserve">, </w:t>
      </w:r>
      <w:r w:rsidR="000F3299" w:rsidRPr="003A4F79">
        <w:rPr>
          <w:color w:val="auto"/>
        </w:rPr>
        <w:t xml:space="preserve">in </w:t>
      </w:r>
      <w:r w:rsidR="00DD43D0" w:rsidRPr="003A4F79">
        <w:rPr>
          <w:color w:val="auto"/>
        </w:rPr>
        <w:t>Tjalling C. Koopmans (ed.),</w:t>
      </w:r>
      <w:r w:rsidR="007B13C6" w:rsidRPr="003A4F79">
        <w:rPr>
          <w:i/>
          <w:color w:val="auto"/>
        </w:rPr>
        <w:t xml:space="preserve"> </w:t>
      </w:r>
      <w:r w:rsidRPr="003A4F79">
        <w:rPr>
          <w:i/>
          <w:color w:val="auto"/>
        </w:rPr>
        <w:t xml:space="preserve">Activity Analysis of Production and </w:t>
      </w:r>
      <w:r w:rsidR="007B13C6" w:rsidRPr="003A4F79">
        <w:rPr>
          <w:i/>
          <w:color w:val="auto"/>
        </w:rPr>
        <w:t xml:space="preserve">Allocation, </w:t>
      </w:r>
      <w:r w:rsidR="007B13C6" w:rsidRPr="003A4F79">
        <w:rPr>
          <w:color w:val="auto"/>
        </w:rPr>
        <w:t>(</w:t>
      </w:r>
      <w:r w:rsidRPr="003A4F79">
        <w:rPr>
          <w:color w:val="auto"/>
        </w:rPr>
        <w:t>Wiley</w:t>
      </w:r>
      <w:r w:rsidR="007B13C6" w:rsidRPr="003A4F79">
        <w:rPr>
          <w:color w:val="auto"/>
        </w:rPr>
        <w:t>, New York), 374-376</w:t>
      </w:r>
      <w:r w:rsidRPr="003A4F79">
        <w:rPr>
          <w:color w:val="auto"/>
        </w:rPr>
        <w:t>.</w:t>
      </w:r>
    </w:p>
    <w:p w14:paraId="15FDCDE0" w14:textId="36F224E8" w:rsidR="00C47A46" w:rsidRPr="003A4F79" w:rsidRDefault="00C47A46" w:rsidP="00290F9F">
      <w:pPr>
        <w:pStyle w:val="Referenceinthetext"/>
        <w:rPr>
          <w:color w:val="auto"/>
        </w:rPr>
      </w:pPr>
      <w:r w:rsidRPr="003A4F79">
        <w:rPr>
          <w:color w:val="auto"/>
        </w:rPr>
        <w:t xml:space="preserve">Busemeyer, </w:t>
      </w:r>
      <w:r w:rsidR="00DD43D0" w:rsidRPr="003A4F79">
        <w:rPr>
          <w:color w:val="auto"/>
        </w:rPr>
        <w:t>Jerome R., and Julie C. Stout,</w:t>
      </w:r>
      <w:r w:rsidRPr="003A4F79">
        <w:rPr>
          <w:color w:val="auto"/>
        </w:rPr>
        <w:t xml:space="preserve"> 2002. A contribution of cognitive decision models to clinical assessment: Decomposing performance on the Bechara </w:t>
      </w:r>
      <w:r w:rsidR="00DD43D0" w:rsidRPr="003A4F79">
        <w:rPr>
          <w:color w:val="auto"/>
        </w:rPr>
        <w:t xml:space="preserve">gambling task, </w:t>
      </w:r>
      <w:r w:rsidRPr="003A4F79">
        <w:rPr>
          <w:i/>
          <w:color w:val="auto"/>
        </w:rPr>
        <w:t>Psychological Assessment</w:t>
      </w:r>
      <w:r w:rsidRPr="003A4F79">
        <w:rPr>
          <w:color w:val="auto"/>
        </w:rPr>
        <w:t xml:space="preserve"> 14, 253</w:t>
      </w:r>
      <w:r w:rsidR="00DD43D0" w:rsidRPr="003A4F79">
        <w:rPr>
          <w:color w:val="auto"/>
        </w:rPr>
        <w:t>-</w:t>
      </w:r>
      <w:r w:rsidRPr="003A4F79">
        <w:rPr>
          <w:color w:val="auto"/>
        </w:rPr>
        <w:t>262.</w:t>
      </w:r>
    </w:p>
    <w:p w14:paraId="39D081F6" w14:textId="1DECE009" w:rsidR="00BB5594" w:rsidRPr="003A4F79" w:rsidRDefault="00BB5594" w:rsidP="00BB5594">
      <w:pPr>
        <w:pStyle w:val="Referenceinthetext"/>
        <w:rPr>
          <w:color w:val="auto"/>
        </w:rPr>
      </w:pPr>
      <w:r w:rsidRPr="003A4F79">
        <w:rPr>
          <w:color w:val="auto"/>
        </w:rPr>
        <w:t xml:space="preserve">Campbell, John Y, 2006. Household Finance, </w:t>
      </w:r>
      <w:r w:rsidRPr="003A4F79">
        <w:rPr>
          <w:i/>
          <w:color w:val="auto"/>
        </w:rPr>
        <w:t>Journal of Finance</w:t>
      </w:r>
      <w:r w:rsidRPr="003A4F79">
        <w:rPr>
          <w:color w:val="auto"/>
        </w:rPr>
        <w:t xml:space="preserve"> 6</w:t>
      </w:r>
      <w:r w:rsidR="008E6FD4" w:rsidRPr="003A4F79">
        <w:rPr>
          <w:color w:val="auto"/>
        </w:rPr>
        <w:t>1</w:t>
      </w:r>
      <w:r w:rsidRPr="003A4F79">
        <w:rPr>
          <w:color w:val="auto"/>
        </w:rPr>
        <w:t xml:space="preserve">, </w:t>
      </w:r>
      <w:r w:rsidR="008E6FD4" w:rsidRPr="003A4F79">
        <w:rPr>
          <w:color w:val="auto"/>
        </w:rPr>
        <w:t>1553</w:t>
      </w:r>
      <w:r w:rsidRPr="003A4F79">
        <w:rPr>
          <w:color w:val="auto"/>
        </w:rPr>
        <w:t>-</w:t>
      </w:r>
      <w:r w:rsidR="008E6FD4" w:rsidRPr="003A4F79">
        <w:rPr>
          <w:color w:val="auto"/>
        </w:rPr>
        <w:t>1604</w:t>
      </w:r>
      <w:r w:rsidRPr="003A4F79">
        <w:rPr>
          <w:color w:val="auto"/>
        </w:rPr>
        <w:t>.</w:t>
      </w:r>
    </w:p>
    <w:p w14:paraId="6ED95769" w14:textId="43149F8A" w:rsidR="008B5137" w:rsidRPr="003A4F79" w:rsidRDefault="008B5137" w:rsidP="00290F9F">
      <w:pPr>
        <w:pStyle w:val="Referenceinthetext"/>
        <w:rPr>
          <w:color w:val="auto"/>
        </w:rPr>
      </w:pPr>
      <w:r w:rsidRPr="003A4F79">
        <w:rPr>
          <w:color w:val="auto"/>
        </w:rPr>
        <w:t xml:space="preserve">Campbell, </w:t>
      </w:r>
      <w:r w:rsidR="004226AA" w:rsidRPr="003A4F79">
        <w:rPr>
          <w:color w:val="auto"/>
        </w:rPr>
        <w:t>John Y., Tarun Ramadorai, and Benjamin Ranish,</w:t>
      </w:r>
      <w:r w:rsidRPr="003A4F79">
        <w:rPr>
          <w:color w:val="auto"/>
        </w:rPr>
        <w:t xml:space="preserve"> 2014. Getting </w:t>
      </w:r>
      <w:r w:rsidR="004226AA" w:rsidRPr="003A4F79">
        <w:rPr>
          <w:color w:val="auto"/>
        </w:rPr>
        <w:t>better or feeling bet</w:t>
      </w:r>
      <w:r w:rsidRPr="003A4F79">
        <w:rPr>
          <w:color w:val="auto"/>
        </w:rPr>
        <w:t xml:space="preserve">ter? How </w:t>
      </w:r>
      <w:r w:rsidR="004226AA" w:rsidRPr="003A4F79">
        <w:rPr>
          <w:color w:val="auto"/>
        </w:rPr>
        <w:t>equity investors respond to investment expe</w:t>
      </w:r>
      <w:r w:rsidRPr="003A4F79">
        <w:rPr>
          <w:color w:val="auto"/>
        </w:rPr>
        <w:t xml:space="preserve">rience, </w:t>
      </w:r>
      <w:r w:rsidR="004226AA" w:rsidRPr="003A4F79">
        <w:rPr>
          <w:i/>
          <w:color w:val="auto"/>
        </w:rPr>
        <w:t>National Bureau of Economic</w:t>
      </w:r>
      <w:r w:rsidR="00C65C4F" w:rsidRPr="003A4F79">
        <w:rPr>
          <w:i/>
          <w:color w:val="auto"/>
        </w:rPr>
        <w:t xml:space="preserve"> Research</w:t>
      </w:r>
      <w:r w:rsidR="004226AA" w:rsidRPr="003A4F79">
        <w:rPr>
          <w:i/>
          <w:color w:val="auto"/>
        </w:rPr>
        <w:t xml:space="preserve"> Working Paper</w:t>
      </w:r>
      <w:r w:rsidR="004226AA" w:rsidRPr="003A4F79">
        <w:rPr>
          <w:color w:val="auto"/>
        </w:rPr>
        <w:t xml:space="preserve"> 2000.</w:t>
      </w:r>
    </w:p>
    <w:p w14:paraId="014BAD56" w14:textId="17EB4598" w:rsidR="00373C02" w:rsidRPr="003A4F79" w:rsidRDefault="00373C02" w:rsidP="00290F9F">
      <w:pPr>
        <w:pStyle w:val="Referenceinthetext"/>
        <w:rPr>
          <w:color w:val="auto"/>
        </w:rPr>
      </w:pPr>
      <w:r w:rsidRPr="003A4F79">
        <w:rPr>
          <w:color w:val="auto"/>
        </w:rPr>
        <w:t xml:space="preserve">Carney, Dana R., and Mahzarin R. Banaji, 2012. First is best, </w:t>
      </w:r>
      <w:r w:rsidRPr="003A4F79">
        <w:rPr>
          <w:i/>
          <w:color w:val="auto"/>
        </w:rPr>
        <w:t>PLOS ONE</w:t>
      </w:r>
      <w:r w:rsidRPr="003A4F79">
        <w:rPr>
          <w:color w:val="auto"/>
        </w:rPr>
        <w:t xml:space="preserve"> 7, 1-5.</w:t>
      </w:r>
    </w:p>
    <w:p w14:paraId="3D76058E" w14:textId="12F0C1FC" w:rsidR="00B0182F" w:rsidRPr="003A4F79" w:rsidRDefault="00B0182F" w:rsidP="00290F9F">
      <w:pPr>
        <w:pStyle w:val="Referenceinthetext"/>
        <w:rPr>
          <w:color w:val="auto"/>
        </w:rPr>
      </w:pPr>
      <w:r w:rsidRPr="003A4F79">
        <w:rPr>
          <w:color w:val="auto"/>
        </w:rPr>
        <w:t xml:space="preserve">Chiang, </w:t>
      </w:r>
      <w:r w:rsidR="004226AA" w:rsidRPr="003A4F79">
        <w:rPr>
          <w:color w:val="auto"/>
        </w:rPr>
        <w:t>Yao-Min, David Hirshleifer, Yiming Qian, and Ann E. Sherman</w:t>
      </w:r>
      <w:r w:rsidRPr="003A4F79">
        <w:rPr>
          <w:color w:val="auto"/>
        </w:rPr>
        <w:t>, 2011</w:t>
      </w:r>
      <w:r w:rsidR="00C65C4F" w:rsidRPr="003A4F79">
        <w:rPr>
          <w:color w:val="auto"/>
        </w:rPr>
        <w:t xml:space="preserve">. </w:t>
      </w:r>
      <w:r w:rsidRPr="003A4F79">
        <w:rPr>
          <w:color w:val="auto"/>
        </w:rPr>
        <w:t xml:space="preserve">Do </w:t>
      </w:r>
      <w:r w:rsidR="004226AA" w:rsidRPr="003A4F79">
        <w:rPr>
          <w:color w:val="auto"/>
        </w:rPr>
        <w:t>investors learn from expe</w:t>
      </w:r>
      <w:r w:rsidRPr="003A4F79">
        <w:rPr>
          <w:color w:val="auto"/>
        </w:rPr>
        <w:t xml:space="preserve">rience? Evidence from </w:t>
      </w:r>
      <w:r w:rsidR="004226AA" w:rsidRPr="003A4F79">
        <w:rPr>
          <w:color w:val="auto"/>
        </w:rPr>
        <w:t xml:space="preserve">frequent </w:t>
      </w:r>
      <w:r w:rsidRPr="003A4F79">
        <w:rPr>
          <w:color w:val="auto"/>
        </w:rPr>
        <w:t xml:space="preserve">IPO </w:t>
      </w:r>
      <w:r w:rsidR="004226AA" w:rsidRPr="003A4F79">
        <w:rPr>
          <w:color w:val="auto"/>
        </w:rPr>
        <w:t>investors</w:t>
      </w:r>
      <w:r w:rsidRPr="003A4F79">
        <w:rPr>
          <w:color w:val="auto"/>
        </w:rPr>
        <w:t xml:space="preserve">, </w:t>
      </w:r>
      <w:r w:rsidR="009E4052" w:rsidRPr="003A4F79">
        <w:rPr>
          <w:i/>
          <w:color w:val="auto"/>
        </w:rPr>
        <w:t>Review of Financial Studies</w:t>
      </w:r>
      <w:r w:rsidR="009E4052" w:rsidRPr="003A4F79">
        <w:rPr>
          <w:color w:val="auto"/>
        </w:rPr>
        <w:t xml:space="preserve"> 24</w:t>
      </w:r>
      <w:r w:rsidR="004226AA" w:rsidRPr="003A4F79">
        <w:rPr>
          <w:color w:val="auto"/>
        </w:rPr>
        <w:t xml:space="preserve">, </w:t>
      </w:r>
      <w:r w:rsidR="009E4052" w:rsidRPr="003A4F79">
        <w:rPr>
          <w:color w:val="auto"/>
        </w:rPr>
        <w:t>1560-1589</w:t>
      </w:r>
    </w:p>
    <w:p w14:paraId="45FFB81D" w14:textId="282C628E" w:rsidR="0081355C" w:rsidRPr="003A4F79" w:rsidRDefault="0081355C" w:rsidP="00290F9F">
      <w:pPr>
        <w:pStyle w:val="Referenceinthetext"/>
        <w:rPr>
          <w:color w:val="auto"/>
        </w:rPr>
      </w:pPr>
      <w:r w:rsidRPr="003A4F79">
        <w:rPr>
          <w:color w:val="auto"/>
        </w:rPr>
        <w:t xml:space="preserve">Choi, </w:t>
      </w:r>
      <w:r w:rsidR="00487E53" w:rsidRPr="003A4F79">
        <w:rPr>
          <w:color w:val="auto"/>
        </w:rPr>
        <w:t>James J., David Laibson, Brigitte C. Madrian, and Andrew Metrick,</w:t>
      </w:r>
      <w:r w:rsidR="00CB69B3" w:rsidRPr="003A4F79">
        <w:rPr>
          <w:color w:val="auto"/>
        </w:rPr>
        <w:t xml:space="preserve"> </w:t>
      </w:r>
      <w:r w:rsidRPr="003A4F79">
        <w:rPr>
          <w:color w:val="auto"/>
        </w:rPr>
        <w:t>2009</w:t>
      </w:r>
      <w:r w:rsidR="004E020B" w:rsidRPr="003A4F79">
        <w:rPr>
          <w:color w:val="auto"/>
        </w:rPr>
        <w:t>.</w:t>
      </w:r>
      <w:r w:rsidRPr="003A4F79">
        <w:rPr>
          <w:color w:val="auto"/>
        </w:rPr>
        <w:t xml:space="preserve"> Reinforcement </w:t>
      </w:r>
      <w:r w:rsidR="00487E53" w:rsidRPr="003A4F79">
        <w:rPr>
          <w:color w:val="auto"/>
        </w:rPr>
        <w:t>learning and saving be</w:t>
      </w:r>
      <w:r w:rsidRPr="003A4F79">
        <w:rPr>
          <w:color w:val="auto"/>
        </w:rPr>
        <w:t>havior</w:t>
      </w:r>
      <w:r w:rsidR="00487E53" w:rsidRPr="003A4F79">
        <w:rPr>
          <w:color w:val="auto"/>
        </w:rPr>
        <w:t>,</w:t>
      </w:r>
      <w:r w:rsidRPr="003A4F79">
        <w:rPr>
          <w:color w:val="auto"/>
        </w:rPr>
        <w:t xml:space="preserve"> </w:t>
      </w:r>
      <w:r w:rsidRPr="003A4F79">
        <w:rPr>
          <w:i/>
          <w:color w:val="auto"/>
        </w:rPr>
        <w:t>Journal of Finance</w:t>
      </w:r>
      <w:r w:rsidRPr="003A4F79">
        <w:rPr>
          <w:color w:val="auto"/>
        </w:rPr>
        <w:t xml:space="preserve"> 64</w:t>
      </w:r>
      <w:r w:rsidR="00487E53" w:rsidRPr="003A4F79">
        <w:rPr>
          <w:color w:val="auto"/>
        </w:rPr>
        <w:t>,</w:t>
      </w:r>
      <w:r w:rsidRPr="003A4F79">
        <w:rPr>
          <w:color w:val="auto"/>
        </w:rPr>
        <w:t xml:space="preserve"> 2515-2534.</w:t>
      </w:r>
    </w:p>
    <w:p w14:paraId="49CD9D3B" w14:textId="62F5F114" w:rsidR="009F1B95" w:rsidRPr="003A4F79" w:rsidRDefault="009F1B95" w:rsidP="00290F9F">
      <w:pPr>
        <w:pStyle w:val="Referenceinthetext"/>
        <w:rPr>
          <w:color w:val="auto"/>
        </w:rPr>
      </w:pPr>
      <w:r w:rsidRPr="003A4F79">
        <w:rPr>
          <w:color w:val="auto"/>
        </w:rPr>
        <w:t xml:space="preserve">Chordia, Tarun., Richard Roll, and Avanidhar Subrahmanyam, 2011. Recent trends in trading activity and market quality. </w:t>
      </w:r>
      <w:r w:rsidRPr="003A4F79">
        <w:rPr>
          <w:i/>
          <w:color w:val="auto"/>
        </w:rPr>
        <w:t>Journal of Financial Economics</w:t>
      </w:r>
      <w:r w:rsidRPr="003A4F79">
        <w:rPr>
          <w:color w:val="auto"/>
        </w:rPr>
        <w:t xml:space="preserve"> 101, 243-263.</w:t>
      </w:r>
    </w:p>
    <w:p w14:paraId="53D026A7" w14:textId="7DA6B940" w:rsidR="008C3548" w:rsidRPr="003A4F79" w:rsidRDefault="008C3548" w:rsidP="00290F9F">
      <w:pPr>
        <w:pStyle w:val="Referenceinthetext"/>
        <w:rPr>
          <w:color w:val="auto"/>
        </w:rPr>
      </w:pPr>
      <w:r w:rsidRPr="003A4F79">
        <w:rPr>
          <w:color w:val="auto"/>
        </w:rPr>
        <w:t xml:space="preserve">Daniel, Kent, David Hirshleifer, and Avanidhar Subrahmanaym, 1998. Investor </w:t>
      </w:r>
      <w:r w:rsidR="00487E53" w:rsidRPr="003A4F79">
        <w:rPr>
          <w:color w:val="auto"/>
        </w:rPr>
        <w:t>psychology and security market under</w:t>
      </w:r>
      <w:r w:rsidR="003B684E" w:rsidRPr="003A4F79">
        <w:rPr>
          <w:color w:val="auto"/>
        </w:rPr>
        <w:t>-</w:t>
      </w:r>
      <w:r w:rsidR="00487E53" w:rsidRPr="003A4F79">
        <w:rPr>
          <w:color w:val="auto"/>
        </w:rPr>
        <w:t xml:space="preserve"> and ove</w:t>
      </w:r>
      <w:r w:rsidRPr="003A4F79">
        <w:rPr>
          <w:color w:val="auto"/>
        </w:rPr>
        <w:t>rreactions</w:t>
      </w:r>
      <w:r w:rsidR="00487E53" w:rsidRPr="003A4F79">
        <w:rPr>
          <w:color w:val="auto"/>
        </w:rPr>
        <w:t>,</w:t>
      </w:r>
      <w:r w:rsidRPr="003A4F79">
        <w:rPr>
          <w:color w:val="auto"/>
        </w:rPr>
        <w:t xml:space="preserve"> </w:t>
      </w:r>
      <w:r w:rsidRPr="003A4F79">
        <w:rPr>
          <w:i/>
          <w:color w:val="auto"/>
        </w:rPr>
        <w:t>Journal of Finance</w:t>
      </w:r>
      <w:r w:rsidRPr="003A4F79">
        <w:rPr>
          <w:color w:val="auto"/>
        </w:rPr>
        <w:t xml:space="preserve"> 53</w:t>
      </w:r>
      <w:r w:rsidR="00487E53" w:rsidRPr="003A4F79">
        <w:rPr>
          <w:color w:val="auto"/>
        </w:rPr>
        <w:t xml:space="preserve">, </w:t>
      </w:r>
      <w:r w:rsidRPr="003A4F79">
        <w:rPr>
          <w:color w:val="auto"/>
        </w:rPr>
        <w:t>1839-1885.</w:t>
      </w:r>
    </w:p>
    <w:p w14:paraId="001DCA49" w14:textId="01A68E1C" w:rsidR="00260E27" w:rsidRPr="003A4F79" w:rsidRDefault="00260E27" w:rsidP="00290F9F">
      <w:pPr>
        <w:pStyle w:val="Referenceinthetext"/>
        <w:rPr>
          <w:color w:val="auto"/>
        </w:rPr>
      </w:pPr>
      <w:r w:rsidRPr="003A4F79">
        <w:rPr>
          <w:color w:val="auto"/>
        </w:rPr>
        <w:lastRenderedPageBreak/>
        <w:t>De Bondt, Werner F.</w:t>
      </w:r>
      <w:r w:rsidR="000B3CC6" w:rsidRPr="003A4F79">
        <w:rPr>
          <w:color w:val="auto"/>
        </w:rPr>
        <w:t xml:space="preserve"> </w:t>
      </w:r>
      <w:r w:rsidRPr="003A4F79">
        <w:rPr>
          <w:color w:val="auto"/>
        </w:rPr>
        <w:t>M.</w:t>
      </w:r>
      <w:r w:rsidR="00D6238E" w:rsidRPr="003A4F79">
        <w:rPr>
          <w:color w:val="auto"/>
        </w:rPr>
        <w:t xml:space="preserve">, </w:t>
      </w:r>
      <w:r w:rsidRPr="003A4F79">
        <w:rPr>
          <w:color w:val="auto"/>
        </w:rPr>
        <w:t xml:space="preserve">1998. A portrait of the individual investor. </w:t>
      </w:r>
      <w:r w:rsidRPr="003A4F79">
        <w:rPr>
          <w:i/>
          <w:color w:val="auto"/>
        </w:rPr>
        <w:t xml:space="preserve">European </w:t>
      </w:r>
      <w:r w:rsidR="001442BA" w:rsidRPr="003A4F79">
        <w:rPr>
          <w:i/>
          <w:color w:val="auto"/>
        </w:rPr>
        <w:t>E</w:t>
      </w:r>
      <w:r w:rsidRPr="003A4F79">
        <w:rPr>
          <w:i/>
          <w:color w:val="auto"/>
        </w:rPr>
        <w:t xml:space="preserve">conomic </w:t>
      </w:r>
      <w:r w:rsidR="001442BA" w:rsidRPr="003A4F79">
        <w:rPr>
          <w:i/>
          <w:color w:val="auto"/>
        </w:rPr>
        <w:t>R</w:t>
      </w:r>
      <w:r w:rsidRPr="003A4F79">
        <w:rPr>
          <w:i/>
          <w:color w:val="auto"/>
        </w:rPr>
        <w:t>eview</w:t>
      </w:r>
      <w:r w:rsidRPr="003A4F79">
        <w:rPr>
          <w:color w:val="auto"/>
        </w:rPr>
        <w:t xml:space="preserve"> 42, 831-844.</w:t>
      </w:r>
    </w:p>
    <w:p w14:paraId="309D39A7" w14:textId="77777777" w:rsidR="00681A37" w:rsidRPr="003A4F79" w:rsidRDefault="00681A37" w:rsidP="00681A37">
      <w:pPr>
        <w:pStyle w:val="Referenceinthetext"/>
        <w:rPr>
          <w:color w:val="auto"/>
        </w:rPr>
      </w:pPr>
      <w:r w:rsidRPr="003A4F79">
        <w:rPr>
          <w:color w:val="auto"/>
        </w:rPr>
        <w:t xml:space="preserve">Denrell, Jerker, 2005. Why most people disapprove of me: Experience sampling in impression formation, </w:t>
      </w:r>
      <w:r w:rsidRPr="003A4F79">
        <w:rPr>
          <w:i/>
          <w:color w:val="auto"/>
        </w:rPr>
        <w:t>Psychological Review</w:t>
      </w:r>
      <w:r w:rsidRPr="003A4F79">
        <w:rPr>
          <w:color w:val="auto"/>
        </w:rPr>
        <w:t xml:space="preserve"> 112, 951-978.</w:t>
      </w:r>
    </w:p>
    <w:p w14:paraId="1AB98819" w14:textId="77777777" w:rsidR="00681A37" w:rsidRPr="003A4F79" w:rsidRDefault="00681A37" w:rsidP="00681A37">
      <w:pPr>
        <w:pStyle w:val="Referenceinthetext"/>
        <w:rPr>
          <w:color w:val="auto"/>
        </w:rPr>
      </w:pPr>
      <w:r w:rsidRPr="003A4F79">
        <w:rPr>
          <w:color w:val="auto"/>
        </w:rPr>
        <w:t xml:space="preserve">Denrell, Jerker, 2007. Adaptive learning and risk taking, </w:t>
      </w:r>
      <w:r w:rsidRPr="003A4F79">
        <w:rPr>
          <w:i/>
          <w:color w:val="auto"/>
        </w:rPr>
        <w:t>Psychological Review</w:t>
      </w:r>
      <w:r w:rsidRPr="003A4F79">
        <w:rPr>
          <w:color w:val="auto"/>
        </w:rPr>
        <w:t xml:space="preserve"> 114, 177-187.</w:t>
      </w:r>
    </w:p>
    <w:p w14:paraId="5644B281" w14:textId="16167809" w:rsidR="00B220CA" w:rsidRPr="003A4F79" w:rsidRDefault="00B220CA" w:rsidP="00290F9F">
      <w:pPr>
        <w:pStyle w:val="Referenceinthetext"/>
        <w:rPr>
          <w:color w:val="auto"/>
        </w:rPr>
      </w:pPr>
      <w:r w:rsidRPr="003A4F79">
        <w:rPr>
          <w:color w:val="auto"/>
        </w:rPr>
        <w:t xml:space="preserve">Denrell, </w:t>
      </w:r>
      <w:r w:rsidR="00487E53" w:rsidRPr="003A4F79">
        <w:rPr>
          <w:color w:val="auto"/>
        </w:rPr>
        <w:t>Jerker, and James G. March,</w:t>
      </w:r>
      <w:r w:rsidR="00487E53" w:rsidRPr="003A4F79" w:rsidDel="00487E53">
        <w:rPr>
          <w:color w:val="auto"/>
        </w:rPr>
        <w:t xml:space="preserve"> </w:t>
      </w:r>
      <w:r w:rsidRPr="003A4F79">
        <w:rPr>
          <w:color w:val="auto"/>
        </w:rPr>
        <w:t xml:space="preserve">2001. Adaptation </w:t>
      </w:r>
      <w:r w:rsidR="00487E53" w:rsidRPr="003A4F79">
        <w:rPr>
          <w:color w:val="auto"/>
        </w:rPr>
        <w:t>as information res</w:t>
      </w:r>
      <w:r w:rsidRPr="003A4F79">
        <w:rPr>
          <w:color w:val="auto"/>
        </w:rPr>
        <w:t xml:space="preserve">triction: The </w:t>
      </w:r>
      <w:r w:rsidR="00487E53" w:rsidRPr="003A4F79">
        <w:rPr>
          <w:color w:val="auto"/>
        </w:rPr>
        <w:t>hot stove ef</w:t>
      </w:r>
      <w:r w:rsidRPr="003A4F79">
        <w:rPr>
          <w:color w:val="auto"/>
        </w:rPr>
        <w:t>fect</w:t>
      </w:r>
      <w:r w:rsidR="00487E53" w:rsidRPr="003A4F79">
        <w:rPr>
          <w:color w:val="auto"/>
        </w:rPr>
        <w:t>,</w:t>
      </w:r>
      <w:r w:rsidRPr="003A4F79">
        <w:rPr>
          <w:color w:val="auto"/>
        </w:rPr>
        <w:t xml:space="preserve"> </w:t>
      </w:r>
      <w:r w:rsidRPr="003A4F79">
        <w:rPr>
          <w:i/>
          <w:color w:val="auto"/>
        </w:rPr>
        <w:t>Organization Science</w:t>
      </w:r>
      <w:r w:rsidRPr="003A4F79">
        <w:rPr>
          <w:color w:val="auto"/>
        </w:rPr>
        <w:t xml:space="preserve"> 12</w:t>
      </w:r>
      <w:r w:rsidR="00487E53" w:rsidRPr="003A4F79">
        <w:rPr>
          <w:color w:val="auto"/>
        </w:rPr>
        <w:t>,</w:t>
      </w:r>
      <w:r w:rsidRPr="003A4F79">
        <w:rPr>
          <w:color w:val="auto"/>
        </w:rPr>
        <w:t xml:space="preserve"> 523-538.</w:t>
      </w:r>
    </w:p>
    <w:p w14:paraId="3C3CD93A" w14:textId="24146DE7" w:rsidR="004B5A0F" w:rsidRPr="003A4F79" w:rsidRDefault="004B5A0F" w:rsidP="00290F9F">
      <w:pPr>
        <w:pStyle w:val="Referenceinthetext"/>
        <w:rPr>
          <w:color w:val="auto"/>
        </w:rPr>
      </w:pPr>
      <w:r w:rsidRPr="003A4F79">
        <w:rPr>
          <w:color w:val="auto"/>
        </w:rPr>
        <w:t xml:space="preserve">Erev, </w:t>
      </w:r>
      <w:r w:rsidR="00487E53" w:rsidRPr="003A4F79">
        <w:rPr>
          <w:color w:val="auto"/>
        </w:rPr>
        <w:t>Ido, and Greg Barron,</w:t>
      </w:r>
      <w:r w:rsidRPr="003A4F79">
        <w:rPr>
          <w:color w:val="auto"/>
        </w:rPr>
        <w:t xml:space="preserve"> 2005. On </w:t>
      </w:r>
      <w:r w:rsidR="00487E53" w:rsidRPr="003A4F79">
        <w:rPr>
          <w:color w:val="auto"/>
        </w:rPr>
        <w:t>adaptation, maximization, and reinforcement learning among cognitive stra</w:t>
      </w:r>
      <w:r w:rsidRPr="003A4F79">
        <w:rPr>
          <w:color w:val="auto"/>
        </w:rPr>
        <w:t>tegies</w:t>
      </w:r>
      <w:r w:rsidR="00487E53" w:rsidRPr="003A4F79">
        <w:rPr>
          <w:color w:val="auto"/>
        </w:rPr>
        <w:t>,</w:t>
      </w:r>
      <w:r w:rsidRPr="003A4F79">
        <w:rPr>
          <w:color w:val="auto"/>
        </w:rPr>
        <w:t xml:space="preserve"> </w:t>
      </w:r>
      <w:r w:rsidRPr="003A4F79">
        <w:rPr>
          <w:i/>
          <w:color w:val="auto"/>
        </w:rPr>
        <w:t>Psychological Review</w:t>
      </w:r>
      <w:r w:rsidRPr="003A4F79">
        <w:rPr>
          <w:color w:val="auto"/>
        </w:rPr>
        <w:t xml:space="preserve"> 112, 912</w:t>
      </w:r>
      <w:r w:rsidR="00487E53" w:rsidRPr="003A4F79">
        <w:rPr>
          <w:color w:val="auto"/>
        </w:rPr>
        <w:t>-</w:t>
      </w:r>
      <w:r w:rsidRPr="003A4F79">
        <w:rPr>
          <w:color w:val="auto"/>
        </w:rPr>
        <w:t>931.</w:t>
      </w:r>
    </w:p>
    <w:p w14:paraId="15C7F6B6" w14:textId="69740431" w:rsidR="00716B1F" w:rsidRPr="003A4F79" w:rsidRDefault="00716B1F" w:rsidP="00290F9F">
      <w:pPr>
        <w:pStyle w:val="Referenceinthetext"/>
        <w:rPr>
          <w:color w:val="auto"/>
        </w:rPr>
      </w:pPr>
      <w:r w:rsidRPr="003A4F79">
        <w:rPr>
          <w:color w:val="auto"/>
        </w:rPr>
        <w:t xml:space="preserve">Feldman, </w:t>
      </w:r>
      <w:r w:rsidR="00487E53" w:rsidRPr="003A4F79">
        <w:rPr>
          <w:color w:val="auto"/>
        </w:rPr>
        <w:t>Robert S., and Alice G. Bernstein,</w:t>
      </w:r>
      <w:r w:rsidRPr="003A4F79">
        <w:rPr>
          <w:color w:val="auto"/>
        </w:rPr>
        <w:t xml:space="preserve"> 1978. Primacy </w:t>
      </w:r>
      <w:r w:rsidR="00487E53" w:rsidRPr="003A4F79">
        <w:rPr>
          <w:color w:val="auto"/>
        </w:rPr>
        <w:t>effects in self</w:t>
      </w:r>
      <w:r w:rsidR="00487E53" w:rsidRPr="003A4F79">
        <w:rPr>
          <w:rFonts w:ascii="Cambria Math" w:hAnsi="Cambria Math" w:cs="Cambria Math"/>
          <w:color w:val="auto"/>
        </w:rPr>
        <w:t>‐</w:t>
      </w:r>
      <w:r w:rsidR="00487E53" w:rsidRPr="003A4F79">
        <w:rPr>
          <w:color w:val="auto"/>
        </w:rPr>
        <w:t>attribution of abil</w:t>
      </w:r>
      <w:r w:rsidRPr="003A4F79">
        <w:rPr>
          <w:color w:val="auto"/>
        </w:rPr>
        <w:t>ity</w:t>
      </w:r>
      <w:r w:rsidR="00487E53" w:rsidRPr="003A4F79">
        <w:rPr>
          <w:color w:val="auto"/>
        </w:rPr>
        <w:t>,</w:t>
      </w:r>
      <w:r w:rsidRPr="003A4F79">
        <w:rPr>
          <w:color w:val="auto"/>
        </w:rPr>
        <w:t xml:space="preserve"> </w:t>
      </w:r>
      <w:r w:rsidRPr="003A4F79">
        <w:rPr>
          <w:i/>
          <w:color w:val="auto"/>
        </w:rPr>
        <w:t>Journal of Personality</w:t>
      </w:r>
      <w:r w:rsidRPr="003A4F79">
        <w:rPr>
          <w:color w:val="auto"/>
        </w:rPr>
        <w:t xml:space="preserve"> 46</w:t>
      </w:r>
      <w:r w:rsidR="00487E53" w:rsidRPr="003A4F79">
        <w:rPr>
          <w:color w:val="auto"/>
        </w:rPr>
        <w:t>,</w:t>
      </w:r>
      <w:r w:rsidRPr="003A4F79">
        <w:rPr>
          <w:color w:val="auto"/>
        </w:rPr>
        <w:t xml:space="preserve"> 732-742.</w:t>
      </w:r>
    </w:p>
    <w:p w14:paraId="5510A3DF" w14:textId="57C9F3AA" w:rsidR="00364204" w:rsidRPr="003A4F79" w:rsidRDefault="00364204" w:rsidP="00364204">
      <w:pPr>
        <w:pStyle w:val="Referenceinthetext"/>
        <w:rPr>
          <w:color w:val="auto"/>
        </w:rPr>
      </w:pPr>
      <w:r w:rsidRPr="003A4F79">
        <w:rPr>
          <w:color w:val="auto"/>
        </w:rPr>
        <w:t>Frieder, L</w:t>
      </w:r>
      <w:r w:rsidR="00A71022" w:rsidRPr="003A4F79">
        <w:rPr>
          <w:color w:val="auto"/>
        </w:rPr>
        <w:t>aura</w:t>
      </w:r>
      <w:r w:rsidRPr="003A4F79">
        <w:rPr>
          <w:color w:val="auto"/>
        </w:rPr>
        <w:t>. and A</w:t>
      </w:r>
      <w:r w:rsidR="00A71022" w:rsidRPr="003A4F79">
        <w:rPr>
          <w:color w:val="auto"/>
        </w:rPr>
        <w:t xml:space="preserve">vanidhar </w:t>
      </w:r>
      <w:r w:rsidRPr="003A4F79">
        <w:rPr>
          <w:color w:val="auto"/>
        </w:rPr>
        <w:t>Subrahmanyam, 2005</w:t>
      </w:r>
      <w:r w:rsidR="00A71022" w:rsidRPr="003A4F79">
        <w:rPr>
          <w:color w:val="auto"/>
        </w:rPr>
        <w:t xml:space="preserve">. </w:t>
      </w:r>
      <w:r w:rsidRPr="003A4F79">
        <w:rPr>
          <w:color w:val="auto"/>
        </w:rPr>
        <w:t xml:space="preserve">Brand perceptions and the market for common stock, </w:t>
      </w:r>
      <w:r w:rsidRPr="003A4F79">
        <w:rPr>
          <w:i/>
          <w:color w:val="auto"/>
        </w:rPr>
        <w:t>Journal of Financial and Quantitative Analysis</w:t>
      </w:r>
      <w:r w:rsidRPr="003A4F79">
        <w:rPr>
          <w:color w:val="auto"/>
        </w:rPr>
        <w:t xml:space="preserve"> 40, 57</w:t>
      </w:r>
      <w:r w:rsidR="00500DAC" w:rsidRPr="003A4F79">
        <w:rPr>
          <w:color w:val="auto"/>
        </w:rPr>
        <w:t>-</w:t>
      </w:r>
      <w:r w:rsidRPr="003A4F79">
        <w:rPr>
          <w:color w:val="auto"/>
        </w:rPr>
        <w:t>85.</w:t>
      </w:r>
    </w:p>
    <w:p w14:paraId="432D0592" w14:textId="2F7D2603" w:rsidR="00364204" w:rsidRPr="003A4F79" w:rsidRDefault="00364204" w:rsidP="00364204">
      <w:pPr>
        <w:pStyle w:val="Referenceinthetext"/>
        <w:rPr>
          <w:color w:val="auto"/>
        </w:rPr>
      </w:pPr>
      <w:r w:rsidRPr="003A4F79">
        <w:rPr>
          <w:color w:val="auto"/>
        </w:rPr>
        <w:t>Furnham, A</w:t>
      </w:r>
      <w:r w:rsidR="00963194" w:rsidRPr="003A4F79">
        <w:rPr>
          <w:color w:val="auto"/>
        </w:rPr>
        <w:t xml:space="preserve">drian, </w:t>
      </w:r>
      <w:r w:rsidRPr="003A4F79">
        <w:rPr>
          <w:color w:val="auto"/>
        </w:rPr>
        <w:t xml:space="preserve">1986. The robustness of the recency effect: Studies using legal evidence. </w:t>
      </w:r>
      <w:r w:rsidRPr="003A4F79">
        <w:rPr>
          <w:i/>
          <w:color w:val="auto"/>
        </w:rPr>
        <w:t>Journal of General Psychology</w:t>
      </w:r>
      <w:r w:rsidRPr="003A4F79">
        <w:rPr>
          <w:color w:val="auto"/>
        </w:rPr>
        <w:t xml:space="preserve"> 113, 351-357.</w:t>
      </w:r>
    </w:p>
    <w:p w14:paraId="71408E6C" w14:textId="42B53E82" w:rsidR="00F63ADE" w:rsidRPr="003A4F79" w:rsidRDefault="00F63ADE" w:rsidP="00290F9F">
      <w:pPr>
        <w:pStyle w:val="Referenceinthetext"/>
        <w:rPr>
          <w:color w:val="auto"/>
        </w:rPr>
      </w:pPr>
      <w:r w:rsidRPr="003A4F79">
        <w:rPr>
          <w:color w:val="auto"/>
        </w:rPr>
        <w:t xml:space="preserve">Gervais, Simon, and Terrance Odean, 2001. Learning to </w:t>
      </w:r>
      <w:r w:rsidR="00487E53" w:rsidRPr="003A4F79">
        <w:rPr>
          <w:color w:val="auto"/>
        </w:rPr>
        <w:t xml:space="preserve">be overconfident, </w:t>
      </w:r>
      <w:r w:rsidRPr="003A4F79">
        <w:rPr>
          <w:i/>
          <w:color w:val="auto"/>
        </w:rPr>
        <w:t>Review of Financial Studies</w:t>
      </w:r>
      <w:r w:rsidRPr="003A4F79">
        <w:rPr>
          <w:color w:val="auto"/>
        </w:rPr>
        <w:t xml:space="preserve"> 14</w:t>
      </w:r>
      <w:r w:rsidR="00487E53" w:rsidRPr="003A4F79">
        <w:rPr>
          <w:color w:val="auto"/>
        </w:rPr>
        <w:t xml:space="preserve">, </w:t>
      </w:r>
      <w:r w:rsidRPr="003A4F79">
        <w:rPr>
          <w:color w:val="auto"/>
        </w:rPr>
        <w:t>1-27.</w:t>
      </w:r>
    </w:p>
    <w:p w14:paraId="4A020A2E" w14:textId="23DB09C1" w:rsidR="003F66BE" w:rsidRPr="003A4F79" w:rsidRDefault="003F66BE" w:rsidP="00290F9F">
      <w:pPr>
        <w:pStyle w:val="Referenceinthetext"/>
        <w:rPr>
          <w:color w:val="auto"/>
        </w:rPr>
      </w:pPr>
      <w:bookmarkStart w:id="1" w:name="_Ref318550239"/>
      <w:bookmarkStart w:id="2" w:name="_Ref356204385"/>
      <w:r w:rsidRPr="003A4F79">
        <w:rPr>
          <w:color w:val="auto"/>
        </w:rPr>
        <w:t xml:space="preserve">Grinblatt, </w:t>
      </w:r>
      <w:r w:rsidR="000F3299" w:rsidRPr="003A4F79">
        <w:rPr>
          <w:color w:val="auto"/>
        </w:rPr>
        <w:t>Mark, and Matti Keloharju,</w:t>
      </w:r>
      <w:r w:rsidR="00974ECF" w:rsidRPr="003A4F79">
        <w:rPr>
          <w:color w:val="auto"/>
        </w:rPr>
        <w:t xml:space="preserve"> </w:t>
      </w:r>
      <w:r w:rsidRPr="003A4F79">
        <w:rPr>
          <w:color w:val="auto"/>
        </w:rPr>
        <w:t xml:space="preserve">2000. The </w:t>
      </w:r>
      <w:r w:rsidR="000F3299" w:rsidRPr="003A4F79">
        <w:rPr>
          <w:color w:val="auto"/>
        </w:rPr>
        <w:t>investment behavior and performance of various investor ty</w:t>
      </w:r>
      <w:r w:rsidRPr="003A4F79">
        <w:rPr>
          <w:color w:val="auto"/>
        </w:rPr>
        <w:t xml:space="preserve">pes: A </w:t>
      </w:r>
      <w:r w:rsidR="000F3299" w:rsidRPr="003A4F79">
        <w:rPr>
          <w:color w:val="auto"/>
        </w:rPr>
        <w:t xml:space="preserve">study </w:t>
      </w:r>
      <w:r w:rsidRPr="003A4F79">
        <w:rPr>
          <w:color w:val="auto"/>
        </w:rPr>
        <w:t xml:space="preserve">of Finland’s </w:t>
      </w:r>
      <w:r w:rsidR="000F3299" w:rsidRPr="003A4F79">
        <w:rPr>
          <w:color w:val="auto"/>
        </w:rPr>
        <w:t>unique data s</w:t>
      </w:r>
      <w:r w:rsidRPr="003A4F79">
        <w:rPr>
          <w:color w:val="auto"/>
        </w:rPr>
        <w:t>et</w:t>
      </w:r>
      <w:r w:rsidR="000F3299" w:rsidRPr="003A4F79">
        <w:rPr>
          <w:color w:val="auto"/>
        </w:rPr>
        <w:t xml:space="preserve">, </w:t>
      </w:r>
      <w:r w:rsidRPr="003A4F79">
        <w:rPr>
          <w:i/>
          <w:color w:val="auto"/>
        </w:rPr>
        <w:t>Journal of Financial Economics</w:t>
      </w:r>
      <w:r w:rsidRPr="003A4F79">
        <w:rPr>
          <w:color w:val="auto"/>
        </w:rPr>
        <w:t xml:space="preserve"> 55</w:t>
      </w:r>
      <w:r w:rsidR="000F3299" w:rsidRPr="003A4F79">
        <w:rPr>
          <w:color w:val="auto"/>
        </w:rPr>
        <w:t xml:space="preserve">, </w:t>
      </w:r>
      <w:r w:rsidRPr="003A4F79">
        <w:rPr>
          <w:color w:val="auto"/>
        </w:rPr>
        <w:t>43</w:t>
      </w:r>
      <w:r w:rsidR="000F3299" w:rsidRPr="003A4F79">
        <w:rPr>
          <w:color w:val="auto"/>
        </w:rPr>
        <w:t>-</w:t>
      </w:r>
      <w:r w:rsidRPr="003A4F79">
        <w:rPr>
          <w:color w:val="auto"/>
        </w:rPr>
        <w:t>67.</w:t>
      </w:r>
    </w:p>
    <w:p w14:paraId="0EA7ED0B" w14:textId="333A00BA" w:rsidR="0035295D" w:rsidRPr="003A4F79" w:rsidRDefault="003F66BE" w:rsidP="00290F9F">
      <w:pPr>
        <w:pStyle w:val="Referenceinthetext"/>
        <w:rPr>
          <w:color w:val="auto"/>
        </w:rPr>
      </w:pPr>
      <w:r w:rsidRPr="003A4F79">
        <w:rPr>
          <w:color w:val="auto"/>
        </w:rPr>
        <w:lastRenderedPageBreak/>
        <w:t xml:space="preserve">Grinblatt, </w:t>
      </w:r>
      <w:r w:rsidR="000F3299" w:rsidRPr="003A4F79">
        <w:rPr>
          <w:color w:val="auto"/>
        </w:rPr>
        <w:t>Mark, and Matti Keloharju,</w:t>
      </w:r>
      <w:r w:rsidR="00322B76" w:rsidRPr="003A4F79">
        <w:rPr>
          <w:color w:val="auto"/>
        </w:rPr>
        <w:t xml:space="preserve"> </w:t>
      </w:r>
      <w:r w:rsidRPr="003A4F79">
        <w:rPr>
          <w:color w:val="auto"/>
        </w:rPr>
        <w:t xml:space="preserve">2001a. How </w:t>
      </w:r>
      <w:r w:rsidR="000F3299" w:rsidRPr="003A4F79">
        <w:rPr>
          <w:color w:val="auto"/>
        </w:rPr>
        <w:t>distance, language, and culture influence stockholdings and tr</w:t>
      </w:r>
      <w:r w:rsidRPr="003A4F79">
        <w:rPr>
          <w:color w:val="auto"/>
        </w:rPr>
        <w:t>ades</w:t>
      </w:r>
      <w:r w:rsidR="000F3299" w:rsidRPr="003A4F79">
        <w:rPr>
          <w:color w:val="auto"/>
        </w:rPr>
        <w:t xml:space="preserve">, </w:t>
      </w:r>
      <w:r w:rsidRPr="003A4F79">
        <w:rPr>
          <w:i/>
          <w:color w:val="auto"/>
        </w:rPr>
        <w:t>Journal of Finance</w:t>
      </w:r>
      <w:r w:rsidRPr="003A4F79">
        <w:rPr>
          <w:color w:val="auto"/>
        </w:rPr>
        <w:t xml:space="preserve"> 56</w:t>
      </w:r>
      <w:r w:rsidR="000F3299" w:rsidRPr="003A4F79">
        <w:rPr>
          <w:color w:val="auto"/>
        </w:rPr>
        <w:t xml:space="preserve">, </w:t>
      </w:r>
      <w:r w:rsidRPr="003A4F79">
        <w:rPr>
          <w:color w:val="auto"/>
        </w:rPr>
        <w:t>1053</w:t>
      </w:r>
      <w:r w:rsidR="000F3299" w:rsidRPr="003A4F79">
        <w:rPr>
          <w:color w:val="auto"/>
        </w:rPr>
        <w:t>-10</w:t>
      </w:r>
      <w:r w:rsidRPr="003A4F79">
        <w:rPr>
          <w:color w:val="auto"/>
        </w:rPr>
        <w:t>73.</w:t>
      </w:r>
    </w:p>
    <w:p w14:paraId="4A169160" w14:textId="46E6F6C2" w:rsidR="003F66BE" w:rsidRPr="003A4F79" w:rsidRDefault="003F66BE" w:rsidP="00290F9F">
      <w:pPr>
        <w:pStyle w:val="Referenceinthetext"/>
        <w:rPr>
          <w:color w:val="auto"/>
        </w:rPr>
      </w:pPr>
      <w:r w:rsidRPr="003A4F79">
        <w:rPr>
          <w:color w:val="auto"/>
        </w:rPr>
        <w:t xml:space="preserve">Grinblatt, </w:t>
      </w:r>
      <w:r w:rsidR="000F3299" w:rsidRPr="003A4F79">
        <w:rPr>
          <w:color w:val="auto"/>
        </w:rPr>
        <w:t>Mark, and Matti Keloharju,</w:t>
      </w:r>
      <w:r w:rsidR="00322B76" w:rsidRPr="003A4F79">
        <w:rPr>
          <w:color w:val="auto"/>
        </w:rPr>
        <w:t xml:space="preserve"> </w:t>
      </w:r>
      <w:r w:rsidRPr="003A4F79">
        <w:rPr>
          <w:color w:val="auto"/>
        </w:rPr>
        <w:t xml:space="preserve">2001b. What </w:t>
      </w:r>
      <w:r w:rsidR="000F3299" w:rsidRPr="003A4F79">
        <w:rPr>
          <w:color w:val="auto"/>
        </w:rPr>
        <w:t>makes investors t</w:t>
      </w:r>
      <w:r w:rsidRPr="003A4F79">
        <w:rPr>
          <w:color w:val="auto"/>
        </w:rPr>
        <w:t xml:space="preserve">rade? </w:t>
      </w:r>
      <w:r w:rsidRPr="003A4F79">
        <w:rPr>
          <w:i/>
          <w:color w:val="auto"/>
        </w:rPr>
        <w:t>Journal of Finance</w:t>
      </w:r>
      <w:r w:rsidRPr="003A4F79">
        <w:rPr>
          <w:color w:val="auto"/>
        </w:rPr>
        <w:t xml:space="preserve"> 56</w:t>
      </w:r>
      <w:r w:rsidR="000F3299" w:rsidRPr="003A4F79">
        <w:rPr>
          <w:color w:val="auto"/>
        </w:rPr>
        <w:t xml:space="preserve">, </w:t>
      </w:r>
      <w:r w:rsidRPr="003A4F79">
        <w:rPr>
          <w:color w:val="auto"/>
        </w:rPr>
        <w:t>589</w:t>
      </w:r>
      <w:r w:rsidR="000F3299" w:rsidRPr="003A4F79">
        <w:rPr>
          <w:color w:val="auto"/>
        </w:rPr>
        <w:t>-</w:t>
      </w:r>
      <w:r w:rsidRPr="003A4F79">
        <w:rPr>
          <w:color w:val="auto"/>
        </w:rPr>
        <w:t>616</w:t>
      </w:r>
      <w:r w:rsidR="00492A2B" w:rsidRPr="003A4F79">
        <w:rPr>
          <w:color w:val="auto"/>
        </w:rPr>
        <w:t>.</w:t>
      </w:r>
    </w:p>
    <w:p w14:paraId="25954872" w14:textId="67C291B0" w:rsidR="000A5646" w:rsidRPr="003A4F79" w:rsidRDefault="000A5646" w:rsidP="00290F9F">
      <w:pPr>
        <w:pStyle w:val="Referenceinthetext"/>
        <w:rPr>
          <w:color w:val="auto"/>
        </w:rPr>
      </w:pPr>
      <w:r w:rsidRPr="003A4F79">
        <w:rPr>
          <w:color w:val="auto"/>
        </w:rPr>
        <w:t xml:space="preserve">Grinblatt, Mark, and Matti Keloharju, 2004. Tax-loss trading and wash sales. </w:t>
      </w:r>
      <w:r w:rsidRPr="003A4F79">
        <w:rPr>
          <w:i/>
          <w:color w:val="auto"/>
        </w:rPr>
        <w:t>Journal of Financial Economics</w:t>
      </w:r>
      <w:r w:rsidRPr="003A4F79">
        <w:rPr>
          <w:color w:val="auto"/>
        </w:rPr>
        <w:t xml:space="preserve"> 71, 51-76.</w:t>
      </w:r>
    </w:p>
    <w:p w14:paraId="1F0DCE34" w14:textId="77D78D8D" w:rsidR="00A206CA" w:rsidRPr="003A4F79" w:rsidRDefault="00A206CA" w:rsidP="00290F9F">
      <w:pPr>
        <w:pStyle w:val="Referenceinthetext"/>
        <w:rPr>
          <w:color w:val="auto"/>
        </w:rPr>
      </w:pPr>
      <w:r w:rsidRPr="003A4F79">
        <w:rPr>
          <w:color w:val="auto"/>
        </w:rPr>
        <w:t xml:space="preserve">Gruber, Martin J., 1996. Another puzzle: The growth in actively managed mutual funds. </w:t>
      </w:r>
      <w:r w:rsidR="00FC69C5" w:rsidRPr="003A4F79">
        <w:rPr>
          <w:i/>
          <w:color w:val="auto"/>
        </w:rPr>
        <w:t>Journal of F</w:t>
      </w:r>
      <w:r w:rsidRPr="003A4F79">
        <w:rPr>
          <w:i/>
          <w:color w:val="auto"/>
        </w:rPr>
        <w:t>inance</w:t>
      </w:r>
      <w:r w:rsidRPr="003A4F79">
        <w:rPr>
          <w:color w:val="auto"/>
        </w:rPr>
        <w:t xml:space="preserve"> 51, 783-810.</w:t>
      </w:r>
    </w:p>
    <w:p w14:paraId="235E4BD1" w14:textId="004ABA3F" w:rsidR="00CF61A8" w:rsidRPr="003A4F79" w:rsidRDefault="00CF61A8" w:rsidP="00290F9F">
      <w:pPr>
        <w:pStyle w:val="Referenceinthetext"/>
        <w:rPr>
          <w:color w:val="auto"/>
        </w:rPr>
      </w:pPr>
      <w:r w:rsidRPr="003A4F79">
        <w:rPr>
          <w:color w:val="auto"/>
        </w:rPr>
        <w:t xml:space="preserve">Hartzmark, Samuel M., 2015. The </w:t>
      </w:r>
      <w:r w:rsidR="00893875" w:rsidRPr="003A4F79">
        <w:rPr>
          <w:color w:val="auto"/>
        </w:rPr>
        <w:t>w</w:t>
      </w:r>
      <w:r w:rsidRPr="003A4F79">
        <w:rPr>
          <w:color w:val="auto"/>
        </w:rPr>
        <w:t xml:space="preserve">orst, the </w:t>
      </w:r>
      <w:r w:rsidR="00893875" w:rsidRPr="003A4F79">
        <w:rPr>
          <w:color w:val="auto"/>
        </w:rPr>
        <w:t>b</w:t>
      </w:r>
      <w:r w:rsidRPr="003A4F79">
        <w:rPr>
          <w:color w:val="auto"/>
        </w:rPr>
        <w:t xml:space="preserve">est, </w:t>
      </w:r>
      <w:r w:rsidR="00893875" w:rsidRPr="003A4F79">
        <w:rPr>
          <w:color w:val="auto"/>
        </w:rPr>
        <w:t>i</w:t>
      </w:r>
      <w:r w:rsidRPr="003A4F79">
        <w:rPr>
          <w:color w:val="auto"/>
        </w:rPr>
        <w:t xml:space="preserve">gnoring </w:t>
      </w:r>
      <w:r w:rsidR="00893875" w:rsidRPr="003A4F79">
        <w:rPr>
          <w:color w:val="auto"/>
        </w:rPr>
        <w:t>a</w:t>
      </w:r>
      <w:r w:rsidRPr="003A4F79">
        <w:rPr>
          <w:color w:val="auto"/>
        </w:rPr>
        <w:t xml:space="preserve">ll the </w:t>
      </w:r>
      <w:r w:rsidR="00893875" w:rsidRPr="003A4F79">
        <w:rPr>
          <w:color w:val="auto"/>
        </w:rPr>
        <w:t>r</w:t>
      </w:r>
      <w:r w:rsidRPr="003A4F79">
        <w:rPr>
          <w:color w:val="auto"/>
        </w:rPr>
        <w:t xml:space="preserve">est: </w:t>
      </w:r>
      <w:r w:rsidR="00893875" w:rsidRPr="003A4F79">
        <w:rPr>
          <w:color w:val="auto"/>
        </w:rPr>
        <w:t>t</w:t>
      </w:r>
      <w:r w:rsidRPr="003A4F79">
        <w:rPr>
          <w:color w:val="auto"/>
        </w:rPr>
        <w:t xml:space="preserve">he </w:t>
      </w:r>
      <w:r w:rsidR="00893875" w:rsidRPr="003A4F79">
        <w:rPr>
          <w:color w:val="auto"/>
        </w:rPr>
        <w:t>r</w:t>
      </w:r>
      <w:r w:rsidRPr="003A4F79">
        <w:rPr>
          <w:color w:val="auto"/>
        </w:rPr>
        <w:t xml:space="preserve">ank </w:t>
      </w:r>
      <w:r w:rsidR="00893875" w:rsidRPr="003A4F79">
        <w:rPr>
          <w:color w:val="auto"/>
        </w:rPr>
        <w:t>e</w:t>
      </w:r>
      <w:r w:rsidRPr="003A4F79">
        <w:rPr>
          <w:color w:val="auto"/>
        </w:rPr>
        <w:t xml:space="preserve">ffect and </w:t>
      </w:r>
      <w:r w:rsidR="00893875" w:rsidRPr="003A4F79">
        <w:rPr>
          <w:color w:val="auto"/>
        </w:rPr>
        <w:t>t</w:t>
      </w:r>
      <w:r w:rsidRPr="003A4F79">
        <w:rPr>
          <w:color w:val="auto"/>
        </w:rPr>
        <w:t xml:space="preserve">rading </w:t>
      </w:r>
      <w:r w:rsidR="00893875" w:rsidRPr="003A4F79">
        <w:rPr>
          <w:color w:val="auto"/>
        </w:rPr>
        <w:t>b</w:t>
      </w:r>
      <w:r w:rsidRPr="003A4F79">
        <w:rPr>
          <w:color w:val="auto"/>
        </w:rPr>
        <w:t xml:space="preserve">ehavior, </w:t>
      </w:r>
      <w:r w:rsidRPr="003A4F79">
        <w:rPr>
          <w:i/>
          <w:color w:val="auto"/>
        </w:rPr>
        <w:t>Review of Financial Studies</w:t>
      </w:r>
      <w:r w:rsidRPr="003A4F79">
        <w:rPr>
          <w:color w:val="auto"/>
        </w:rPr>
        <w:t xml:space="preserve"> 28, 1024-1059. </w:t>
      </w:r>
    </w:p>
    <w:p w14:paraId="695007EF" w14:textId="5239048E" w:rsidR="0058050E" w:rsidRPr="003A4F79" w:rsidRDefault="0084562D" w:rsidP="00290F9F">
      <w:pPr>
        <w:pStyle w:val="Referenceinthetext"/>
        <w:rPr>
          <w:color w:val="auto"/>
        </w:rPr>
      </w:pPr>
      <w:r w:rsidRPr="003A4F79">
        <w:rPr>
          <w:color w:val="auto"/>
        </w:rPr>
        <w:t>Heckman, J</w:t>
      </w:r>
      <w:r w:rsidR="000F3299" w:rsidRPr="003A4F79">
        <w:rPr>
          <w:color w:val="auto"/>
        </w:rPr>
        <w:t>ames J</w:t>
      </w:r>
      <w:r w:rsidRPr="003A4F79">
        <w:rPr>
          <w:color w:val="auto"/>
        </w:rPr>
        <w:t>.</w:t>
      </w:r>
      <w:r w:rsidR="000F3299" w:rsidRPr="003A4F79">
        <w:rPr>
          <w:color w:val="auto"/>
        </w:rPr>
        <w:t>,</w:t>
      </w:r>
      <w:r w:rsidRPr="003A4F79">
        <w:rPr>
          <w:color w:val="auto"/>
        </w:rPr>
        <w:t xml:space="preserve"> 1976. The </w:t>
      </w:r>
      <w:r w:rsidR="000F3299" w:rsidRPr="003A4F79">
        <w:rPr>
          <w:color w:val="auto"/>
        </w:rPr>
        <w:t>common structure of statistical models of truncation, sample selection, and dependent variables and a simple estimator for such mo</w:t>
      </w:r>
      <w:r w:rsidRPr="003A4F79">
        <w:rPr>
          <w:color w:val="auto"/>
        </w:rPr>
        <w:t>dels</w:t>
      </w:r>
      <w:r w:rsidR="000F3299" w:rsidRPr="003A4F79">
        <w:rPr>
          <w:color w:val="auto"/>
        </w:rPr>
        <w:t>,</w:t>
      </w:r>
      <w:r w:rsidRPr="003A4F79">
        <w:rPr>
          <w:color w:val="auto"/>
        </w:rPr>
        <w:t xml:space="preserve"> </w:t>
      </w:r>
      <w:r w:rsidRPr="003A4F79">
        <w:rPr>
          <w:i/>
          <w:color w:val="auto"/>
        </w:rPr>
        <w:t>Annals of Economic and Social Measurement</w:t>
      </w:r>
      <w:r w:rsidR="005835A6" w:rsidRPr="003A4F79">
        <w:rPr>
          <w:color w:val="auto"/>
        </w:rPr>
        <w:t xml:space="preserve"> </w:t>
      </w:r>
      <w:r w:rsidRPr="003A4F79">
        <w:rPr>
          <w:color w:val="auto"/>
        </w:rPr>
        <w:t>5</w:t>
      </w:r>
      <w:r w:rsidR="000F3299" w:rsidRPr="003A4F79">
        <w:rPr>
          <w:color w:val="auto"/>
        </w:rPr>
        <w:t xml:space="preserve">, </w:t>
      </w:r>
      <w:r w:rsidRPr="003A4F79">
        <w:rPr>
          <w:color w:val="auto"/>
        </w:rPr>
        <w:t>475</w:t>
      </w:r>
      <w:r w:rsidR="000F3299" w:rsidRPr="003A4F79">
        <w:rPr>
          <w:color w:val="auto"/>
        </w:rPr>
        <w:t>-</w:t>
      </w:r>
      <w:r w:rsidR="003B684E" w:rsidRPr="003A4F79">
        <w:rPr>
          <w:color w:val="auto"/>
        </w:rPr>
        <w:t>4</w:t>
      </w:r>
      <w:r w:rsidRPr="003A4F79">
        <w:rPr>
          <w:color w:val="auto"/>
        </w:rPr>
        <w:t>92.</w:t>
      </w:r>
    </w:p>
    <w:p w14:paraId="24E0AC15" w14:textId="282D2216" w:rsidR="0051462B" w:rsidRPr="003A4F79" w:rsidRDefault="0051462B" w:rsidP="00290F9F">
      <w:pPr>
        <w:pStyle w:val="Referenceinthetext"/>
        <w:rPr>
          <w:color w:val="auto"/>
        </w:rPr>
      </w:pPr>
      <w:r w:rsidRPr="003A4F79">
        <w:rPr>
          <w:color w:val="auto"/>
        </w:rPr>
        <w:t xml:space="preserve">Hertwig, </w:t>
      </w:r>
      <w:r w:rsidR="006E64CD" w:rsidRPr="003A4F79">
        <w:rPr>
          <w:color w:val="auto"/>
        </w:rPr>
        <w:t>Ralph, Greg Barron, Elke U. Weber, and Ido Erev,</w:t>
      </w:r>
      <w:r w:rsidRPr="003A4F79">
        <w:rPr>
          <w:color w:val="auto"/>
        </w:rPr>
        <w:t xml:space="preserve"> 2006. R</w:t>
      </w:r>
      <w:r w:rsidR="006E64CD" w:rsidRPr="003A4F79">
        <w:rPr>
          <w:color w:val="auto"/>
        </w:rPr>
        <w:t>are r</w:t>
      </w:r>
      <w:r w:rsidRPr="003A4F79">
        <w:rPr>
          <w:color w:val="auto"/>
        </w:rPr>
        <w:t xml:space="preserve">isky </w:t>
      </w:r>
      <w:r w:rsidR="000F3299" w:rsidRPr="003A4F79">
        <w:rPr>
          <w:color w:val="auto"/>
        </w:rPr>
        <w:t>prospects</w:t>
      </w:r>
      <w:r w:rsidRPr="003A4F79">
        <w:rPr>
          <w:color w:val="auto"/>
        </w:rPr>
        <w:t xml:space="preserve">: </w:t>
      </w:r>
      <w:r w:rsidR="006E64CD" w:rsidRPr="003A4F79">
        <w:rPr>
          <w:color w:val="auto"/>
        </w:rPr>
        <w:t xml:space="preserve">Different when </w:t>
      </w:r>
      <w:r w:rsidR="000F3299" w:rsidRPr="003A4F79">
        <w:rPr>
          <w:color w:val="auto"/>
        </w:rPr>
        <w:t>valued through a window of sampled experience</w:t>
      </w:r>
      <w:r w:rsidRPr="003A4F79">
        <w:rPr>
          <w:color w:val="auto"/>
        </w:rPr>
        <w:t>s</w:t>
      </w:r>
      <w:r w:rsidR="000F3299" w:rsidRPr="003A4F79">
        <w:rPr>
          <w:color w:val="auto"/>
        </w:rPr>
        <w:t>,</w:t>
      </w:r>
      <w:r w:rsidRPr="003A4F79">
        <w:rPr>
          <w:color w:val="auto"/>
        </w:rPr>
        <w:t xml:space="preserve"> </w:t>
      </w:r>
      <w:r w:rsidR="000F3299" w:rsidRPr="003A4F79">
        <w:rPr>
          <w:color w:val="auto"/>
        </w:rPr>
        <w:t xml:space="preserve">in </w:t>
      </w:r>
      <w:r w:rsidRPr="003A4F79">
        <w:rPr>
          <w:color w:val="auto"/>
        </w:rPr>
        <w:t>K</w:t>
      </w:r>
      <w:r w:rsidR="006E64CD" w:rsidRPr="003A4F79">
        <w:rPr>
          <w:color w:val="auto"/>
        </w:rPr>
        <w:t xml:space="preserve">laus </w:t>
      </w:r>
      <w:r w:rsidRPr="003A4F79">
        <w:rPr>
          <w:color w:val="auto"/>
        </w:rPr>
        <w:t xml:space="preserve">Fiedler </w:t>
      </w:r>
      <w:r w:rsidR="000F3299" w:rsidRPr="003A4F79">
        <w:rPr>
          <w:color w:val="auto"/>
        </w:rPr>
        <w:t xml:space="preserve">and </w:t>
      </w:r>
      <w:r w:rsidRPr="003A4F79">
        <w:rPr>
          <w:color w:val="auto"/>
        </w:rPr>
        <w:t>P</w:t>
      </w:r>
      <w:r w:rsidR="006E64CD" w:rsidRPr="003A4F79">
        <w:rPr>
          <w:color w:val="auto"/>
        </w:rPr>
        <w:t xml:space="preserve">atrik </w:t>
      </w:r>
      <w:r w:rsidRPr="003A4F79">
        <w:rPr>
          <w:color w:val="auto"/>
        </w:rPr>
        <w:t>Juslin (</w:t>
      </w:r>
      <w:r w:rsidR="000F3299" w:rsidRPr="003A4F79">
        <w:rPr>
          <w:color w:val="auto"/>
        </w:rPr>
        <w:t>eds</w:t>
      </w:r>
      <w:r w:rsidRPr="003A4F79">
        <w:rPr>
          <w:color w:val="auto"/>
        </w:rPr>
        <w:t xml:space="preserve">), </w:t>
      </w:r>
      <w:r w:rsidR="006E64CD" w:rsidRPr="003A4F79">
        <w:rPr>
          <w:i/>
          <w:color w:val="auto"/>
        </w:rPr>
        <w:t>Information Sampling as a Key to Understanding Adaptive Cognition in an Uncertain Environment</w:t>
      </w:r>
      <w:r w:rsidR="000F3299" w:rsidRPr="003A4F79">
        <w:rPr>
          <w:color w:val="auto"/>
        </w:rPr>
        <w:t>, (</w:t>
      </w:r>
      <w:r w:rsidRPr="003A4F79">
        <w:rPr>
          <w:color w:val="auto"/>
        </w:rPr>
        <w:t>Cambridge University Press</w:t>
      </w:r>
      <w:r w:rsidR="000F3299" w:rsidRPr="003A4F79">
        <w:rPr>
          <w:color w:val="auto"/>
        </w:rPr>
        <w:t>, Cambridge, UK), 72-91</w:t>
      </w:r>
      <w:r w:rsidRPr="003A4F79">
        <w:rPr>
          <w:color w:val="auto"/>
        </w:rPr>
        <w:t>.</w:t>
      </w:r>
    </w:p>
    <w:p w14:paraId="1B199C2E" w14:textId="40B7F766" w:rsidR="00D648C2" w:rsidRPr="003A4F79" w:rsidRDefault="00D648C2" w:rsidP="00290F9F">
      <w:pPr>
        <w:pStyle w:val="Referenceinthetext"/>
        <w:rPr>
          <w:color w:val="auto"/>
          <w:lang w:val="en-GB"/>
        </w:rPr>
      </w:pPr>
      <w:r w:rsidRPr="003A4F79">
        <w:rPr>
          <w:color w:val="auto"/>
          <w:lang w:val="en-GB"/>
        </w:rPr>
        <w:t xml:space="preserve">Hogarth, </w:t>
      </w:r>
      <w:r w:rsidR="006E64CD" w:rsidRPr="003A4F79">
        <w:rPr>
          <w:color w:val="auto"/>
          <w:lang w:val="en-GB"/>
        </w:rPr>
        <w:t>Robin M., and Hillel J. Einhorn,</w:t>
      </w:r>
      <w:r w:rsidRPr="003A4F79">
        <w:rPr>
          <w:color w:val="auto"/>
          <w:lang w:val="en-GB"/>
        </w:rPr>
        <w:t xml:space="preserve"> 1992. Order </w:t>
      </w:r>
      <w:r w:rsidR="006E64CD" w:rsidRPr="003A4F79">
        <w:rPr>
          <w:color w:val="auto"/>
          <w:lang w:val="en-GB"/>
        </w:rPr>
        <w:t>effects in belief up</w:t>
      </w:r>
      <w:r w:rsidRPr="003A4F79">
        <w:rPr>
          <w:color w:val="auto"/>
          <w:lang w:val="en-GB"/>
        </w:rPr>
        <w:t xml:space="preserve">dating: The </w:t>
      </w:r>
      <w:r w:rsidR="006E64CD" w:rsidRPr="003A4F79">
        <w:rPr>
          <w:color w:val="auto"/>
          <w:lang w:val="en-GB"/>
        </w:rPr>
        <w:t>belief-adjustment mod</w:t>
      </w:r>
      <w:r w:rsidRPr="003A4F79">
        <w:rPr>
          <w:color w:val="auto"/>
          <w:lang w:val="en-GB"/>
        </w:rPr>
        <w:t>el</w:t>
      </w:r>
      <w:r w:rsidR="006E64CD" w:rsidRPr="003A4F79">
        <w:rPr>
          <w:color w:val="auto"/>
          <w:lang w:val="en-GB"/>
        </w:rPr>
        <w:t xml:space="preserve">, </w:t>
      </w:r>
      <w:r w:rsidRPr="003A4F79">
        <w:rPr>
          <w:i/>
          <w:color w:val="auto"/>
          <w:lang w:val="en-GB"/>
        </w:rPr>
        <w:t xml:space="preserve">Cognitive </w:t>
      </w:r>
      <w:r w:rsidR="006E64CD" w:rsidRPr="003A4F79">
        <w:rPr>
          <w:i/>
          <w:color w:val="auto"/>
          <w:lang w:val="en-GB"/>
        </w:rPr>
        <w:t>Psychology</w:t>
      </w:r>
      <w:r w:rsidRPr="003A4F79">
        <w:rPr>
          <w:color w:val="auto"/>
          <w:lang w:val="en-GB"/>
        </w:rPr>
        <w:t xml:space="preserve"> 24</w:t>
      </w:r>
      <w:r w:rsidR="006E64CD" w:rsidRPr="003A4F79">
        <w:rPr>
          <w:color w:val="auto"/>
          <w:lang w:val="en-GB"/>
        </w:rPr>
        <w:t>,</w:t>
      </w:r>
      <w:r w:rsidRPr="003A4F79">
        <w:rPr>
          <w:color w:val="auto"/>
          <w:lang w:val="en-GB"/>
        </w:rPr>
        <w:t xml:space="preserve"> 1-55.</w:t>
      </w:r>
    </w:p>
    <w:p w14:paraId="330F1E2D" w14:textId="2F411C69" w:rsidR="00DC1973" w:rsidRPr="003A4F79" w:rsidRDefault="00DC1973" w:rsidP="00290F9F">
      <w:pPr>
        <w:pStyle w:val="Referenceinthetext"/>
        <w:rPr>
          <w:color w:val="auto"/>
        </w:rPr>
      </w:pPr>
      <w:r w:rsidRPr="003A4F79">
        <w:rPr>
          <w:color w:val="auto"/>
        </w:rPr>
        <w:t xml:space="preserve">Jones, </w:t>
      </w:r>
      <w:r w:rsidR="006E64CD" w:rsidRPr="003A4F79">
        <w:rPr>
          <w:color w:val="auto"/>
        </w:rPr>
        <w:t>Edward E., Leslie Rock, Kelly G. Shaver, George R. Goethals, and Lawrence M. Ward,</w:t>
      </w:r>
      <w:r w:rsidRPr="003A4F79">
        <w:rPr>
          <w:color w:val="auto"/>
        </w:rPr>
        <w:t xml:space="preserve"> 1968. Pattern of </w:t>
      </w:r>
      <w:r w:rsidR="006E64CD" w:rsidRPr="003A4F79">
        <w:rPr>
          <w:color w:val="auto"/>
        </w:rPr>
        <w:t>performance and ability att</w:t>
      </w:r>
      <w:r w:rsidRPr="003A4F79">
        <w:rPr>
          <w:color w:val="auto"/>
        </w:rPr>
        <w:t xml:space="preserve">ribution: An </w:t>
      </w:r>
      <w:r w:rsidR="006E64CD" w:rsidRPr="003A4F79">
        <w:rPr>
          <w:color w:val="auto"/>
        </w:rPr>
        <w:t>unexpected primacy e</w:t>
      </w:r>
      <w:r w:rsidRPr="003A4F79">
        <w:rPr>
          <w:color w:val="auto"/>
        </w:rPr>
        <w:t>ffect</w:t>
      </w:r>
      <w:r w:rsidR="006E64CD" w:rsidRPr="003A4F79">
        <w:rPr>
          <w:color w:val="auto"/>
        </w:rPr>
        <w:t xml:space="preserve">, </w:t>
      </w:r>
      <w:r w:rsidRPr="003A4F79">
        <w:rPr>
          <w:i/>
          <w:color w:val="auto"/>
        </w:rPr>
        <w:t>Journal of Personality and Social Psychology</w:t>
      </w:r>
      <w:r w:rsidRPr="003A4F79">
        <w:rPr>
          <w:color w:val="auto"/>
        </w:rPr>
        <w:t xml:space="preserve"> 10</w:t>
      </w:r>
      <w:r w:rsidR="006E64CD" w:rsidRPr="003A4F79">
        <w:rPr>
          <w:color w:val="auto"/>
        </w:rPr>
        <w:t>,</w:t>
      </w:r>
      <w:r w:rsidRPr="003A4F79">
        <w:rPr>
          <w:color w:val="auto"/>
        </w:rPr>
        <w:t xml:space="preserve"> 317</w:t>
      </w:r>
      <w:r w:rsidR="006E64CD" w:rsidRPr="003A4F79">
        <w:rPr>
          <w:color w:val="auto"/>
        </w:rPr>
        <w:t>-340</w:t>
      </w:r>
      <w:r w:rsidRPr="003A4F79">
        <w:rPr>
          <w:color w:val="auto"/>
        </w:rPr>
        <w:t>.</w:t>
      </w:r>
    </w:p>
    <w:p w14:paraId="23E20576" w14:textId="1CF25AB7" w:rsidR="00A5027A" w:rsidRPr="003A4F79" w:rsidRDefault="00A5027A" w:rsidP="00290F9F">
      <w:pPr>
        <w:pStyle w:val="Referenceinthetext"/>
        <w:rPr>
          <w:color w:val="auto"/>
        </w:rPr>
      </w:pPr>
      <w:r w:rsidRPr="003A4F79">
        <w:rPr>
          <w:color w:val="auto"/>
        </w:rPr>
        <w:t>Kahneman</w:t>
      </w:r>
      <w:r w:rsidR="006E64CD" w:rsidRPr="003A4F79">
        <w:rPr>
          <w:color w:val="auto"/>
        </w:rPr>
        <w:t>,</w:t>
      </w:r>
      <w:r w:rsidRPr="003A4F79">
        <w:rPr>
          <w:color w:val="auto"/>
        </w:rPr>
        <w:t xml:space="preserve"> </w:t>
      </w:r>
      <w:r w:rsidR="006E64CD" w:rsidRPr="003A4F79">
        <w:rPr>
          <w:color w:val="auto"/>
        </w:rPr>
        <w:t>Daniel, and Amos Tversky,</w:t>
      </w:r>
      <w:r w:rsidR="004D21D8" w:rsidRPr="003A4F79">
        <w:rPr>
          <w:color w:val="auto"/>
        </w:rPr>
        <w:t xml:space="preserve"> </w:t>
      </w:r>
      <w:r w:rsidRPr="003A4F79">
        <w:rPr>
          <w:color w:val="auto"/>
        </w:rPr>
        <w:t>1979</w:t>
      </w:r>
      <w:r w:rsidR="004D21D8" w:rsidRPr="003A4F79">
        <w:rPr>
          <w:color w:val="auto"/>
        </w:rPr>
        <w:t>.</w:t>
      </w:r>
      <w:r w:rsidRPr="003A4F79">
        <w:rPr>
          <w:color w:val="auto"/>
        </w:rPr>
        <w:t xml:space="preserve"> Prospect </w:t>
      </w:r>
      <w:r w:rsidR="006E64CD" w:rsidRPr="003A4F79">
        <w:rPr>
          <w:color w:val="auto"/>
        </w:rPr>
        <w:t>theory</w:t>
      </w:r>
      <w:r w:rsidRPr="003A4F79">
        <w:rPr>
          <w:color w:val="auto"/>
        </w:rPr>
        <w:t xml:space="preserve">: An </w:t>
      </w:r>
      <w:r w:rsidR="006E64CD" w:rsidRPr="003A4F79">
        <w:rPr>
          <w:color w:val="auto"/>
        </w:rPr>
        <w:t>analysis of decision under ri</w:t>
      </w:r>
      <w:r w:rsidRPr="003A4F79">
        <w:rPr>
          <w:color w:val="auto"/>
        </w:rPr>
        <w:t>sk</w:t>
      </w:r>
      <w:r w:rsidR="006E64CD" w:rsidRPr="003A4F79">
        <w:rPr>
          <w:color w:val="auto"/>
        </w:rPr>
        <w:t xml:space="preserve">, </w:t>
      </w:r>
      <w:r w:rsidRPr="003A4F79">
        <w:rPr>
          <w:i/>
          <w:color w:val="auto"/>
        </w:rPr>
        <w:t>Econometrica</w:t>
      </w:r>
      <w:r w:rsidRPr="003A4F79">
        <w:rPr>
          <w:color w:val="auto"/>
        </w:rPr>
        <w:t xml:space="preserve"> 47</w:t>
      </w:r>
      <w:r w:rsidR="006E64CD" w:rsidRPr="003A4F79">
        <w:rPr>
          <w:color w:val="auto"/>
        </w:rPr>
        <w:t xml:space="preserve">, </w:t>
      </w:r>
      <w:r w:rsidRPr="003A4F79">
        <w:rPr>
          <w:color w:val="auto"/>
        </w:rPr>
        <w:t>263</w:t>
      </w:r>
      <w:r w:rsidR="006E64CD" w:rsidRPr="003A4F79">
        <w:rPr>
          <w:color w:val="auto"/>
        </w:rPr>
        <w:t>-</w:t>
      </w:r>
      <w:r w:rsidRPr="003A4F79">
        <w:rPr>
          <w:color w:val="auto"/>
        </w:rPr>
        <w:t>292.</w:t>
      </w:r>
    </w:p>
    <w:p w14:paraId="487CC9A2" w14:textId="7BC18A3C" w:rsidR="00FE13B1" w:rsidRPr="003A4F79" w:rsidRDefault="00B220CA" w:rsidP="00290F9F">
      <w:pPr>
        <w:pStyle w:val="Referenceinthetext"/>
        <w:rPr>
          <w:color w:val="auto"/>
        </w:rPr>
      </w:pPr>
      <w:r w:rsidRPr="003A4F79">
        <w:rPr>
          <w:color w:val="auto"/>
        </w:rPr>
        <w:lastRenderedPageBreak/>
        <w:t>Kaust</w:t>
      </w:r>
      <w:r w:rsidR="00FE13B1" w:rsidRPr="003A4F79">
        <w:rPr>
          <w:color w:val="auto"/>
        </w:rPr>
        <w:t>i</w:t>
      </w:r>
      <w:r w:rsidRPr="003A4F79">
        <w:rPr>
          <w:color w:val="auto"/>
        </w:rPr>
        <w:t xml:space="preserve">a, </w:t>
      </w:r>
      <w:r w:rsidR="006E64CD" w:rsidRPr="003A4F79">
        <w:rPr>
          <w:color w:val="auto"/>
        </w:rPr>
        <w:t>Markku, and Samuli Knüpfer,</w:t>
      </w:r>
      <w:r w:rsidR="006E64CD" w:rsidRPr="003A4F79" w:rsidDel="006E64CD">
        <w:rPr>
          <w:color w:val="auto"/>
        </w:rPr>
        <w:t xml:space="preserve"> </w:t>
      </w:r>
      <w:r w:rsidRPr="003A4F79">
        <w:rPr>
          <w:color w:val="auto"/>
        </w:rPr>
        <w:t xml:space="preserve">2008. Do </w:t>
      </w:r>
      <w:r w:rsidR="006E64CD" w:rsidRPr="003A4F79">
        <w:rPr>
          <w:color w:val="auto"/>
        </w:rPr>
        <w:t>investors overweight personal ex</w:t>
      </w:r>
      <w:r w:rsidRPr="003A4F79">
        <w:rPr>
          <w:color w:val="auto"/>
        </w:rPr>
        <w:t xml:space="preserve">perience? Evidence from IPO </w:t>
      </w:r>
      <w:r w:rsidR="006E64CD" w:rsidRPr="003A4F79">
        <w:rPr>
          <w:color w:val="auto"/>
        </w:rPr>
        <w:t xml:space="preserve">subscriptions, </w:t>
      </w:r>
      <w:r w:rsidRPr="003A4F79">
        <w:rPr>
          <w:i/>
          <w:color w:val="auto"/>
        </w:rPr>
        <w:t>Journal of Finance</w:t>
      </w:r>
      <w:r w:rsidRPr="003A4F79">
        <w:rPr>
          <w:color w:val="auto"/>
        </w:rPr>
        <w:t xml:space="preserve"> 63</w:t>
      </w:r>
      <w:r w:rsidR="006E64CD" w:rsidRPr="003A4F79">
        <w:rPr>
          <w:color w:val="auto"/>
        </w:rPr>
        <w:t xml:space="preserve">, </w:t>
      </w:r>
      <w:r w:rsidR="00B87206" w:rsidRPr="003A4F79">
        <w:rPr>
          <w:color w:val="auto"/>
        </w:rPr>
        <w:t>2679-2702</w:t>
      </w:r>
      <w:r w:rsidRPr="003A4F79">
        <w:rPr>
          <w:color w:val="auto"/>
        </w:rPr>
        <w:t>.</w:t>
      </w:r>
    </w:p>
    <w:p w14:paraId="40C4B532" w14:textId="54270DAD" w:rsidR="00492A2B" w:rsidRPr="003A4F79" w:rsidRDefault="00B87206" w:rsidP="00290F9F">
      <w:pPr>
        <w:pStyle w:val="Referenceinthetext"/>
        <w:rPr>
          <w:color w:val="auto"/>
        </w:rPr>
      </w:pPr>
      <w:r w:rsidRPr="003A4F79">
        <w:rPr>
          <w:color w:val="auto"/>
        </w:rPr>
        <w:t>Kaust</w:t>
      </w:r>
      <w:r w:rsidR="00FE13B1" w:rsidRPr="003A4F79">
        <w:rPr>
          <w:color w:val="auto"/>
        </w:rPr>
        <w:t>i</w:t>
      </w:r>
      <w:r w:rsidRPr="003A4F79">
        <w:rPr>
          <w:color w:val="auto"/>
        </w:rPr>
        <w:t xml:space="preserve">a, </w:t>
      </w:r>
      <w:r w:rsidR="006E64CD" w:rsidRPr="003A4F79">
        <w:rPr>
          <w:color w:val="auto"/>
        </w:rPr>
        <w:t>Markku, and Samuli Knüpfer,</w:t>
      </w:r>
      <w:r w:rsidR="004D21D8" w:rsidRPr="003A4F79">
        <w:rPr>
          <w:color w:val="auto"/>
        </w:rPr>
        <w:t xml:space="preserve"> </w:t>
      </w:r>
      <w:r w:rsidRPr="003A4F79">
        <w:rPr>
          <w:color w:val="auto"/>
        </w:rPr>
        <w:t xml:space="preserve">2012. Peer </w:t>
      </w:r>
      <w:r w:rsidR="006E64CD" w:rsidRPr="003A4F79">
        <w:rPr>
          <w:color w:val="auto"/>
        </w:rPr>
        <w:t>performance and stock market en</w:t>
      </w:r>
      <w:r w:rsidRPr="003A4F79">
        <w:rPr>
          <w:color w:val="auto"/>
        </w:rPr>
        <w:t>try</w:t>
      </w:r>
      <w:r w:rsidR="006E64CD" w:rsidRPr="003A4F79">
        <w:rPr>
          <w:color w:val="auto"/>
        </w:rPr>
        <w:t>,</w:t>
      </w:r>
      <w:r w:rsidRPr="003A4F79">
        <w:rPr>
          <w:color w:val="auto"/>
        </w:rPr>
        <w:t xml:space="preserve"> </w:t>
      </w:r>
      <w:r w:rsidRPr="003A4F79">
        <w:rPr>
          <w:i/>
          <w:color w:val="auto"/>
        </w:rPr>
        <w:t>Journal of Financial Economics</w:t>
      </w:r>
      <w:r w:rsidRPr="003A4F79">
        <w:rPr>
          <w:color w:val="auto"/>
        </w:rPr>
        <w:t xml:space="preserve"> 104</w:t>
      </w:r>
      <w:r w:rsidR="003B684E" w:rsidRPr="003A4F79">
        <w:rPr>
          <w:color w:val="auto"/>
        </w:rPr>
        <w:t>,</w:t>
      </w:r>
      <w:r w:rsidR="006E64CD" w:rsidRPr="003A4F79">
        <w:rPr>
          <w:color w:val="auto"/>
        </w:rPr>
        <w:t xml:space="preserve"> </w:t>
      </w:r>
      <w:r w:rsidRPr="003A4F79">
        <w:rPr>
          <w:color w:val="auto"/>
        </w:rPr>
        <w:t>321-338.</w:t>
      </w:r>
    </w:p>
    <w:p w14:paraId="794495CA" w14:textId="116B8E57" w:rsidR="001B133E" w:rsidRPr="003A4F79" w:rsidRDefault="001B133E" w:rsidP="00290F9F">
      <w:pPr>
        <w:pStyle w:val="Referenceinthetext"/>
        <w:rPr>
          <w:color w:val="auto"/>
        </w:rPr>
      </w:pPr>
      <w:r w:rsidRPr="003A4F79">
        <w:rPr>
          <w:color w:val="auto"/>
        </w:rPr>
        <w:t xml:space="preserve">Kumar, Alok, 2009. Who gambles in the stock market? </w:t>
      </w:r>
      <w:r w:rsidRPr="003A4F79">
        <w:rPr>
          <w:i/>
          <w:color w:val="auto"/>
        </w:rPr>
        <w:t>Journal of Finance</w:t>
      </w:r>
      <w:r w:rsidRPr="003A4F79">
        <w:rPr>
          <w:color w:val="auto"/>
        </w:rPr>
        <w:t xml:space="preserve"> 64, 1889-1933.</w:t>
      </w:r>
    </w:p>
    <w:p w14:paraId="0DE8F557" w14:textId="2F45F42B" w:rsidR="000A2300" w:rsidRPr="003A4F79" w:rsidRDefault="000A2300" w:rsidP="00290F9F">
      <w:pPr>
        <w:pStyle w:val="Referenceinthetext"/>
        <w:rPr>
          <w:color w:val="auto"/>
        </w:rPr>
      </w:pPr>
      <w:r w:rsidRPr="003A4F79">
        <w:rPr>
          <w:color w:val="auto"/>
        </w:rPr>
        <w:t>Linnainmaaa</w:t>
      </w:r>
      <w:r w:rsidR="006E64CD" w:rsidRPr="003A4F79">
        <w:rPr>
          <w:color w:val="auto"/>
        </w:rPr>
        <w:t>,</w:t>
      </w:r>
      <w:r w:rsidRPr="003A4F79">
        <w:rPr>
          <w:color w:val="auto"/>
        </w:rPr>
        <w:t xml:space="preserve"> </w:t>
      </w:r>
      <w:r w:rsidR="006E64CD" w:rsidRPr="003A4F79">
        <w:rPr>
          <w:color w:val="auto"/>
        </w:rPr>
        <w:t>Juhani T.,</w:t>
      </w:r>
      <w:r w:rsidRPr="003A4F79">
        <w:rPr>
          <w:color w:val="auto"/>
        </w:rPr>
        <w:t xml:space="preserve"> 2011. Why </w:t>
      </w:r>
      <w:r w:rsidR="006E64CD" w:rsidRPr="003A4F79">
        <w:rPr>
          <w:color w:val="auto"/>
        </w:rPr>
        <w:t>do (some) households trade so mu</w:t>
      </w:r>
      <w:r w:rsidRPr="003A4F79">
        <w:rPr>
          <w:color w:val="auto"/>
        </w:rPr>
        <w:t xml:space="preserve">ch? </w:t>
      </w:r>
      <w:r w:rsidRPr="003A4F79">
        <w:rPr>
          <w:i/>
          <w:color w:val="auto"/>
        </w:rPr>
        <w:t>The Review of Financial Studies</w:t>
      </w:r>
      <w:r w:rsidRPr="003A4F79">
        <w:rPr>
          <w:color w:val="auto"/>
        </w:rPr>
        <w:t xml:space="preserve"> 24, 1630-1666</w:t>
      </w:r>
      <w:r w:rsidR="006E64CD" w:rsidRPr="003A4F79">
        <w:rPr>
          <w:color w:val="auto"/>
        </w:rPr>
        <w:t>.</w:t>
      </w:r>
    </w:p>
    <w:p w14:paraId="42BD4901" w14:textId="47C47AEF" w:rsidR="0051462B" w:rsidRPr="003A4F79" w:rsidRDefault="0051462B" w:rsidP="00290F9F">
      <w:pPr>
        <w:pStyle w:val="Referenceinthetext"/>
        <w:rPr>
          <w:rStyle w:val="apple-converted-space"/>
          <w:color w:val="auto"/>
        </w:rPr>
      </w:pPr>
      <w:r w:rsidRPr="003A4F79">
        <w:rPr>
          <w:rStyle w:val="apple-converted-space"/>
          <w:color w:val="auto"/>
        </w:rPr>
        <w:t>Luce, R. D</w:t>
      </w:r>
      <w:r w:rsidR="006E64CD" w:rsidRPr="003A4F79">
        <w:rPr>
          <w:rStyle w:val="apple-converted-space"/>
          <w:color w:val="auto"/>
        </w:rPr>
        <w:t>uncan,</w:t>
      </w:r>
      <w:r w:rsidRPr="003A4F79">
        <w:rPr>
          <w:rStyle w:val="apple-converted-space"/>
          <w:color w:val="auto"/>
        </w:rPr>
        <w:t xml:space="preserve"> 1959. </w:t>
      </w:r>
      <w:r w:rsidRPr="003A4F79">
        <w:rPr>
          <w:rStyle w:val="apple-converted-space"/>
          <w:i/>
          <w:color w:val="auto"/>
        </w:rPr>
        <w:t>Individual Choice Behavior: A Theoretical Analysis</w:t>
      </w:r>
      <w:r w:rsidR="006E64CD" w:rsidRPr="003A4F79">
        <w:rPr>
          <w:rStyle w:val="apple-converted-space"/>
          <w:color w:val="auto"/>
        </w:rPr>
        <w:t>, (</w:t>
      </w:r>
      <w:r w:rsidRPr="003A4F79">
        <w:rPr>
          <w:rStyle w:val="apple-converted-space"/>
          <w:color w:val="auto"/>
        </w:rPr>
        <w:t>Wiley</w:t>
      </w:r>
      <w:r w:rsidR="006E64CD" w:rsidRPr="003A4F79">
        <w:rPr>
          <w:rStyle w:val="apple-converted-space"/>
          <w:color w:val="auto"/>
        </w:rPr>
        <w:t>, New York, NY)</w:t>
      </w:r>
      <w:r w:rsidRPr="003A4F79">
        <w:rPr>
          <w:rStyle w:val="apple-converted-space"/>
          <w:color w:val="auto"/>
        </w:rPr>
        <w:t>.</w:t>
      </w:r>
    </w:p>
    <w:p w14:paraId="57AD0FFE" w14:textId="551CEB72" w:rsidR="00990A01" w:rsidRPr="003A4F79" w:rsidRDefault="00990A01" w:rsidP="00290F9F">
      <w:pPr>
        <w:pStyle w:val="Referenceinthetext"/>
        <w:rPr>
          <w:rStyle w:val="apple-converted-space"/>
          <w:color w:val="auto"/>
        </w:rPr>
      </w:pPr>
      <w:r w:rsidRPr="003A4F79">
        <w:rPr>
          <w:rStyle w:val="apple-converted-space"/>
          <w:color w:val="auto"/>
        </w:rPr>
        <w:t xml:space="preserve">Malkiel, Burton G. 2013. Asset </w:t>
      </w:r>
      <w:r w:rsidR="009C3FE3" w:rsidRPr="003A4F79">
        <w:rPr>
          <w:rStyle w:val="apple-converted-space"/>
          <w:color w:val="auto"/>
        </w:rPr>
        <w:t>m</w:t>
      </w:r>
      <w:r w:rsidRPr="003A4F79">
        <w:rPr>
          <w:rStyle w:val="apple-converted-space"/>
          <w:color w:val="auto"/>
        </w:rPr>
        <w:t xml:space="preserve">anagement </w:t>
      </w:r>
      <w:r w:rsidR="009C3FE3" w:rsidRPr="003A4F79">
        <w:rPr>
          <w:rStyle w:val="apple-converted-space"/>
          <w:color w:val="auto"/>
        </w:rPr>
        <w:t>f</w:t>
      </w:r>
      <w:r w:rsidRPr="003A4F79">
        <w:rPr>
          <w:rStyle w:val="apple-converted-space"/>
          <w:color w:val="auto"/>
        </w:rPr>
        <w:t xml:space="preserve">ees and the </w:t>
      </w:r>
      <w:r w:rsidR="009C3FE3" w:rsidRPr="003A4F79">
        <w:rPr>
          <w:rStyle w:val="apple-converted-space"/>
          <w:color w:val="auto"/>
        </w:rPr>
        <w:t>g</w:t>
      </w:r>
      <w:r w:rsidRPr="003A4F79">
        <w:rPr>
          <w:rStyle w:val="apple-converted-space"/>
          <w:color w:val="auto"/>
        </w:rPr>
        <w:t xml:space="preserve">rowth of </w:t>
      </w:r>
      <w:r w:rsidR="009C3FE3" w:rsidRPr="003A4F79">
        <w:rPr>
          <w:rStyle w:val="apple-converted-space"/>
          <w:color w:val="auto"/>
        </w:rPr>
        <w:t>f</w:t>
      </w:r>
      <w:r w:rsidRPr="003A4F79">
        <w:rPr>
          <w:rStyle w:val="apple-converted-space"/>
          <w:color w:val="auto"/>
        </w:rPr>
        <w:t xml:space="preserve">inance. </w:t>
      </w:r>
      <w:r w:rsidRPr="003A4F79">
        <w:rPr>
          <w:rStyle w:val="apple-converted-space"/>
          <w:i/>
          <w:color w:val="auto"/>
        </w:rPr>
        <w:t>Journal of Economic Perspectives</w:t>
      </w:r>
      <w:r w:rsidRPr="003A4F79">
        <w:rPr>
          <w:rStyle w:val="apple-converted-space"/>
          <w:color w:val="auto"/>
        </w:rPr>
        <w:t xml:space="preserve"> 27, 97-108.</w:t>
      </w:r>
    </w:p>
    <w:p w14:paraId="65CEEA28" w14:textId="47E24535" w:rsidR="00EA757F" w:rsidRPr="003A4F79" w:rsidRDefault="00AD04BE" w:rsidP="00290F9F">
      <w:pPr>
        <w:pStyle w:val="Referenceinthetext"/>
        <w:rPr>
          <w:color w:val="auto"/>
        </w:rPr>
      </w:pPr>
      <w:r w:rsidRPr="003A4F79">
        <w:rPr>
          <w:color w:val="auto"/>
        </w:rPr>
        <w:t xml:space="preserve">Malmendier, </w:t>
      </w:r>
      <w:r w:rsidR="00EC489B" w:rsidRPr="003A4F79">
        <w:rPr>
          <w:color w:val="auto"/>
        </w:rPr>
        <w:t>Ulrike, and Stefan Nagel,</w:t>
      </w:r>
      <w:r w:rsidR="00D75C25" w:rsidRPr="003A4F79">
        <w:rPr>
          <w:color w:val="auto"/>
        </w:rPr>
        <w:t xml:space="preserve"> </w:t>
      </w:r>
      <w:r w:rsidR="00E6298C" w:rsidRPr="003A4F79">
        <w:rPr>
          <w:color w:val="auto"/>
        </w:rPr>
        <w:t>2011.</w:t>
      </w:r>
      <w:r w:rsidRPr="003A4F79">
        <w:rPr>
          <w:color w:val="auto"/>
        </w:rPr>
        <w:t xml:space="preserve"> Depression </w:t>
      </w:r>
      <w:r w:rsidR="00EC489B" w:rsidRPr="003A4F79">
        <w:rPr>
          <w:color w:val="auto"/>
        </w:rPr>
        <w:t>babies</w:t>
      </w:r>
      <w:r w:rsidRPr="003A4F79">
        <w:rPr>
          <w:color w:val="auto"/>
        </w:rPr>
        <w:t xml:space="preserve">: Do </w:t>
      </w:r>
      <w:r w:rsidR="00EC489B" w:rsidRPr="003A4F79">
        <w:rPr>
          <w:color w:val="auto"/>
        </w:rPr>
        <w:t>macroeconomic experiences affect risk-tak</w:t>
      </w:r>
      <w:r w:rsidRPr="003A4F79">
        <w:rPr>
          <w:color w:val="auto"/>
        </w:rPr>
        <w:t xml:space="preserve">ing? </w:t>
      </w:r>
      <w:r w:rsidRPr="003A4F79">
        <w:rPr>
          <w:i/>
          <w:color w:val="auto"/>
        </w:rPr>
        <w:t>Quarterly Journal of Economics</w:t>
      </w:r>
      <w:r w:rsidR="00E6298C" w:rsidRPr="003A4F79">
        <w:rPr>
          <w:color w:val="auto"/>
        </w:rPr>
        <w:t xml:space="preserve"> 126</w:t>
      </w:r>
      <w:r w:rsidR="00EC489B" w:rsidRPr="003A4F79">
        <w:rPr>
          <w:color w:val="auto"/>
        </w:rPr>
        <w:t xml:space="preserve">, </w:t>
      </w:r>
      <w:r w:rsidR="00E6298C" w:rsidRPr="003A4F79">
        <w:rPr>
          <w:color w:val="auto"/>
        </w:rPr>
        <w:t>373-416</w:t>
      </w:r>
      <w:r w:rsidRPr="003A4F79">
        <w:rPr>
          <w:color w:val="auto"/>
        </w:rPr>
        <w:t>.</w:t>
      </w:r>
    </w:p>
    <w:p w14:paraId="4E85CAC9" w14:textId="137B288E" w:rsidR="008600AD" w:rsidRPr="003A4F79" w:rsidRDefault="008600AD" w:rsidP="00290F9F">
      <w:pPr>
        <w:pStyle w:val="Referenceinthetext"/>
        <w:rPr>
          <w:color w:val="auto"/>
        </w:rPr>
      </w:pPr>
      <w:r w:rsidRPr="003A4F79">
        <w:rPr>
          <w:color w:val="auto"/>
        </w:rPr>
        <w:t xml:space="preserve">Neyman, J., Elizabeth L. Scott, 1948. Consistent </w:t>
      </w:r>
      <w:r w:rsidR="00746869" w:rsidRPr="003A4F79">
        <w:rPr>
          <w:color w:val="auto"/>
        </w:rPr>
        <w:t>e</w:t>
      </w:r>
      <w:r w:rsidRPr="003A4F79">
        <w:rPr>
          <w:color w:val="auto"/>
        </w:rPr>
        <w:t xml:space="preserve">stimates </w:t>
      </w:r>
      <w:r w:rsidR="00746869" w:rsidRPr="003A4F79">
        <w:rPr>
          <w:color w:val="auto"/>
        </w:rPr>
        <w:t>b</w:t>
      </w:r>
      <w:r w:rsidRPr="003A4F79">
        <w:rPr>
          <w:color w:val="auto"/>
        </w:rPr>
        <w:t xml:space="preserve">ased on </w:t>
      </w:r>
      <w:r w:rsidR="00746869" w:rsidRPr="003A4F79">
        <w:rPr>
          <w:color w:val="auto"/>
        </w:rPr>
        <w:t>p</w:t>
      </w:r>
      <w:r w:rsidRPr="003A4F79">
        <w:rPr>
          <w:color w:val="auto"/>
        </w:rPr>
        <w:t xml:space="preserve">artially </w:t>
      </w:r>
      <w:r w:rsidR="00746869" w:rsidRPr="003A4F79">
        <w:rPr>
          <w:color w:val="auto"/>
        </w:rPr>
        <w:t>c</w:t>
      </w:r>
      <w:r w:rsidRPr="003A4F79">
        <w:rPr>
          <w:color w:val="auto"/>
        </w:rPr>
        <w:t xml:space="preserve">onsistent </w:t>
      </w:r>
      <w:r w:rsidR="00746869" w:rsidRPr="003A4F79">
        <w:rPr>
          <w:color w:val="auto"/>
        </w:rPr>
        <w:t>o</w:t>
      </w:r>
      <w:r w:rsidRPr="003A4F79">
        <w:rPr>
          <w:color w:val="auto"/>
        </w:rPr>
        <w:t>bservations.</w:t>
      </w:r>
      <w:r w:rsidR="00043AA8" w:rsidRPr="003A4F79">
        <w:rPr>
          <w:color w:val="auto"/>
        </w:rPr>
        <w:t xml:space="preserve"> </w:t>
      </w:r>
      <w:r w:rsidR="00043AA8" w:rsidRPr="003A4F79">
        <w:rPr>
          <w:i/>
          <w:color w:val="auto"/>
        </w:rPr>
        <w:t>Econometrica</w:t>
      </w:r>
      <w:r w:rsidR="00043AA8" w:rsidRPr="003A4F79">
        <w:rPr>
          <w:color w:val="auto"/>
        </w:rPr>
        <w:t xml:space="preserve"> 16, 1-32.</w:t>
      </w:r>
    </w:p>
    <w:p w14:paraId="29CB25E0" w14:textId="26E92B14" w:rsidR="00D9270E" w:rsidRPr="003A4F79" w:rsidRDefault="00D9270E" w:rsidP="00290F9F">
      <w:pPr>
        <w:pStyle w:val="Referenceinthetext"/>
        <w:rPr>
          <w:color w:val="auto"/>
        </w:rPr>
      </w:pPr>
      <w:r w:rsidRPr="003A4F79">
        <w:rPr>
          <w:color w:val="auto"/>
        </w:rPr>
        <w:t xml:space="preserve">Nisbett, </w:t>
      </w:r>
      <w:r w:rsidR="00507305" w:rsidRPr="003A4F79">
        <w:rPr>
          <w:color w:val="auto"/>
        </w:rPr>
        <w:t>Richard E., and Lee Ross,</w:t>
      </w:r>
      <w:r w:rsidRPr="003A4F79">
        <w:rPr>
          <w:color w:val="auto"/>
        </w:rPr>
        <w:t xml:space="preserve"> 1980. </w:t>
      </w:r>
      <w:r w:rsidRPr="003A4F79">
        <w:rPr>
          <w:i/>
          <w:color w:val="auto"/>
        </w:rPr>
        <w:t>Human Inference: Strategies and Shortcomings of Social Judgment</w:t>
      </w:r>
      <w:r w:rsidR="00507305" w:rsidRPr="003A4F79">
        <w:rPr>
          <w:color w:val="auto"/>
        </w:rPr>
        <w:t>, (Prentice-Hall, Englewood Cliffs, NJ).</w:t>
      </w:r>
    </w:p>
    <w:p w14:paraId="10B1C486" w14:textId="404B9446" w:rsidR="00654251" w:rsidRPr="003A4F79" w:rsidRDefault="00654251" w:rsidP="00290F9F">
      <w:pPr>
        <w:pStyle w:val="Referenceinthetext"/>
        <w:rPr>
          <w:color w:val="auto"/>
        </w:rPr>
      </w:pPr>
      <w:r w:rsidRPr="003A4F79">
        <w:rPr>
          <w:color w:val="auto"/>
        </w:rPr>
        <w:t xml:space="preserve">Nofsinger, </w:t>
      </w:r>
      <w:r w:rsidR="00507305" w:rsidRPr="003A4F79">
        <w:rPr>
          <w:color w:val="auto"/>
        </w:rPr>
        <w:t>John R., and Abhishek Varma,</w:t>
      </w:r>
      <w:r w:rsidRPr="003A4F79">
        <w:rPr>
          <w:color w:val="auto"/>
        </w:rPr>
        <w:t xml:space="preserve"> 2013. Availability, </w:t>
      </w:r>
      <w:r w:rsidR="00507305" w:rsidRPr="003A4F79">
        <w:rPr>
          <w:color w:val="auto"/>
        </w:rPr>
        <w:t>recency, and sophistication in the repurchasing behavior of retail in</w:t>
      </w:r>
      <w:r w:rsidRPr="003A4F79">
        <w:rPr>
          <w:color w:val="auto"/>
        </w:rPr>
        <w:t>vestors</w:t>
      </w:r>
      <w:r w:rsidR="00507305" w:rsidRPr="003A4F79">
        <w:rPr>
          <w:color w:val="auto"/>
        </w:rPr>
        <w:t xml:space="preserve">, </w:t>
      </w:r>
      <w:r w:rsidRPr="003A4F79">
        <w:rPr>
          <w:i/>
          <w:color w:val="auto"/>
        </w:rPr>
        <w:t>Journal of Banking &amp; Finance</w:t>
      </w:r>
      <w:r w:rsidRPr="003A4F79">
        <w:rPr>
          <w:color w:val="auto"/>
        </w:rPr>
        <w:t xml:space="preserve"> 37, 2572-2585.</w:t>
      </w:r>
    </w:p>
    <w:p w14:paraId="2E841474" w14:textId="3FA1E668" w:rsidR="009A487D" w:rsidRPr="003A4F79" w:rsidRDefault="009A487D" w:rsidP="00290F9F">
      <w:pPr>
        <w:pStyle w:val="Referenceinthetext"/>
        <w:rPr>
          <w:color w:val="auto"/>
        </w:rPr>
      </w:pPr>
      <w:r w:rsidRPr="003A4F79">
        <w:rPr>
          <w:color w:val="auto"/>
        </w:rPr>
        <w:t>Odean, T</w:t>
      </w:r>
      <w:r w:rsidR="00470B23" w:rsidRPr="003A4F79">
        <w:rPr>
          <w:color w:val="auto"/>
        </w:rPr>
        <w:t>errance</w:t>
      </w:r>
      <w:r w:rsidRPr="003A4F79">
        <w:rPr>
          <w:color w:val="auto"/>
        </w:rPr>
        <w:t>, 1998</w:t>
      </w:r>
      <w:r w:rsidR="00470B23" w:rsidRPr="003A4F79">
        <w:rPr>
          <w:color w:val="auto"/>
        </w:rPr>
        <w:t xml:space="preserve">. </w:t>
      </w:r>
      <w:r w:rsidRPr="003A4F79">
        <w:rPr>
          <w:color w:val="auto"/>
        </w:rPr>
        <w:t xml:space="preserve">Are investors reluctant to realize their losses?, </w:t>
      </w:r>
      <w:r w:rsidRPr="003A4F79">
        <w:rPr>
          <w:i/>
          <w:color w:val="auto"/>
        </w:rPr>
        <w:t>Journal of Finance</w:t>
      </w:r>
      <w:r w:rsidRPr="003A4F79">
        <w:rPr>
          <w:color w:val="auto"/>
        </w:rPr>
        <w:t xml:space="preserve"> 53, 1775</w:t>
      </w:r>
      <w:r w:rsidR="00470B23" w:rsidRPr="003A4F79">
        <w:rPr>
          <w:color w:val="auto"/>
        </w:rPr>
        <w:t>-</w:t>
      </w:r>
      <w:r w:rsidRPr="003A4F79">
        <w:rPr>
          <w:color w:val="auto"/>
        </w:rPr>
        <w:t>1798.</w:t>
      </w:r>
    </w:p>
    <w:p w14:paraId="411107A9" w14:textId="4A2517E1" w:rsidR="00DC5788" w:rsidRPr="003A4F79" w:rsidRDefault="00DC5788" w:rsidP="00290F9F">
      <w:pPr>
        <w:pStyle w:val="Referenceinthetext"/>
        <w:rPr>
          <w:color w:val="auto"/>
        </w:rPr>
      </w:pPr>
      <w:r w:rsidRPr="003A4F79">
        <w:rPr>
          <w:color w:val="auto"/>
        </w:rPr>
        <w:t xml:space="preserve">The Economist. 2012. </w:t>
      </w:r>
      <w:r w:rsidR="00F55EBB" w:rsidRPr="003A4F79">
        <w:rPr>
          <w:color w:val="auto"/>
        </w:rPr>
        <w:t>T</w:t>
      </w:r>
      <w:r w:rsidRPr="003A4F79">
        <w:rPr>
          <w:color w:val="auto"/>
        </w:rPr>
        <w:t xml:space="preserve">he Nokia </w:t>
      </w:r>
      <w:r w:rsidR="00F55EBB" w:rsidRPr="003A4F79">
        <w:rPr>
          <w:color w:val="auto"/>
        </w:rPr>
        <w:t>e</w:t>
      </w:r>
      <w:r w:rsidRPr="003A4F79">
        <w:rPr>
          <w:color w:val="auto"/>
        </w:rPr>
        <w:t xml:space="preserve">ffect. </w:t>
      </w:r>
      <w:r w:rsidR="00F55EBB" w:rsidRPr="003A4F79">
        <w:rPr>
          <w:color w:val="auto"/>
        </w:rPr>
        <w:t>The Economist Group Limited.</w:t>
      </w:r>
    </w:p>
    <w:p w14:paraId="4768217B" w14:textId="13455706" w:rsidR="009A3AC3" w:rsidRPr="003A4F79" w:rsidRDefault="009A3AC3" w:rsidP="00290F9F">
      <w:pPr>
        <w:pStyle w:val="Referenceinthetext"/>
        <w:rPr>
          <w:color w:val="auto"/>
        </w:rPr>
      </w:pPr>
      <w:r w:rsidRPr="003A4F79">
        <w:rPr>
          <w:color w:val="auto"/>
        </w:rPr>
        <w:lastRenderedPageBreak/>
        <w:t>Pinsker, R</w:t>
      </w:r>
      <w:r w:rsidR="00507305" w:rsidRPr="003A4F79">
        <w:rPr>
          <w:color w:val="auto"/>
        </w:rPr>
        <w:t>obert,</w:t>
      </w:r>
      <w:r w:rsidRPr="003A4F79">
        <w:rPr>
          <w:color w:val="auto"/>
        </w:rPr>
        <w:t xml:space="preserve"> 2011. Primacy or </w:t>
      </w:r>
      <w:r w:rsidR="00507305" w:rsidRPr="003A4F79">
        <w:rPr>
          <w:color w:val="auto"/>
        </w:rPr>
        <w:t>recency</w:t>
      </w:r>
      <w:r w:rsidRPr="003A4F79">
        <w:rPr>
          <w:color w:val="auto"/>
        </w:rPr>
        <w:t xml:space="preserve">? A </w:t>
      </w:r>
      <w:r w:rsidR="00507305" w:rsidRPr="003A4F79">
        <w:rPr>
          <w:color w:val="auto"/>
        </w:rPr>
        <w:t>study of order effects when nonprofessional investors are provided a long series of disclo</w:t>
      </w:r>
      <w:r w:rsidRPr="003A4F79">
        <w:rPr>
          <w:color w:val="auto"/>
        </w:rPr>
        <w:t>sures</w:t>
      </w:r>
      <w:r w:rsidR="00507305" w:rsidRPr="003A4F79">
        <w:rPr>
          <w:color w:val="auto"/>
        </w:rPr>
        <w:t>,</w:t>
      </w:r>
      <w:r w:rsidRPr="003A4F79">
        <w:rPr>
          <w:color w:val="auto"/>
        </w:rPr>
        <w:t xml:space="preserve"> </w:t>
      </w:r>
      <w:r w:rsidRPr="003A4F79">
        <w:rPr>
          <w:i/>
          <w:color w:val="auto"/>
        </w:rPr>
        <w:t>Behavio</w:t>
      </w:r>
      <w:r w:rsidR="00AC048A" w:rsidRPr="003A4F79">
        <w:rPr>
          <w:i/>
          <w:color w:val="auto"/>
        </w:rPr>
        <w:t>u</w:t>
      </w:r>
      <w:r w:rsidRPr="003A4F79">
        <w:rPr>
          <w:i/>
          <w:color w:val="auto"/>
        </w:rPr>
        <w:t>ral Research in Accounting</w:t>
      </w:r>
      <w:r w:rsidRPr="003A4F79">
        <w:rPr>
          <w:color w:val="auto"/>
        </w:rPr>
        <w:t xml:space="preserve"> 23</w:t>
      </w:r>
      <w:r w:rsidR="00507305" w:rsidRPr="003A4F79">
        <w:rPr>
          <w:color w:val="auto"/>
        </w:rPr>
        <w:t>,</w:t>
      </w:r>
      <w:r w:rsidRPr="003A4F79">
        <w:rPr>
          <w:color w:val="auto"/>
        </w:rPr>
        <w:t xml:space="preserve"> 161-183.</w:t>
      </w:r>
    </w:p>
    <w:p w14:paraId="5FD9AEEF" w14:textId="0370010F" w:rsidR="0051462B" w:rsidRPr="003A4F79" w:rsidRDefault="0051462B" w:rsidP="00290F9F">
      <w:pPr>
        <w:pStyle w:val="Referenceinthetext"/>
        <w:rPr>
          <w:color w:val="auto"/>
        </w:rPr>
      </w:pPr>
      <w:r w:rsidRPr="003A4F79">
        <w:rPr>
          <w:color w:val="auto"/>
        </w:rPr>
        <w:t xml:space="preserve">Plonsky, </w:t>
      </w:r>
      <w:r w:rsidR="00507305" w:rsidRPr="003A4F79">
        <w:rPr>
          <w:color w:val="auto"/>
        </w:rPr>
        <w:t>Ori, Kinneret Teodorescu, and Ido Erev,</w:t>
      </w:r>
      <w:r w:rsidRPr="003A4F79">
        <w:rPr>
          <w:color w:val="auto"/>
        </w:rPr>
        <w:t xml:space="preserve"> 2015. Reliance on </w:t>
      </w:r>
      <w:r w:rsidR="00507305" w:rsidRPr="003A4F79">
        <w:rPr>
          <w:color w:val="auto"/>
        </w:rPr>
        <w:t>small samples, the wavy recency effect, and similarity-based learni</w:t>
      </w:r>
      <w:r w:rsidRPr="003A4F79">
        <w:rPr>
          <w:color w:val="auto"/>
        </w:rPr>
        <w:t>ng</w:t>
      </w:r>
      <w:r w:rsidR="00507305" w:rsidRPr="003A4F79">
        <w:rPr>
          <w:color w:val="auto"/>
        </w:rPr>
        <w:t xml:space="preserve">, </w:t>
      </w:r>
      <w:r w:rsidRPr="003A4F79">
        <w:rPr>
          <w:i/>
          <w:color w:val="auto"/>
        </w:rPr>
        <w:t>Psychological Review</w:t>
      </w:r>
      <w:r w:rsidRPr="003A4F79">
        <w:rPr>
          <w:color w:val="auto"/>
        </w:rPr>
        <w:t xml:space="preserve"> 122, 621</w:t>
      </w:r>
      <w:r w:rsidR="00507305" w:rsidRPr="003A4F79">
        <w:rPr>
          <w:color w:val="auto"/>
        </w:rPr>
        <w:t>-</w:t>
      </w:r>
      <w:r w:rsidRPr="003A4F79">
        <w:rPr>
          <w:color w:val="auto"/>
        </w:rPr>
        <w:t>647.</w:t>
      </w:r>
    </w:p>
    <w:p w14:paraId="7AE54582" w14:textId="0609C965" w:rsidR="0068068D" w:rsidRPr="003A4F79" w:rsidRDefault="0068068D" w:rsidP="0068068D">
      <w:pPr>
        <w:pStyle w:val="Referenceinthetext"/>
        <w:rPr>
          <w:color w:val="auto"/>
        </w:rPr>
      </w:pPr>
      <w:r w:rsidRPr="003A4F79">
        <w:rPr>
          <w:color w:val="auto"/>
        </w:rPr>
        <w:t xml:space="preserve">Samuelson, William and Richard J. Zeckhauser, 1988. Status Quo Bias in Decision Making, </w:t>
      </w:r>
      <w:r w:rsidRPr="003A4F79">
        <w:rPr>
          <w:i/>
          <w:color w:val="auto"/>
        </w:rPr>
        <w:t>Journal of Risk and Uncertainty</w:t>
      </w:r>
      <w:r w:rsidRPr="003A4F79">
        <w:rPr>
          <w:color w:val="auto"/>
        </w:rPr>
        <w:t xml:space="preserve"> 18, 7–59.</w:t>
      </w:r>
    </w:p>
    <w:p w14:paraId="130C5F14" w14:textId="4C708124" w:rsidR="00B87206" w:rsidRPr="003A4F79" w:rsidRDefault="00B87206" w:rsidP="00290F9F">
      <w:pPr>
        <w:pStyle w:val="Referenceinthetext"/>
        <w:rPr>
          <w:color w:val="auto"/>
        </w:rPr>
      </w:pPr>
      <w:r w:rsidRPr="003A4F79">
        <w:rPr>
          <w:color w:val="auto"/>
        </w:rPr>
        <w:t xml:space="preserve">Seru, </w:t>
      </w:r>
      <w:r w:rsidR="00507305" w:rsidRPr="003A4F79">
        <w:rPr>
          <w:color w:val="auto"/>
        </w:rPr>
        <w:t>Amit, Tyler Shumway, and Noah Stoffman,</w:t>
      </w:r>
      <w:r w:rsidRPr="003A4F79">
        <w:rPr>
          <w:color w:val="auto"/>
        </w:rPr>
        <w:t xml:space="preserve"> 2010</w:t>
      </w:r>
      <w:r w:rsidR="00356109" w:rsidRPr="003A4F79">
        <w:rPr>
          <w:color w:val="auto"/>
        </w:rPr>
        <w:t>.</w:t>
      </w:r>
      <w:r w:rsidRPr="003A4F79">
        <w:rPr>
          <w:color w:val="auto"/>
        </w:rPr>
        <w:t xml:space="preserve"> Learning </w:t>
      </w:r>
      <w:r w:rsidR="00507305" w:rsidRPr="003A4F79">
        <w:rPr>
          <w:color w:val="auto"/>
        </w:rPr>
        <w:t>by trad</w:t>
      </w:r>
      <w:r w:rsidRPr="003A4F79">
        <w:rPr>
          <w:color w:val="auto"/>
        </w:rPr>
        <w:t>ing</w:t>
      </w:r>
      <w:r w:rsidR="00507305" w:rsidRPr="003A4F79">
        <w:rPr>
          <w:color w:val="auto"/>
        </w:rPr>
        <w:t xml:space="preserve">, </w:t>
      </w:r>
      <w:r w:rsidRPr="003A4F79">
        <w:rPr>
          <w:i/>
          <w:color w:val="auto"/>
        </w:rPr>
        <w:t>Review of Financial Studies</w:t>
      </w:r>
      <w:r w:rsidRPr="003A4F79">
        <w:rPr>
          <w:color w:val="auto"/>
        </w:rPr>
        <w:t xml:space="preserve"> 23</w:t>
      </w:r>
      <w:r w:rsidR="00507305" w:rsidRPr="003A4F79">
        <w:rPr>
          <w:color w:val="auto"/>
        </w:rPr>
        <w:t xml:space="preserve">, </w:t>
      </w:r>
      <w:r w:rsidRPr="003A4F79">
        <w:rPr>
          <w:color w:val="auto"/>
        </w:rPr>
        <w:t>705-739.</w:t>
      </w:r>
    </w:p>
    <w:p w14:paraId="20BE0108" w14:textId="5E81DEAD" w:rsidR="00B87206" w:rsidRPr="003A4F79" w:rsidRDefault="00B91252" w:rsidP="00290F9F">
      <w:pPr>
        <w:pStyle w:val="Referenceinthetext"/>
        <w:rPr>
          <w:color w:val="auto"/>
        </w:rPr>
      </w:pPr>
      <w:r w:rsidRPr="003A4F79">
        <w:rPr>
          <w:color w:val="auto"/>
        </w:rPr>
        <w:t xml:space="preserve">Shefrin, </w:t>
      </w:r>
      <w:r w:rsidR="00507305" w:rsidRPr="003A4F79">
        <w:rPr>
          <w:color w:val="auto"/>
        </w:rPr>
        <w:t>Hersh, and Meir Statman,</w:t>
      </w:r>
      <w:r w:rsidR="00356109" w:rsidRPr="003A4F79">
        <w:rPr>
          <w:color w:val="auto"/>
        </w:rPr>
        <w:t xml:space="preserve"> </w:t>
      </w:r>
      <w:r w:rsidRPr="003A4F79">
        <w:rPr>
          <w:color w:val="auto"/>
        </w:rPr>
        <w:t>1985</w:t>
      </w:r>
      <w:r w:rsidR="00E6298C" w:rsidRPr="003A4F79">
        <w:rPr>
          <w:color w:val="auto"/>
        </w:rPr>
        <w:t>.</w:t>
      </w:r>
      <w:r w:rsidRPr="003A4F79">
        <w:rPr>
          <w:color w:val="auto"/>
        </w:rPr>
        <w:t xml:space="preserve"> The </w:t>
      </w:r>
      <w:r w:rsidR="00507305" w:rsidRPr="003A4F79">
        <w:rPr>
          <w:color w:val="auto"/>
        </w:rPr>
        <w:t>disposition to sell winners too early and ride losers too lo</w:t>
      </w:r>
      <w:r w:rsidRPr="003A4F79">
        <w:rPr>
          <w:color w:val="auto"/>
        </w:rPr>
        <w:t xml:space="preserve">ng: Theory and </w:t>
      </w:r>
      <w:r w:rsidR="00507305" w:rsidRPr="003A4F79">
        <w:rPr>
          <w:color w:val="auto"/>
        </w:rPr>
        <w:t xml:space="preserve">evidence, </w:t>
      </w:r>
      <w:r w:rsidRPr="003A4F79">
        <w:rPr>
          <w:i/>
          <w:color w:val="auto"/>
        </w:rPr>
        <w:t>Journal of Finance</w:t>
      </w:r>
      <w:r w:rsidRPr="003A4F79">
        <w:rPr>
          <w:color w:val="auto"/>
        </w:rPr>
        <w:t xml:space="preserve"> 40</w:t>
      </w:r>
      <w:r w:rsidR="00507305" w:rsidRPr="003A4F79">
        <w:rPr>
          <w:color w:val="auto"/>
        </w:rPr>
        <w:t xml:space="preserve">, </w:t>
      </w:r>
      <w:r w:rsidRPr="003A4F79">
        <w:rPr>
          <w:color w:val="auto"/>
        </w:rPr>
        <w:t>777-790.</w:t>
      </w:r>
    </w:p>
    <w:p w14:paraId="37487561" w14:textId="787D0311" w:rsidR="00E421E4" w:rsidRPr="003A4F79" w:rsidRDefault="00E421E4" w:rsidP="00290F9F">
      <w:pPr>
        <w:pStyle w:val="Referenceinthetext"/>
        <w:rPr>
          <w:color w:val="auto"/>
        </w:rPr>
      </w:pPr>
      <w:r w:rsidRPr="003A4F79">
        <w:rPr>
          <w:color w:val="auto"/>
        </w:rPr>
        <w:t xml:space="preserve">Stambaugh, Robert F., 2014. Presidential address: Investment noise and trends. </w:t>
      </w:r>
      <w:r w:rsidRPr="003A4F79">
        <w:rPr>
          <w:i/>
          <w:color w:val="auto"/>
        </w:rPr>
        <w:t>Journal of Finance</w:t>
      </w:r>
      <w:r w:rsidRPr="003A4F79">
        <w:rPr>
          <w:color w:val="auto"/>
        </w:rPr>
        <w:t xml:space="preserve"> 69, 1415-1453.</w:t>
      </w:r>
    </w:p>
    <w:p w14:paraId="3C0EE82C" w14:textId="259C3396" w:rsidR="00B87206" w:rsidRPr="003A4F79" w:rsidRDefault="00B87206" w:rsidP="00290F9F">
      <w:pPr>
        <w:pStyle w:val="Referenceinthetext"/>
        <w:rPr>
          <w:color w:val="auto"/>
        </w:rPr>
      </w:pPr>
      <w:r w:rsidRPr="003A4F79">
        <w:rPr>
          <w:color w:val="auto"/>
        </w:rPr>
        <w:t xml:space="preserve">Strahilevitz, </w:t>
      </w:r>
      <w:r w:rsidR="00507305" w:rsidRPr="003A4F79">
        <w:rPr>
          <w:color w:val="auto"/>
        </w:rPr>
        <w:t>Michal Ann, Terrance Odean, and Brad M. Barber,</w:t>
      </w:r>
      <w:r w:rsidR="00356109" w:rsidRPr="003A4F79">
        <w:rPr>
          <w:color w:val="auto"/>
        </w:rPr>
        <w:t xml:space="preserve"> </w:t>
      </w:r>
      <w:r w:rsidRPr="003A4F79">
        <w:rPr>
          <w:color w:val="auto"/>
        </w:rPr>
        <w:t xml:space="preserve">2011. Once </w:t>
      </w:r>
      <w:r w:rsidR="00507305" w:rsidRPr="003A4F79">
        <w:rPr>
          <w:color w:val="auto"/>
        </w:rPr>
        <w:t>burned, twice s</w:t>
      </w:r>
      <w:r w:rsidRPr="003A4F79">
        <w:rPr>
          <w:color w:val="auto"/>
        </w:rPr>
        <w:t xml:space="preserve">hy: How </w:t>
      </w:r>
      <w:r w:rsidR="00507305" w:rsidRPr="003A4F79">
        <w:rPr>
          <w:color w:val="auto"/>
        </w:rPr>
        <w:t>naive learning, counterfactuals, and regret affect the repurchase of stocks previously sol</w:t>
      </w:r>
      <w:r w:rsidRPr="003A4F79">
        <w:rPr>
          <w:color w:val="auto"/>
        </w:rPr>
        <w:t>d</w:t>
      </w:r>
      <w:r w:rsidR="00507305" w:rsidRPr="003A4F79">
        <w:rPr>
          <w:color w:val="auto"/>
        </w:rPr>
        <w:t xml:space="preserve">, </w:t>
      </w:r>
      <w:r w:rsidRPr="003A4F79">
        <w:rPr>
          <w:i/>
          <w:color w:val="auto"/>
        </w:rPr>
        <w:t>Journal of Marketing Research</w:t>
      </w:r>
      <w:r w:rsidRPr="003A4F79">
        <w:rPr>
          <w:color w:val="auto"/>
        </w:rPr>
        <w:t xml:space="preserve"> 48</w:t>
      </w:r>
      <w:r w:rsidR="00507305" w:rsidRPr="003A4F79">
        <w:rPr>
          <w:color w:val="auto"/>
        </w:rPr>
        <w:t xml:space="preserve">, </w:t>
      </w:r>
      <w:r w:rsidRPr="003A4F79">
        <w:rPr>
          <w:color w:val="auto"/>
        </w:rPr>
        <w:t>102-120.</w:t>
      </w:r>
    </w:p>
    <w:p w14:paraId="4956EB06" w14:textId="145403E3" w:rsidR="001C0919" w:rsidRPr="003A4F79" w:rsidRDefault="001C0919" w:rsidP="00290F9F">
      <w:pPr>
        <w:pStyle w:val="Referenceinthetext"/>
        <w:rPr>
          <w:color w:val="auto"/>
        </w:rPr>
      </w:pPr>
      <w:r w:rsidRPr="003A4F79">
        <w:rPr>
          <w:color w:val="auto"/>
        </w:rPr>
        <w:t xml:space="preserve">Tuttle, </w:t>
      </w:r>
      <w:r w:rsidR="00507305" w:rsidRPr="003A4F79">
        <w:rPr>
          <w:color w:val="auto"/>
        </w:rPr>
        <w:t>Brad, Maribeth Coller, and F. Greg Burton,</w:t>
      </w:r>
      <w:r w:rsidRPr="003A4F79">
        <w:rPr>
          <w:color w:val="auto"/>
        </w:rPr>
        <w:t xml:space="preserve"> 1997. An </w:t>
      </w:r>
      <w:r w:rsidR="00507305" w:rsidRPr="003A4F79">
        <w:rPr>
          <w:color w:val="auto"/>
        </w:rPr>
        <w:t>examination of market ef</w:t>
      </w:r>
      <w:r w:rsidRPr="003A4F79">
        <w:rPr>
          <w:color w:val="auto"/>
        </w:rPr>
        <w:t xml:space="preserve">ficiency: Information </w:t>
      </w:r>
      <w:r w:rsidR="00507305" w:rsidRPr="003A4F79">
        <w:rPr>
          <w:color w:val="auto"/>
        </w:rPr>
        <w:t>order effects in a laboratory ma</w:t>
      </w:r>
      <w:r w:rsidRPr="003A4F79">
        <w:rPr>
          <w:color w:val="auto"/>
        </w:rPr>
        <w:t>rket</w:t>
      </w:r>
      <w:r w:rsidR="00507305" w:rsidRPr="003A4F79">
        <w:rPr>
          <w:color w:val="auto"/>
        </w:rPr>
        <w:t xml:space="preserve">, </w:t>
      </w:r>
      <w:r w:rsidRPr="003A4F79">
        <w:rPr>
          <w:i/>
          <w:color w:val="auto"/>
        </w:rPr>
        <w:t>Accounting, Organizations and Society</w:t>
      </w:r>
      <w:r w:rsidRPr="003A4F79">
        <w:rPr>
          <w:color w:val="auto"/>
        </w:rPr>
        <w:t xml:space="preserve"> 22</w:t>
      </w:r>
      <w:r w:rsidR="00507305" w:rsidRPr="003A4F79">
        <w:rPr>
          <w:color w:val="auto"/>
        </w:rPr>
        <w:t>,</w:t>
      </w:r>
      <w:r w:rsidRPr="003A4F79">
        <w:rPr>
          <w:color w:val="auto"/>
        </w:rPr>
        <w:t xml:space="preserve"> 89-103.</w:t>
      </w:r>
    </w:p>
    <w:p w14:paraId="7625DBD3" w14:textId="46C08507" w:rsidR="00EA0C1A" w:rsidRPr="003A4F79" w:rsidRDefault="00EA0C1A" w:rsidP="00290F9F">
      <w:pPr>
        <w:pStyle w:val="Referenceinthetext"/>
        <w:rPr>
          <w:color w:val="auto"/>
        </w:rPr>
      </w:pPr>
      <w:r w:rsidRPr="003A4F79">
        <w:rPr>
          <w:color w:val="auto"/>
        </w:rPr>
        <w:t xml:space="preserve">Tversky, Amos, and  Daniel Kahneman, 1974. Judgment under uncertainty: Heuristics and biases, </w:t>
      </w:r>
      <w:r w:rsidRPr="003A4F79">
        <w:rPr>
          <w:i/>
          <w:color w:val="auto"/>
        </w:rPr>
        <w:t>Science</w:t>
      </w:r>
      <w:r w:rsidRPr="003A4F79">
        <w:rPr>
          <w:color w:val="auto"/>
        </w:rPr>
        <w:t xml:space="preserve"> 185, 1124-1131.</w:t>
      </w:r>
    </w:p>
    <w:p w14:paraId="62BC25FF" w14:textId="2B8BB092" w:rsidR="00EA2182" w:rsidRPr="003A4F79" w:rsidRDefault="00EA2182" w:rsidP="00EA2182">
      <w:pPr>
        <w:pStyle w:val="Referenceinthetext"/>
        <w:rPr>
          <w:color w:val="auto"/>
        </w:rPr>
      </w:pPr>
      <w:r w:rsidRPr="003A4F79">
        <w:rPr>
          <w:color w:val="auto"/>
        </w:rPr>
        <w:t xml:space="preserve">Van Rooij, Maarten, Annamaria Lusardi, and Rob Alessie. 2011. Financial literacy and stock market participation. </w:t>
      </w:r>
      <w:r w:rsidRPr="003A4F79">
        <w:rPr>
          <w:i/>
          <w:color w:val="auto"/>
        </w:rPr>
        <w:t>Journal of Financial Economics</w:t>
      </w:r>
      <w:r w:rsidRPr="003A4F79">
        <w:rPr>
          <w:color w:val="auto"/>
        </w:rPr>
        <w:t>. 101(2):449-472.</w:t>
      </w:r>
    </w:p>
    <w:p w14:paraId="7491247B" w14:textId="320B5AB2" w:rsidR="0021238F" w:rsidRPr="003A4F79" w:rsidRDefault="004129A1" w:rsidP="00245DEB">
      <w:pPr>
        <w:pStyle w:val="Referenceinthetext"/>
        <w:rPr>
          <w:color w:val="auto"/>
        </w:rPr>
      </w:pPr>
      <w:r w:rsidRPr="003A4F79">
        <w:rPr>
          <w:color w:val="auto"/>
        </w:rPr>
        <w:lastRenderedPageBreak/>
        <w:t xml:space="preserve">Yechiam, </w:t>
      </w:r>
      <w:r w:rsidR="00681A37" w:rsidRPr="003A4F79">
        <w:rPr>
          <w:color w:val="auto"/>
        </w:rPr>
        <w:t>Eldad, and Jerome R. Busemeyer,</w:t>
      </w:r>
      <w:r w:rsidRPr="003A4F79">
        <w:rPr>
          <w:color w:val="auto"/>
        </w:rPr>
        <w:t xml:space="preserve"> 2005. Comparison of basic assumptions embedded in learning models for experience-based decision making</w:t>
      </w:r>
      <w:r w:rsidR="00681A37" w:rsidRPr="003A4F79">
        <w:rPr>
          <w:color w:val="auto"/>
        </w:rPr>
        <w:t xml:space="preserve">, </w:t>
      </w:r>
      <w:r w:rsidRPr="003A4F79">
        <w:rPr>
          <w:i/>
          <w:color w:val="auto"/>
        </w:rPr>
        <w:t>Psychonomic Bulletin and Review</w:t>
      </w:r>
      <w:r w:rsidRPr="003A4F79">
        <w:rPr>
          <w:color w:val="auto"/>
        </w:rPr>
        <w:t xml:space="preserve"> 12</w:t>
      </w:r>
      <w:r w:rsidR="00681A37" w:rsidRPr="003A4F79">
        <w:rPr>
          <w:color w:val="auto"/>
        </w:rPr>
        <w:t xml:space="preserve">, </w:t>
      </w:r>
      <w:r w:rsidRPr="003A4F79">
        <w:rPr>
          <w:color w:val="auto"/>
        </w:rPr>
        <w:t>387</w:t>
      </w:r>
      <w:r w:rsidR="00681A37" w:rsidRPr="003A4F79">
        <w:rPr>
          <w:color w:val="auto"/>
        </w:rPr>
        <w:t>-</w:t>
      </w:r>
      <w:r w:rsidRPr="003A4F79">
        <w:rPr>
          <w:color w:val="auto"/>
        </w:rPr>
        <w:t>402.</w:t>
      </w:r>
    </w:p>
    <w:p w14:paraId="3787D7F9" w14:textId="77777777" w:rsidR="00BC58A4" w:rsidRPr="003A4F79" w:rsidRDefault="00BC58A4">
      <w:pPr>
        <w:sectPr w:rsidR="00BC58A4" w:rsidRPr="003A4F79" w:rsidSect="00290F9F">
          <w:footerReference w:type="even" r:id="rId10"/>
          <w:footerReference w:type="default" r:id="rId11"/>
          <w:pgSz w:w="12240" w:h="15840" w:code="1"/>
          <w:pgMar w:top="1440" w:right="1440" w:bottom="1440" w:left="1440" w:header="720" w:footer="431" w:gutter="0"/>
          <w:cols w:space="720"/>
          <w:docGrid w:linePitch="360"/>
        </w:sectPr>
      </w:pPr>
    </w:p>
    <w:p w14:paraId="11B8A916" w14:textId="1B565EB0" w:rsidR="00B22EFE" w:rsidRPr="003A4F79" w:rsidRDefault="00935223" w:rsidP="00290F9F">
      <w:pPr>
        <w:pStyle w:val="FigureCaption"/>
        <w:jc w:val="left"/>
      </w:pPr>
      <w:r w:rsidRPr="003A4F79">
        <w:lastRenderedPageBreak/>
        <w:t xml:space="preserve">Figure </w:t>
      </w:r>
      <w:r w:rsidR="00B22EFE" w:rsidRPr="003A4F79">
        <w:t>1</w:t>
      </w:r>
    </w:p>
    <w:p w14:paraId="5C35FFCF" w14:textId="22985AB3" w:rsidR="00935223" w:rsidRPr="003A4F79" w:rsidRDefault="00C637F2" w:rsidP="00290F9F">
      <w:pPr>
        <w:pStyle w:val="FigureCaption"/>
        <w:jc w:val="left"/>
        <w:rPr>
          <w:b/>
        </w:rPr>
      </w:pPr>
      <w:r w:rsidRPr="003A4F79">
        <w:rPr>
          <w:b/>
        </w:rPr>
        <w:t xml:space="preserve">Proportion of </w:t>
      </w:r>
      <w:r w:rsidR="0042119A" w:rsidRPr="003A4F79">
        <w:rPr>
          <w:b/>
        </w:rPr>
        <w:t>re</w:t>
      </w:r>
      <w:r w:rsidRPr="003A4F79">
        <w:rPr>
          <w:b/>
        </w:rPr>
        <w:t xml:space="preserve">-entering </w:t>
      </w:r>
      <w:r w:rsidR="0042119A" w:rsidRPr="003A4F79">
        <w:rPr>
          <w:b/>
        </w:rPr>
        <w:t>investors</w:t>
      </w:r>
    </w:p>
    <w:p w14:paraId="1E98FC25" w14:textId="1B32AAB1" w:rsidR="0098043B" w:rsidRPr="003A4F79" w:rsidRDefault="00130C64" w:rsidP="00290F9F">
      <w:pPr>
        <w:rPr>
          <w:noProof/>
        </w:rPr>
      </w:pPr>
      <w:r w:rsidRPr="003A4F79">
        <w:rPr>
          <w:noProof/>
        </w:rPr>
        <w:t xml:space="preserve">            </w:t>
      </w:r>
      <w:r w:rsidR="00FF6533" w:rsidRPr="003A4F79">
        <w:rPr>
          <w:noProof/>
          <w:lang w:val="en-GB" w:eastAsia="en-GB"/>
        </w:rPr>
        <w:drawing>
          <wp:inline distT="0" distB="0" distL="0" distR="0" wp14:anchorId="0BD4FE15" wp14:editId="55AE7B36">
            <wp:extent cx="3857311" cy="192969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4460" cy="1943276"/>
                    </a:xfrm>
                    <a:prstGeom prst="rect">
                      <a:avLst/>
                    </a:prstGeom>
                    <a:noFill/>
                    <a:ln>
                      <a:noFill/>
                    </a:ln>
                  </pic:spPr>
                </pic:pic>
              </a:graphicData>
            </a:graphic>
          </wp:inline>
        </w:drawing>
      </w:r>
    </w:p>
    <w:p w14:paraId="465FF9B1" w14:textId="49DC36DB" w:rsidR="00107109" w:rsidRPr="003A4F79" w:rsidRDefault="00EF2240" w:rsidP="00290F9F">
      <w:pPr>
        <w:pStyle w:val="FigureCaption"/>
      </w:pPr>
      <w:r w:rsidRPr="003A4F79">
        <w:t xml:space="preserve">(a) </w:t>
      </w:r>
      <w:r w:rsidR="00302A13" w:rsidRPr="003A4F79">
        <w:t xml:space="preserve">All </w:t>
      </w:r>
      <w:r w:rsidRPr="003A4F79">
        <w:t>investors</w:t>
      </w:r>
    </w:p>
    <w:p w14:paraId="29823AD9" w14:textId="152C1301" w:rsidR="00560408" w:rsidRPr="003A4F79" w:rsidRDefault="003E1C38" w:rsidP="00290F9F">
      <w:pPr>
        <w:pStyle w:val="ListParagraph"/>
      </w:pPr>
      <w:r w:rsidRPr="003A4F79">
        <w:rPr>
          <w:noProof/>
          <w:lang w:val="en-GB" w:eastAsia="en-GB"/>
        </w:rPr>
        <w:drawing>
          <wp:inline distT="0" distB="0" distL="0" distR="0" wp14:anchorId="2B922ABE" wp14:editId="1DD6328E">
            <wp:extent cx="4008011" cy="1920949"/>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1138" cy="1922448"/>
                    </a:xfrm>
                    <a:prstGeom prst="rect">
                      <a:avLst/>
                    </a:prstGeom>
                    <a:noFill/>
                    <a:ln>
                      <a:noFill/>
                    </a:ln>
                  </pic:spPr>
                </pic:pic>
              </a:graphicData>
            </a:graphic>
          </wp:inline>
        </w:drawing>
      </w:r>
    </w:p>
    <w:p w14:paraId="54393CBC" w14:textId="296339A9" w:rsidR="003E1C38" w:rsidRPr="003A4F79" w:rsidRDefault="00EF2240" w:rsidP="00290F9F">
      <w:pPr>
        <w:pStyle w:val="FigureCaption"/>
      </w:pPr>
      <w:r w:rsidRPr="003A4F79">
        <w:t xml:space="preserve">(b) </w:t>
      </w:r>
      <w:r w:rsidR="003E1C38" w:rsidRPr="003A4F79">
        <w:t xml:space="preserve">Non-Nokia </w:t>
      </w:r>
      <w:r w:rsidRPr="003A4F79">
        <w:t>investors</w:t>
      </w:r>
    </w:p>
    <w:p w14:paraId="7DE6303E" w14:textId="00A31503" w:rsidR="00626DAB" w:rsidRPr="003A4F79" w:rsidRDefault="00626DAB" w:rsidP="00290F9F">
      <w:pPr>
        <w:pStyle w:val="ListParagraph"/>
      </w:pPr>
      <w:r w:rsidRPr="003A4F79">
        <w:rPr>
          <w:noProof/>
          <w:lang w:val="en-GB" w:eastAsia="en-GB"/>
        </w:rPr>
        <w:lastRenderedPageBreak/>
        <w:drawing>
          <wp:inline distT="0" distB="0" distL="0" distR="0" wp14:anchorId="0F5E05ED" wp14:editId="0569A852">
            <wp:extent cx="4141611" cy="200962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4418" cy="2025547"/>
                    </a:xfrm>
                    <a:prstGeom prst="rect">
                      <a:avLst/>
                    </a:prstGeom>
                    <a:noFill/>
                    <a:ln>
                      <a:noFill/>
                    </a:ln>
                  </pic:spPr>
                </pic:pic>
              </a:graphicData>
            </a:graphic>
          </wp:inline>
        </w:drawing>
      </w:r>
    </w:p>
    <w:p w14:paraId="59295508" w14:textId="5EA7D4E5" w:rsidR="00626DAB" w:rsidRPr="003A4F79" w:rsidRDefault="00EF2240" w:rsidP="00290F9F">
      <w:pPr>
        <w:pStyle w:val="FigureCaption"/>
      </w:pPr>
      <w:r w:rsidRPr="003A4F79">
        <w:t xml:space="preserve">(c) </w:t>
      </w:r>
      <w:r w:rsidR="00626DAB" w:rsidRPr="003A4F79">
        <w:t xml:space="preserve">Nokia </w:t>
      </w:r>
      <w:r w:rsidRPr="003A4F79">
        <w:t>investors</w:t>
      </w:r>
    </w:p>
    <w:p w14:paraId="7B5777DA" w14:textId="520D5E7D" w:rsidR="00EF2240" w:rsidRPr="003A4F79" w:rsidRDefault="00F1055F" w:rsidP="00290F9F">
      <w:pPr>
        <w:pStyle w:val="FigureNotes"/>
        <w:rPr>
          <w:rFonts w:ascii="Arial" w:hAnsi="Arial"/>
        </w:rPr>
      </w:pPr>
      <w:r w:rsidRPr="003A4F79">
        <w:t>F</w:t>
      </w:r>
      <w:r w:rsidR="002774A2" w:rsidRPr="003A4F79">
        <w:t>igure</w:t>
      </w:r>
      <w:r w:rsidRPr="003A4F79">
        <w:t xml:space="preserve"> (a)</w:t>
      </w:r>
      <w:r w:rsidR="002774A2" w:rsidRPr="003A4F79">
        <w:t xml:space="preserve"> plots the </w:t>
      </w:r>
      <w:r w:rsidR="001E4B40" w:rsidRPr="003A4F79">
        <w:t xml:space="preserve">proportion of investors </w:t>
      </w:r>
      <w:r w:rsidR="003D5A3D" w:rsidRPr="003A4F79">
        <w:t>who return to the stock market after withdrawal from it for all investors in our sample,</w:t>
      </w:r>
      <w:r w:rsidRPr="003A4F79">
        <w:t xml:space="preserve"> and</w:t>
      </w:r>
      <w:r w:rsidR="003D5A3D" w:rsidRPr="003A4F79">
        <w:t xml:space="preserve"> </w:t>
      </w:r>
      <w:r w:rsidRPr="003A4F79">
        <w:t xml:space="preserve">Figures (b) and (c) separately </w:t>
      </w:r>
      <w:r w:rsidR="003D5A3D" w:rsidRPr="003A4F79">
        <w:t xml:space="preserve">for </w:t>
      </w:r>
      <w:r w:rsidRPr="003A4F79">
        <w:t>non</w:t>
      </w:r>
      <w:r w:rsidR="003D5A3D" w:rsidRPr="003A4F79">
        <w:t>-Nokia and</w:t>
      </w:r>
      <w:r w:rsidRPr="003A4F79">
        <w:t xml:space="preserve"> </w:t>
      </w:r>
      <w:r w:rsidR="003D5A3D" w:rsidRPr="003A4F79">
        <w:t>Nokia</w:t>
      </w:r>
      <w:r w:rsidR="0073716E" w:rsidRPr="003A4F79">
        <w:t xml:space="preserve"> investors</w:t>
      </w:r>
      <w:r w:rsidR="003D5A3D" w:rsidRPr="003A4F79">
        <w:t xml:space="preserve"> </w:t>
      </w:r>
      <w:r w:rsidRPr="003A4F79">
        <w:t>respectively</w:t>
      </w:r>
      <w:r w:rsidR="003D5A3D" w:rsidRPr="003A4F79">
        <w:t xml:space="preserve">. </w:t>
      </w:r>
      <w:r w:rsidRPr="003A4F79">
        <w:t>T</w:t>
      </w:r>
      <w:r w:rsidR="002774A2" w:rsidRPr="003A4F79">
        <w:t xml:space="preserve">he </w:t>
      </w:r>
      <w:r w:rsidR="00E55419" w:rsidRPr="003A4F79">
        <w:t xml:space="preserve">y-axis represents the </w:t>
      </w:r>
      <w:r w:rsidR="00576B33" w:rsidRPr="003A4F79">
        <w:t>proportion</w:t>
      </w:r>
      <w:r w:rsidR="003D5A3D" w:rsidRPr="003A4F79">
        <w:t xml:space="preserve">, </w:t>
      </w:r>
      <w:r w:rsidR="00E55419" w:rsidRPr="003A4F79">
        <w:t xml:space="preserve">and </w:t>
      </w:r>
      <w:r w:rsidR="003D5A3D" w:rsidRPr="003A4F79">
        <w:t xml:space="preserve">the </w:t>
      </w:r>
      <w:r w:rsidR="00E55419" w:rsidRPr="003A4F79">
        <w:t xml:space="preserve">x-axis represents investor deciles sorted </w:t>
      </w:r>
      <w:r w:rsidRPr="003A4F79">
        <w:t xml:space="preserve">by </w:t>
      </w:r>
      <w:r w:rsidR="00E55419" w:rsidRPr="003A4F79">
        <w:t>their initial returns.</w:t>
      </w:r>
      <w:r w:rsidR="001F1564" w:rsidRPr="003A4F79">
        <w:t xml:space="preserve"> The </w:t>
      </w:r>
      <w:r w:rsidR="003D5A3D" w:rsidRPr="003A4F79">
        <w:t xml:space="preserve">proportion </w:t>
      </w:r>
      <w:r w:rsidR="001F1564" w:rsidRPr="003A4F79">
        <w:t>i</w:t>
      </w:r>
      <w:r w:rsidR="002774A2" w:rsidRPr="003A4F79">
        <w:t xml:space="preserve">s computed as the </w:t>
      </w:r>
      <w:r w:rsidR="00EE1E25" w:rsidRPr="003A4F79">
        <w:t xml:space="preserve">number of re-entering investors divided by </w:t>
      </w:r>
      <w:r w:rsidR="002774A2" w:rsidRPr="003A4F79">
        <w:t>the total number of investor</w:t>
      </w:r>
      <w:r w:rsidRPr="003A4F79">
        <w:t>s</w:t>
      </w:r>
      <w:r w:rsidR="002774A2" w:rsidRPr="003A4F79">
        <w:t xml:space="preserve"> with</w:t>
      </w:r>
      <w:r w:rsidR="003D5A3D" w:rsidRPr="003A4F79">
        <w:t>in each decile</w:t>
      </w:r>
      <w:r w:rsidR="002774A2" w:rsidRPr="003A4F79">
        <w:t xml:space="preserve">. </w:t>
      </w:r>
      <w:r w:rsidR="0004004B" w:rsidRPr="003A4F79">
        <w:t xml:space="preserve">Average returns and the number of investors in each decile are </w:t>
      </w:r>
      <w:r w:rsidRPr="003A4F79">
        <w:t xml:space="preserve">also </w:t>
      </w:r>
      <w:r w:rsidR="0004004B" w:rsidRPr="003A4F79">
        <w:t>presented</w:t>
      </w:r>
      <w:r w:rsidR="002774A2" w:rsidRPr="003A4F79">
        <w:t>.</w:t>
      </w:r>
      <w:r w:rsidR="00EF2240" w:rsidRPr="003A4F79">
        <w:br w:type="page"/>
      </w:r>
    </w:p>
    <w:p w14:paraId="4717FEDA" w14:textId="2B7AADCE" w:rsidR="00A72CB5" w:rsidRPr="003A4F79" w:rsidRDefault="00876D44" w:rsidP="00290F9F">
      <w:pPr>
        <w:pStyle w:val="FigureCaption"/>
        <w:jc w:val="left"/>
      </w:pPr>
      <w:r w:rsidRPr="003A4F79">
        <w:lastRenderedPageBreak/>
        <w:t xml:space="preserve">Table </w:t>
      </w:r>
      <w:r w:rsidR="00A72CB5" w:rsidRPr="003A4F79">
        <w:t>1</w:t>
      </w:r>
    </w:p>
    <w:p w14:paraId="7FF4153F" w14:textId="3DE68CA8" w:rsidR="000A4C32" w:rsidRPr="003A4F79" w:rsidRDefault="00DC2626" w:rsidP="00290F9F">
      <w:pPr>
        <w:pStyle w:val="FigureCaption"/>
        <w:jc w:val="left"/>
      </w:pPr>
      <w:r w:rsidRPr="003A4F79">
        <w:rPr>
          <w:b/>
        </w:rPr>
        <w:t xml:space="preserve">Summary </w:t>
      </w:r>
      <w:r w:rsidR="0042119A" w:rsidRPr="003A4F79">
        <w:rPr>
          <w:b/>
        </w:rPr>
        <w:t>statistics</w:t>
      </w:r>
    </w:p>
    <w:p w14:paraId="22CCFD78" w14:textId="0356E7BC" w:rsidR="00510C51" w:rsidRPr="003A4F79" w:rsidRDefault="00DF7E44" w:rsidP="00510C51">
      <w:pPr>
        <w:pStyle w:val="FigureNotes"/>
      </w:pPr>
      <w:r w:rsidRPr="003A4F79">
        <w:t>Panel A reports descriptive statistics at an account level for all investors in our database as well as the primary sample used for our main analyses. Panel B presents summary statistics for the panel data of our primary sample about all</w:t>
      </w:r>
      <w:r w:rsidR="00FE26C1" w:rsidRPr="003A4F79">
        <w:t xml:space="preserve"> explanatory </w:t>
      </w:r>
      <w:r w:rsidRPr="003A4F79">
        <w:t>variables used in our main regressions.</w:t>
      </w:r>
      <w:r w:rsidR="004F6CB7" w:rsidRPr="003A4F79">
        <w:t xml:space="preserve"> </w:t>
      </w:r>
      <w:r w:rsidR="000875A2" w:rsidRPr="003A4F79">
        <w:t>Panel C presents the correlation matrix for main explanatory variables</w:t>
      </w:r>
      <w:r w:rsidR="00125821" w:rsidRPr="003A4F79">
        <w:t xml:space="preserve"> with the statistically significant (at the 1% level) numbers in gray</w:t>
      </w:r>
      <w:r w:rsidR="000875A2" w:rsidRPr="003A4F79">
        <w:t xml:space="preserve">. </w:t>
      </w:r>
      <w:r w:rsidR="00FE26C1" w:rsidRPr="003A4F79">
        <w:rPr>
          <w:i/>
          <w:noProof/>
          <w:lang w:eastAsia="en-GB"/>
        </w:rPr>
        <w:t>IniRet</w:t>
      </w:r>
      <w:r w:rsidR="00FE26C1" w:rsidRPr="003A4F79">
        <w:rPr>
          <w:noProof/>
          <w:lang w:eastAsia="en-GB"/>
        </w:rPr>
        <w:t>, the main explanatory variable of interest, is the return in the first month of investing.</w:t>
      </w:r>
      <w:r w:rsidR="00FE26C1" w:rsidRPr="003A4F79">
        <w:t xml:space="preserve"> I(</w:t>
      </w:r>
      <w:r w:rsidR="00FE26C1" w:rsidRPr="003A4F79">
        <w:rPr>
          <w:i/>
        </w:rPr>
        <w:t>IniRet</w:t>
      </w:r>
      <w:r w:rsidR="00FE26C1" w:rsidRPr="003A4F79">
        <w:t xml:space="preserve"> &lt; 0) is a dummy variable that equals 1 if </w:t>
      </w:r>
      <w:r w:rsidR="00FE26C1" w:rsidRPr="003A4F79">
        <w:rPr>
          <w:i/>
        </w:rPr>
        <w:t>IniRet</w:t>
      </w:r>
      <w:r w:rsidR="00FE26C1" w:rsidRPr="003A4F79">
        <w:t xml:space="preserve"> &lt; 0, and 0 otherwise. Likewise, I(</w:t>
      </w:r>
      <w:r w:rsidR="00FE26C1" w:rsidRPr="003A4F79">
        <w:rPr>
          <w:i/>
        </w:rPr>
        <w:t>IniRet</w:t>
      </w:r>
      <w:r w:rsidR="00FE26C1" w:rsidRPr="003A4F79">
        <w:t xml:space="preserve"> </w:t>
      </w:r>
      <w:r w:rsidR="00FE26C1" w:rsidRPr="003A4F79">
        <w:rPr>
          <w:rFonts w:hint="eastAsia"/>
          <w:i/>
        </w:rPr>
        <w:t>≥</w:t>
      </w:r>
      <w:r w:rsidR="00FE26C1" w:rsidRPr="003A4F79">
        <w:t xml:space="preserve"> 0) is a dummy variable that equals 1 if </w:t>
      </w:r>
      <w:r w:rsidR="00FE26C1" w:rsidRPr="003A4F79">
        <w:rPr>
          <w:i/>
        </w:rPr>
        <w:t>IniRet</w:t>
      </w:r>
      <w:r w:rsidR="00FE26C1" w:rsidRPr="003A4F79">
        <w:t xml:space="preserve"> </w:t>
      </w:r>
      <w:r w:rsidR="00FE26C1" w:rsidRPr="003A4F79">
        <w:rPr>
          <w:rFonts w:hint="eastAsia"/>
          <w:i/>
        </w:rPr>
        <w:t>≥</w:t>
      </w:r>
      <w:r w:rsidR="00FE26C1" w:rsidRPr="003A4F79">
        <w:t xml:space="preserve"> 0. </w:t>
      </w:r>
      <w:r w:rsidR="00D530C7" w:rsidRPr="003A4F79">
        <w:rPr>
          <w:i/>
          <w:noProof/>
          <w:lang w:eastAsia="en-GB"/>
        </w:rPr>
        <w:t xml:space="preserve">AllRet </w:t>
      </w:r>
      <w:r w:rsidR="00D530C7" w:rsidRPr="003A4F79">
        <w:rPr>
          <w:noProof/>
          <w:lang w:eastAsia="en-GB"/>
        </w:rPr>
        <w:t>is the value-weighted average of monthly returns during the entire period of investing between entry and exit</w:t>
      </w:r>
      <w:r w:rsidR="00FE26C1" w:rsidRPr="003A4F79">
        <w:rPr>
          <w:i/>
          <w:noProof/>
          <w:lang w:eastAsia="en-GB"/>
        </w:rPr>
        <w:t>,</w:t>
      </w:r>
      <w:r w:rsidR="00FE26C1" w:rsidRPr="003A4F79">
        <w:rPr>
          <w:noProof/>
          <w:lang w:eastAsia="en-GB"/>
        </w:rPr>
        <w:t xml:space="preserve"> </w:t>
      </w:r>
      <w:r w:rsidR="00FE26C1" w:rsidRPr="003A4F79">
        <w:rPr>
          <w:i/>
        </w:rPr>
        <w:t>RecRet</w:t>
      </w:r>
      <w:r w:rsidR="00FE26C1" w:rsidRPr="003A4F79">
        <w:t xml:space="preserve"> is the return in the last month of investing, and </w:t>
      </w:r>
      <w:r w:rsidR="00FE26C1" w:rsidRPr="003A4F79">
        <w:rPr>
          <w:i/>
        </w:rPr>
        <w:t>RealRet</w:t>
      </w:r>
      <w:r w:rsidR="00FE26C1" w:rsidRPr="003A4F79">
        <w:t xml:space="preserve"> is the return during the actual period of investing</w:t>
      </w:r>
      <w:r w:rsidR="00FE26C1" w:rsidRPr="003A4F79">
        <w:rPr>
          <w:noProof/>
          <w:lang w:eastAsia="en-GB"/>
        </w:rPr>
        <w:t xml:space="preserve">. </w:t>
      </w:r>
      <w:r w:rsidR="00FE26C1" w:rsidRPr="003A4F79">
        <w:rPr>
          <w:i/>
          <w:noProof/>
          <w:lang w:eastAsia="en-GB"/>
        </w:rPr>
        <w:t>Saliency</w:t>
      </w:r>
      <w:r w:rsidR="00FE26C1" w:rsidRPr="003A4F79">
        <w:rPr>
          <w:noProof/>
          <w:lang w:eastAsia="en-GB"/>
        </w:rPr>
        <w:t xml:space="preserve"> is an absolute difference between the initial return and the average return for the duration of investing, d</w:t>
      </w:r>
      <w:r w:rsidR="0073716E" w:rsidRPr="003A4F79">
        <w:rPr>
          <w:noProof/>
          <w:lang w:eastAsia="en-GB"/>
        </w:rPr>
        <w:t>i</w:t>
      </w:r>
      <w:r w:rsidR="00FE26C1" w:rsidRPr="003A4F79">
        <w:rPr>
          <w:noProof/>
          <w:lang w:eastAsia="en-GB"/>
        </w:rPr>
        <w:t>vided by the abso</w:t>
      </w:r>
      <w:r w:rsidR="0073716E" w:rsidRPr="003A4F79">
        <w:rPr>
          <w:noProof/>
          <w:lang w:eastAsia="en-GB"/>
        </w:rPr>
        <w:t>l</w:t>
      </w:r>
      <w:r w:rsidR="00FE26C1" w:rsidRPr="003A4F79">
        <w:rPr>
          <w:noProof/>
          <w:lang w:eastAsia="en-GB"/>
        </w:rPr>
        <w:t>ute value of average returns.</w:t>
      </w:r>
      <w:r w:rsidR="00FE26C1" w:rsidRPr="003A4F79">
        <w:rPr>
          <w:i/>
        </w:rPr>
        <w:t xml:space="preserve"> Vicinity </w:t>
      </w:r>
      <w:r w:rsidR="00FE26C1" w:rsidRPr="003A4F79">
        <w:t>is a dummy variable that equals 1 if an investor resides in the same municipality where the company’s headquarter</w:t>
      </w:r>
      <w:r w:rsidR="0058657A" w:rsidRPr="003A4F79">
        <w:t>s</w:t>
      </w:r>
      <w:r w:rsidR="00FE26C1" w:rsidRPr="003A4F79">
        <w:t xml:space="preserve"> is located. </w:t>
      </w:r>
      <w:r w:rsidR="00634C7D" w:rsidRPr="003A4F79">
        <w:rPr>
          <w:i/>
        </w:rPr>
        <w:t>InvSiz</w:t>
      </w:r>
      <w:r w:rsidR="00D24350" w:rsidRPr="003A4F79">
        <w:t xml:space="preserve"> is investment size</w:t>
      </w:r>
      <w:r w:rsidR="0023333D" w:rsidRPr="003A4F79">
        <w:t>,</w:t>
      </w:r>
      <w:r w:rsidR="00D24350" w:rsidRPr="003A4F79">
        <w:t xml:space="preserve"> defined as the log of average portfolio holdings</w:t>
      </w:r>
      <w:r w:rsidR="0023333D" w:rsidRPr="003A4F79">
        <w:rPr>
          <w:i/>
        </w:rPr>
        <w:t xml:space="preserve">. </w:t>
      </w:r>
      <w:r w:rsidR="00D24350" w:rsidRPr="003A4F79">
        <w:rPr>
          <w:i/>
        </w:rPr>
        <w:t>ZeroTrd</w:t>
      </w:r>
      <w:r w:rsidR="00D24350" w:rsidRPr="003A4F79">
        <w:t xml:space="preserve"> is a dummy variable that equals </w:t>
      </w:r>
      <w:r w:rsidR="00F659C4" w:rsidRPr="003A4F79">
        <w:t>1</w:t>
      </w:r>
      <w:r w:rsidR="00D24350" w:rsidRPr="003A4F79">
        <w:t xml:space="preserve"> if </w:t>
      </w:r>
      <w:r w:rsidR="00F659C4" w:rsidRPr="003A4F79">
        <w:t>the</w:t>
      </w:r>
      <w:r w:rsidR="00D24350" w:rsidRPr="003A4F79">
        <w:t xml:space="preserve"> investor do</w:t>
      </w:r>
      <w:r w:rsidR="0023333D" w:rsidRPr="003A4F79">
        <w:t>es</w:t>
      </w:r>
      <w:r w:rsidR="00D24350" w:rsidRPr="003A4F79">
        <w:t xml:space="preserve"> not trade between initial purchases and exiting the market</w:t>
      </w:r>
      <w:r w:rsidR="00634C7D" w:rsidRPr="003A4F79">
        <w:t>,</w:t>
      </w:r>
      <w:r w:rsidR="00F659C4" w:rsidRPr="003A4F79">
        <w:t xml:space="preserve"> and 0 otherwise. </w:t>
      </w:r>
      <w:r w:rsidR="00634C7D" w:rsidRPr="003A4F79">
        <w:rPr>
          <w:i/>
        </w:rPr>
        <w:t>SglStock</w:t>
      </w:r>
      <w:r w:rsidR="00F659C4" w:rsidRPr="003A4F79">
        <w:t xml:space="preserve"> is a dummy variable that equals 1 if the investor only owns one stock</w:t>
      </w:r>
      <w:r w:rsidR="0023333D" w:rsidRPr="003A4F79">
        <w:t>.</w:t>
      </w:r>
      <w:r w:rsidR="00634C7D" w:rsidRPr="003A4F79">
        <w:t xml:space="preserve"> </w:t>
      </w:r>
      <w:r w:rsidR="00634C7D" w:rsidRPr="003A4F79">
        <w:rPr>
          <w:i/>
        </w:rPr>
        <w:t>Nokia</w:t>
      </w:r>
      <w:r w:rsidR="00F659C4" w:rsidRPr="003A4F79">
        <w:t xml:space="preserve"> is a dummy variable </w:t>
      </w:r>
      <w:r w:rsidR="00634C7D" w:rsidRPr="003A4F79">
        <w:t>equal to 1 if an investor initiate</w:t>
      </w:r>
      <w:r w:rsidR="0023333D" w:rsidRPr="003A4F79">
        <w:t>s</w:t>
      </w:r>
      <w:r w:rsidR="00634C7D" w:rsidRPr="003A4F79">
        <w:t xml:space="preserve"> </w:t>
      </w:r>
      <w:r w:rsidR="0023333D" w:rsidRPr="003A4F79">
        <w:t xml:space="preserve">investment </w:t>
      </w:r>
      <w:r w:rsidR="00634C7D" w:rsidRPr="003A4F79">
        <w:t>by purchasing Nokia stock</w:t>
      </w:r>
      <w:r w:rsidR="00634C7D" w:rsidRPr="003A4F79">
        <w:rPr>
          <w:i/>
        </w:rPr>
        <w:t xml:space="preserve">. </w:t>
      </w:r>
      <w:r w:rsidR="00E32ED8" w:rsidRPr="003A4F79">
        <w:rPr>
          <w:i/>
        </w:rPr>
        <w:t>MktRet</w:t>
      </w:r>
      <w:r w:rsidR="008170CC" w:rsidRPr="003A4F79">
        <w:rPr>
          <w:i/>
        </w:rPr>
        <w:t xml:space="preserve"> </w:t>
      </w:r>
      <w:r w:rsidR="008170CC" w:rsidRPr="003A4F79">
        <w:t>and</w:t>
      </w:r>
      <w:r w:rsidR="008170CC" w:rsidRPr="003A4F79">
        <w:rPr>
          <w:i/>
        </w:rPr>
        <w:t xml:space="preserve"> MktVol</w:t>
      </w:r>
      <w:r w:rsidR="00E32ED8" w:rsidRPr="003A4F79">
        <w:t xml:space="preserve"> </w:t>
      </w:r>
      <w:r w:rsidR="0023333D" w:rsidRPr="003A4F79">
        <w:t xml:space="preserve">are </w:t>
      </w:r>
      <w:r w:rsidR="00E32ED8" w:rsidRPr="003A4F79">
        <w:t xml:space="preserve">the monthly return </w:t>
      </w:r>
      <w:r w:rsidR="008170CC" w:rsidRPr="003A4F79">
        <w:t>and volatility</w:t>
      </w:r>
      <w:r w:rsidR="00E41998" w:rsidRPr="003A4F79">
        <w:t xml:space="preserve"> (standard deviation of daily returns)</w:t>
      </w:r>
      <w:r w:rsidR="008170CC" w:rsidRPr="003A4F79">
        <w:t xml:space="preserve"> </w:t>
      </w:r>
      <w:r w:rsidR="00E32ED8" w:rsidRPr="003A4F79">
        <w:t xml:space="preserve">on </w:t>
      </w:r>
      <w:r w:rsidR="008170CC" w:rsidRPr="003A4F79">
        <w:t xml:space="preserve">the </w:t>
      </w:r>
      <w:r w:rsidR="00634C7D" w:rsidRPr="003A4F79">
        <w:t>Finnish stock market</w:t>
      </w:r>
      <w:r w:rsidR="008170CC" w:rsidRPr="003A4F79">
        <w:t xml:space="preserve"> (OMX Helsinki Index). </w:t>
      </w:r>
      <w:r w:rsidR="00634C7D" w:rsidRPr="003A4F79">
        <w:rPr>
          <w:i/>
        </w:rPr>
        <w:t>Age</w:t>
      </w:r>
      <w:r w:rsidR="00717566" w:rsidRPr="003A4F79">
        <w:t xml:space="preserve"> is investor age (in years) at the beginning of sample</w:t>
      </w:r>
      <w:r w:rsidR="0023333D" w:rsidRPr="003A4F79">
        <w:t>.</w:t>
      </w:r>
      <w:r w:rsidR="00634C7D" w:rsidRPr="003A4F79">
        <w:t xml:space="preserve"> </w:t>
      </w:r>
      <w:r w:rsidR="00634C7D" w:rsidRPr="003A4F79">
        <w:rPr>
          <w:i/>
        </w:rPr>
        <w:t>Minor</w:t>
      </w:r>
      <w:r w:rsidR="00634C7D" w:rsidRPr="003A4F79">
        <w:t xml:space="preserve"> is a dummy variable that equals 1 </w:t>
      </w:r>
      <w:r w:rsidR="00F20BC9" w:rsidRPr="003A4F79">
        <w:rPr>
          <w:lang w:eastAsia="en-GB"/>
        </w:rPr>
        <w:t>if the account holder is below 16 years of age</w:t>
      </w:r>
      <w:r w:rsidR="00943182" w:rsidRPr="003A4F79">
        <w:t xml:space="preserve">. </w:t>
      </w:r>
      <w:r w:rsidR="00102260" w:rsidRPr="003A4F79">
        <w:rPr>
          <w:i/>
        </w:rPr>
        <w:t>Old</w:t>
      </w:r>
      <w:r w:rsidR="00102260" w:rsidRPr="003A4F79">
        <w:t xml:space="preserve"> is a dummy variable that equals 1 if investor is older than 50. </w:t>
      </w:r>
      <w:r w:rsidR="00102260" w:rsidRPr="003A4F79">
        <w:rPr>
          <w:i/>
        </w:rPr>
        <w:t>InvSiz_H</w:t>
      </w:r>
      <w:r w:rsidR="00102260" w:rsidRPr="003A4F79">
        <w:t xml:space="preserve"> is a dummy variable that equals 1 if </w:t>
      </w:r>
      <w:r w:rsidR="00102260" w:rsidRPr="003A4F79">
        <w:rPr>
          <w:i/>
        </w:rPr>
        <w:t>InvSiz</w:t>
      </w:r>
      <w:r w:rsidR="00102260" w:rsidRPr="003A4F79">
        <w:t xml:space="preserve"> is greater than </w:t>
      </w:r>
      <w:r w:rsidR="00C07465" w:rsidRPr="003A4F79">
        <w:t>the</w:t>
      </w:r>
      <w:r w:rsidR="00102260" w:rsidRPr="003A4F79">
        <w:t xml:space="preserve"> sample median. </w:t>
      </w:r>
      <w:r w:rsidR="00102260" w:rsidRPr="003A4F79">
        <w:rPr>
          <w:i/>
        </w:rPr>
        <w:t>Helsinki</w:t>
      </w:r>
      <w:r w:rsidR="00102260" w:rsidRPr="003A4F79">
        <w:t xml:space="preserve"> is a dummy variable that equals 1 if an investor resides in Helsinki. </w:t>
      </w:r>
      <w:r w:rsidR="00943182" w:rsidRPr="003A4F79">
        <w:rPr>
          <w:i/>
        </w:rPr>
        <w:t xml:space="preserve">Burst </w:t>
      </w:r>
      <w:r w:rsidR="00943182" w:rsidRPr="003A4F79">
        <w:t xml:space="preserve">is </w:t>
      </w:r>
      <w:r w:rsidR="00634C7D" w:rsidRPr="003A4F79">
        <w:t xml:space="preserve">a dummy variable, defined </w:t>
      </w:r>
      <w:r w:rsidR="0023333D" w:rsidRPr="003A4F79">
        <w:t>as</w:t>
      </w:r>
      <w:r w:rsidR="00634C7D" w:rsidRPr="003A4F79">
        <w:t xml:space="preserve"> 1 if the time is </w:t>
      </w:r>
      <w:r w:rsidR="0023333D" w:rsidRPr="003A4F79">
        <w:t>after</w:t>
      </w:r>
      <w:r w:rsidR="00943182" w:rsidRPr="003A4F79">
        <w:t xml:space="preserve"> </w:t>
      </w:r>
      <w:r w:rsidR="00634C7D" w:rsidRPr="003A4F79">
        <w:t>the dotcom bubble</w:t>
      </w:r>
      <w:r w:rsidR="003B684E" w:rsidRPr="003A4F79">
        <w:t xml:space="preserve"> burst</w:t>
      </w:r>
      <w:r w:rsidR="00634C7D" w:rsidRPr="003A4F79">
        <w:t xml:space="preserve"> (April 2000).</w:t>
      </w:r>
      <w:r w:rsidR="001B6549" w:rsidRPr="003A4F79">
        <w:t xml:space="preserve"> </w:t>
      </w:r>
      <w:r w:rsidR="001B6549" w:rsidRPr="003A4F79">
        <w:rPr>
          <w:i/>
        </w:rPr>
        <w:t>DurAway</w:t>
      </w:r>
      <w:r w:rsidR="001B6549" w:rsidRPr="003A4F79">
        <w:t xml:space="preserve"> is a discrete</w:t>
      </w:r>
      <w:r w:rsidR="0023333D" w:rsidRPr="003A4F79">
        <w:t xml:space="preserve"> </w:t>
      </w:r>
      <w:r w:rsidR="001B6549" w:rsidRPr="003A4F79">
        <w:t>time variable defined as the number of months for which the investor is absent from the stock market.</w:t>
      </w:r>
      <w:r w:rsidR="001A3452" w:rsidRPr="003A4F79">
        <w:t xml:space="preserve"> </w:t>
      </w:r>
      <w:r w:rsidR="00102260" w:rsidRPr="003A4F79">
        <w:rPr>
          <w:i/>
        </w:rPr>
        <w:t xml:space="preserve">IVol </w:t>
      </w:r>
      <w:r w:rsidR="00102260" w:rsidRPr="003A4F79">
        <w:t xml:space="preserve">and </w:t>
      </w:r>
      <w:r w:rsidR="00102260" w:rsidRPr="003A4F79">
        <w:rPr>
          <w:i/>
        </w:rPr>
        <w:t>ISkew</w:t>
      </w:r>
      <w:r w:rsidR="00102260" w:rsidRPr="003A4F79">
        <w:t xml:space="preserve"> are the initial stock’s idiosyncratic volatility and skewness, respectively. Stock market returns a month before-, on-, after the entry month is </w:t>
      </w:r>
      <w:r w:rsidR="00102260" w:rsidRPr="003A4F79">
        <w:rPr>
          <w:i/>
        </w:rPr>
        <w:t>Mkt_bf</w:t>
      </w:r>
      <w:r w:rsidR="00102260" w:rsidRPr="003A4F79">
        <w:t xml:space="preserve">, </w:t>
      </w:r>
      <w:r w:rsidR="00102260" w:rsidRPr="003A4F79">
        <w:rPr>
          <w:i/>
        </w:rPr>
        <w:t>Mkt_entry</w:t>
      </w:r>
      <w:r w:rsidR="00102260" w:rsidRPr="003A4F79">
        <w:t xml:space="preserve">, and </w:t>
      </w:r>
      <w:r w:rsidR="00102260" w:rsidRPr="003A4F79">
        <w:rPr>
          <w:i/>
        </w:rPr>
        <w:t>Mkt_af</w:t>
      </w:r>
      <w:r w:rsidR="00102260" w:rsidRPr="003A4F79">
        <w:t>, respectively.</w:t>
      </w:r>
      <w:r w:rsidR="000319F6" w:rsidRPr="003A4F79">
        <w:t xml:space="preserve"> </w:t>
      </w:r>
      <w:r w:rsidR="000319F6" w:rsidRPr="003A4F79">
        <w:rPr>
          <w:i/>
        </w:rPr>
        <w:t>Ret_entry</w:t>
      </w:r>
      <w:r w:rsidR="000319F6" w:rsidRPr="003A4F79">
        <w:t xml:space="preserve"> is the past 3-month return of the initial stock, and </w:t>
      </w:r>
      <w:r w:rsidR="000319F6" w:rsidRPr="003A4F79">
        <w:rPr>
          <w:i/>
        </w:rPr>
        <w:t>Value</w:t>
      </w:r>
      <w:r w:rsidR="000319F6" w:rsidRPr="003A4F79">
        <w:t xml:space="preserve"> is the indicator of the initial stock being a value stock (i.e., the book-to-market ratio is higher than the sample median).</w:t>
      </w:r>
      <w:r w:rsidR="00102260" w:rsidRPr="003A4F79">
        <w:t xml:space="preserve"> </w:t>
      </w:r>
      <w:r w:rsidR="00D12954" w:rsidRPr="003A4F79">
        <w:rPr>
          <w:i/>
        </w:rPr>
        <w:t>Option</w:t>
      </w:r>
      <w:r w:rsidR="00D12954" w:rsidRPr="003A4F79">
        <w:t xml:space="preserve"> is a dummy variable that equals to 1 if an investor ever trades an option during our sample period</w:t>
      </w:r>
      <w:r w:rsidR="00592E26" w:rsidRPr="003A4F79">
        <w:t>.</w:t>
      </w:r>
      <w:r w:rsidR="00D12954" w:rsidRPr="003A4F79">
        <w:t xml:space="preserve"> </w:t>
      </w:r>
      <w:r w:rsidR="00510C51" w:rsidRPr="003A4F79">
        <w:t>There are 276,470 investor</w:t>
      </w:r>
      <w:r w:rsidR="00C16334" w:rsidRPr="003A4F79">
        <w:t>-months (9,435 investors) in our primary</w:t>
      </w:r>
      <w:r w:rsidR="00510C51" w:rsidRPr="003A4F79">
        <w:t xml:space="preserve"> sample.</w:t>
      </w:r>
    </w:p>
    <w:p w14:paraId="5A30A785" w14:textId="043D45AB" w:rsidR="00A7069E" w:rsidRPr="003A4F79" w:rsidRDefault="00A7069E" w:rsidP="00510C51">
      <w:pPr>
        <w:pStyle w:val="FigureNotes"/>
      </w:pPr>
    </w:p>
    <w:p w14:paraId="3DA666EC" w14:textId="4F668E39" w:rsidR="00A7069E" w:rsidRPr="003A4F79" w:rsidRDefault="00A7069E" w:rsidP="00510C51">
      <w:pPr>
        <w:pStyle w:val="FigureNotes"/>
      </w:pPr>
      <w:r w:rsidRPr="003A4F79">
        <w:t>Panel A. Investor-level data</w:t>
      </w:r>
    </w:p>
    <w:p w14:paraId="0DEF6242" w14:textId="04FD694C" w:rsidR="00EC6775" w:rsidRPr="003A4F79" w:rsidRDefault="00EC6775" w:rsidP="00290F9F">
      <w:pPr>
        <w:pStyle w:val="FigureNotes"/>
        <w:spacing w:after="120"/>
      </w:pPr>
    </w:p>
    <w:tbl>
      <w:tblPr>
        <w:tblW w:w="9621" w:type="dxa"/>
        <w:jc w:val="center"/>
        <w:tblLook w:val="04A0" w:firstRow="1" w:lastRow="0" w:firstColumn="1" w:lastColumn="0" w:noHBand="0" w:noVBand="1"/>
      </w:tblPr>
      <w:tblGrid>
        <w:gridCol w:w="3060"/>
        <w:gridCol w:w="1201"/>
        <w:gridCol w:w="1119"/>
        <w:gridCol w:w="1160"/>
        <w:gridCol w:w="1009"/>
        <w:gridCol w:w="940"/>
        <w:gridCol w:w="1132"/>
      </w:tblGrid>
      <w:tr w:rsidR="003A4F79" w:rsidRPr="003A4F79" w14:paraId="2C2AE0B9" w14:textId="77777777" w:rsidTr="00653A28">
        <w:trPr>
          <w:trHeight w:val="255"/>
          <w:jc w:val="center"/>
        </w:trPr>
        <w:tc>
          <w:tcPr>
            <w:tcW w:w="3060" w:type="dxa"/>
            <w:vMerge w:val="restart"/>
            <w:tcBorders>
              <w:top w:val="single" w:sz="4" w:space="0" w:color="auto"/>
              <w:left w:val="nil"/>
              <w:bottom w:val="single" w:sz="4" w:space="0" w:color="000000"/>
              <w:right w:val="nil"/>
            </w:tcBorders>
            <w:shd w:val="clear" w:color="auto" w:fill="auto"/>
            <w:noWrap/>
            <w:vAlign w:val="center"/>
            <w:hideMark/>
          </w:tcPr>
          <w:p w14:paraId="1E54AB94"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Variable</w:t>
            </w:r>
          </w:p>
        </w:tc>
        <w:tc>
          <w:tcPr>
            <w:tcW w:w="2320" w:type="dxa"/>
            <w:gridSpan w:val="2"/>
            <w:tcBorders>
              <w:top w:val="single" w:sz="4" w:space="0" w:color="auto"/>
              <w:left w:val="nil"/>
              <w:bottom w:val="single" w:sz="4" w:space="0" w:color="auto"/>
              <w:right w:val="nil"/>
            </w:tcBorders>
            <w:shd w:val="clear" w:color="auto" w:fill="auto"/>
            <w:noWrap/>
            <w:vAlign w:val="center"/>
            <w:hideMark/>
          </w:tcPr>
          <w:p w14:paraId="3147136D"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All Investors (N=94,755)</w:t>
            </w:r>
          </w:p>
        </w:tc>
        <w:tc>
          <w:tcPr>
            <w:tcW w:w="1160" w:type="dxa"/>
            <w:tcBorders>
              <w:top w:val="single" w:sz="4" w:space="0" w:color="auto"/>
              <w:left w:val="nil"/>
              <w:bottom w:val="single" w:sz="4" w:space="0" w:color="auto"/>
              <w:right w:val="nil"/>
            </w:tcBorders>
            <w:shd w:val="clear" w:color="auto" w:fill="auto"/>
            <w:noWrap/>
            <w:vAlign w:val="center"/>
            <w:hideMark/>
          </w:tcPr>
          <w:p w14:paraId="0EC0FB17"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3081" w:type="dxa"/>
            <w:gridSpan w:val="3"/>
            <w:tcBorders>
              <w:top w:val="single" w:sz="4" w:space="0" w:color="auto"/>
              <w:left w:val="nil"/>
              <w:bottom w:val="single" w:sz="4" w:space="0" w:color="auto"/>
              <w:right w:val="nil"/>
            </w:tcBorders>
            <w:shd w:val="clear" w:color="auto" w:fill="auto"/>
            <w:noWrap/>
            <w:vAlign w:val="center"/>
            <w:hideMark/>
          </w:tcPr>
          <w:p w14:paraId="1C6D6791"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Our Sample (N=9,435)</w:t>
            </w:r>
          </w:p>
        </w:tc>
      </w:tr>
      <w:tr w:rsidR="003A4F79" w:rsidRPr="003A4F79" w14:paraId="370CBEE7" w14:textId="77777777" w:rsidTr="00653A28">
        <w:trPr>
          <w:trHeight w:val="255"/>
          <w:jc w:val="center"/>
        </w:trPr>
        <w:tc>
          <w:tcPr>
            <w:tcW w:w="3060" w:type="dxa"/>
            <w:vMerge/>
            <w:tcBorders>
              <w:top w:val="single" w:sz="4" w:space="0" w:color="auto"/>
              <w:left w:val="nil"/>
              <w:bottom w:val="single" w:sz="4" w:space="0" w:color="000000"/>
              <w:right w:val="nil"/>
            </w:tcBorders>
            <w:vAlign w:val="center"/>
            <w:hideMark/>
          </w:tcPr>
          <w:p w14:paraId="03FBD1C8"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p>
        </w:tc>
        <w:tc>
          <w:tcPr>
            <w:tcW w:w="1201" w:type="dxa"/>
            <w:tcBorders>
              <w:top w:val="single" w:sz="4" w:space="0" w:color="auto"/>
              <w:left w:val="nil"/>
              <w:bottom w:val="single" w:sz="4" w:space="0" w:color="auto"/>
              <w:right w:val="nil"/>
            </w:tcBorders>
            <w:shd w:val="clear" w:color="auto" w:fill="auto"/>
            <w:noWrap/>
            <w:vAlign w:val="center"/>
            <w:hideMark/>
          </w:tcPr>
          <w:p w14:paraId="6EAB9E73"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Mean</w:t>
            </w:r>
          </w:p>
        </w:tc>
        <w:tc>
          <w:tcPr>
            <w:tcW w:w="1119" w:type="dxa"/>
            <w:tcBorders>
              <w:top w:val="single" w:sz="4" w:space="0" w:color="auto"/>
              <w:left w:val="nil"/>
              <w:bottom w:val="single" w:sz="4" w:space="0" w:color="auto"/>
              <w:right w:val="nil"/>
            </w:tcBorders>
            <w:shd w:val="clear" w:color="auto" w:fill="auto"/>
            <w:noWrap/>
            <w:vAlign w:val="center"/>
            <w:hideMark/>
          </w:tcPr>
          <w:p w14:paraId="48EA95D7"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Std Dev</w:t>
            </w:r>
          </w:p>
        </w:tc>
        <w:tc>
          <w:tcPr>
            <w:tcW w:w="1160" w:type="dxa"/>
            <w:tcBorders>
              <w:top w:val="single" w:sz="4" w:space="0" w:color="auto"/>
              <w:left w:val="nil"/>
              <w:bottom w:val="single" w:sz="4" w:space="0" w:color="auto"/>
              <w:right w:val="nil"/>
            </w:tcBorders>
            <w:shd w:val="clear" w:color="auto" w:fill="auto"/>
            <w:noWrap/>
            <w:vAlign w:val="center"/>
            <w:hideMark/>
          </w:tcPr>
          <w:p w14:paraId="6A8340E1"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Skewness</w:t>
            </w:r>
          </w:p>
        </w:tc>
        <w:tc>
          <w:tcPr>
            <w:tcW w:w="1009" w:type="dxa"/>
            <w:tcBorders>
              <w:top w:val="single" w:sz="4" w:space="0" w:color="auto"/>
              <w:left w:val="nil"/>
              <w:bottom w:val="single" w:sz="4" w:space="0" w:color="auto"/>
              <w:right w:val="nil"/>
            </w:tcBorders>
            <w:shd w:val="clear" w:color="auto" w:fill="auto"/>
            <w:noWrap/>
            <w:vAlign w:val="center"/>
            <w:hideMark/>
          </w:tcPr>
          <w:p w14:paraId="485CE788"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Mean</w:t>
            </w:r>
          </w:p>
        </w:tc>
        <w:tc>
          <w:tcPr>
            <w:tcW w:w="940" w:type="dxa"/>
            <w:tcBorders>
              <w:top w:val="single" w:sz="4" w:space="0" w:color="auto"/>
              <w:left w:val="nil"/>
              <w:bottom w:val="single" w:sz="4" w:space="0" w:color="auto"/>
              <w:right w:val="nil"/>
            </w:tcBorders>
            <w:shd w:val="clear" w:color="auto" w:fill="auto"/>
            <w:noWrap/>
            <w:vAlign w:val="center"/>
            <w:hideMark/>
          </w:tcPr>
          <w:p w14:paraId="2F2B268C"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Std Dev</w:t>
            </w:r>
          </w:p>
        </w:tc>
        <w:tc>
          <w:tcPr>
            <w:tcW w:w="1132" w:type="dxa"/>
            <w:tcBorders>
              <w:top w:val="single" w:sz="4" w:space="0" w:color="auto"/>
              <w:left w:val="nil"/>
              <w:bottom w:val="single" w:sz="4" w:space="0" w:color="auto"/>
              <w:right w:val="nil"/>
            </w:tcBorders>
            <w:shd w:val="clear" w:color="auto" w:fill="auto"/>
            <w:noWrap/>
            <w:vAlign w:val="center"/>
            <w:hideMark/>
          </w:tcPr>
          <w:p w14:paraId="2572900B"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Skewness</w:t>
            </w:r>
          </w:p>
        </w:tc>
      </w:tr>
      <w:tr w:rsidR="003A4F79" w:rsidRPr="003A4F79" w14:paraId="68D53E9B" w14:textId="77777777" w:rsidTr="00653A28">
        <w:trPr>
          <w:trHeight w:val="255"/>
          <w:jc w:val="center"/>
        </w:trPr>
        <w:tc>
          <w:tcPr>
            <w:tcW w:w="9621" w:type="dxa"/>
            <w:gridSpan w:val="7"/>
            <w:tcBorders>
              <w:top w:val="single" w:sz="4" w:space="0" w:color="auto"/>
              <w:left w:val="nil"/>
              <w:bottom w:val="single" w:sz="4" w:space="0" w:color="auto"/>
              <w:right w:val="nil"/>
            </w:tcBorders>
            <w:shd w:val="clear" w:color="auto" w:fill="auto"/>
            <w:noWrap/>
            <w:hideMark/>
          </w:tcPr>
          <w:p w14:paraId="7F0473A3"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Demographics</w:t>
            </w:r>
          </w:p>
        </w:tc>
      </w:tr>
      <w:tr w:rsidR="003A4F79" w:rsidRPr="003A4F79" w14:paraId="2AF7C526"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57CFAD07"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Age</w:t>
            </w:r>
          </w:p>
        </w:tc>
        <w:tc>
          <w:tcPr>
            <w:tcW w:w="1201" w:type="dxa"/>
            <w:tcBorders>
              <w:top w:val="nil"/>
              <w:left w:val="nil"/>
              <w:bottom w:val="nil"/>
              <w:right w:val="nil"/>
            </w:tcBorders>
            <w:shd w:val="clear" w:color="auto" w:fill="auto"/>
            <w:noWrap/>
            <w:vAlign w:val="center"/>
            <w:hideMark/>
          </w:tcPr>
          <w:p w14:paraId="552DD4E3"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38.44</w:t>
            </w:r>
          </w:p>
        </w:tc>
        <w:tc>
          <w:tcPr>
            <w:tcW w:w="1119" w:type="dxa"/>
            <w:tcBorders>
              <w:top w:val="nil"/>
              <w:left w:val="nil"/>
              <w:bottom w:val="nil"/>
              <w:right w:val="nil"/>
            </w:tcBorders>
            <w:shd w:val="clear" w:color="auto" w:fill="auto"/>
            <w:noWrap/>
            <w:vAlign w:val="center"/>
            <w:hideMark/>
          </w:tcPr>
          <w:p w14:paraId="5A4CDF28"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17.95</w:t>
            </w:r>
          </w:p>
        </w:tc>
        <w:tc>
          <w:tcPr>
            <w:tcW w:w="1160" w:type="dxa"/>
            <w:tcBorders>
              <w:top w:val="nil"/>
              <w:left w:val="nil"/>
              <w:bottom w:val="nil"/>
              <w:right w:val="nil"/>
            </w:tcBorders>
            <w:shd w:val="clear" w:color="auto" w:fill="auto"/>
            <w:noWrap/>
            <w:vAlign w:val="center"/>
            <w:hideMark/>
          </w:tcPr>
          <w:p w14:paraId="5219E170"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-0.10</w:t>
            </w:r>
          </w:p>
        </w:tc>
        <w:tc>
          <w:tcPr>
            <w:tcW w:w="1009" w:type="dxa"/>
            <w:tcBorders>
              <w:top w:val="nil"/>
              <w:left w:val="nil"/>
              <w:bottom w:val="nil"/>
              <w:right w:val="nil"/>
            </w:tcBorders>
            <w:shd w:val="clear" w:color="auto" w:fill="auto"/>
            <w:noWrap/>
            <w:vAlign w:val="center"/>
            <w:hideMark/>
          </w:tcPr>
          <w:p w14:paraId="45EA72B5"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38.61</w:t>
            </w:r>
          </w:p>
        </w:tc>
        <w:tc>
          <w:tcPr>
            <w:tcW w:w="940" w:type="dxa"/>
            <w:tcBorders>
              <w:top w:val="nil"/>
              <w:left w:val="nil"/>
              <w:bottom w:val="nil"/>
              <w:right w:val="nil"/>
            </w:tcBorders>
            <w:shd w:val="clear" w:color="auto" w:fill="auto"/>
            <w:noWrap/>
            <w:vAlign w:val="center"/>
            <w:hideMark/>
          </w:tcPr>
          <w:p w14:paraId="4E3F6E9B"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16.07</w:t>
            </w:r>
          </w:p>
        </w:tc>
        <w:tc>
          <w:tcPr>
            <w:tcW w:w="1132" w:type="dxa"/>
            <w:tcBorders>
              <w:top w:val="nil"/>
              <w:left w:val="nil"/>
              <w:bottom w:val="nil"/>
              <w:right w:val="nil"/>
            </w:tcBorders>
            <w:shd w:val="clear" w:color="auto" w:fill="auto"/>
            <w:noWrap/>
            <w:vAlign w:val="center"/>
            <w:hideMark/>
          </w:tcPr>
          <w:p w14:paraId="72831CE0"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0.33</w:t>
            </w:r>
          </w:p>
        </w:tc>
      </w:tr>
      <w:tr w:rsidR="003A4F79" w:rsidRPr="003A4F79" w14:paraId="7DB50DE4"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7E52FB5F"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Female = 1</w:t>
            </w:r>
          </w:p>
        </w:tc>
        <w:tc>
          <w:tcPr>
            <w:tcW w:w="1201" w:type="dxa"/>
            <w:tcBorders>
              <w:top w:val="nil"/>
              <w:left w:val="nil"/>
              <w:bottom w:val="nil"/>
              <w:right w:val="nil"/>
            </w:tcBorders>
            <w:shd w:val="clear" w:color="auto" w:fill="auto"/>
            <w:noWrap/>
            <w:vAlign w:val="center"/>
            <w:hideMark/>
          </w:tcPr>
          <w:p w14:paraId="50827109"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0.34</w:t>
            </w:r>
          </w:p>
        </w:tc>
        <w:tc>
          <w:tcPr>
            <w:tcW w:w="1119" w:type="dxa"/>
            <w:tcBorders>
              <w:top w:val="nil"/>
              <w:left w:val="nil"/>
              <w:bottom w:val="nil"/>
              <w:right w:val="nil"/>
            </w:tcBorders>
            <w:shd w:val="clear" w:color="auto" w:fill="auto"/>
            <w:noWrap/>
            <w:vAlign w:val="center"/>
            <w:hideMark/>
          </w:tcPr>
          <w:p w14:paraId="3737341F"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w:t>
            </w:r>
          </w:p>
        </w:tc>
        <w:tc>
          <w:tcPr>
            <w:tcW w:w="1160" w:type="dxa"/>
            <w:tcBorders>
              <w:top w:val="nil"/>
              <w:left w:val="nil"/>
              <w:bottom w:val="nil"/>
              <w:right w:val="nil"/>
            </w:tcBorders>
            <w:shd w:val="clear" w:color="auto" w:fill="auto"/>
            <w:noWrap/>
            <w:vAlign w:val="center"/>
            <w:hideMark/>
          </w:tcPr>
          <w:p w14:paraId="5BD75889"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0.67</w:t>
            </w:r>
          </w:p>
        </w:tc>
        <w:tc>
          <w:tcPr>
            <w:tcW w:w="1009" w:type="dxa"/>
            <w:tcBorders>
              <w:top w:val="nil"/>
              <w:left w:val="nil"/>
              <w:bottom w:val="nil"/>
              <w:right w:val="nil"/>
            </w:tcBorders>
            <w:shd w:val="clear" w:color="auto" w:fill="auto"/>
            <w:noWrap/>
            <w:vAlign w:val="center"/>
            <w:hideMark/>
          </w:tcPr>
          <w:p w14:paraId="6F6C6059"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0.28</w:t>
            </w:r>
          </w:p>
        </w:tc>
        <w:tc>
          <w:tcPr>
            <w:tcW w:w="940" w:type="dxa"/>
            <w:tcBorders>
              <w:top w:val="nil"/>
              <w:left w:val="nil"/>
              <w:bottom w:val="nil"/>
              <w:right w:val="nil"/>
            </w:tcBorders>
            <w:shd w:val="clear" w:color="auto" w:fill="auto"/>
            <w:noWrap/>
            <w:vAlign w:val="center"/>
            <w:hideMark/>
          </w:tcPr>
          <w:p w14:paraId="2BB93BB5"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0.45</w:t>
            </w:r>
          </w:p>
        </w:tc>
        <w:tc>
          <w:tcPr>
            <w:tcW w:w="1132" w:type="dxa"/>
            <w:tcBorders>
              <w:top w:val="nil"/>
              <w:left w:val="nil"/>
              <w:bottom w:val="nil"/>
              <w:right w:val="nil"/>
            </w:tcBorders>
            <w:shd w:val="clear" w:color="auto" w:fill="auto"/>
            <w:noWrap/>
            <w:vAlign w:val="center"/>
            <w:hideMark/>
          </w:tcPr>
          <w:p w14:paraId="7C344E84"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0.96</w:t>
            </w:r>
          </w:p>
        </w:tc>
      </w:tr>
      <w:tr w:rsidR="003A4F79" w:rsidRPr="003A4F79" w14:paraId="0CC1CB75"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25E2F26B"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Helsinki=1</w:t>
            </w:r>
          </w:p>
        </w:tc>
        <w:tc>
          <w:tcPr>
            <w:tcW w:w="1201" w:type="dxa"/>
            <w:tcBorders>
              <w:top w:val="nil"/>
              <w:left w:val="nil"/>
              <w:bottom w:val="nil"/>
              <w:right w:val="nil"/>
            </w:tcBorders>
            <w:shd w:val="clear" w:color="auto" w:fill="auto"/>
            <w:noWrap/>
            <w:vAlign w:val="center"/>
            <w:hideMark/>
          </w:tcPr>
          <w:p w14:paraId="0E7ABFD3"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0.25</w:t>
            </w:r>
          </w:p>
        </w:tc>
        <w:tc>
          <w:tcPr>
            <w:tcW w:w="1119" w:type="dxa"/>
            <w:tcBorders>
              <w:top w:val="nil"/>
              <w:left w:val="nil"/>
              <w:bottom w:val="nil"/>
              <w:right w:val="nil"/>
            </w:tcBorders>
            <w:shd w:val="clear" w:color="auto" w:fill="auto"/>
            <w:noWrap/>
            <w:vAlign w:val="center"/>
            <w:hideMark/>
          </w:tcPr>
          <w:p w14:paraId="161DCA09"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0.43</w:t>
            </w:r>
          </w:p>
        </w:tc>
        <w:tc>
          <w:tcPr>
            <w:tcW w:w="1160" w:type="dxa"/>
            <w:tcBorders>
              <w:top w:val="nil"/>
              <w:left w:val="nil"/>
              <w:bottom w:val="nil"/>
              <w:right w:val="nil"/>
            </w:tcBorders>
            <w:shd w:val="clear" w:color="auto" w:fill="auto"/>
            <w:noWrap/>
            <w:vAlign w:val="center"/>
            <w:hideMark/>
          </w:tcPr>
          <w:p w14:paraId="0FDC8095"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1.15</w:t>
            </w:r>
          </w:p>
        </w:tc>
        <w:tc>
          <w:tcPr>
            <w:tcW w:w="1009" w:type="dxa"/>
            <w:tcBorders>
              <w:top w:val="nil"/>
              <w:left w:val="nil"/>
              <w:bottom w:val="nil"/>
              <w:right w:val="nil"/>
            </w:tcBorders>
            <w:shd w:val="clear" w:color="auto" w:fill="auto"/>
            <w:noWrap/>
            <w:vAlign w:val="center"/>
            <w:hideMark/>
          </w:tcPr>
          <w:p w14:paraId="193D8848"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0.25</w:t>
            </w:r>
          </w:p>
        </w:tc>
        <w:tc>
          <w:tcPr>
            <w:tcW w:w="940" w:type="dxa"/>
            <w:tcBorders>
              <w:top w:val="nil"/>
              <w:left w:val="nil"/>
              <w:bottom w:val="nil"/>
              <w:right w:val="nil"/>
            </w:tcBorders>
            <w:shd w:val="clear" w:color="auto" w:fill="auto"/>
            <w:noWrap/>
            <w:vAlign w:val="center"/>
            <w:hideMark/>
          </w:tcPr>
          <w:p w14:paraId="68A1F5D0"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0.43</w:t>
            </w:r>
          </w:p>
        </w:tc>
        <w:tc>
          <w:tcPr>
            <w:tcW w:w="1132" w:type="dxa"/>
            <w:tcBorders>
              <w:top w:val="nil"/>
              <w:left w:val="nil"/>
              <w:bottom w:val="nil"/>
              <w:right w:val="nil"/>
            </w:tcBorders>
            <w:shd w:val="clear" w:color="auto" w:fill="auto"/>
            <w:noWrap/>
            <w:vAlign w:val="center"/>
            <w:hideMark/>
          </w:tcPr>
          <w:p w14:paraId="28602D97"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1.12</w:t>
            </w:r>
          </w:p>
        </w:tc>
      </w:tr>
      <w:tr w:rsidR="003A4F79" w:rsidRPr="003A4F79" w14:paraId="2D99F861"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01A6F391"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WelthyZip=1</w:t>
            </w:r>
          </w:p>
        </w:tc>
        <w:tc>
          <w:tcPr>
            <w:tcW w:w="1201" w:type="dxa"/>
            <w:tcBorders>
              <w:top w:val="nil"/>
              <w:left w:val="nil"/>
              <w:bottom w:val="nil"/>
              <w:right w:val="nil"/>
            </w:tcBorders>
            <w:shd w:val="clear" w:color="auto" w:fill="auto"/>
            <w:noWrap/>
            <w:vAlign w:val="center"/>
            <w:hideMark/>
          </w:tcPr>
          <w:p w14:paraId="7CDAADA8"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0.34</w:t>
            </w:r>
          </w:p>
        </w:tc>
        <w:tc>
          <w:tcPr>
            <w:tcW w:w="1119" w:type="dxa"/>
            <w:tcBorders>
              <w:top w:val="nil"/>
              <w:left w:val="nil"/>
              <w:bottom w:val="nil"/>
              <w:right w:val="nil"/>
            </w:tcBorders>
            <w:shd w:val="clear" w:color="auto" w:fill="auto"/>
            <w:noWrap/>
            <w:vAlign w:val="center"/>
            <w:hideMark/>
          </w:tcPr>
          <w:p w14:paraId="6C44F7C5"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w:t>
            </w:r>
          </w:p>
        </w:tc>
        <w:tc>
          <w:tcPr>
            <w:tcW w:w="1160" w:type="dxa"/>
            <w:tcBorders>
              <w:top w:val="nil"/>
              <w:left w:val="nil"/>
              <w:bottom w:val="nil"/>
              <w:right w:val="nil"/>
            </w:tcBorders>
            <w:shd w:val="clear" w:color="auto" w:fill="auto"/>
            <w:noWrap/>
            <w:vAlign w:val="center"/>
            <w:hideMark/>
          </w:tcPr>
          <w:p w14:paraId="2CE241F8"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0.64</w:t>
            </w:r>
          </w:p>
        </w:tc>
        <w:tc>
          <w:tcPr>
            <w:tcW w:w="1009" w:type="dxa"/>
            <w:tcBorders>
              <w:top w:val="nil"/>
              <w:left w:val="nil"/>
              <w:bottom w:val="nil"/>
              <w:right w:val="nil"/>
            </w:tcBorders>
            <w:shd w:val="clear" w:color="auto" w:fill="auto"/>
            <w:noWrap/>
            <w:vAlign w:val="center"/>
            <w:hideMark/>
          </w:tcPr>
          <w:p w14:paraId="7F09953E"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0.34</w:t>
            </w:r>
          </w:p>
        </w:tc>
        <w:tc>
          <w:tcPr>
            <w:tcW w:w="940" w:type="dxa"/>
            <w:tcBorders>
              <w:top w:val="nil"/>
              <w:left w:val="nil"/>
              <w:bottom w:val="nil"/>
              <w:right w:val="nil"/>
            </w:tcBorders>
            <w:shd w:val="clear" w:color="auto" w:fill="auto"/>
            <w:noWrap/>
            <w:vAlign w:val="center"/>
            <w:hideMark/>
          </w:tcPr>
          <w:p w14:paraId="2DAF56AC"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w:t>
            </w:r>
          </w:p>
        </w:tc>
        <w:tc>
          <w:tcPr>
            <w:tcW w:w="1132" w:type="dxa"/>
            <w:tcBorders>
              <w:top w:val="nil"/>
              <w:left w:val="nil"/>
              <w:bottom w:val="nil"/>
              <w:right w:val="nil"/>
            </w:tcBorders>
            <w:shd w:val="clear" w:color="auto" w:fill="auto"/>
            <w:noWrap/>
            <w:vAlign w:val="center"/>
            <w:hideMark/>
          </w:tcPr>
          <w:p w14:paraId="3A9CD4BC"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0.66</w:t>
            </w:r>
          </w:p>
        </w:tc>
      </w:tr>
      <w:tr w:rsidR="003A4F79" w:rsidRPr="003A4F79" w14:paraId="052F5145" w14:textId="77777777" w:rsidTr="00653A28">
        <w:trPr>
          <w:trHeight w:val="255"/>
          <w:jc w:val="center"/>
        </w:trPr>
        <w:tc>
          <w:tcPr>
            <w:tcW w:w="9621" w:type="dxa"/>
            <w:gridSpan w:val="7"/>
            <w:tcBorders>
              <w:top w:val="single" w:sz="4" w:space="0" w:color="auto"/>
              <w:left w:val="nil"/>
              <w:bottom w:val="single" w:sz="4" w:space="0" w:color="auto"/>
              <w:right w:val="nil"/>
            </w:tcBorders>
            <w:shd w:val="clear" w:color="auto" w:fill="auto"/>
            <w:noWrap/>
            <w:hideMark/>
          </w:tcPr>
          <w:p w14:paraId="06DA710A"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Investment during the entire sample period (January 1995 to December 2003)</w:t>
            </w:r>
          </w:p>
        </w:tc>
      </w:tr>
      <w:tr w:rsidR="003A4F79" w:rsidRPr="003A4F79" w14:paraId="6C24461C" w14:textId="77777777" w:rsidTr="00653A28">
        <w:trPr>
          <w:trHeight w:val="255"/>
          <w:jc w:val="center"/>
        </w:trPr>
        <w:tc>
          <w:tcPr>
            <w:tcW w:w="3060" w:type="dxa"/>
            <w:tcBorders>
              <w:top w:val="nil"/>
              <w:left w:val="nil"/>
              <w:bottom w:val="nil"/>
              <w:right w:val="nil"/>
            </w:tcBorders>
            <w:shd w:val="clear" w:color="auto" w:fill="auto"/>
            <w:noWrap/>
            <w:hideMark/>
          </w:tcPr>
          <w:p w14:paraId="034D863B"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Number of stocks traded</w:t>
            </w:r>
          </w:p>
        </w:tc>
        <w:tc>
          <w:tcPr>
            <w:tcW w:w="1201" w:type="dxa"/>
            <w:tcBorders>
              <w:top w:val="nil"/>
              <w:left w:val="nil"/>
              <w:bottom w:val="nil"/>
              <w:right w:val="nil"/>
            </w:tcBorders>
            <w:shd w:val="clear" w:color="auto" w:fill="auto"/>
            <w:noWrap/>
            <w:vAlign w:val="center"/>
            <w:hideMark/>
          </w:tcPr>
          <w:p w14:paraId="502347D2"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2.7</w:t>
            </w:r>
          </w:p>
        </w:tc>
        <w:tc>
          <w:tcPr>
            <w:tcW w:w="1119" w:type="dxa"/>
            <w:tcBorders>
              <w:top w:val="nil"/>
              <w:left w:val="nil"/>
              <w:bottom w:val="nil"/>
              <w:right w:val="nil"/>
            </w:tcBorders>
            <w:shd w:val="clear" w:color="auto" w:fill="auto"/>
            <w:noWrap/>
            <w:vAlign w:val="center"/>
            <w:hideMark/>
          </w:tcPr>
          <w:p w14:paraId="74871A94"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3.1</w:t>
            </w:r>
          </w:p>
        </w:tc>
        <w:tc>
          <w:tcPr>
            <w:tcW w:w="1160" w:type="dxa"/>
            <w:tcBorders>
              <w:top w:val="nil"/>
              <w:left w:val="nil"/>
              <w:bottom w:val="nil"/>
              <w:right w:val="nil"/>
            </w:tcBorders>
            <w:shd w:val="clear" w:color="auto" w:fill="auto"/>
            <w:noWrap/>
            <w:vAlign w:val="center"/>
            <w:hideMark/>
          </w:tcPr>
          <w:p w14:paraId="7E13A80F"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4.12</w:t>
            </w:r>
          </w:p>
        </w:tc>
        <w:tc>
          <w:tcPr>
            <w:tcW w:w="1009" w:type="dxa"/>
            <w:tcBorders>
              <w:top w:val="nil"/>
              <w:left w:val="nil"/>
              <w:bottom w:val="nil"/>
              <w:right w:val="nil"/>
            </w:tcBorders>
            <w:shd w:val="clear" w:color="auto" w:fill="auto"/>
            <w:noWrap/>
            <w:vAlign w:val="center"/>
            <w:hideMark/>
          </w:tcPr>
          <w:p w14:paraId="532330DF"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2.33</w:t>
            </w:r>
          </w:p>
        </w:tc>
        <w:tc>
          <w:tcPr>
            <w:tcW w:w="940" w:type="dxa"/>
            <w:tcBorders>
              <w:top w:val="nil"/>
              <w:left w:val="nil"/>
              <w:bottom w:val="nil"/>
              <w:right w:val="nil"/>
            </w:tcBorders>
            <w:shd w:val="clear" w:color="auto" w:fill="auto"/>
            <w:noWrap/>
            <w:vAlign w:val="center"/>
            <w:hideMark/>
          </w:tcPr>
          <w:p w14:paraId="0816CABC"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2.71</w:t>
            </w:r>
          </w:p>
        </w:tc>
        <w:tc>
          <w:tcPr>
            <w:tcW w:w="1132" w:type="dxa"/>
            <w:tcBorders>
              <w:top w:val="nil"/>
              <w:left w:val="nil"/>
              <w:bottom w:val="nil"/>
              <w:right w:val="nil"/>
            </w:tcBorders>
            <w:shd w:val="clear" w:color="auto" w:fill="auto"/>
            <w:noWrap/>
            <w:vAlign w:val="center"/>
            <w:hideMark/>
          </w:tcPr>
          <w:p w14:paraId="6D6C3B1A"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4.24</w:t>
            </w:r>
          </w:p>
        </w:tc>
      </w:tr>
      <w:tr w:rsidR="003A4F79" w:rsidRPr="003A4F79" w14:paraId="4C512CE7"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46A28F24"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Number of trades</w:t>
            </w:r>
          </w:p>
        </w:tc>
        <w:tc>
          <w:tcPr>
            <w:tcW w:w="1201" w:type="dxa"/>
            <w:tcBorders>
              <w:top w:val="nil"/>
              <w:left w:val="nil"/>
              <w:bottom w:val="nil"/>
              <w:right w:val="nil"/>
            </w:tcBorders>
            <w:shd w:val="clear" w:color="auto" w:fill="auto"/>
            <w:noWrap/>
            <w:vAlign w:val="center"/>
            <w:hideMark/>
          </w:tcPr>
          <w:p w14:paraId="655A325D"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7.57</w:t>
            </w:r>
          </w:p>
        </w:tc>
        <w:tc>
          <w:tcPr>
            <w:tcW w:w="1119" w:type="dxa"/>
            <w:tcBorders>
              <w:top w:val="nil"/>
              <w:left w:val="nil"/>
              <w:bottom w:val="nil"/>
              <w:right w:val="nil"/>
            </w:tcBorders>
            <w:shd w:val="clear" w:color="auto" w:fill="auto"/>
            <w:noWrap/>
            <w:vAlign w:val="center"/>
            <w:hideMark/>
          </w:tcPr>
          <w:p w14:paraId="504B1544"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18.16</w:t>
            </w:r>
          </w:p>
        </w:tc>
        <w:tc>
          <w:tcPr>
            <w:tcW w:w="1160" w:type="dxa"/>
            <w:tcBorders>
              <w:top w:val="nil"/>
              <w:left w:val="nil"/>
              <w:bottom w:val="nil"/>
              <w:right w:val="nil"/>
            </w:tcBorders>
            <w:shd w:val="clear" w:color="auto" w:fill="auto"/>
            <w:noWrap/>
            <w:vAlign w:val="center"/>
            <w:hideMark/>
          </w:tcPr>
          <w:p w14:paraId="6B7BB8BA"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18.73</w:t>
            </w:r>
          </w:p>
        </w:tc>
        <w:tc>
          <w:tcPr>
            <w:tcW w:w="1009" w:type="dxa"/>
            <w:tcBorders>
              <w:top w:val="nil"/>
              <w:left w:val="nil"/>
              <w:bottom w:val="nil"/>
              <w:right w:val="nil"/>
            </w:tcBorders>
            <w:shd w:val="clear" w:color="auto" w:fill="auto"/>
            <w:noWrap/>
            <w:vAlign w:val="center"/>
            <w:hideMark/>
          </w:tcPr>
          <w:p w14:paraId="046AAE69"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9.19</w:t>
            </w:r>
          </w:p>
        </w:tc>
        <w:tc>
          <w:tcPr>
            <w:tcW w:w="940" w:type="dxa"/>
            <w:tcBorders>
              <w:top w:val="nil"/>
              <w:left w:val="nil"/>
              <w:bottom w:val="nil"/>
              <w:right w:val="nil"/>
            </w:tcBorders>
            <w:shd w:val="clear" w:color="auto" w:fill="auto"/>
            <w:noWrap/>
            <w:vAlign w:val="center"/>
            <w:hideMark/>
          </w:tcPr>
          <w:p w14:paraId="0BB1A8EC"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19.18</w:t>
            </w:r>
          </w:p>
        </w:tc>
        <w:tc>
          <w:tcPr>
            <w:tcW w:w="1132" w:type="dxa"/>
            <w:tcBorders>
              <w:top w:val="nil"/>
              <w:left w:val="nil"/>
              <w:bottom w:val="nil"/>
              <w:right w:val="nil"/>
            </w:tcBorders>
            <w:shd w:val="clear" w:color="auto" w:fill="auto"/>
            <w:noWrap/>
            <w:vAlign w:val="center"/>
            <w:hideMark/>
          </w:tcPr>
          <w:p w14:paraId="39AA10BE"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14.53</w:t>
            </w:r>
          </w:p>
        </w:tc>
      </w:tr>
      <w:tr w:rsidR="003A4F79" w:rsidRPr="003A4F79" w14:paraId="04F17253"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613478A0"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lastRenderedPageBreak/>
              <w:t>Number of years with trades</w:t>
            </w:r>
          </w:p>
        </w:tc>
        <w:tc>
          <w:tcPr>
            <w:tcW w:w="1201" w:type="dxa"/>
            <w:tcBorders>
              <w:top w:val="nil"/>
              <w:left w:val="nil"/>
              <w:bottom w:val="nil"/>
              <w:right w:val="nil"/>
            </w:tcBorders>
            <w:shd w:val="clear" w:color="auto" w:fill="auto"/>
            <w:noWrap/>
            <w:vAlign w:val="center"/>
            <w:hideMark/>
          </w:tcPr>
          <w:p w14:paraId="350482BE"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1.82</w:t>
            </w:r>
          </w:p>
        </w:tc>
        <w:tc>
          <w:tcPr>
            <w:tcW w:w="1119" w:type="dxa"/>
            <w:tcBorders>
              <w:top w:val="nil"/>
              <w:left w:val="nil"/>
              <w:bottom w:val="nil"/>
              <w:right w:val="nil"/>
            </w:tcBorders>
            <w:shd w:val="clear" w:color="auto" w:fill="auto"/>
            <w:noWrap/>
            <w:vAlign w:val="center"/>
            <w:hideMark/>
          </w:tcPr>
          <w:p w14:paraId="09188D17"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1.07</w:t>
            </w:r>
          </w:p>
        </w:tc>
        <w:tc>
          <w:tcPr>
            <w:tcW w:w="1160" w:type="dxa"/>
            <w:tcBorders>
              <w:top w:val="nil"/>
              <w:left w:val="nil"/>
              <w:bottom w:val="nil"/>
              <w:right w:val="nil"/>
            </w:tcBorders>
            <w:shd w:val="clear" w:color="auto" w:fill="auto"/>
            <w:noWrap/>
            <w:vAlign w:val="center"/>
            <w:hideMark/>
          </w:tcPr>
          <w:p w14:paraId="0DE96B93"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1.52</w:t>
            </w:r>
          </w:p>
        </w:tc>
        <w:tc>
          <w:tcPr>
            <w:tcW w:w="1009" w:type="dxa"/>
            <w:tcBorders>
              <w:top w:val="nil"/>
              <w:left w:val="nil"/>
              <w:bottom w:val="nil"/>
              <w:right w:val="nil"/>
            </w:tcBorders>
            <w:shd w:val="clear" w:color="auto" w:fill="auto"/>
            <w:noWrap/>
            <w:vAlign w:val="center"/>
            <w:hideMark/>
          </w:tcPr>
          <w:p w14:paraId="4ED08D11"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2.21</w:t>
            </w:r>
          </w:p>
        </w:tc>
        <w:tc>
          <w:tcPr>
            <w:tcW w:w="940" w:type="dxa"/>
            <w:tcBorders>
              <w:top w:val="nil"/>
              <w:left w:val="nil"/>
              <w:bottom w:val="nil"/>
              <w:right w:val="nil"/>
            </w:tcBorders>
            <w:shd w:val="clear" w:color="auto" w:fill="auto"/>
            <w:noWrap/>
            <w:vAlign w:val="center"/>
            <w:hideMark/>
          </w:tcPr>
          <w:p w14:paraId="31C09487"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1.14</w:t>
            </w:r>
          </w:p>
        </w:tc>
        <w:tc>
          <w:tcPr>
            <w:tcW w:w="1132" w:type="dxa"/>
            <w:tcBorders>
              <w:top w:val="nil"/>
              <w:left w:val="nil"/>
              <w:bottom w:val="nil"/>
              <w:right w:val="nil"/>
            </w:tcBorders>
            <w:shd w:val="clear" w:color="auto" w:fill="auto"/>
            <w:noWrap/>
            <w:vAlign w:val="center"/>
            <w:hideMark/>
          </w:tcPr>
          <w:p w14:paraId="440EC03B"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1.57</w:t>
            </w:r>
          </w:p>
        </w:tc>
      </w:tr>
      <w:tr w:rsidR="003A4F79" w:rsidRPr="003A4F79" w14:paraId="71E3827C"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3DBB9A4B" w14:textId="08F1F8CF"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Average EUR value of trades</w:t>
            </w:r>
            <w:r w:rsidR="001B1723" w:rsidRPr="003A4F79">
              <w:rPr>
                <w:rFonts w:ascii="Times New Roman" w:eastAsia="Times New Roman" w:hAnsi="Times New Roman" w:cs="Times New Roman"/>
                <w:sz w:val="20"/>
                <w:szCs w:val="20"/>
                <w:lang w:val="en-GB" w:eastAsia="ko-KR"/>
              </w:rPr>
              <w:t xml:space="preserve"> (log)</w:t>
            </w:r>
          </w:p>
        </w:tc>
        <w:tc>
          <w:tcPr>
            <w:tcW w:w="1201" w:type="dxa"/>
            <w:tcBorders>
              <w:top w:val="nil"/>
              <w:left w:val="nil"/>
              <w:bottom w:val="nil"/>
              <w:right w:val="nil"/>
            </w:tcBorders>
            <w:shd w:val="clear" w:color="auto" w:fill="auto"/>
            <w:noWrap/>
            <w:vAlign w:val="center"/>
            <w:hideMark/>
          </w:tcPr>
          <w:p w14:paraId="611AF54D"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3.37</w:t>
            </w:r>
          </w:p>
        </w:tc>
        <w:tc>
          <w:tcPr>
            <w:tcW w:w="1119" w:type="dxa"/>
            <w:tcBorders>
              <w:top w:val="nil"/>
              <w:left w:val="nil"/>
              <w:bottom w:val="nil"/>
              <w:right w:val="nil"/>
            </w:tcBorders>
            <w:shd w:val="clear" w:color="auto" w:fill="auto"/>
            <w:noWrap/>
            <w:vAlign w:val="center"/>
            <w:hideMark/>
          </w:tcPr>
          <w:p w14:paraId="624184CE"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3.61</w:t>
            </w:r>
          </w:p>
        </w:tc>
        <w:tc>
          <w:tcPr>
            <w:tcW w:w="1160" w:type="dxa"/>
            <w:tcBorders>
              <w:top w:val="nil"/>
              <w:left w:val="nil"/>
              <w:bottom w:val="nil"/>
              <w:right w:val="nil"/>
            </w:tcBorders>
            <w:shd w:val="clear" w:color="auto" w:fill="auto"/>
            <w:noWrap/>
            <w:vAlign w:val="center"/>
            <w:hideMark/>
          </w:tcPr>
          <w:p w14:paraId="0690BA04"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w:t>
            </w:r>
          </w:p>
        </w:tc>
        <w:tc>
          <w:tcPr>
            <w:tcW w:w="1009" w:type="dxa"/>
            <w:tcBorders>
              <w:top w:val="nil"/>
              <w:left w:val="nil"/>
              <w:bottom w:val="nil"/>
              <w:right w:val="nil"/>
            </w:tcBorders>
            <w:shd w:val="clear" w:color="auto" w:fill="auto"/>
            <w:noWrap/>
            <w:vAlign w:val="center"/>
            <w:hideMark/>
          </w:tcPr>
          <w:p w14:paraId="793CE37F"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3.45</w:t>
            </w:r>
          </w:p>
        </w:tc>
        <w:tc>
          <w:tcPr>
            <w:tcW w:w="940" w:type="dxa"/>
            <w:tcBorders>
              <w:top w:val="nil"/>
              <w:left w:val="nil"/>
              <w:bottom w:val="nil"/>
              <w:right w:val="nil"/>
            </w:tcBorders>
            <w:shd w:val="clear" w:color="auto" w:fill="auto"/>
            <w:noWrap/>
            <w:vAlign w:val="center"/>
            <w:hideMark/>
          </w:tcPr>
          <w:p w14:paraId="2FF07A3F"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3.73</w:t>
            </w:r>
          </w:p>
        </w:tc>
        <w:tc>
          <w:tcPr>
            <w:tcW w:w="1132" w:type="dxa"/>
            <w:tcBorders>
              <w:top w:val="nil"/>
              <w:left w:val="nil"/>
              <w:bottom w:val="nil"/>
              <w:right w:val="nil"/>
            </w:tcBorders>
            <w:shd w:val="clear" w:color="auto" w:fill="auto"/>
            <w:noWrap/>
            <w:vAlign w:val="center"/>
            <w:hideMark/>
          </w:tcPr>
          <w:p w14:paraId="378E8726"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1.02</w:t>
            </w:r>
          </w:p>
        </w:tc>
      </w:tr>
      <w:tr w:rsidR="003A4F79" w:rsidRPr="003A4F79" w14:paraId="511C02BB"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4011CC67"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Option trade = 1</w:t>
            </w:r>
          </w:p>
        </w:tc>
        <w:tc>
          <w:tcPr>
            <w:tcW w:w="1201" w:type="dxa"/>
            <w:tcBorders>
              <w:top w:val="nil"/>
              <w:left w:val="nil"/>
              <w:bottom w:val="nil"/>
              <w:right w:val="nil"/>
            </w:tcBorders>
            <w:shd w:val="clear" w:color="auto" w:fill="auto"/>
            <w:noWrap/>
            <w:vAlign w:val="center"/>
            <w:hideMark/>
          </w:tcPr>
          <w:p w14:paraId="05DB60EA"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0.01</w:t>
            </w:r>
          </w:p>
        </w:tc>
        <w:tc>
          <w:tcPr>
            <w:tcW w:w="1119" w:type="dxa"/>
            <w:tcBorders>
              <w:top w:val="nil"/>
              <w:left w:val="nil"/>
              <w:bottom w:val="nil"/>
              <w:right w:val="nil"/>
            </w:tcBorders>
            <w:shd w:val="clear" w:color="auto" w:fill="auto"/>
            <w:noWrap/>
            <w:vAlign w:val="center"/>
            <w:hideMark/>
          </w:tcPr>
          <w:p w14:paraId="4C21AE26"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0.10</w:t>
            </w:r>
          </w:p>
        </w:tc>
        <w:tc>
          <w:tcPr>
            <w:tcW w:w="1160" w:type="dxa"/>
            <w:tcBorders>
              <w:top w:val="nil"/>
              <w:left w:val="nil"/>
              <w:bottom w:val="nil"/>
              <w:right w:val="nil"/>
            </w:tcBorders>
            <w:shd w:val="clear" w:color="auto" w:fill="auto"/>
            <w:noWrap/>
            <w:vAlign w:val="center"/>
            <w:hideMark/>
          </w:tcPr>
          <w:p w14:paraId="4322CA09"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9.26</w:t>
            </w:r>
          </w:p>
        </w:tc>
        <w:tc>
          <w:tcPr>
            <w:tcW w:w="1009" w:type="dxa"/>
            <w:tcBorders>
              <w:top w:val="nil"/>
              <w:left w:val="nil"/>
              <w:bottom w:val="nil"/>
              <w:right w:val="nil"/>
            </w:tcBorders>
            <w:shd w:val="clear" w:color="auto" w:fill="auto"/>
            <w:noWrap/>
            <w:vAlign w:val="center"/>
            <w:hideMark/>
          </w:tcPr>
          <w:p w14:paraId="28AD9A21"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0.01</w:t>
            </w:r>
          </w:p>
        </w:tc>
        <w:tc>
          <w:tcPr>
            <w:tcW w:w="940" w:type="dxa"/>
            <w:tcBorders>
              <w:top w:val="nil"/>
              <w:left w:val="nil"/>
              <w:bottom w:val="nil"/>
              <w:right w:val="nil"/>
            </w:tcBorders>
            <w:shd w:val="clear" w:color="auto" w:fill="auto"/>
            <w:noWrap/>
            <w:vAlign w:val="center"/>
            <w:hideMark/>
          </w:tcPr>
          <w:p w14:paraId="26FEBC2E"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0.11</w:t>
            </w:r>
          </w:p>
        </w:tc>
        <w:tc>
          <w:tcPr>
            <w:tcW w:w="1132" w:type="dxa"/>
            <w:tcBorders>
              <w:top w:val="nil"/>
              <w:left w:val="nil"/>
              <w:bottom w:val="nil"/>
              <w:right w:val="nil"/>
            </w:tcBorders>
            <w:shd w:val="clear" w:color="auto" w:fill="auto"/>
            <w:noWrap/>
            <w:vAlign w:val="center"/>
            <w:hideMark/>
          </w:tcPr>
          <w:p w14:paraId="15860289"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8.64</w:t>
            </w:r>
          </w:p>
        </w:tc>
      </w:tr>
      <w:tr w:rsidR="003A4F79" w:rsidRPr="003A4F79" w14:paraId="69529095" w14:textId="77777777" w:rsidTr="00653A28">
        <w:trPr>
          <w:trHeight w:val="255"/>
          <w:jc w:val="center"/>
        </w:trPr>
        <w:tc>
          <w:tcPr>
            <w:tcW w:w="3060" w:type="dxa"/>
            <w:tcBorders>
              <w:top w:val="nil"/>
              <w:left w:val="nil"/>
              <w:bottom w:val="single" w:sz="4" w:space="0" w:color="auto"/>
              <w:right w:val="nil"/>
            </w:tcBorders>
            <w:shd w:val="clear" w:color="auto" w:fill="auto"/>
            <w:noWrap/>
            <w:vAlign w:val="bottom"/>
            <w:hideMark/>
          </w:tcPr>
          <w:p w14:paraId="3AA1AC48"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Inheritance = 1</w:t>
            </w:r>
          </w:p>
        </w:tc>
        <w:tc>
          <w:tcPr>
            <w:tcW w:w="1201" w:type="dxa"/>
            <w:tcBorders>
              <w:top w:val="nil"/>
              <w:left w:val="nil"/>
              <w:bottom w:val="single" w:sz="4" w:space="0" w:color="auto"/>
              <w:right w:val="nil"/>
            </w:tcBorders>
            <w:shd w:val="clear" w:color="auto" w:fill="auto"/>
            <w:noWrap/>
            <w:vAlign w:val="center"/>
            <w:hideMark/>
          </w:tcPr>
          <w:p w14:paraId="675B12A8"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0.01</w:t>
            </w:r>
          </w:p>
        </w:tc>
        <w:tc>
          <w:tcPr>
            <w:tcW w:w="1119" w:type="dxa"/>
            <w:tcBorders>
              <w:top w:val="nil"/>
              <w:left w:val="nil"/>
              <w:bottom w:val="single" w:sz="4" w:space="0" w:color="auto"/>
              <w:right w:val="nil"/>
            </w:tcBorders>
            <w:shd w:val="clear" w:color="auto" w:fill="auto"/>
            <w:noWrap/>
            <w:vAlign w:val="center"/>
            <w:hideMark/>
          </w:tcPr>
          <w:p w14:paraId="2BE7A255"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0.11</w:t>
            </w:r>
          </w:p>
        </w:tc>
        <w:tc>
          <w:tcPr>
            <w:tcW w:w="1160" w:type="dxa"/>
            <w:tcBorders>
              <w:top w:val="nil"/>
              <w:left w:val="nil"/>
              <w:bottom w:val="single" w:sz="4" w:space="0" w:color="auto"/>
              <w:right w:val="nil"/>
            </w:tcBorders>
            <w:shd w:val="clear" w:color="auto" w:fill="auto"/>
            <w:noWrap/>
            <w:vAlign w:val="center"/>
            <w:hideMark/>
          </w:tcPr>
          <w:p w14:paraId="704B4E8C"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8.31</w:t>
            </w:r>
          </w:p>
        </w:tc>
        <w:tc>
          <w:tcPr>
            <w:tcW w:w="1009" w:type="dxa"/>
            <w:tcBorders>
              <w:top w:val="nil"/>
              <w:left w:val="nil"/>
              <w:bottom w:val="single" w:sz="4" w:space="0" w:color="auto"/>
              <w:right w:val="nil"/>
            </w:tcBorders>
            <w:shd w:val="clear" w:color="auto" w:fill="auto"/>
            <w:noWrap/>
            <w:vAlign w:val="center"/>
            <w:hideMark/>
          </w:tcPr>
          <w:p w14:paraId="14114F7E"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0.01</w:t>
            </w:r>
          </w:p>
        </w:tc>
        <w:tc>
          <w:tcPr>
            <w:tcW w:w="940" w:type="dxa"/>
            <w:tcBorders>
              <w:top w:val="nil"/>
              <w:left w:val="nil"/>
              <w:bottom w:val="single" w:sz="4" w:space="0" w:color="auto"/>
              <w:right w:val="nil"/>
            </w:tcBorders>
            <w:shd w:val="clear" w:color="auto" w:fill="auto"/>
            <w:noWrap/>
            <w:vAlign w:val="center"/>
            <w:hideMark/>
          </w:tcPr>
          <w:p w14:paraId="77234759"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0.08</w:t>
            </w:r>
          </w:p>
        </w:tc>
        <w:tc>
          <w:tcPr>
            <w:tcW w:w="1132" w:type="dxa"/>
            <w:tcBorders>
              <w:top w:val="nil"/>
              <w:left w:val="nil"/>
              <w:bottom w:val="single" w:sz="4" w:space="0" w:color="auto"/>
              <w:right w:val="nil"/>
            </w:tcBorders>
            <w:shd w:val="clear" w:color="auto" w:fill="auto"/>
            <w:noWrap/>
            <w:vAlign w:val="center"/>
            <w:hideMark/>
          </w:tcPr>
          <w:p w14:paraId="1F75127A"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11.10</w:t>
            </w:r>
          </w:p>
        </w:tc>
      </w:tr>
      <w:tr w:rsidR="003A4F79" w:rsidRPr="003A4F79" w14:paraId="4B36C64D" w14:textId="77777777" w:rsidTr="00653A28">
        <w:trPr>
          <w:trHeight w:val="255"/>
          <w:jc w:val="center"/>
        </w:trPr>
        <w:tc>
          <w:tcPr>
            <w:tcW w:w="9621" w:type="dxa"/>
            <w:gridSpan w:val="7"/>
            <w:tcBorders>
              <w:top w:val="single" w:sz="4" w:space="0" w:color="auto"/>
              <w:left w:val="nil"/>
              <w:bottom w:val="single" w:sz="4" w:space="0" w:color="auto"/>
              <w:right w:val="nil"/>
            </w:tcBorders>
            <w:shd w:val="clear" w:color="auto" w:fill="auto"/>
            <w:noWrap/>
            <w:hideMark/>
          </w:tcPr>
          <w:p w14:paraId="1F81A229"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Initial investment</w:t>
            </w:r>
          </w:p>
        </w:tc>
      </w:tr>
      <w:tr w:rsidR="003A4F79" w:rsidRPr="003A4F79" w14:paraId="39CB3099" w14:textId="77777777" w:rsidTr="00653A28">
        <w:trPr>
          <w:trHeight w:val="330"/>
          <w:jc w:val="center"/>
        </w:trPr>
        <w:tc>
          <w:tcPr>
            <w:tcW w:w="3060" w:type="dxa"/>
            <w:tcBorders>
              <w:top w:val="nil"/>
              <w:left w:val="nil"/>
              <w:bottom w:val="nil"/>
              <w:right w:val="nil"/>
            </w:tcBorders>
            <w:shd w:val="clear" w:color="auto" w:fill="auto"/>
            <w:noWrap/>
            <w:vAlign w:val="bottom"/>
            <w:hideMark/>
          </w:tcPr>
          <w:p w14:paraId="0F6255C9"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Entry year</w:t>
            </w:r>
          </w:p>
        </w:tc>
        <w:tc>
          <w:tcPr>
            <w:tcW w:w="1201" w:type="dxa"/>
            <w:tcBorders>
              <w:top w:val="nil"/>
              <w:left w:val="nil"/>
              <w:bottom w:val="nil"/>
              <w:right w:val="nil"/>
            </w:tcBorders>
            <w:shd w:val="clear" w:color="auto" w:fill="auto"/>
            <w:noWrap/>
            <w:vAlign w:val="center"/>
            <w:hideMark/>
          </w:tcPr>
          <w:p w14:paraId="4A81C361"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2,000.04</w:t>
            </w:r>
          </w:p>
        </w:tc>
        <w:tc>
          <w:tcPr>
            <w:tcW w:w="1119" w:type="dxa"/>
            <w:tcBorders>
              <w:top w:val="nil"/>
              <w:left w:val="nil"/>
              <w:bottom w:val="nil"/>
              <w:right w:val="nil"/>
            </w:tcBorders>
            <w:shd w:val="clear" w:color="auto" w:fill="auto"/>
            <w:noWrap/>
            <w:vAlign w:val="center"/>
            <w:hideMark/>
          </w:tcPr>
          <w:p w14:paraId="6F314564"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1.47</w:t>
            </w:r>
          </w:p>
        </w:tc>
        <w:tc>
          <w:tcPr>
            <w:tcW w:w="1160" w:type="dxa"/>
            <w:tcBorders>
              <w:top w:val="nil"/>
              <w:left w:val="nil"/>
              <w:bottom w:val="nil"/>
              <w:right w:val="nil"/>
            </w:tcBorders>
            <w:shd w:val="clear" w:color="auto" w:fill="auto"/>
            <w:noWrap/>
            <w:vAlign w:val="center"/>
            <w:hideMark/>
          </w:tcPr>
          <w:p w14:paraId="503FEF69"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-0.62</w:t>
            </w:r>
          </w:p>
        </w:tc>
        <w:tc>
          <w:tcPr>
            <w:tcW w:w="1009" w:type="dxa"/>
            <w:tcBorders>
              <w:top w:val="nil"/>
              <w:left w:val="nil"/>
              <w:bottom w:val="nil"/>
              <w:right w:val="nil"/>
            </w:tcBorders>
            <w:shd w:val="clear" w:color="auto" w:fill="auto"/>
            <w:noWrap/>
            <w:vAlign w:val="center"/>
            <w:hideMark/>
          </w:tcPr>
          <w:p w14:paraId="3FD06024"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1,999.34</w:t>
            </w:r>
          </w:p>
        </w:tc>
        <w:tc>
          <w:tcPr>
            <w:tcW w:w="940" w:type="dxa"/>
            <w:tcBorders>
              <w:top w:val="nil"/>
              <w:left w:val="nil"/>
              <w:bottom w:val="nil"/>
              <w:right w:val="nil"/>
            </w:tcBorders>
            <w:shd w:val="clear" w:color="auto" w:fill="auto"/>
            <w:noWrap/>
            <w:vAlign w:val="center"/>
            <w:hideMark/>
          </w:tcPr>
          <w:p w14:paraId="38052C7B"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1.82</w:t>
            </w:r>
          </w:p>
        </w:tc>
        <w:tc>
          <w:tcPr>
            <w:tcW w:w="1132" w:type="dxa"/>
            <w:tcBorders>
              <w:top w:val="nil"/>
              <w:left w:val="nil"/>
              <w:bottom w:val="nil"/>
              <w:right w:val="nil"/>
            </w:tcBorders>
            <w:shd w:val="clear" w:color="auto" w:fill="auto"/>
            <w:noWrap/>
            <w:vAlign w:val="center"/>
            <w:hideMark/>
          </w:tcPr>
          <w:p w14:paraId="398837A3"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-0.49</w:t>
            </w:r>
          </w:p>
        </w:tc>
      </w:tr>
      <w:tr w:rsidR="003A4F79" w:rsidRPr="003A4F79" w14:paraId="498CCFB4"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431422E4"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Number of stock purchased</w:t>
            </w:r>
          </w:p>
        </w:tc>
        <w:tc>
          <w:tcPr>
            <w:tcW w:w="1201" w:type="dxa"/>
            <w:tcBorders>
              <w:top w:val="nil"/>
              <w:left w:val="nil"/>
              <w:bottom w:val="nil"/>
              <w:right w:val="nil"/>
            </w:tcBorders>
            <w:shd w:val="clear" w:color="auto" w:fill="auto"/>
            <w:noWrap/>
            <w:vAlign w:val="center"/>
            <w:hideMark/>
          </w:tcPr>
          <w:p w14:paraId="768B5F57"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0.80</w:t>
            </w:r>
          </w:p>
        </w:tc>
        <w:tc>
          <w:tcPr>
            <w:tcW w:w="1119" w:type="dxa"/>
            <w:tcBorders>
              <w:top w:val="nil"/>
              <w:left w:val="nil"/>
              <w:bottom w:val="nil"/>
              <w:right w:val="nil"/>
            </w:tcBorders>
            <w:shd w:val="clear" w:color="auto" w:fill="auto"/>
            <w:noWrap/>
            <w:vAlign w:val="center"/>
            <w:hideMark/>
          </w:tcPr>
          <w:p w14:paraId="5BD576A1"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0.39</w:t>
            </w:r>
          </w:p>
        </w:tc>
        <w:tc>
          <w:tcPr>
            <w:tcW w:w="1160" w:type="dxa"/>
            <w:tcBorders>
              <w:top w:val="nil"/>
              <w:left w:val="nil"/>
              <w:bottom w:val="nil"/>
              <w:right w:val="nil"/>
            </w:tcBorders>
            <w:shd w:val="clear" w:color="auto" w:fill="auto"/>
            <w:noWrap/>
            <w:vAlign w:val="center"/>
            <w:hideMark/>
          </w:tcPr>
          <w:p w14:paraId="2734D93A"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-1.51</w:t>
            </w:r>
          </w:p>
        </w:tc>
        <w:tc>
          <w:tcPr>
            <w:tcW w:w="1009" w:type="dxa"/>
            <w:tcBorders>
              <w:top w:val="nil"/>
              <w:left w:val="nil"/>
              <w:bottom w:val="nil"/>
              <w:right w:val="nil"/>
            </w:tcBorders>
            <w:shd w:val="clear" w:color="auto" w:fill="auto"/>
            <w:noWrap/>
            <w:vAlign w:val="center"/>
            <w:hideMark/>
          </w:tcPr>
          <w:p w14:paraId="317E5EA3"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0.87</w:t>
            </w:r>
          </w:p>
        </w:tc>
        <w:tc>
          <w:tcPr>
            <w:tcW w:w="940" w:type="dxa"/>
            <w:tcBorders>
              <w:top w:val="nil"/>
              <w:left w:val="nil"/>
              <w:bottom w:val="nil"/>
              <w:right w:val="nil"/>
            </w:tcBorders>
            <w:shd w:val="clear" w:color="auto" w:fill="auto"/>
            <w:noWrap/>
            <w:vAlign w:val="center"/>
            <w:hideMark/>
          </w:tcPr>
          <w:p w14:paraId="58016184"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0.32</w:t>
            </w:r>
          </w:p>
        </w:tc>
        <w:tc>
          <w:tcPr>
            <w:tcW w:w="1132" w:type="dxa"/>
            <w:tcBorders>
              <w:top w:val="nil"/>
              <w:left w:val="nil"/>
              <w:bottom w:val="nil"/>
              <w:right w:val="nil"/>
            </w:tcBorders>
            <w:shd w:val="clear" w:color="auto" w:fill="auto"/>
            <w:noWrap/>
            <w:vAlign w:val="center"/>
            <w:hideMark/>
          </w:tcPr>
          <w:p w14:paraId="4806D7AC"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-2.31</w:t>
            </w:r>
          </w:p>
        </w:tc>
      </w:tr>
      <w:tr w:rsidR="003A4F79" w:rsidRPr="003A4F79" w14:paraId="3B9AC124" w14:textId="77777777" w:rsidTr="00653A28">
        <w:trPr>
          <w:trHeight w:val="255"/>
          <w:jc w:val="center"/>
        </w:trPr>
        <w:tc>
          <w:tcPr>
            <w:tcW w:w="3060" w:type="dxa"/>
            <w:tcBorders>
              <w:top w:val="nil"/>
              <w:left w:val="nil"/>
              <w:bottom w:val="nil"/>
              <w:right w:val="nil"/>
            </w:tcBorders>
            <w:shd w:val="clear" w:color="auto" w:fill="auto"/>
            <w:noWrap/>
            <w:vAlign w:val="bottom"/>
            <w:hideMark/>
          </w:tcPr>
          <w:p w14:paraId="3A090DA6" w14:textId="77777777" w:rsidR="00653A28" w:rsidRPr="003A4F79" w:rsidRDefault="00653A28"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Nokia = 1</w:t>
            </w:r>
          </w:p>
        </w:tc>
        <w:tc>
          <w:tcPr>
            <w:tcW w:w="1201" w:type="dxa"/>
            <w:tcBorders>
              <w:top w:val="nil"/>
              <w:left w:val="nil"/>
              <w:bottom w:val="nil"/>
              <w:right w:val="nil"/>
            </w:tcBorders>
            <w:shd w:val="clear" w:color="auto" w:fill="auto"/>
            <w:noWrap/>
            <w:vAlign w:val="center"/>
            <w:hideMark/>
          </w:tcPr>
          <w:p w14:paraId="085D6A4E"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0.27</w:t>
            </w:r>
          </w:p>
        </w:tc>
        <w:tc>
          <w:tcPr>
            <w:tcW w:w="1119" w:type="dxa"/>
            <w:tcBorders>
              <w:top w:val="nil"/>
              <w:left w:val="nil"/>
              <w:bottom w:val="nil"/>
              <w:right w:val="nil"/>
            </w:tcBorders>
            <w:shd w:val="clear" w:color="auto" w:fill="auto"/>
            <w:noWrap/>
            <w:vAlign w:val="center"/>
            <w:hideMark/>
          </w:tcPr>
          <w:p w14:paraId="02C3F361"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0.44</w:t>
            </w:r>
          </w:p>
        </w:tc>
        <w:tc>
          <w:tcPr>
            <w:tcW w:w="1160" w:type="dxa"/>
            <w:tcBorders>
              <w:top w:val="nil"/>
              <w:left w:val="nil"/>
              <w:bottom w:val="nil"/>
              <w:right w:val="nil"/>
            </w:tcBorders>
            <w:shd w:val="clear" w:color="auto" w:fill="auto"/>
            <w:noWrap/>
            <w:vAlign w:val="center"/>
            <w:hideMark/>
          </w:tcPr>
          <w:p w14:paraId="325C76D4"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1.03</w:t>
            </w:r>
          </w:p>
        </w:tc>
        <w:tc>
          <w:tcPr>
            <w:tcW w:w="1009" w:type="dxa"/>
            <w:tcBorders>
              <w:top w:val="nil"/>
              <w:left w:val="nil"/>
              <w:bottom w:val="nil"/>
              <w:right w:val="nil"/>
            </w:tcBorders>
            <w:shd w:val="clear" w:color="auto" w:fill="auto"/>
            <w:noWrap/>
            <w:vAlign w:val="center"/>
            <w:hideMark/>
          </w:tcPr>
          <w:p w14:paraId="20476B67"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0.30</w:t>
            </w:r>
          </w:p>
        </w:tc>
        <w:tc>
          <w:tcPr>
            <w:tcW w:w="940" w:type="dxa"/>
            <w:tcBorders>
              <w:top w:val="nil"/>
              <w:left w:val="nil"/>
              <w:bottom w:val="nil"/>
              <w:right w:val="nil"/>
            </w:tcBorders>
            <w:shd w:val="clear" w:color="auto" w:fill="auto"/>
            <w:noWrap/>
            <w:vAlign w:val="center"/>
            <w:hideMark/>
          </w:tcPr>
          <w:p w14:paraId="6EF0045D"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0.46</w:t>
            </w:r>
          </w:p>
        </w:tc>
        <w:tc>
          <w:tcPr>
            <w:tcW w:w="1132" w:type="dxa"/>
            <w:tcBorders>
              <w:top w:val="nil"/>
              <w:left w:val="nil"/>
              <w:bottom w:val="nil"/>
              <w:right w:val="nil"/>
            </w:tcBorders>
            <w:shd w:val="clear" w:color="auto" w:fill="auto"/>
            <w:noWrap/>
            <w:vAlign w:val="center"/>
            <w:hideMark/>
          </w:tcPr>
          <w:p w14:paraId="08E45B99"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0.83</w:t>
            </w:r>
          </w:p>
        </w:tc>
      </w:tr>
      <w:tr w:rsidR="00653A28" w:rsidRPr="003A4F79" w14:paraId="27D3CFC4" w14:textId="77777777" w:rsidTr="00653A28">
        <w:trPr>
          <w:trHeight w:val="255"/>
          <w:jc w:val="center"/>
        </w:trPr>
        <w:tc>
          <w:tcPr>
            <w:tcW w:w="3060" w:type="dxa"/>
            <w:tcBorders>
              <w:top w:val="nil"/>
              <w:left w:val="nil"/>
              <w:bottom w:val="single" w:sz="4" w:space="0" w:color="auto"/>
              <w:right w:val="nil"/>
            </w:tcBorders>
            <w:shd w:val="clear" w:color="auto" w:fill="auto"/>
            <w:noWrap/>
            <w:vAlign w:val="bottom"/>
            <w:hideMark/>
          </w:tcPr>
          <w:p w14:paraId="3AF063A3" w14:textId="70AD0844" w:rsidR="00653A28" w:rsidRPr="003A4F79" w:rsidRDefault="001B1723" w:rsidP="00653A2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Average EUR value of trades (log)</w:t>
            </w:r>
          </w:p>
        </w:tc>
        <w:tc>
          <w:tcPr>
            <w:tcW w:w="1201" w:type="dxa"/>
            <w:tcBorders>
              <w:top w:val="nil"/>
              <w:left w:val="nil"/>
              <w:bottom w:val="single" w:sz="4" w:space="0" w:color="auto"/>
              <w:right w:val="nil"/>
            </w:tcBorders>
            <w:shd w:val="clear" w:color="auto" w:fill="auto"/>
            <w:noWrap/>
            <w:vAlign w:val="center"/>
            <w:hideMark/>
          </w:tcPr>
          <w:p w14:paraId="332B2AB9"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7.56</w:t>
            </w:r>
          </w:p>
        </w:tc>
        <w:tc>
          <w:tcPr>
            <w:tcW w:w="1119" w:type="dxa"/>
            <w:tcBorders>
              <w:top w:val="nil"/>
              <w:left w:val="nil"/>
              <w:bottom w:val="single" w:sz="4" w:space="0" w:color="auto"/>
              <w:right w:val="nil"/>
            </w:tcBorders>
            <w:shd w:val="clear" w:color="auto" w:fill="auto"/>
            <w:noWrap/>
            <w:vAlign w:val="center"/>
            <w:hideMark/>
          </w:tcPr>
          <w:p w14:paraId="1A12D220"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1.33</w:t>
            </w:r>
          </w:p>
        </w:tc>
        <w:tc>
          <w:tcPr>
            <w:tcW w:w="1160" w:type="dxa"/>
            <w:tcBorders>
              <w:top w:val="nil"/>
              <w:left w:val="nil"/>
              <w:bottom w:val="single" w:sz="4" w:space="0" w:color="auto"/>
              <w:right w:val="nil"/>
            </w:tcBorders>
            <w:shd w:val="clear" w:color="auto" w:fill="auto"/>
            <w:noWrap/>
            <w:vAlign w:val="center"/>
            <w:hideMark/>
          </w:tcPr>
          <w:p w14:paraId="5F13E413"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-0.34</w:t>
            </w:r>
          </w:p>
        </w:tc>
        <w:tc>
          <w:tcPr>
            <w:tcW w:w="1009" w:type="dxa"/>
            <w:tcBorders>
              <w:top w:val="nil"/>
              <w:left w:val="nil"/>
              <w:bottom w:val="single" w:sz="4" w:space="0" w:color="auto"/>
              <w:right w:val="nil"/>
            </w:tcBorders>
            <w:shd w:val="clear" w:color="auto" w:fill="auto"/>
            <w:noWrap/>
            <w:vAlign w:val="center"/>
            <w:hideMark/>
          </w:tcPr>
          <w:p w14:paraId="19218D90"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7.55</w:t>
            </w:r>
          </w:p>
        </w:tc>
        <w:tc>
          <w:tcPr>
            <w:tcW w:w="940" w:type="dxa"/>
            <w:tcBorders>
              <w:top w:val="nil"/>
              <w:left w:val="nil"/>
              <w:bottom w:val="single" w:sz="4" w:space="0" w:color="auto"/>
              <w:right w:val="nil"/>
            </w:tcBorders>
            <w:shd w:val="clear" w:color="auto" w:fill="auto"/>
            <w:noWrap/>
            <w:vAlign w:val="center"/>
            <w:hideMark/>
          </w:tcPr>
          <w:p w14:paraId="37408CED"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1.34</w:t>
            </w:r>
          </w:p>
        </w:tc>
        <w:tc>
          <w:tcPr>
            <w:tcW w:w="1132" w:type="dxa"/>
            <w:tcBorders>
              <w:top w:val="nil"/>
              <w:left w:val="nil"/>
              <w:bottom w:val="single" w:sz="4" w:space="0" w:color="auto"/>
              <w:right w:val="nil"/>
            </w:tcBorders>
            <w:shd w:val="clear" w:color="auto" w:fill="auto"/>
            <w:noWrap/>
            <w:vAlign w:val="center"/>
            <w:hideMark/>
          </w:tcPr>
          <w:p w14:paraId="426B421B" w14:textId="77777777" w:rsidR="00653A28" w:rsidRPr="003A4F79" w:rsidRDefault="00653A28" w:rsidP="00653A2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-0.35</w:t>
            </w:r>
          </w:p>
        </w:tc>
      </w:tr>
    </w:tbl>
    <w:p w14:paraId="08BD4A53" w14:textId="77777777" w:rsidR="00A7069E" w:rsidRPr="003A4F79" w:rsidRDefault="00A7069E" w:rsidP="00290F9F">
      <w:pPr>
        <w:pStyle w:val="FigureNotes"/>
        <w:spacing w:after="120"/>
      </w:pPr>
    </w:p>
    <w:p w14:paraId="238269BE" w14:textId="49FA8914" w:rsidR="00EC6775" w:rsidRPr="003A4F79" w:rsidRDefault="00EC6775" w:rsidP="00EC6775">
      <w:pPr>
        <w:pStyle w:val="FigureNotes"/>
        <w:spacing w:after="120"/>
        <w:jc w:val="center"/>
      </w:pPr>
    </w:p>
    <w:p w14:paraId="2B69A8BF" w14:textId="774C288F" w:rsidR="0045627A" w:rsidRPr="003A4F79" w:rsidRDefault="00A7069E" w:rsidP="00A7069E">
      <w:pPr>
        <w:pStyle w:val="FigureNotes"/>
        <w:spacing w:after="120"/>
        <w:jc w:val="left"/>
      </w:pPr>
      <w:r w:rsidRPr="003A4F79">
        <w:t>Panel B. Panel data of our sample (N = 276,470 Investor-Months)</w:t>
      </w:r>
    </w:p>
    <w:p w14:paraId="2A1B01E6" w14:textId="103B56E7" w:rsidR="000C6EE5" w:rsidRPr="003A4F79" w:rsidRDefault="00BC24F3" w:rsidP="00BC24F3">
      <w:pPr>
        <w:pStyle w:val="FigureNotes"/>
        <w:spacing w:after="120"/>
        <w:jc w:val="center"/>
      </w:pPr>
      <w:r w:rsidRPr="003A4F79">
        <w:rPr>
          <w:noProof/>
          <w:lang w:val="en-GB" w:eastAsia="en-GB"/>
        </w:rPr>
        <w:lastRenderedPageBreak/>
        <w:drawing>
          <wp:inline distT="0" distB="0" distL="0" distR="0" wp14:anchorId="74E643EE" wp14:editId="2383BECC">
            <wp:extent cx="5499100" cy="6324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100" cy="6324600"/>
                    </a:xfrm>
                    <a:prstGeom prst="rect">
                      <a:avLst/>
                    </a:prstGeom>
                    <a:noFill/>
                    <a:ln>
                      <a:noFill/>
                    </a:ln>
                  </pic:spPr>
                </pic:pic>
              </a:graphicData>
            </a:graphic>
          </wp:inline>
        </w:drawing>
      </w:r>
    </w:p>
    <w:p w14:paraId="02AF3ADE" w14:textId="34C2A404" w:rsidR="00AD6284" w:rsidRPr="003A4F79" w:rsidRDefault="00AD6284" w:rsidP="00AD6284">
      <w:pPr>
        <w:pStyle w:val="FigureNotes"/>
        <w:spacing w:after="120"/>
        <w:jc w:val="left"/>
      </w:pPr>
      <w:r w:rsidRPr="003A4F79">
        <w:lastRenderedPageBreak/>
        <w:t>Panel C. Correlation Matrix for Main Variables</w:t>
      </w:r>
    </w:p>
    <w:p w14:paraId="10CA198C" w14:textId="5096FB63" w:rsidR="006A2072" w:rsidRPr="003A4F79" w:rsidRDefault="000C6EE5" w:rsidP="00BC24F3">
      <w:pPr>
        <w:ind w:firstLine="0"/>
        <w:jc w:val="left"/>
        <w:sectPr w:rsidR="006A2072" w:rsidRPr="003A4F79" w:rsidSect="00BC58A4">
          <w:pgSz w:w="12240" w:h="15840" w:code="1"/>
          <w:pgMar w:top="1412" w:right="1412" w:bottom="1140" w:left="1412" w:header="720" w:footer="431" w:gutter="0"/>
          <w:cols w:space="720"/>
          <w:docGrid w:linePitch="360"/>
        </w:sectPr>
      </w:pPr>
      <w:r w:rsidRPr="003A4F79">
        <w:rPr>
          <w:noProof/>
          <w:lang w:val="en-GB" w:eastAsia="en-GB"/>
        </w:rPr>
        <w:drawing>
          <wp:inline distT="0" distB="0" distL="0" distR="0" wp14:anchorId="16A582D4" wp14:editId="79B9503F">
            <wp:extent cx="5979160" cy="15633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9160" cy="1563312"/>
                    </a:xfrm>
                    <a:prstGeom prst="rect">
                      <a:avLst/>
                    </a:prstGeom>
                    <a:noFill/>
                    <a:ln>
                      <a:noFill/>
                    </a:ln>
                  </pic:spPr>
                </pic:pic>
              </a:graphicData>
            </a:graphic>
          </wp:inline>
        </w:drawing>
      </w:r>
      <w:r w:rsidR="006A2072" w:rsidRPr="003A4F79">
        <w:br w:type="page"/>
      </w:r>
    </w:p>
    <w:p w14:paraId="0AC6CBC9" w14:textId="1F6D61A6" w:rsidR="00A72CB5" w:rsidRPr="003A4F79" w:rsidRDefault="00330049" w:rsidP="00290F9F">
      <w:pPr>
        <w:pStyle w:val="FigureCaption"/>
        <w:jc w:val="left"/>
      </w:pPr>
      <w:r w:rsidRPr="003A4F79">
        <w:lastRenderedPageBreak/>
        <w:t xml:space="preserve">Table </w:t>
      </w:r>
      <w:r w:rsidR="00A72CB5" w:rsidRPr="003A4F79">
        <w:t>2</w:t>
      </w:r>
    </w:p>
    <w:p w14:paraId="610E8DD5" w14:textId="5850E15E" w:rsidR="002C0478" w:rsidRPr="003A4F79" w:rsidRDefault="00DD041B" w:rsidP="00290F9F">
      <w:pPr>
        <w:pStyle w:val="FigureCaption"/>
        <w:jc w:val="left"/>
        <w:rPr>
          <w:b/>
        </w:rPr>
      </w:pPr>
      <w:r w:rsidRPr="003A4F79">
        <w:rPr>
          <w:b/>
        </w:rPr>
        <w:t xml:space="preserve">Initial </w:t>
      </w:r>
      <w:r w:rsidR="0042119A" w:rsidRPr="003A4F79">
        <w:rPr>
          <w:b/>
        </w:rPr>
        <w:t xml:space="preserve">returns </w:t>
      </w:r>
      <w:r w:rsidRPr="003A4F79">
        <w:rPr>
          <w:b/>
        </w:rPr>
        <w:t xml:space="preserve">and </w:t>
      </w:r>
      <w:r w:rsidR="00E12BB5" w:rsidRPr="003A4F79">
        <w:rPr>
          <w:b/>
        </w:rPr>
        <w:t xml:space="preserve">the </w:t>
      </w:r>
      <w:r w:rsidR="0042119A" w:rsidRPr="003A4F79">
        <w:rPr>
          <w:b/>
        </w:rPr>
        <w:t xml:space="preserve">likelihood </w:t>
      </w:r>
      <w:r w:rsidR="00387FFB" w:rsidRPr="003A4F79">
        <w:rPr>
          <w:b/>
        </w:rPr>
        <w:t xml:space="preserve">of </w:t>
      </w:r>
      <w:r w:rsidR="0042119A" w:rsidRPr="003A4F79">
        <w:rPr>
          <w:b/>
        </w:rPr>
        <w:t>re</w:t>
      </w:r>
      <w:r w:rsidR="00387FFB" w:rsidRPr="003A4F79">
        <w:rPr>
          <w:b/>
        </w:rPr>
        <w:t>-entry</w:t>
      </w:r>
    </w:p>
    <w:p w14:paraId="18211939" w14:textId="61D0DA8A" w:rsidR="004C6443" w:rsidRPr="003A4F79" w:rsidRDefault="0023333D" w:rsidP="00290F9F">
      <w:pPr>
        <w:pStyle w:val="FigureNotes"/>
        <w:spacing w:after="120"/>
        <w:rPr>
          <w:noProof/>
          <w:lang w:eastAsia="en-GB"/>
        </w:rPr>
      </w:pPr>
      <w:r w:rsidRPr="003A4F79">
        <w:t>T</w:t>
      </w:r>
      <w:r w:rsidR="00281332" w:rsidRPr="003A4F79">
        <w:t xml:space="preserve">he </w:t>
      </w:r>
      <w:r w:rsidR="00807722" w:rsidRPr="003A4F79">
        <w:t>estimated coefficients</w:t>
      </w:r>
      <w:r w:rsidRPr="003A4F79">
        <w:t xml:space="preserve"> are reported</w:t>
      </w:r>
      <w:r w:rsidR="00807722" w:rsidRPr="003A4F79">
        <w:t xml:space="preserve"> from </w:t>
      </w:r>
      <w:r w:rsidR="000558BB" w:rsidRPr="003A4F79">
        <w:t>the</w:t>
      </w:r>
      <w:r w:rsidR="00807722" w:rsidRPr="003A4F79">
        <w:t xml:space="preserve"> following </w:t>
      </w:r>
      <w:r w:rsidR="00FD4A26" w:rsidRPr="003A4F79">
        <w:t xml:space="preserve">multi-period </w:t>
      </w:r>
      <w:r w:rsidR="00FD4A26" w:rsidRPr="003A4F79">
        <w:rPr>
          <w:noProof/>
          <w:lang w:eastAsia="en-GB"/>
        </w:rPr>
        <w:t>(monthly)</w:t>
      </w:r>
      <w:r w:rsidR="004C6443" w:rsidRPr="003A4F79">
        <w:rPr>
          <w:noProof/>
          <w:lang w:eastAsia="en-GB"/>
        </w:rPr>
        <w:t xml:space="preserve"> </w:t>
      </w:r>
      <w:r w:rsidR="00FD4A26" w:rsidRPr="003A4F79">
        <w:rPr>
          <w:noProof/>
          <w:lang w:eastAsia="en-GB"/>
        </w:rPr>
        <w:t>logit</w:t>
      </w:r>
      <w:r w:rsidR="004C6443" w:rsidRPr="003A4F79">
        <w:rPr>
          <w:noProof/>
          <w:lang w:eastAsia="en-GB"/>
        </w:rPr>
        <w:t xml:space="preserve"> regression:</w:t>
      </w:r>
    </w:p>
    <w:p w14:paraId="404DB6A4" w14:textId="192379B4" w:rsidR="00FD4A26" w:rsidRPr="003A4F79" w:rsidRDefault="00FD4A26" w:rsidP="00290F9F">
      <w:pPr>
        <w:pStyle w:val="FigureNotes"/>
        <w:jc w:val="center"/>
        <w:rPr>
          <w:i/>
        </w:rPr>
      </w:pPr>
      <w:r w:rsidRPr="003A4F79">
        <w:rPr>
          <w:i/>
        </w:rPr>
        <w:t>Logit(Re-entry</w:t>
      </w:r>
      <w:r w:rsidRPr="003A4F79">
        <w:rPr>
          <w:i/>
          <w:vertAlign w:val="subscript"/>
        </w:rPr>
        <w:t>i,t</w:t>
      </w:r>
      <w:r w:rsidRPr="003A4F79">
        <w:rPr>
          <w:i/>
        </w:rPr>
        <w:t>)</w:t>
      </w:r>
      <w:r w:rsidRPr="003A4F79">
        <w:rPr>
          <w:i/>
          <w:vertAlign w:val="subscript"/>
        </w:rPr>
        <w:t xml:space="preserve"> </w:t>
      </w:r>
      <w:r w:rsidRPr="003A4F79">
        <w:rPr>
          <w:i/>
        </w:rPr>
        <w:t>=  β</w:t>
      </w:r>
      <w:r w:rsidRPr="003A4F79">
        <w:rPr>
          <w:i/>
          <w:vertAlign w:val="subscript"/>
        </w:rPr>
        <w:t>0</w:t>
      </w:r>
      <w:r w:rsidRPr="003A4F79">
        <w:rPr>
          <w:i/>
        </w:rPr>
        <w:t xml:space="preserve"> + β</w:t>
      </w:r>
      <w:r w:rsidRPr="003A4F79">
        <w:rPr>
          <w:i/>
          <w:vertAlign w:val="subscript"/>
        </w:rPr>
        <w:t>1</w:t>
      </w:r>
      <w:r w:rsidRPr="003A4F79">
        <w:rPr>
          <w:i/>
        </w:rPr>
        <w:t>IniRet</w:t>
      </w:r>
      <w:r w:rsidRPr="003A4F79">
        <w:rPr>
          <w:i/>
          <w:vertAlign w:val="subscript"/>
        </w:rPr>
        <w:t>i</w:t>
      </w:r>
      <w:r w:rsidRPr="003A4F79">
        <w:rPr>
          <w:i/>
        </w:rPr>
        <w:t xml:space="preserve">  + β</w:t>
      </w:r>
      <w:r w:rsidRPr="003A4F79">
        <w:rPr>
          <w:i/>
          <w:vertAlign w:val="subscript"/>
        </w:rPr>
        <w:t>2</w:t>
      </w:r>
      <w:r w:rsidRPr="003A4F79">
        <w:rPr>
          <w:i/>
        </w:rPr>
        <w:t>DurAway</w:t>
      </w:r>
      <w:r w:rsidRPr="003A4F79">
        <w:rPr>
          <w:i/>
          <w:vertAlign w:val="subscript"/>
        </w:rPr>
        <w:t>i,t</w:t>
      </w:r>
      <w:r w:rsidRPr="003A4F79">
        <w:rPr>
          <w:i/>
        </w:rPr>
        <w:t xml:space="preserve"> +</w:t>
      </w:r>
      <w:r w:rsidRPr="003A4F79">
        <w:rPr>
          <w:b/>
          <w:i/>
        </w:rPr>
        <w:t xml:space="preserve"> </w:t>
      </w:r>
      <w:r w:rsidRPr="003A4F79">
        <w:rPr>
          <w:i/>
        </w:rPr>
        <w:t>β</w:t>
      </w:r>
      <w:r w:rsidRPr="003A4F79">
        <w:rPr>
          <w:i/>
          <w:vertAlign w:val="subscript"/>
        </w:rPr>
        <w:t>3</w:t>
      </w:r>
      <w:r w:rsidRPr="003A4F79">
        <w:rPr>
          <w:i/>
        </w:rPr>
        <w:t>Controls</w:t>
      </w:r>
      <w:r w:rsidRPr="003A4F79">
        <w:rPr>
          <w:i/>
          <w:vertAlign w:val="subscript"/>
        </w:rPr>
        <w:t>i,t</w:t>
      </w:r>
    </w:p>
    <w:p w14:paraId="4B0D8A6B" w14:textId="3FA82099" w:rsidR="004C6443" w:rsidRPr="003A4F79" w:rsidRDefault="00FD4A26" w:rsidP="00290F9F">
      <w:pPr>
        <w:pStyle w:val="FigureNotes"/>
        <w:spacing w:after="120"/>
        <w:jc w:val="center"/>
        <w:rPr>
          <w:i/>
        </w:rPr>
      </w:pPr>
      <w:r w:rsidRPr="003A4F79">
        <w:rPr>
          <w:i/>
        </w:rPr>
        <w:t>+ (investment size fixed effect)+(zip-code fixed effect) +(exit month fixed effect)</w:t>
      </w:r>
      <w:r w:rsidR="00470931" w:rsidRPr="003A4F79">
        <w:rPr>
          <w:i/>
        </w:rPr>
        <w:t>+(</w:t>
      </w:r>
      <w:r w:rsidR="00CB69CE" w:rsidRPr="003A4F79">
        <w:rPr>
          <w:i/>
        </w:rPr>
        <w:t>year</w:t>
      </w:r>
      <w:r w:rsidR="00470931" w:rsidRPr="003A4F79">
        <w:rPr>
          <w:i/>
        </w:rPr>
        <w:t xml:space="preserve"> fixed effect)</w:t>
      </w:r>
      <w:r w:rsidRPr="003A4F79">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7E29C516" w14:textId="59A213E1" w:rsidR="00B71060" w:rsidRPr="003A4F79" w:rsidRDefault="001060DD" w:rsidP="00290F9F">
      <w:pPr>
        <w:pStyle w:val="FigureNotes"/>
      </w:pPr>
      <w:r w:rsidRPr="003A4F79">
        <w:rPr>
          <w:i/>
        </w:rPr>
        <w:t>Re-entry</w:t>
      </w:r>
      <w:r w:rsidRPr="003A4F79">
        <w:rPr>
          <w:noProof/>
          <w:lang w:eastAsia="en-GB"/>
        </w:rPr>
        <w:t xml:space="preserve"> equal</w:t>
      </w:r>
      <w:r w:rsidR="0023333D" w:rsidRPr="003A4F79">
        <w:rPr>
          <w:noProof/>
          <w:lang w:eastAsia="en-GB"/>
        </w:rPr>
        <w:t>s</w:t>
      </w:r>
      <w:r w:rsidRPr="003A4F79">
        <w:rPr>
          <w:noProof/>
          <w:lang w:eastAsia="en-GB"/>
        </w:rPr>
        <w:t xml:space="preserve"> 1 if investor </w:t>
      </w:r>
      <w:r w:rsidRPr="003A4F79">
        <w:rPr>
          <w:i/>
          <w:noProof/>
          <w:lang w:eastAsia="en-GB"/>
        </w:rPr>
        <w:t>i</w:t>
      </w:r>
      <w:r w:rsidRPr="003A4F79">
        <w:rPr>
          <w:noProof/>
          <w:lang w:eastAsia="en-GB"/>
        </w:rPr>
        <w:t xml:space="preserve"> re-enters the market in month </w:t>
      </w:r>
      <w:r w:rsidRPr="003A4F79">
        <w:rPr>
          <w:i/>
          <w:noProof/>
          <w:lang w:eastAsia="en-GB"/>
        </w:rPr>
        <w:t>t</w:t>
      </w:r>
      <w:r w:rsidRPr="003A4F79">
        <w:rPr>
          <w:noProof/>
          <w:lang w:eastAsia="en-GB"/>
        </w:rPr>
        <w:t xml:space="preserve"> by purchasing any stock at any time after one calendar month of exit, and </w:t>
      </w:r>
      <w:r w:rsidR="0023333D" w:rsidRPr="003A4F79">
        <w:rPr>
          <w:noProof/>
          <w:lang w:eastAsia="en-GB"/>
        </w:rPr>
        <w:t xml:space="preserve">0 </w:t>
      </w:r>
      <w:r w:rsidRPr="003A4F79">
        <w:rPr>
          <w:noProof/>
          <w:lang w:eastAsia="en-GB"/>
        </w:rPr>
        <w:t xml:space="preserve">otherwise. </w:t>
      </w:r>
      <w:r w:rsidRPr="003A4F79">
        <w:rPr>
          <w:i/>
          <w:noProof/>
          <w:lang w:eastAsia="en-GB"/>
        </w:rPr>
        <w:t>IniRet</w:t>
      </w:r>
      <w:r w:rsidRPr="003A4F79">
        <w:rPr>
          <w:noProof/>
          <w:lang w:eastAsia="en-GB"/>
        </w:rPr>
        <w:t xml:space="preserve">, </w:t>
      </w:r>
      <w:r w:rsidR="0023333D" w:rsidRPr="003A4F79">
        <w:rPr>
          <w:noProof/>
          <w:lang w:eastAsia="en-GB"/>
        </w:rPr>
        <w:t xml:space="preserve">the </w:t>
      </w:r>
      <w:r w:rsidRPr="003A4F79">
        <w:rPr>
          <w:noProof/>
          <w:lang w:eastAsia="en-GB"/>
        </w:rPr>
        <w:t xml:space="preserve">main explanatory variable of interest, is the return in the first month of investing. </w:t>
      </w:r>
      <w:r w:rsidRPr="003A4F79">
        <w:rPr>
          <w:i/>
        </w:rPr>
        <w:t xml:space="preserve">DurAway </w:t>
      </w:r>
      <w:r w:rsidRPr="003A4F79">
        <w:t xml:space="preserve">measures the length of time (in months) for which an investor is away from the stock market, i.e., time between exit month and month </w:t>
      </w:r>
      <w:r w:rsidRPr="003A4F79">
        <w:rPr>
          <w:i/>
        </w:rPr>
        <w:t>t</w:t>
      </w:r>
      <w:r w:rsidRPr="003A4F79">
        <w:t xml:space="preserve">. We account for </w:t>
      </w:r>
      <w:r w:rsidR="0042119A" w:rsidRPr="003A4F79">
        <w:t xml:space="preserve">the </w:t>
      </w:r>
      <w:r w:rsidRPr="003A4F79">
        <w:t xml:space="preserve">fixed effects </w:t>
      </w:r>
      <w:r w:rsidR="0042119A" w:rsidRPr="003A4F79">
        <w:t>of</w:t>
      </w:r>
      <w:r w:rsidRPr="003A4F79">
        <w:t xml:space="preserve"> investment size, location of residency, and exit time by including dummies for portfolio holding quintiles, 100 different zip codes, and 105 different exit months, respectively</w:t>
      </w:r>
      <w:r w:rsidR="00F20BC9" w:rsidRPr="003A4F79">
        <w:t xml:space="preserve">: </w:t>
      </w:r>
      <w:r w:rsidR="005C0C86" w:rsidRPr="003A4F79">
        <w:rPr>
          <w:i/>
        </w:rPr>
        <w:t xml:space="preserve">Investment size fixed effect </w:t>
      </w:r>
      <w:r w:rsidR="005C0C86" w:rsidRPr="003A4F79">
        <w:t>us</w:t>
      </w:r>
      <w:r w:rsidR="0042119A" w:rsidRPr="003A4F79">
        <w:t>es</w:t>
      </w:r>
      <w:r w:rsidR="005C0C86" w:rsidRPr="003A4F79">
        <w:t xml:space="preserve"> five dummy variables indicat</w:t>
      </w:r>
      <w:r w:rsidR="0042119A" w:rsidRPr="003A4F79">
        <w:t>ing</w:t>
      </w:r>
      <w:r w:rsidR="005C0C86" w:rsidRPr="003A4F79">
        <w:t xml:space="preserve"> quintile</w:t>
      </w:r>
      <w:r w:rsidR="0042119A" w:rsidRPr="003A4F79">
        <w:t>s</w:t>
      </w:r>
      <w:r w:rsidR="005C0C86" w:rsidRPr="003A4F79">
        <w:t xml:space="preserve"> of average portfolio holdings</w:t>
      </w:r>
      <w:r w:rsidR="00F20BC9" w:rsidRPr="003A4F79">
        <w:t xml:space="preserve">; </w:t>
      </w:r>
      <w:r w:rsidR="005C0C86" w:rsidRPr="003A4F79">
        <w:rPr>
          <w:i/>
        </w:rPr>
        <w:t xml:space="preserve">Zip-code fixed effect </w:t>
      </w:r>
      <w:r w:rsidR="005C0C86" w:rsidRPr="003A4F79">
        <w:t xml:space="preserve">is based on 100 dummy variables </w:t>
      </w:r>
      <w:r w:rsidR="0042119A" w:rsidRPr="003A4F79">
        <w:t>for</w:t>
      </w:r>
      <w:r w:rsidR="005C0C86" w:rsidRPr="003A4F79">
        <w:t xml:space="preserve"> district</w:t>
      </w:r>
      <w:r w:rsidR="0042119A" w:rsidRPr="003A4F79">
        <w:t>s</w:t>
      </w:r>
      <w:r w:rsidR="005C0C86" w:rsidRPr="003A4F79">
        <w:t xml:space="preserve"> in Finland</w:t>
      </w:r>
      <w:r w:rsidR="00F20BC9" w:rsidRPr="003A4F79">
        <w:t xml:space="preserve">; and </w:t>
      </w:r>
      <w:r w:rsidR="005C0C86" w:rsidRPr="003A4F79">
        <w:rPr>
          <w:i/>
        </w:rPr>
        <w:t xml:space="preserve">Exit month fixed effect </w:t>
      </w:r>
      <w:r w:rsidR="005C0C86" w:rsidRPr="003A4F79">
        <w:t>is accounted for by controlling for 105 dummy variables indicating the calendar month of exit</w:t>
      </w:r>
      <w:r w:rsidR="00CB69CE" w:rsidRPr="003A4F79">
        <w:t xml:space="preserve">; </w:t>
      </w:r>
      <w:r w:rsidR="00CB69CE" w:rsidRPr="003A4F79">
        <w:rPr>
          <w:i/>
        </w:rPr>
        <w:t xml:space="preserve">Year fixed effect </w:t>
      </w:r>
      <w:r w:rsidR="00CB69CE" w:rsidRPr="003A4F79">
        <w:t>is accounted for by controlling for 8 year dummy variables indicating the calendar year</w:t>
      </w:r>
      <w:r w:rsidR="005C0C86" w:rsidRPr="003A4F79">
        <w:t xml:space="preserve">. </w:t>
      </w:r>
      <w:r w:rsidR="00AC4CA5" w:rsidRPr="003A4F79">
        <w:rPr>
          <w:i/>
        </w:rPr>
        <w:t xml:space="preserve">Controls </w:t>
      </w:r>
      <w:r w:rsidR="00AC4CA5" w:rsidRPr="003A4F79">
        <w:t>include the following variables</w:t>
      </w:r>
      <w:r w:rsidR="00F20BC9" w:rsidRPr="003A4F79">
        <w:t xml:space="preserve">. </w:t>
      </w:r>
      <w:r w:rsidR="00AC4CA5" w:rsidRPr="003A4F79">
        <w:rPr>
          <w:i/>
        </w:rPr>
        <w:t>InvSiz</w:t>
      </w:r>
      <w:r w:rsidR="00AC4CA5" w:rsidRPr="003A4F79">
        <w:t xml:space="preserve"> is investment size</w:t>
      </w:r>
      <w:r w:rsidR="0042119A" w:rsidRPr="003A4F79">
        <w:t>,</w:t>
      </w:r>
      <w:r w:rsidR="00AC4CA5" w:rsidRPr="003A4F79">
        <w:t xml:space="preserve"> defined as the log of average portfolio holdings</w:t>
      </w:r>
      <w:r w:rsidR="00F20BC9" w:rsidRPr="003A4F79">
        <w:t>.</w:t>
      </w:r>
      <w:r w:rsidR="0042119A" w:rsidRPr="003A4F79">
        <w:rPr>
          <w:i/>
        </w:rPr>
        <w:t xml:space="preserve"> </w:t>
      </w:r>
      <w:r w:rsidR="00AC4CA5" w:rsidRPr="003A4F79">
        <w:rPr>
          <w:i/>
        </w:rPr>
        <w:t>ZeroTrd</w:t>
      </w:r>
      <w:r w:rsidR="00AC4CA5" w:rsidRPr="003A4F79">
        <w:t xml:space="preserve"> is a dummy variable that equals 1 if the investor do</w:t>
      </w:r>
      <w:r w:rsidR="0042119A" w:rsidRPr="003A4F79">
        <w:t>es</w:t>
      </w:r>
      <w:r w:rsidR="00AC4CA5" w:rsidRPr="003A4F79">
        <w:t xml:space="preserve"> not trade between initial purchase and</w:t>
      </w:r>
      <w:r w:rsidR="0042119A" w:rsidRPr="003A4F79">
        <w:t xml:space="preserve"> market</w:t>
      </w:r>
      <w:r w:rsidR="00AC4CA5" w:rsidRPr="003A4F79">
        <w:t xml:space="preserve"> exit, and 0 otherwise. </w:t>
      </w:r>
      <w:r w:rsidR="00AC4CA5" w:rsidRPr="003A4F79">
        <w:rPr>
          <w:i/>
        </w:rPr>
        <w:t>SglStock</w:t>
      </w:r>
      <w:r w:rsidR="00AC4CA5" w:rsidRPr="003A4F79">
        <w:t xml:space="preserve"> is a dummy variable that equals 1 if the investor only owns one stock</w:t>
      </w:r>
      <w:r w:rsidR="0042119A" w:rsidRPr="003A4F79">
        <w:t>.</w:t>
      </w:r>
      <w:r w:rsidR="00AC4CA5" w:rsidRPr="003A4F79">
        <w:t xml:space="preserve"> </w:t>
      </w:r>
      <w:r w:rsidR="00AC4CA5" w:rsidRPr="003A4F79">
        <w:rPr>
          <w:i/>
        </w:rPr>
        <w:t>Nokia</w:t>
      </w:r>
      <w:r w:rsidR="00AC4CA5" w:rsidRPr="003A4F79">
        <w:t xml:space="preserve"> is a dummy variable equal to 1 if an investor initiate</w:t>
      </w:r>
      <w:r w:rsidR="0042119A" w:rsidRPr="003A4F79">
        <w:t>s</w:t>
      </w:r>
      <w:r w:rsidR="00AC4CA5" w:rsidRPr="003A4F79">
        <w:t xml:space="preserve"> </w:t>
      </w:r>
      <w:r w:rsidR="0042119A" w:rsidRPr="003A4F79">
        <w:t xml:space="preserve">investment </w:t>
      </w:r>
      <w:r w:rsidR="00AC4CA5" w:rsidRPr="003A4F79">
        <w:t>by purchasing Nokia stock</w:t>
      </w:r>
      <w:r w:rsidR="00AC4CA5" w:rsidRPr="003A4F79">
        <w:rPr>
          <w:i/>
        </w:rPr>
        <w:t xml:space="preserve">. MktRet </w:t>
      </w:r>
      <w:r w:rsidR="00AC4CA5" w:rsidRPr="003A4F79">
        <w:t>and</w:t>
      </w:r>
      <w:r w:rsidR="00AC4CA5" w:rsidRPr="003A4F79">
        <w:rPr>
          <w:i/>
        </w:rPr>
        <w:t xml:space="preserve"> MktVol</w:t>
      </w:r>
      <w:r w:rsidR="00AC4CA5" w:rsidRPr="003A4F79">
        <w:t xml:space="preserve"> </w:t>
      </w:r>
      <w:r w:rsidR="0042119A" w:rsidRPr="003A4F79">
        <w:t xml:space="preserve">are </w:t>
      </w:r>
      <w:r w:rsidR="00AC4CA5" w:rsidRPr="003A4F79">
        <w:t>the monthly return and volatility</w:t>
      </w:r>
      <w:r w:rsidR="00024015" w:rsidRPr="003A4F79">
        <w:t xml:space="preserve"> volatility (standard deviation of daily returns)</w:t>
      </w:r>
      <w:r w:rsidR="00AC4CA5" w:rsidRPr="003A4F79">
        <w:t xml:space="preserve"> </w:t>
      </w:r>
      <w:r w:rsidR="00F20BC9" w:rsidRPr="003A4F79">
        <w:t xml:space="preserve">of </w:t>
      </w:r>
      <w:r w:rsidR="00AC4CA5" w:rsidRPr="003A4F79">
        <w:t xml:space="preserve">the Finnish stock market (OMX Helsinki Index). </w:t>
      </w:r>
      <w:r w:rsidR="00AC4CA5" w:rsidRPr="003A4F79">
        <w:rPr>
          <w:i/>
        </w:rPr>
        <w:t>Age</w:t>
      </w:r>
      <w:r w:rsidR="00AC4CA5" w:rsidRPr="003A4F79">
        <w:t xml:space="preserve"> is investor age (in years) at the beginning of sample</w:t>
      </w:r>
      <w:r w:rsidR="0042119A" w:rsidRPr="003A4F79">
        <w:t>.</w:t>
      </w:r>
      <w:r w:rsidR="00AC4CA5" w:rsidRPr="003A4F79">
        <w:t xml:space="preserve"> </w:t>
      </w:r>
      <w:r w:rsidR="00AC4CA5" w:rsidRPr="003A4F79">
        <w:rPr>
          <w:i/>
        </w:rPr>
        <w:t>Female</w:t>
      </w:r>
      <w:r w:rsidR="00AC4CA5" w:rsidRPr="003A4F79">
        <w:t xml:space="preserve"> is a dummy variable that equals 1 if investor gender is female. </w:t>
      </w:r>
      <w:r w:rsidR="00AC4CA5" w:rsidRPr="003A4F79">
        <w:rPr>
          <w:i/>
        </w:rPr>
        <w:t>Minor</w:t>
      </w:r>
      <w:r w:rsidR="00AC4CA5" w:rsidRPr="003A4F79">
        <w:t xml:space="preserve"> is a dummy variable that equals 1 </w:t>
      </w:r>
      <w:r w:rsidR="00F20BC9" w:rsidRPr="003A4F79">
        <w:rPr>
          <w:lang w:eastAsia="en-GB"/>
        </w:rPr>
        <w:t>if the account holder is below 16 years of age</w:t>
      </w:r>
      <w:r w:rsidR="00AC4CA5" w:rsidRPr="003A4F79">
        <w:t xml:space="preserve">. </w:t>
      </w:r>
      <w:r w:rsidR="00AC4CA5" w:rsidRPr="003A4F79">
        <w:rPr>
          <w:i/>
        </w:rPr>
        <w:t xml:space="preserve">Burst </w:t>
      </w:r>
      <w:r w:rsidR="00AC4CA5" w:rsidRPr="003A4F79">
        <w:t xml:space="preserve">is a dummy variable, defined </w:t>
      </w:r>
      <w:r w:rsidR="0042119A" w:rsidRPr="003A4F79">
        <w:t>as</w:t>
      </w:r>
      <w:r w:rsidR="00AC4CA5" w:rsidRPr="003A4F79">
        <w:t xml:space="preserve"> 1 if the time is </w:t>
      </w:r>
      <w:r w:rsidR="0042119A" w:rsidRPr="003A4F79">
        <w:t>after</w:t>
      </w:r>
      <w:r w:rsidR="00AC4CA5" w:rsidRPr="003A4F79">
        <w:t xml:space="preserve"> the </w:t>
      </w:r>
      <w:r w:rsidR="0042119A" w:rsidRPr="003A4F79">
        <w:t xml:space="preserve">the </w:t>
      </w:r>
      <w:r w:rsidR="00AC4CA5" w:rsidRPr="003A4F79">
        <w:t>dotcom bubble</w:t>
      </w:r>
      <w:r w:rsidR="00F20BC9" w:rsidRPr="003A4F79">
        <w:t xml:space="preserve"> burst</w:t>
      </w:r>
      <w:r w:rsidR="00AC4CA5" w:rsidRPr="003A4F79">
        <w:t xml:space="preserve"> (April 2000</w:t>
      </w:r>
      <w:r w:rsidR="00987139" w:rsidRPr="003A4F79">
        <w:t xml:space="preserve">). The Wald chi-square of the Wald test for the model fit is reported in the model fit column. </w:t>
      </w:r>
      <w:r w:rsidR="00452FB4" w:rsidRPr="003A4F79">
        <w:t>Robust s</w:t>
      </w:r>
      <w:r w:rsidR="00E2771C" w:rsidRPr="003A4F79">
        <w:t xml:space="preserve">tandard </w:t>
      </w:r>
      <w:r w:rsidR="003F7135" w:rsidRPr="003A4F79">
        <w:t>error</w:t>
      </w:r>
      <w:r w:rsidR="0042119A" w:rsidRPr="003A4F79">
        <w:t>s,</w:t>
      </w:r>
      <w:r w:rsidR="003F7135" w:rsidRPr="003A4F79">
        <w:t xml:space="preserve"> </w:t>
      </w:r>
      <w:r w:rsidR="00E2771C" w:rsidRPr="003A4F79">
        <w:t xml:space="preserve">presented in </w:t>
      </w:r>
      <w:r w:rsidR="0042119A" w:rsidRPr="003A4F79">
        <w:t xml:space="preserve">parentheses, are </w:t>
      </w:r>
      <w:r w:rsidR="003F7135" w:rsidRPr="003A4F79">
        <w:t xml:space="preserve">clustered at </w:t>
      </w:r>
      <w:r w:rsidR="00742E5E" w:rsidRPr="003A4F79">
        <w:t xml:space="preserve">the </w:t>
      </w:r>
      <w:r w:rsidR="00EF647D" w:rsidRPr="003A4F79">
        <w:t xml:space="preserve">investor </w:t>
      </w:r>
      <w:r w:rsidR="003F7135" w:rsidRPr="003A4F79">
        <w:t>level</w:t>
      </w:r>
      <w:r w:rsidR="00F20BC9" w:rsidRPr="003A4F79">
        <w:t xml:space="preserve">: </w:t>
      </w:r>
      <w:r w:rsidR="00A47067" w:rsidRPr="003A4F79">
        <w:rPr>
          <w:rFonts w:ascii="Cambria Math" w:hAnsi="Cambria Math" w:cs="Cambria Math"/>
        </w:rPr>
        <w:t>∗∗∗</w:t>
      </w:r>
      <w:r w:rsidR="00A47067" w:rsidRPr="003A4F79">
        <w:t xml:space="preserve">, </w:t>
      </w:r>
      <w:r w:rsidR="00A47067" w:rsidRPr="003A4F79">
        <w:rPr>
          <w:rFonts w:ascii="Cambria Math" w:hAnsi="Cambria Math" w:cs="Cambria Math"/>
        </w:rPr>
        <w:t>∗∗</w:t>
      </w:r>
      <w:r w:rsidR="00A47067" w:rsidRPr="003A4F79">
        <w:t xml:space="preserve">, and </w:t>
      </w:r>
      <w:r w:rsidR="00A47067" w:rsidRPr="003A4F79">
        <w:rPr>
          <w:rFonts w:ascii="Cambria Math" w:hAnsi="Cambria Math" w:cs="Cambria Math"/>
        </w:rPr>
        <w:t>∗</w:t>
      </w:r>
      <w:r w:rsidR="00A47067" w:rsidRPr="003A4F79">
        <w:t xml:space="preserve"> denote statistical significance at</w:t>
      </w:r>
      <w:r w:rsidR="00742E5E" w:rsidRPr="003A4F79">
        <w:t xml:space="preserve"> the </w:t>
      </w:r>
      <w:r w:rsidR="00A47067" w:rsidRPr="003A4F79">
        <w:t>1%, 5%, and 10%</w:t>
      </w:r>
      <w:r w:rsidR="0042119A" w:rsidRPr="003A4F79">
        <w:t xml:space="preserve"> levels</w:t>
      </w:r>
      <w:r w:rsidR="00A47067" w:rsidRPr="003A4F79">
        <w:t>.</w:t>
      </w:r>
      <w:r w:rsidR="00654813" w:rsidRPr="003A4F79">
        <w:t xml:space="preserve"> The</w:t>
      </w:r>
      <w:r w:rsidR="00287273" w:rsidRPr="003A4F79">
        <w:t xml:space="preserve">re are </w:t>
      </w:r>
      <w:r w:rsidR="00654813" w:rsidRPr="003A4F79">
        <w:t>2</w:t>
      </w:r>
      <w:r w:rsidR="007F79DF" w:rsidRPr="003A4F79">
        <w:t>76</w:t>
      </w:r>
      <w:r w:rsidR="00654813" w:rsidRPr="003A4F79">
        <w:t>,</w:t>
      </w:r>
      <w:r w:rsidR="007F79DF" w:rsidRPr="003A4F79">
        <w:t>470</w:t>
      </w:r>
      <w:r w:rsidR="00287273" w:rsidRPr="003A4F79">
        <w:t xml:space="preserve"> investor</w:t>
      </w:r>
      <w:r w:rsidR="007F79DF" w:rsidRPr="003A4F79">
        <w:t>-</w:t>
      </w:r>
      <w:r w:rsidR="00287273" w:rsidRPr="003A4F79">
        <w:t>months</w:t>
      </w:r>
      <w:r w:rsidR="002A0F22" w:rsidRPr="003A4F79">
        <w:t xml:space="preserve"> (9,</w:t>
      </w:r>
      <w:r w:rsidR="007F79DF" w:rsidRPr="003A4F79">
        <w:t>435</w:t>
      </w:r>
      <w:r w:rsidR="002A0F22" w:rsidRPr="003A4F79">
        <w:t xml:space="preserve"> investors)</w:t>
      </w:r>
      <w:r w:rsidR="00287273" w:rsidRPr="003A4F79">
        <w:t xml:space="preserve"> in the sample</w:t>
      </w:r>
      <w:r w:rsidR="00654813" w:rsidRPr="003A4F79">
        <w:t>.</w:t>
      </w:r>
    </w:p>
    <w:p w14:paraId="4DD3FE57" w14:textId="77777777" w:rsidR="00B71060" w:rsidRPr="003A4F79" w:rsidRDefault="00B71060">
      <w:pPr>
        <w:spacing w:line="240" w:lineRule="auto"/>
        <w:ind w:firstLine="0"/>
        <w:jc w:val="left"/>
        <w:rPr>
          <w:rFonts w:ascii="Times New Roman" w:hAnsi="Times New Roman" w:cs="Times New Roman"/>
          <w:sz w:val="20"/>
          <w:szCs w:val="20"/>
        </w:rPr>
      </w:pPr>
      <w:r w:rsidRPr="003A4F79">
        <w:br w:type="page"/>
      </w:r>
    </w:p>
    <w:p w14:paraId="749762F6" w14:textId="77777777" w:rsidR="001A450C" w:rsidRPr="003A4F79" w:rsidRDefault="001A450C" w:rsidP="00290F9F">
      <w:pPr>
        <w:pStyle w:val="FigureNotes"/>
      </w:pPr>
    </w:p>
    <w:p w14:paraId="126C8C4E" w14:textId="25C915B0" w:rsidR="00956C25" w:rsidRPr="003A4F79" w:rsidRDefault="00956C25" w:rsidP="00006565">
      <w:pPr>
        <w:pStyle w:val="FigureNotes"/>
        <w:jc w:val="center"/>
        <w:rPr>
          <w:noProof/>
          <w:lang w:val="en-GB" w:eastAsia="ko-KR"/>
        </w:rPr>
      </w:pPr>
    </w:p>
    <w:tbl>
      <w:tblPr>
        <w:tblW w:w="7700" w:type="dxa"/>
        <w:jc w:val="center"/>
        <w:tblLook w:val="04A0" w:firstRow="1" w:lastRow="0" w:firstColumn="1" w:lastColumn="0" w:noHBand="0" w:noVBand="1"/>
      </w:tblPr>
      <w:tblGrid>
        <w:gridCol w:w="3060"/>
        <w:gridCol w:w="1216"/>
        <w:gridCol w:w="1216"/>
        <w:gridCol w:w="1216"/>
        <w:gridCol w:w="1216"/>
      </w:tblGrid>
      <w:tr w:rsidR="003A4F79" w:rsidRPr="003A4F79" w14:paraId="5EFBABD1" w14:textId="77777777" w:rsidTr="00B71060">
        <w:trPr>
          <w:trHeight w:val="255"/>
          <w:jc w:val="center"/>
        </w:trPr>
        <w:tc>
          <w:tcPr>
            <w:tcW w:w="3060" w:type="dxa"/>
            <w:tcBorders>
              <w:top w:val="single" w:sz="4" w:space="0" w:color="auto"/>
              <w:left w:val="nil"/>
              <w:bottom w:val="nil"/>
              <w:right w:val="nil"/>
            </w:tcBorders>
            <w:shd w:val="clear" w:color="auto" w:fill="auto"/>
            <w:noWrap/>
            <w:vAlign w:val="bottom"/>
            <w:hideMark/>
          </w:tcPr>
          <w:p w14:paraId="2E388008"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single" w:sz="4" w:space="0" w:color="auto"/>
              <w:left w:val="nil"/>
              <w:bottom w:val="single" w:sz="4" w:space="0" w:color="auto"/>
              <w:right w:val="nil"/>
            </w:tcBorders>
            <w:shd w:val="clear" w:color="auto" w:fill="auto"/>
            <w:noWrap/>
            <w:vAlign w:val="bottom"/>
            <w:hideMark/>
          </w:tcPr>
          <w:p w14:paraId="489481F3"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044A262E"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2BA754E1"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4D700EFC"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4</w:t>
            </w:r>
          </w:p>
        </w:tc>
      </w:tr>
      <w:tr w:rsidR="003A4F79" w:rsidRPr="003A4F79" w14:paraId="06BA700F"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77FB5BB2"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VARIABLES</w:t>
            </w:r>
          </w:p>
        </w:tc>
        <w:tc>
          <w:tcPr>
            <w:tcW w:w="4640" w:type="dxa"/>
            <w:gridSpan w:val="4"/>
            <w:tcBorders>
              <w:top w:val="single" w:sz="4" w:space="0" w:color="auto"/>
              <w:left w:val="nil"/>
              <w:bottom w:val="single" w:sz="4" w:space="0" w:color="auto"/>
              <w:right w:val="nil"/>
            </w:tcBorders>
            <w:shd w:val="clear" w:color="auto" w:fill="auto"/>
            <w:noWrap/>
            <w:vAlign w:val="bottom"/>
            <w:hideMark/>
          </w:tcPr>
          <w:p w14:paraId="00F9B5A7"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Re-entry</w:t>
            </w:r>
          </w:p>
        </w:tc>
      </w:tr>
      <w:tr w:rsidR="003A4F79" w:rsidRPr="003A4F79" w14:paraId="616B331C" w14:textId="77777777" w:rsidTr="00B71060">
        <w:trPr>
          <w:trHeight w:val="255"/>
          <w:jc w:val="center"/>
        </w:trPr>
        <w:tc>
          <w:tcPr>
            <w:tcW w:w="3060" w:type="dxa"/>
            <w:tcBorders>
              <w:top w:val="single" w:sz="4" w:space="0" w:color="auto"/>
              <w:left w:val="nil"/>
              <w:bottom w:val="nil"/>
              <w:right w:val="nil"/>
            </w:tcBorders>
            <w:shd w:val="clear" w:color="auto" w:fill="auto"/>
            <w:noWrap/>
            <w:vAlign w:val="bottom"/>
            <w:hideMark/>
          </w:tcPr>
          <w:p w14:paraId="39699F41"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240F619C"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7D20697F"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5F7C2672"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38DBC040"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r>
      <w:tr w:rsidR="003A4F79" w:rsidRPr="003A4F79" w14:paraId="1750C7AA"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6894AD89"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w:t>
            </w:r>
          </w:p>
        </w:tc>
        <w:tc>
          <w:tcPr>
            <w:tcW w:w="1160" w:type="dxa"/>
            <w:tcBorders>
              <w:top w:val="nil"/>
              <w:left w:val="nil"/>
              <w:bottom w:val="nil"/>
              <w:right w:val="nil"/>
            </w:tcBorders>
            <w:shd w:val="clear" w:color="auto" w:fill="auto"/>
            <w:noWrap/>
            <w:vAlign w:val="bottom"/>
            <w:hideMark/>
          </w:tcPr>
          <w:p w14:paraId="2AD23DFB"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1.6706***</w:t>
            </w:r>
          </w:p>
        </w:tc>
        <w:tc>
          <w:tcPr>
            <w:tcW w:w="1160" w:type="dxa"/>
            <w:tcBorders>
              <w:top w:val="nil"/>
              <w:left w:val="nil"/>
              <w:bottom w:val="nil"/>
              <w:right w:val="nil"/>
            </w:tcBorders>
            <w:shd w:val="clear" w:color="auto" w:fill="auto"/>
            <w:noWrap/>
            <w:vAlign w:val="bottom"/>
            <w:hideMark/>
          </w:tcPr>
          <w:p w14:paraId="5EA09E86"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1.6358***</w:t>
            </w:r>
          </w:p>
        </w:tc>
        <w:tc>
          <w:tcPr>
            <w:tcW w:w="1160" w:type="dxa"/>
            <w:tcBorders>
              <w:top w:val="nil"/>
              <w:left w:val="nil"/>
              <w:bottom w:val="nil"/>
              <w:right w:val="nil"/>
            </w:tcBorders>
            <w:shd w:val="clear" w:color="auto" w:fill="auto"/>
            <w:noWrap/>
            <w:vAlign w:val="bottom"/>
            <w:hideMark/>
          </w:tcPr>
          <w:p w14:paraId="52EE5A70"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1.6758***</w:t>
            </w:r>
          </w:p>
        </w:tc>
        <w:tc>
          <w:tcPr>
            <w:tcW w:w="1160" w:type="dxa"/>
            <w:tcBorders>
              <w:top w:val="nil"/>
              <w:left w:val="nil"/>
              <w:bottom w:val="nil"/>
              <w:right w:val="nil"/>
            </w:tcBorders>
            <w:shd w:val="clear" w:color="auto" w:fill="auto"/>
            <w:noWrap/>
            <w:vAlign w:val="bottom"/>
            <w:hideMark/>
          </w:tcPr>
          <w:p w14:paraId="1D1059C6"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1.4398**</w:t>
            </w:r>
          </w:p>
        </w:tc>
      </w:tr>
      <w:tr w:rsidR="003A4F79" w:rsidRPr="003A4F79" w14:paraId="2F260E19"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11088A38"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FAB486F"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(3.67)</w:t>
            </w:r>
          </w:p>
        </w:tc>
        <w:tc>
          <w:tcPr>
            <w:tcW w:w="1160" w:type="dxa"/>
            <w:tcBorders>
              <w:top w:val="nil"/>
              <w:left w:val="nil"/>
              <w:bottom w:val="nil"/>
              <w:right w:val="nil"/>
            </w:tcBorders>
            <w:shd w:val="clear" w:color="auto" w:fill="auto"/>
            <w:noWrap/>
            <w:vAlign w:val="bottom"/>
            <w:hideMark/>
          </w:tcPr>
          <w:p w14:paraId="390685BE"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(3.51)</w:t>
            </w:r>
          </w:p>
        </w:tc>
        <w:tc>
          <w:tcPr>
            <w:tcW w:w="1160" w:type="dxa"/>
            <w:tcBorders>
              <w:top w:val="nil"/>
              <w:left w:val="nil"/>
              <w:bottom w:val="nil"/>
              <w:right w:val="nil"/>
            </w:tcBorders>
            <w:shd w:val="clear" w:color="auto" w:fill="auto"/>
            <w:noWrap/>
            <w:vAlign w:val="bottom"/>
            <w:hideMark/>
          </w:tcPr>
          <w:p w14:paraId="4A45A570"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(3.75)</w:t>
            </w:r>
          </w:p>
        </w:tc>
        <w:tc>
          <w:tcPr>
            <w:tcW w:w="1160" w:type="dxa"/>
            <w:tcBorders>
              <w:top w:val="nil"/>
              <w:left w:val="nil"/>
              <w:bottom w:val="nil"/>
              <w:right w:val="nil"/>
            </w:tcBorders>
            <w:shd w:val="clear" w:color="auto" w:fill="auto"/>
            <w:noWrap/>
            <w:vAlign w:val="bottom"/>
            <w:hideMark/>
          </w:tcPr>
          <w:p w14:paraId="6CE8843D"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(2.51)</w:t>
            </w:r>
          </w:p>
        </w:tc>
      </w:tr>
      <w:tr w:rsidR="003A4F79" w:rsidRPr="003A4F79" w14:paraId="1FA013DF"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61F7AB53"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InvSiz</w:t>
            </w:r>
          </w:p>
        </w:tc>
        <w:tc>
          <w:tcPr>
            <w:tcW w:w="1160" w:type="dxa"/>
            <w:tcBorders>
              <w:top w:val="nil"/>
              <w:left w:val="nil"/>
              <w:bottom w:val="nil"/>
              <w:right w:val="nil"/>
            </w:tcBorders>
            <w:shd w:val="clear" w:color="auto" w:fill="auto"/>
            <w:noWrap/>
            <w:vAlign w:val="bottom"/>
            <w:hideMark/>
          </w:tcPr>
          <w:p w14:paraId="75746B9C"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E51456C"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1.2319***</w:t>
            </w:r>
          </w:p>
        </w:tc>
        <w:tc>
          <w:tcPr>
            <w:tcW w:w="1160" w:type="dxa"/>
            <w:tcBorders>
              <w:top w:val="nil"/>
              <w:left w:val="nil"/>
              <w:bottom w:val="nil"/>
              <w:right w:val="nil"/>
            </w:tcBorders>
            <w:shd w:val="clear" w:color="auto" w:fill="auto"/>
            <w:noWrap/>
            <w:vAlign w:val="bottom"/>
            <w:hideMark/>
          </w:tcPr>
          <w:p w14:paraId="5EE0FC8D"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1.2127***</w:t>
            </w:r>
          </w:p>
        </w:tc>
        <w:tc>
          <w:tcPr>
            <w:tcW w:w="1160" w:type="dxa"/>
            <w:tcBorders>
              <w:top w:val="nil"/>
              <w:left w:val="nil"/>
              <w:bottom w:val="nil"/>
              <w:right w:val="nil"/>
            </w:tcBorders>
            <w:shd w:val="clear" w:color="auto" w:fill="auto"/>
            <w:noWrap/>
            <w:vAlign w:val="bottom"/>
            <w:hideMark/>
          </w:tcPr>
          <w:p w14:paraId="78458F87"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1.1712***</w:t>
            </w:r>
          </w:p>
        </w:tc>
      </w:tr>
      <w:tr w:rsidR="003A4F79" w:rsidRPr="003A4F79" w14:paraId="2EA3C8F0"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5B272628"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7EFA5B3"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FB47D5A"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(5.28)</w:t>
            </w:r>
          </w:p>
        </w:tc>
        <w:tc>
          <w:tcPr>
            <w:tcW w:w="1160" w:type="dxa"/>
            <w:tcBorders>
              <w:top w:val="nil"/>
              <w:left w:val="nil"/>
              <w:bottom w:val="nil"/>
              <w:right w:val="nil"/>
            </w:tcBorders>
            <w:shd w:val="clear" w:color="auto" w:fill="auto"/>
            <w:noWrap/>
            <w:vAlign w:val="bottom"/>
            <w:hideMark/>
          </w:tcPr>
          <w:p w14:paraId="1A399773"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(4.48)</w:t>
            </w:r>
          </w:p>
        </w:tc>
        <w:tc>
          <w:tcPr>
            <w:tcW w:w="1160" w:type="dxa"/>
            <w:tcBorders>
              <w:top w:val="nil"/>
              <w:left w:val="nil"/>
              <w:bottom w:val="nil"/>
              <w:right w:val="nil"/>
            </w:tcBorders>
            <w:shd w:val="clear" w:color="auto" w:fill="auto"/>
            <w:noWrap/>
            <w:vAlign w:val="bottom"/>
            <w:hideMark/>
          </w:tcPr>
          <w:p w14:paraId="2E73E1A2"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(3.69)</w:t>
            </w:r>
          </w:p>
        </w:tc>
      </w:tr>
      <w:tr w:rsidR="003A4F79" w:rsidRPr="003A4F79" w14:paraId="57BAFDA3"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5C6064CB"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w:t>
            </w:r>
          </w:p>
        </w:tc>
        <w:tc>
          <w:tcPr>
            <w:tcW w:w="1160" w:type="dxa"/>
            <w:tcBorders>
              <w:top w:val="nil"/>
              <w:left w:val="nil"/>
              <w:bottom w:val="nil"/>
              <w:right w:val="nil"/>
            </w:tcBorders>
            <w:shd w:val="clear" w:color="auto" w:fill="auto"/>
            <w:noWrap/>
            <w:vAlign w:val="bottom"/>
            <w:hideMark/>
          </w:tcPr>
          <w:p w14:paraId="7907B621"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7E30FE4"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CE57A11"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0.2869***</w:t>
            </w:r>
          </w:p>
        </w:tc>
        <w:tc>
          <w:tcPr>
            <w:tcW w:w="1160" w:type="dxa"/>
            <w:tcBorders>
              <w:top w:val="nil"/>
              <w:left w:val="nil"/>
              <w:bottom w:val="nil"/>
              <w:right w:val="nil"/>
            </w:tcBorders>
            <w:shd w:val="clear" w:color="auto" w:fill="auto"/>
            <w:noWrap/>
            <w:vAlign w:val="bottom"/>
            <w:hideMark/>
          </w:tcPr>
          <w:p w14:paraId="2A88A8A8"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0.3069***</w:t>
            </w:r>
          </w:p>
        </w:tc>
      </w:tr>
      <w:tr w:rsidR="003A4F79" w:rsidRPr="003A4F79" w14:paraId="1265E85F"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3BA1306E"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1CBBA1D"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FAFAF51"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1E5ACE3"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(-12.24)</w:t>
            </w:r>
          </w:p>
        </w:tc>
        <w:tc>
          <w:tcPr>
            <w:tcW w:w="1160" w:type="dxa"/>
            <w:tcBorders>
              <w:top w:val="nil"/>
              <w:left w:val="nil"/>
              <w:bottom w:val="nil"/>
              <w:right w:val="nil"/>
            </w:tcBorders>
            <w:shd w:val="clear" w:color="auto" w:fill="auto"/>
            <w:noWrap/>
            <w:vAlign w:val="bottom"/>
            <w:hideMark/>
          </w:tcPr>
          <w:p w14:paraId="2326610D"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(-11.62)</w:t>
            </w:r>
          </w:p>
        </w:tc>
      </w:tr>
      <w:tr w:rsidR="003A4F79" w:rsidRPr="003A4F79" w14:paraId="1A7672E3"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6A904446"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ZeroTrd</w:t>
            </w:r>
          </w:p>
        </w:tc>
        <w:tc>
          <w:tcPr>
            <w:tcW w:w="1160" w:type="dxa"/>
            <w:tcBorders>
              <w:top w:val="nil"/>
              <w:left w:val="nil"/>
              <w:bottom w:val="nil"/>
              <w:right w:val="nil"/>
            </w:tcBorders>
            <w:shd w:val="clear" w:color="auto" w:fill="auto"/>
            <w:noWrap/>
            <w:vAlign w:val="bottom"/>
            <w:hideMark/>
          </w:tcPr>
          <w:p w14:paraId="3B982160"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6452196"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5265CCC"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2.8545***</w:t>
            </w:r>
          </w:p>
        </w:tc>
        <w:tc>
          <w:tcPr>
            <w:tcW w:w="1160" w:type="dxa"/>
            <w:tcBorders>
              <w:top w:val="nil"/>
              <w:left w:val="nil"/>
              <w:bottom w:val="nil"/>
              <w:right w:val="nil"/>
            </w:tcBorders>
            <w:shd w:val="clear" w:color="auto" w:fill="auto"/>
            <w:noWrap/>
            <w:vAlign w:val="bottom"/>
            <w:hideMark/>
          </w:tcPr>
          <w:p w14:paraId="1BC2C7C4"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2.7426***</w:t>
            </w:r>
          </w:p>
        </w:tc>
      </w:tr>
      <w:tr w:rsidR="003A4F79" w:rsidRPr="003A4F79" w14:paraId="50D5F9F3"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4D222948"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2969F8D"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773A961"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B35E12F"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(21.64)</w:t>
            </w:r>
          </w:p>
        </w:tc>
        <w:tc>
          <w:tcPr>
            <w:tcW w:w="1160" w:type="dxa"/>
            <w:tcBorders>
              <w:top w:val="nil"/>
              <w:left w:val="nil"/>
              <w:bottom w:val="nil"/>
              <w:right w:val="nil"/>
            </w:tcBorders>
            <w:shd w:val="clear" w:color="auto" w:fill="auto"/>
            <w:noWrap/>
            <w:vAlign w:val="bottom"/>
            <w:hideMark/>
          </w:tcPr>
          <w:p w14:paraId="2D0C6D9D"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(20.70)</w:t>
            </w:r>
          </w:p>
        </w:tc>
      </w:tr>
      <w:tr w:rsidR="003A4F79" w:rsidRPr="003A4F79" w14:paraId="38332F47"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3BE2B7EB"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 × ZeroTrd</w:t>
            </w:r>
          </w:p>
        </w:tc>
        <w:tc>
          <w:tcPr>
            <w:tcW w:w="1160" w:type="dxa"/>
            <w:tcBorders>
              <w:top w:val="nil"/>
              <w:left w:val="nil"/>
              <w:bottom w:val="nil"/>
              <w:right w:val="nil"/>
            </w:tcBorders>
            <w:shd w:val="clear" w:color="auto" w:fill="auto"/>
            <w:noWrap/>
            <w:vAlign w:val="bottom"/>
            <w:hideMark/>
          </w:tcPr>
          <w:p w14:paraId="03B687A5"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C7E6D2E"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92F45F1"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0.2539***</w:t>
            </w:r>
          </w:p>
        </w:tc>
        <w:tc>
          <w:tcPr>
            <w:tcW w:w="1160" w:type="dxa"/>
            <w:tcBorders>
              <w:top w:val="nil"/>
              <w:left w:val="nil"/>
              <w:bottom w:val="nil"/>
              <w:right w:val="nil"/>
            </w:tcBorders>
            <w:shd w:val="clear" w:color="auto" w:fill="auto"/>
            <w:noWrap/>
            <w:vAlign w:val="bottom"/>
            <w:hideMark/>
          </w:tcPr>
          <w:p w14:paraId="559B0C49"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0.2699***</w:t>
            </w:r>
          </w:p>
        </w:tc>
      </w:tr>
      <w:tr w:rsidR="003A4F79" w:rsidRPr="003A4F79" w14:paraId="2C6DD99D"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1EA979B5"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6AED018"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B722386"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4C9C0B8"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(-12.01)</w:t>
            </w:r>
          </w:p>
        </w:tc>
        <w:tc>
          <w:tcPr>
            <w:tcW w:w="1160" w:type="dxa"/>
            <w:tcBorders>
              <w:top w:val="nil"/>
              <w:left w:val="nil"/>
              <w:bottom w:val="nil"/>
              <w:right w:val="nil"/>
            </w:tcBorders>
            <w:shd w:val="clear" w:color="auto" w:fill="auto"/>
            <w:noWrap/>
            <w:vAlign w:val="bottom"/>
            <w:hideMark/>
          </w:tcPr>
          <w:p w14:paraId="0AF3220C"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(-11.52)</w:t>
            </w:r>
          </w:p>
        </w:tc>
      </w:tr>
      <w:tr w:rsidR="003A4F79" w:rsidRPr="003A4F79" w14:paraId="067AEDAF"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0D4218CE"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Nokia</w:t>
            </w:r>
          </w:p>
        </w:tc>
        <w:tc>
          <w:tcPr>
            <w:tcW w:w="1160" w:type="dxa"/>
            <w:tcBorders>
              <w:top w:val="nil"/>
              <w:left w:val="nil"/>
              <w:bottom w:val="nil"/>
              <w:right w:val="nil"/>
            </w:tcBorders>
            <w:shd w:val="clear" w:color="auto" w:fill="auto"/>
            <w:noWrap/>
            <w:vAlign w:val="bottom"/>
            <w:hideMark/>
          </w:tcPr>
          <w:p w14:paraId="3BBE563A"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FFEBC2D"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A85BA4D"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748FF67"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1.9982***</w:t>
            </w:r>
          </w:p>
        </w:tc>
      </w:tr>
      <w:tr w:rsidR="003A4F79" w:rsidRPr="003A4F79" w14:paraId="14E46785"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34FD0F31"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B3CA29D"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0375CBF"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6EDBAAB"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91EFD33"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(17.39)</w:t>
            </w:r>
          </w:p>
        </w:tc>
      </w:tr>
      <w:tr w:rsidR="003A4F79" w:rsidRPr="003A4F79" w14:paraId="5C1D00BC"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19641290"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MktRet</w:t>
            </w:r>
          </w:p>
        </w:tc>
        <w:tc>
          <w:tcPr>
            <w:tcW w:w="1160" w:type="dxa"/>
            <w:tcBorders>
              <w:top w:val="nil"/>
              <w:left w:val="nil"/>
              <w:bottom w:val="nil"/>
              <w:right w:val="nil"/>
            </w:tcBorders>
            <w:shd w:val="clear" w:color="auto" w:fill="auto"/>
            <w:noWrap/>
            <w:vAlign w:val="bottom"/>
            <w:hideMark/>
          </w:tcPr>
          <w:p w14:paraId="2F28EF76"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0.4707***</w:t>
            </w:r>
          </w:p>
        </w:tc>
        <w:tc>
          <w:tcPr>
            <w:tcW w:w="1160" w:type="dxa"/>
            <w:tcBorders>
              <w:top w:val="nil"/>
              <w:left w:val="nil"/>
              <w:bottom w:val="nil"/>
              <w:right w:val="nil"/>
            </w:tcBorders>
            <w:shd w:val="clear" w:color="auto" w:fill="auto"/>
            <w:noWrap/>
            <w:vAlign w:val="bottom"/>
            <w:hideMark/>
          </w:tcPr>
          <w:p w14:paraId="507750D7"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0.4716***</w:t>
            </w:r>
          </w:p>
        </w:tc>
        <w:tc>
          <w:tcPr>
            <w:tcW w:w="1160" w:type="dxa"/>
            <w:tcBorders>
              <w:top w:val="nil"/>
              <w:left w:val="nil"/>
              <w:bottom w:val="nil"/>
              <w:right w:val="nil"/>
            </w:tcBorders>
            <w:shd w:val="clear" w:color="auto" w:fill="auto"/>
            <w:noWrap/>
            <w:vAlign w:val="bottom"/>
            <w:hideMark/>
          </w:tcPr>
          <w:p w14:paraId="0C65332E"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0.4359***</w:t>
            </w:r>
          </w:p>
        </w:tc>
        <w:tc>
          <w:tcPr>
            <w:tcW w:w="1160" w:type="dxa"/>
            <w:tcBorders>
              <w:top w:val="nil"/>
              <w:left w:val="nil"/>
              <w:bottom w:val="nil"/>
              <w:right w:val="nil"/>
            </w:tcBorders>
            <w:shd w:val="clear" w:color="auto" w:fill="auto"/>
            <w:noWrap/>
            <w:vAlign w:val="bottom"/>
            <w:hideMark/>
          </w:tcPr>
          <w:p w14:paraId="216934D8"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0.4228***</w:t>
            </w:r>
          </w:p>
        </w:tc>
      </w:tr>
      <w:tr w:rsidR="003A4F79" w:rsidRPr="003A4F79" w14:paraId="0CE1C320"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5FB203F6"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B4EE223"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(-4.45)</w:t>
            </w:r>
          </w:p>
        </w:tc>
        <w:tc>
          <w:tcPr>
            <w:tcW w:w="1160" w:type="dxa"/>
            <w:tcBorders>
              <w:top w:val="nil"/>
              <w:left w:val="nil"/>
              <w:bottom w:val="nil"/>
              <w:right w:val="nil"/>
            </w:tcBorders>
            <w:shd w:val="clear" w:color="auto" w:fill="auto"/>
            <w:noWrap/>
            <w:vAlign w:val="bottom"/>
            <w:hideMark/>
          </w:tcPr>
          <w:p w14:paraId="2C463687"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(-4.44)</w:t>
            </w:r>
          </w:p>
        </w:tc>
        <w:tc>
          <w:tcPr>
            <w:tcW w:w="1160" w:type="dxa"/>
            <w:tcBorders>
              <w:top w:val="nil"/>
              <w:left w:val="nil"/>
              <w:bottom w:val="nil"/>
              <w:right w:val="nil"/>
            </w:tcBorders>
            <w:shd w:val="clear" w:color="auto" w:fill="auto"/>
            <w:noWrap/>
            <w:vAlign w:val="bottom"/>
            <w:hideMark/>
          </w:tcPr>
          <w:p w14:paraId="1CA69C68"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(-4.81)</w:t>
            </w:r>
          </w:p>
        </w:tc>
        <w:tc>
          <w:tcPr>
            <w:tcW w:w="1160" w:type="dxa"/>
            <w:tcBorders>
              <w:top w:val="nil"/>
              <w:left w:val="nil"/>
              <w:bottom w:val="nil"/>
              <w:right w:val="nil"/>
            </w:tcBorders>
            <w:shd w:val="clear" w:color="auto" w:fill="auto"/>
            <w:noWrap/>
            <w:vAlign w:val="bottom"/>
            <w:hideMark/>
          </w:tcPr>
          <w:p w14:paraId="3ECB0092"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(-4.98)</w:t>
            </w:r>
          </w:p>
        </w:tc>
      </w:tr>
      <w:tr w:rsidR="003A4F79" w:rsidRPr="003A4F79" w14:paraId="1B878915"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4C074D2F"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MktVol</w:t>
            </w:r>
          </w:p>
        </w:tc>
        <w:tc>
          <w:tcPr>
            <w:tcW w:w="1160" w:type="dxa"/>
            <w:tcBorders>
              <w:top w:val="nil"/>
              <w:left w:val="nil"/>
              <w:bottom w:val="nil"/>
              <w:right w:val="nil"/>
            </w:tcBorders>
            <w:shd w:val="clear" w:color="auto" w:fill="auto"/>
            <w:noWrap/>
            <w:vAlign w:val="bottom"/>
            <w:hideMark/>
          </w:tcPr>
          <w:p w14:paraId="4F28E482"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0.4722</w:t>
            </w:r>
          </w:p>
        </w:tc>
        <w:tc>
          <w:tcPr>
            <w:tcW w:w="1160" w:type="dxa"/>
            <w:tcBorders>
              <w:top w:val="nil"/>
              <w:left w:val="nil"/>
              <w:bottom w:val="nil"/>
              <w:right w:val="nil"/>
            </w:tcBorders>
            <w:shd w:val="clear" w:color="auto" w:fill="auto"/>
            <w:noWrap/>
            <w:vAlign w:val="bottom"/>
            <w:hideMark/>
          </w:tcPr>
          <w:p w14:paraId="6ED3204C"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0.4706</w:t>
            </w:r>
          </w:p>
        </w:tc>
        <w:tc>
          <w:tcPr>
            <w:tcW w:w="1160" w:type="dxa"/>
            <w:tcBorders>
              <w:top w:val="nil"/>
              <w:left w:val="nil"/>
              <w:bottom w:val="nil"/>
              <w:right w:val="nil"/>
            </w:tcBorders>
            <w:shd w:val="clear" w:color="auto" w:fill="auto"/>
            <w:noWrap/>
            <w:vAlign w:val="bottom"/>
            <w:hideMark/>
          </w:tcPr>
          <w:p w14:paraId="348AF1FB"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0.4108</w:t>
            </w:r>
          </w:p>
        </w:tc>
        <w:tc>
          <w:tcPr>
            <w:tcW w:w="1160" w:type="dxa"/>
            <w:tcBorders>
              <w:top w:val="nil"/>
              <w:left w:val="nil"/>
              <w:bottom w:val="nil"/>
              <w:right w:val="nil"/>
            </w:tcBorders>
            <w:shd w:val="clear" w:color="auto" w:fill="auto"/>
            <w:noWrap/>
            <w:vAlign w:val="bottom"/>
            <w:hideMark/>
          </w:tcPr>
          <w:p w14:paraId="5171F317"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0.3986</w:t>
            </w:r>
          </w:p>
        </w:tc>
      </w:tr>
      <w:tr w:rsidR="003A4F79" w:rsidRPr="003A4F79" w14:paraId="6CB1B346"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39A2A84C"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01F31E5"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(-1.19)</w:t>
            </w:r>
          </w:p>
        </w:tc>
        <w:tc>
          <w:tcPr>
            <w:tcW w:w="1160" w:type="dxa"/>
            <w:tcBorders>
              <w:top w:val="nil"/>
              <w:left w:val="nil"/>
              <w:bottom w:val="nil"/>
              <w:right w:val="nil"/>
            </w:tcBorders>
            <w:shd w:val="clear" w:color="auto" w:fill="auto"/>
            <w:noWrap/>
            <w:vAlign w:val="bottom"/>
            <w:hideMark/>
          </w:tcPr>
          <w:p w14:paraId="37C9E034"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(-1.19)</w:t>
            </w:r>
          </w:p>
        </w:tc>
        <w:tc>
          <w:tcPr>
            <w:tcW w:w="1160" w:type="dxa"/>
            <w:tcBorders>
              <w:top w:val="nil"/>
              <w:left w:val="nil"/>
              <w:bottom w:val="nil"/>
              <w:right w:val="nil"/>
            </w:tcBorders>
            <w:shd w:val="clear" w:color="auto" w:fill="auto"/>
            <w:noWrap/>
            <w:vAlign w:val="bottom"/>
            <w:hideMark/>
          </w:tcPr>
          <w:p w14:paraId="56AB05B4"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(-1.36)</w:t>
            </w:r>
          </w:p>
        </w:tc>
        <w:tc>
          <w:tcPr>
            <w:tcW w:w="1160" w:type="dxa"/>
            <w:tcBorders>
              <w:top w:val="nil"/>
              <w:left w:val="nil"/>
              <w:bottom w:val="nil"/>
              <w:right w:val="nil"/>
            </w:tcBorders>
            <w:shd w:val="clear" w:color="auto" w:fill="auto"/>
            <w:noWrap/>
            <w:vAlign w:val="bottom"/>
            <w:hideMark/>
          </w:tcPr>
          <w:p w14:paraId="7A06A9EC"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(-1.40)</w:t>
            </w:r>
          </w:p>
        </w:tc>
      </w:tr>
      <w:tr w:rsidR="003A4F79" w:rsidRPr="003A4F79" w14:paraId="5D109E87"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78377E09"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Female</w:t>
            </w:r>
          </w:p>
        </w:tc>
        <w:tc>
          <w:tcPr>
            <w:tcW w:w="1160" w:type="dxa"/>
            <w:tcBorders>
              <w:top w:val="nil"/>
              <w:left w:val="nil"/>
              <w:bottom w:val="nil"/>
              <w:right w:val="nil"/>
            </w:tcBorders>
            <w:shd w:val="clear" w:color="auto" w:fill="auto"/>
            <w:noWrap/>
            <w:vAlign w:val="bottom"/>
            <w:hideMark/>
          </w:tcPr>
          <w:p w14:paraId="03EB17FC"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0.7408***</w:t>
            </w:r>
          </w:p>
        </w:tc>
        <w:tc>
          <w:tcPr>
            <w:tcW w:w="1160" w:type="dxa"/>
            <w:tcBorders>
              <w:top w:val="nil"/>
              <w:left w:val="nil"/>
              <w:bottom w:val="nil"/>
              <w:right w:val="nil"/>
            </w:tcBorders>
            <w:shd w:val="clear" w:color="auto" w:fill="auto"/>
            <w:noWrap/>
            <w:vAlign w:val="bottom"/>
            <w:hideMark/>
          </w:tcPr>
          <w:p w14:paraId="6D03C3A2"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0.7421***</w:t>
            </w:r>
          </w:p>
        </w:tc>
        <w:tc>
          <w:tcPr>
            <w:tcW w:w="1160" w:type="dxa"/>
            <w:tcBorders>
              <w:top w:val="nil"/>
              <w:left w:val="nil"/>
              <w:bottom w:val="nil"/>
              <w:right w:val="nil"/>
            </w:tcBorders>
            <w:shd w:val="clear" w:color="auto" w:fill="auto"/>
            <w:noWrap/>
            <w:vAlign w:val="bottom"/>
            <w:hideMark/>
          </w:tcPr>
          <w:p w14:paraId="44751AAF"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0.9254*</w:t>
            </w:r>
          </w:p>
        </w:tc>
        <w:tc>
          <w:tcPr>
            <w:tcW w:w="1160" w:type="dxa"/>
            <w:tcBorders>
              <w:top w:val="nil"/>
              <w:left w:val="nil"/>
              <w:bottom w:val="nil"/>
              <w:right w:val="nil"/>
            </w:tcBorders>
            <w:shd w:val="clear" w:color="auto" w:fill="auto"/>
            <w:noWrap/>
            <w:vAlign w:val="bottom"/>
            <w:hideMark/>
          </w:tcPr>
          <w:p w14:paraId="5B8D76BA"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0.9180**</w:t>
            </w:r>
          </w:p>
        </w:tc>
      </w:tr>
      <w:tr w:rsidR="003A4F79" w:rsidRPr="003A4F79" w14:paraId="3FB7702C"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619E7C87"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81C3EEE"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(-7.06)</w:t>
            </w:r>
          </w:p>
        </w:tc>
        <w:tc>
          <w:tcPr>
            <w:tcW w:w="1160" w:type="dxa"/>
            <w:tcBorders>
              <w:top w:val="nil"/>
              <w:left w:val="nil"/>
              <w:bottom w:val="nil"/>
              <w:right w:val="nil"/>
            </w:tcBorders>
            <w:shd w:val="clear" w:color="auto" w:fill="auto"/>
            <w:noWrap/>
            <w:vAlign w:val="bottom"/>
            <w:hideMark/>
          </w:tcPr>
          <w:p w14:paraId="0EA6FBEB"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(-7.01)</w:t>
            </w:r>
          </w:p>
        </w:tc>
        <w:tc>
          <w:tcPr>
            <w:tcW w:w="1160" w:type="dxa"/>
            <w:tcBorders>
              <w:top w:val="nil"/>
              <w:left w:val="nil"/>
              <w:bottom w:val="nil"/>
              <w:right w:val="nil"/>
            </w:tcBorders>
            <w:shd w:val="clear" w:color="auto" w:fill="auto"/>
            <w:noWrap/>
            <w:vAlign w:val="bottom"/>
            <w:hideMark/>
          </w:tcPr>
          <w:p w14:paraId="371B167A"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(-1.79)</w:t>
            </w:r>
          </w:p>
        </w:tc>
        <w:tc>
          <w:tcPr>
            <w:tcW w:w="1160" w:type="dxa"/>
            <w:tcBorders>
              <w:top w:val="nil"/>
              <w:left w:val="nil"/>
              <w:bottom w:val="nil"/>
              <w:right w:val="nil"/>
            </w:tcBorders>
            <w:shd w:val="clear" w:color="auto" w:fill="auto"/>
            <w:noWrap/>
            <w:vAlign w:val="bottom"/>
            <w:hideMark/>
          </w:tcPr>
          <w:p w14:paraId="253A1153"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(-1.97)</w:t>
            </w:r>
          </w:p>
        </w:tc>
      </w:tr>
      <w:tr w:rsidR="003A4F79" w:rsidRPr="003A4F79" w14:paraId="759A5966"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7B572BB6"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Age</w:t>
            </w:r>
          </w:p>
        </w:tc>
        <w:tc>
          <w:tcPr>
            <w:tcW w:w="1160" w:type="dxa"/>
            <w:tcBorders>
              <w:top w:val="nil"/>
              <w:left w:val="nil"/>
              <w:bottom w:val="nil"/>
              <w:right w:val="nil"/>
            </w:tcBorders>
            <w:shd w:val="clear" w:color="auto" w:fill="auto"/>
            <w:noWrap/>
            <w:vAlign w:val="bottom"/>
            <w:hideMark/>
          </w:tcPr>
          <w:p w14:paraId="5A34DC40"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0.9993</w:t>
            </w:r>
          </w:p>
        </w:tc>
        <w:tc>
          <w:tcPr>
            <w:tcW w:w="1160" w:type="dxa"/>
            <w:tcBorders>
              <w:top w:val="nil"/>
              <w:left w:val="nil"/>
              <w:bottom w:val="nil"/>
              <w:right w:val="nil"/>
            </w:tcBorders>
            <w:shd w:val="clear" w:color="auto" w:fill="auto"/>
            <w:noWrap/>
            <w:vAlign w:val="bottom"/>
            <w:hideMark/>
          </w:tcPr>
          <w:p w14:paraId="38F27C43"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0.9990</w:t>
            </w:r>
          </w:p>
        </w:tc>
        <w:tc>
          <w:tcPr>
            <w:tcW w:w="1160" w:type="dxa"/>
            <w:tcBorders>
              <w:top w:val="nil"/>
              <w:left w:val="nil"/>
              <w:bottom w:val="nil"/>
              <w:right w:val="nil"/>
            </w:tcBorders>
            <w:shd w:val="clear" w:color="auto" w:fill="auto"/>
            <w:noWrap/>
            <w:vAlign w:val="bottom"/>
            <w:hideMark/>
          </w:tcPr>
          <w:p w14:paraId="4995D73A"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1.0007</w:t>
            </w:r>
          </w:p>
        </w:tc>
        <w:tc>
          <w:tcPr>
            <w:tcW w:w="1160" w:type="dxa"/>
            <w:tcBorders>
              <w:top w:val="nil"/>
              <w:left w:val="nil"/>
              <w:bottom w:val="nil"/>
              <w:right w:val="nil"/>
            </w:tcBorders>
            <w:shd w:val="clear" w:color="auto" w:fill="auto"/>
            <w:noWrap/>
            <w:vAlign w:val="bottom"/>
            <w:hideMark/>
          </w:tcPr>
          <w:p w14:paraId="146EB174"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r>
      <w:tr w:rsidR="003A4F79" w:rsidRPr="003A4F79" w14:paraId="1FC58E0C"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3D6488FA"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4E7C073"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(-0.58)</w:t>
            </w:r>
          </w:p>
        </w:tc>
        <w:tc>
          <w:tcPr>
            <w:tcW w:w="1160" w:type="dxa"/>
            <w:tcBorders>
              <w:top w:val="nil"/>
              <w:left w:val="nil"/>
              <w:bottom w:val="nil"/>
              <w:right w:val="nil"/>
            </w:tcBorders>
            <w:shd w:val="clear" w:color="auto" w:fill="auto"/>
            <w:noWrap/>
            <w:vAlign w:val="bottom"/>
            <w:hideMark/>
          </w:tcPr>
          <w:p w14:paraId="59CEEF9D"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(-0.84)</w:t>
            </w:r>
          </w:p>
        </w:tc>
        <w:tc>
          <w:tcPr>
            <w:tcW w:w="1160" w:type="dxa"/>
            <w:tcBorders>
              <w:top w:val="nil"/>
              <w:left w:val="nil"/>
              <w:bottom w:val="nil"/>
              <w:right w:val="nil"/>
            </w:tcBorders>
            <w:shd w:val="clear" w:color="auto" w:fill="auto"/>
            <w:noWrap/>
            <w:vAlign w:val="bottom"/>
            <w:hideMark/>
          </w:tcPr>
          <w:p w14:paraId="72CB5331"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(0.50)</w:t>
            </w:r>
          </w:p>
        </w:tc>
        <w:tc>
          <w:tcPr>
            <w:tcW w:w="1160" w:type="dxa"/>
            <w:tcBorders>
              <w:top w:val="nil"/>
              <w:left w:val="nil"/>
              <w:bottom w:val="nil"/>
              <w:right w:val="nil"/>
            </w:tcBorders>
            <w:shd w:val="clear" w:color="auto" w:fill="auto"/>
            <w:noWrap/>
            <w:vAlign w:val="bottom"/>
            <w:hideMark/>
          </w:tcPr>
          <w:p w14:paraId="7D4373FC"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(0.09)</w:t>
            </w:r>
          </w:p>
        </w:tc>
      </w:tr>
      <w:tr w:rsidR="003A4F79" w:rsidRPr="003A4F79" w14:paraId="53297F1A"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78E733CE"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Burst</w:t>
            </w:r>
          </w:p>
        </w:tc>
        <w:tc>
          <w:tcPr>
            <w:tcW w:w="1160" w:type="dxa"/>
            <w:tcBorders>
              <w:top w:val="nil"/>
              <w:left w:val="nil"/>
              <w:bottom w:val="nil"/>
              <w:right w:val="nil"/>
            </w:tcBorders>
            <w:shd w:val="clear" w:color="auto" w:fill="auto"/>
            <w:noWrap/>
            <w:vAlign w:val="bottom"/>
            <w:hideMark/>
          </w:tcPr>
          <w:p w14:paraId="58BB50AF"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0.4590***</w:t>
            </w:r>
          </w:p>
        </w:tc>
        <w:tc>
          <w:tcPr>
            <w:tcW w:w="1160" w:type="dxa"/>
            <w:tcBorders>
              <w:top w:val="nil"/>
              <w:left w:val="nil"/>
              <w:bottom w:val="nil"/>
              <w:right w:val="nil"/>
            </w:tcBorders>
            <w:shd w:val="clear" w:color="auto" w:fill="auto"/>
            <w:noWrap/>
            <w:vAlign w:val="bottom"/>
            <w:hideMark/>
          </w:tcPr>
          <w:p w14:paraId="25132450"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0.4590***</w:t>
            </w:r>
          </w:p>
        </w:tc>
        <w:tc>
          <w:tcPr>
            <w:tcW w:w="1160" w:type="dxa"/>
            <w:tcBorders>
              <w:top w:val="nil"/>
              <w:left w:val="nil"/>
              <w:bottom w:val="nil"/>
              <w:right w:val="nil"/>
            </w:tcBorders>
            <w:shd w:val="clear" w:color="auto" w:fill="auto"/>
            <w:noWrap/>
            <w:vAlign w:val="bottom"/>
            <w:hideMark/>
          </w:tcPr>
          <w:p w14:paraId="6A64E9A0"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0.5378***</w:t>
            </w:r>
          </w:p>
        </w:tc>
        <w:tc>
          <w:tcPr>
            <w:tcW w:w="1160" w:type="dxa"/>
            <w:tcBorders>
              <w:top w:val="nil"/>
              <w:left w:val="nil"/>
              <w:bottom w:val="nil"/>
              <w:right w:val="nil"/>
            </w:tcBorders>
            <w:shd w:val="clear" w:color="auto" w:fill="auto"/>
            <w:noWrap/>
            <w:vAlign w:val="bottom"/>
            <w:hideMark/>
          </w:tcPr>
          <w:p w14:paraId="3C6393CA"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0.5507***</w:t>
            </w:r>
          </w:p>
        </w:tc>
      </w:tr>
      <w:tr w:rsidR="003A4F79" w:rsidRPr="003A4F79" w14:paraId="0977854A"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79FDF6A9"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EECB904"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(-10.95)</w:t>
            </w:r>
          </w:p>
        </w:tc>
        <w:tc>
          <w:tcPr>
            <w:tcW w:w="1160" w:type="dxa"/>
            <w:tcBorders>
              <w:top w:val="nil"/>
              <w:left w:val="nil"/>
              <w:bottom w:val="nil"/>
              <w:right w:val="nil"/>
            </w:tcBorders>
            <w:shd w:val="clear" w:color="auto" w:fill="auto"/>
            <w:noWrap/>
            <w:vAlign w:val="bottom"/>
            <w:hideMark/>
          </w:tcPr>
          <w:p w14:paraId="7A829F99"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(-10.95)</w:t>
            </w:r>
          </w:p>
        </w:tc>
        <w:tc>
          <w:tcPr>
            <w:tcW w:w="1160" w:type="dxa"/>
            <w:tcBorders>
              <w:top w:val="nil"/>
              <w:left w:val="nil"/>
              <w:bottom w:val="nil"/>
              <w:right w:val="nil"/>
            </w:tcBorders>
            <w:shd w:val="clear" w:color="auto" w:fill="auto"/>
            <w:noWrap/>
            <w:vAlign w:val="bottom"/>
            <w:hideMark/>
          </w:tcPr>
          <w:p w14:paraId="0031A5ED"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(-8.43)</w:t>
            </w:r>
          </w:p>
        </w:tc>
        <w:tc>
          <w:tcPr>
            <w:tcW w:w="1160" w:type="dxa"/>
            <w:tcBorders>
              <w:top w:val="nil"/>
              <w:left w:val="nil"/>
              <w:bottom w:val="nil"/>
              <w:right w:val="nil"/>
            </w:tcBorders>
            <w:shd w:val="clear" w:color="auto" w:fill="auto"/>
            <w:noWrap/>
            <w:vAlign w:val="bottom"/>
            <w:hideMark/>
          </w:tcPr>
          <w:p w14:paraId="0BB71399"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(-8.01)</w:t>
            </w:r>
          </w:p>
        </w:tc>
      </w:tr>
      <w:tr w:rsidR="003A4F79" w:rsidRPr="003A4F79" w14:paraId="04E88B92"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49412C48"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DurAway</w:t>
            </w:r>
          </w:p>
        </w:tc>
        <w:tc>
          <w:tcPr>
            <w:tcW w:w="1160" w:type="dxa"/>
            <w:tcBorders>
              <w:top w:val="nil"/>
              <w:left w:val="nil"/>
              <w:bottom w:val="nil"/>
              <w:right w:val="nil"/>
            </w:tcBorders>
            <w:shd w:val="clear" w:color="auto" w:fill="auto"/>
            <w:noWrap/>
            <w:vAlign w:val="bottom"/>
            <w:hideMark/>
          </w:tcPr>
          <w:p w14:paraId="644CB0E1"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0.9470***</w:t>
            </w:r>
          </w:p>
        </w:tc>
        <w:tc>
          <w:tcPr>
            <w:tcW w:w="1160" w:type="dxa"/>
            <w:tcBorders>
              <w:top w:val="nil"/>
              <w:left w:val="nil"/>
              <w:bottom w:val="nil"/>
              <w:right w:val="nil"/>
            </w:tcBorders>
            <w:shd w:val="clear" w:color="auto" w:fill="auto"/>
            <w:noWrap/>
            <w:vAlign w:val="bottom"/>
            <w:hideMark/>
          </w:tcPr>
          <w:p w14:paraId="6D2AA22B"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0.9469***</w:t>
            </w:r>
          </w:p>
        </w:tc>
        <w:tc>
          <w:tcPr>
            <w:tcW w:w="1160" w:type="dxa"/>
            <w:tcBorders>
              <w:top w:val="nil"/>
              <w:left w:val="nil"/>
              <w:bottom w:val="nil"/>
              <w:right w:val="nil"/>
            </w:tcBorders>
            <w:shd w:val="clear" w:color="auto" w:fill="auto"/>
            <w:noWrap/>
            <w:vAlign w:val="bottom"/>
            <w:hideMark/>
          </w:tcPr>
          <w:p w14:paraId="179C442F"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0.9559***</w:t>
            </w:r>
          </w:p>
        </w:tc>
        <w:tc>
          <w:tcPr>
            <w:tcW w:w="1160" w:type="dxa"/>
            <w:tcBorders>
              <w:top w:val="nil"/>
              <w:left w:val="nil"/>
              <w:bottom w:val="nil"/>
              <w:right w:val="nil"/>
            </w:tcBorders>
            <w:shd w:val="clear" w:color="auto" w:fill="auto"/>
            <w:noWrap/>
            <w:vAlign w:val="bottom"/>
            <w:hideMark/>
          </w:tcPr>
          <w:p w14:paraId="60F07C97"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0.9568***</w:t>
            </w:r>
          </w:p>
        </w:tc>
      </w:tr>
      <w:tr w:rsidR="003A4F79" w:rsidRPr="003A4F79" w14:paraId="26B799AC"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683F03ED"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4869B86"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(-24.97)</w:t>
            </w:r>
          </w:p>
        </w:tc>
        <w:tc>
          <w:tcPr>
            <w:tcW w:w="1160" w:type="dxa"/>
            <w:tcBorders>
              <w:top w:val="nil"/>
              <w:left w:val="nil"/>
              <w:bottom w:val="nil"/>
              <w:right w:val="nil"/>
            </w:tcBorders>
            <w:shd w:val="clear" w:color="auto" w:fill="auto"/>
            <w:noWrap/>
            <w:vAlign w:val="bottom"/>
            <w:hideMark/>
          </w:tcPr>
          <w:p w14:paraId="4B094A42"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(-25.01)</w:t>
            </w:r>
          </w:p>
        </w:tc>
        <w:tc>
          <w:tcPr>
            <w:tcW w:w="1160" w:type="dxa"/>
            <w:tcBorders>
              <w:top w:val="nil"/>
              <w:left w:val="nil"/>
              <w:bottom w:val="nil"/>
              <w:right w:val="nil"/>
            </w:tcBorders>
            <w:shd w:val="clear" w:color="auto" w:fill="auto"/>
            <w:noWrap/>
            <w:vAlign w:val="bottom"/>
            <w:hideMark/>
          </w:tcPr>
          <w:p w14:paraId="3E729301"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(-23.15)</w:t>
            </w:r>
          </w:p>
        </w:tc>
        <w:tc>
          <w:tcPr>
            <w:tcW w:w="1160" w:type="dxa"/>
            <w:tcBorders>
              <w:top w:val="nil"/>
              <w:left w:val="nil"/>
              <w:bottom w:val="nil"/>
              <w:right w:val="nil"/>
            </w:tcBorders>
            <w:shd w:val="clear" w:color="auto" w:fill="auto"/>
            <w:noWrap/>
            <w:vAlign w:val="bottom"/>
            <w:hideMark/>
          </w:tcPr>
          <w:p w14:paraId="4C7E5CB6"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(-23.19)</w:t>
            </w:r>
          </w:p>
        </w:tc>
      </w:tr>
      <w:tr w:rsidR="003A4F79" w:rsidRPr="003A4F79" w14:paraId="03951F71"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6C8F1002"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766033A"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F96B47E"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397193E"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6B046B4"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5C7ED159"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0AE3E06F"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Investment size quintile dummies</w:t>
            </w:r>
          </w:p>
        </w:tc>
        <w:tc>
          <w:tcPr>
            <w:tcW w:w="1160" w:type="dxa"/>
            <w:tcBorders>
              <w:top w:val="nil"/>
              <w:left w:val="nil"/>
              <w:bottom w:val="nil"/>
              <w:right w:val="nil"/>
            </w:tcBorders>
            <w:shd w:val="clear" w:color="auto" w:fill="auto"/>
            <w:noWrap/>
            <w:vAlign w:val="bottom"/>
            <w:hideMark/>
          </w:tcPr>
          <w:p w14:paraId="6325C682"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3B3D4E4E"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39F1E173"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F62CDD3"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751EFB49"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083217EE"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Zip code dummies</w:t>
            </w:r>
          </w:p>
        </w:tc>
        <w:tc>
          <w:tcPr>
            <w:tcW w:w="1160" w:type="dxa"/>
            <w:tcBorders>
              <w:top w:val="nil"/>
              <w:left w:val="nil"/>
              <w:bottom w:val="nil"/>
              <w:right w:val="nil"/>
            </w:tcBorders>
            <w:shd w:val="clear" w:color="auto" w:fill="auto"/>
            <w:noWrap/>
            <w:vAlign w:val="bottom"/>
            <w:hideMark/>
          </w:tcPr>
          <w:p w14:paraId="04CCBBB7"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3D49FC13"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5A583F44"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67FEFCB"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37B3A9DF"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409B16BB"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Exit time dummies</w:t>
            </w:r>
          </w:p>
        </w:tc>
        <w:tc>
          <w:tcPr>
            <w:tcW w:w="1160" w:type="dxa"/>
            <w:tcBorders>
              <w:top w:val="nil"/>
              <w:left w:val="nil"/>
              <w:bottom w:val="nil"/>
              <w:right w:val="nil"/>
            </w:tcBorders>
            <w:shd w:val="clear" w:color="auto" w:fill="auto"/>
            <w:noWrap/>
            <w:vAlign w:val="bottom"/>
            <w:hideMark/>
          </w:tcPr>
          <w:p w14:paraId="18C3DD7A"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2D14471F"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7DF933C5"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5C43FFA8"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49AFCB88"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0288A1B0"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Year dummies</w:t>
            </w:r>
          </w:p>
        </w:tc>
        <w:tc>
          <w:tcPr>
            <w:tcW w:w="1160" w:type="dxa"/>
            <w:tcBorders>
              <w:top w:val="nil"/>
              <w:left w:val="nil"/>
              <w:bottom w:val="nil"/>
              <w:right w:val="nil"/>
            </w:tcBorders>
            <w:shd w:val="clear" w:color="auto" w:fill="auto"/>
            <w:noWrap/>
            <w:vAlign w:val="bottom"/>
            <w:hideMark/>
          </w:tcPr>
          <w:p w14:paraId="4EAF8FF7"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032C4F5"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76BACDC2"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777474BF"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4B9F0F29"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781FFBE4"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E0F51B6"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CBEA4EF"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8CA3B5E"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154571E"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31A46124"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30157C13"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Robust SE clustered at investor level</w:t>
            </w:r>
          </w:p>
        </w:tc>
        <w:tc>
          <w:tcPr>
            <w:tcW w:w="1160" w:type="dxa"/>
            <w:tcBorders>
              <w:top w:val="nil"/>
              <w:left w:val="nil"/>
              <w:bottom w:val="nil"/>
              <w:right w:val="nil"/>
            </w:tcBorders>
            <w:shd w:val="clear" w:color="auto" w:fill="auto"/>
            <w:noWrap/>
            <w:vAlign w:val="bottom"/>
            <w:hideMark/>
          </w:tcPr>
          <w:p w14:paraId="4345B91F"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64DBBA65"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5C8A9041"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ACCE61A"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3F11CD4E" w14:textId="77777777" w:rsidTr="00B71060">
        <w:trPr>
          <w:trHeight w:val="255"/>
          <w:jc w:val="center"/>
        </w:trPr>
        <w:tc>
          <w:tcPr>
            <w:tcW w:w="3060" w:type="dxa"/>
            <w:tcBorders>
              <w:top w:val="nil"/>
              <w:left w:val="nil"/>
              <w:bottom w:val="nil"/>
              <w:right w:val="nil"/>
            </w:tcBorders>
            <w:shd w:val="clear" w:color="auto" w:fill="auto"/>
            <w:noWrap/>
            <w:vAlign w:val="bottom"/>
            <w:hideMark/>
          </w:tcPr>
          <w:p w14:paraId="0A2F78EC"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fit</w:t>
            </w:r>
          </w:p>
        </w:tc>
        <w:tc>
          <w:tcPr>
            <w:tcW w:w="1160" w:type="dxa"/>
            <w:tcBorders>
              <w:top w:val="nil"/>
              <w:left w:val="nil"/>
              <w:bottom w:val="nil"/>
              <w:right w:val="nil"/>
            </w:tcBorders>
            <w:shd w:val="clear" w:color="auto" w:fill="auto"/>
            <w:noWrap/>
            <w:vAlign w:val="bottom"/>
            <w:hideMark/>
          </w:tcPr>
          <w:p w14:paraId="5A3EBD37"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1,746.48***</w:t>
            </w:r>
          </w:p>
        </w:tc>
        <w:tc>
          <w:tcPr>
            <w:tcW w:w="1160" w:type="dxa"/>
            <w:tcBorders>
              <w:top w:val="nil"/>
              <w:left w:val="nil"/>
              <w:bottom w:val="nil"/>
              <w:right w:val="nil"/>
            </w:tcBorders>
            <w:shd w:val="clear" w:color="auto" w:fill="auto"/>
            <w:noWrap/>
            <w:vAlign w:val="bottom"/>
            <w:hideMark/>
          </w:tcPr>
          <w:p w14:paraId="33EDCBC3"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1,768.49***</w:t>
            </w:r>
          </w:p>
        </w:tc>
        <w:tc>
          <w:tcPr>
            <w:tcW w:w="1160" w:type="dxa"/>
            <w:tcBorders>
              <w:top w:val="nil"/>
              <w:left w:val="nil"/>
              <w:bottom w:val="nil"/>
              <w:right w:val="nil"/>
            </w:tcBorders>
            <w:shd w:val="clear" w:color="auto" w:fill="auto"/>
            <w:noWrap/>
            <w:vAlign w:val="bottom"/>
            <w:hideMark/>
          </w:tcPr>
          <w:p w14:paraId="44AEB714"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5,221.45***</w:t>
            </w:r>
          </w:p>
        </w:tc>
        <w:tc>
          <w:tcPr>
            <w:tcW w:w="1160" w:type="dxa"/>
            <w:tcBorders>
              <w:top w:val="nil"/>
              <w:left w:val="nil"/>
              <w:bottom w:val="nil"/>
              <w:right w:val="nil"/>
            </w:tcBorders>
            <w:shd w:val="clear" w:color="auto" w:fill="auto"/>
            <w:noWrap/>
            <w:vAlign w:val="bottom"/>
            <w:hideMark/>
          </w:tcPr>
          <w:p w14:paraId="7DB25FCA"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5,795.08***</w:t>
            </w:r>
          </w:p>
        </w:tc>
      </w:tr>
      <w:tr w:rsidR="00B71060" w:rsidRPr="003A4F79" w14:paraId="605F4E70" w14:textId="77777777" w:rsidTr="00B71060">
        <w:trPr>
          <w:trHeight w:val="315"/>
          <w:jc w:val="center"/>
        </w:trPr>
        <w:tc>
          <w:tcPr>
            <w:tcW w:w="3060" w:type="dxa"/>
            <w:tcBorders>
              <w:top w:val="nil"/>
              <w:left w:val="nil"/>
              <w:bottom w:val="single" w:sz="4" w:space="0" w:color="auto"/>
              <w:right w:val="nil"/>
            </w:tcBorders>
            <w:shd w:val="clear" w:color="auto" w:fill="auto"/>
            <w:noWrap/>
            <w:vAlign w:val="bottom"/>
            <w:hideMark/>
          </w:tcPr>
          <w:p w14:paraId="28FE0C2B" w14:textId="77777777" w:rsidR="00B71060" w:rsidRPr="003A4F79" w:rsidRDefault="00B71060" w:rsidP="00B71060">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Pseudo R</w:t>
            </w:r>
            <w:r w:rsidRPr="003A4F79">
              <w:rPr>
                <w:rFonts w:ascii="Times New Roman" w:eastAsia="Times New Roman" w:hAnsi="Times New Roman" w:cs="Times New Roman"/>
                <w:sz w:val="20"/>
                <w:szCs w:val="20"/>
                <w:vertAlign w:val="superscript"/>
                <w:lang w:val="en-GB" w:eastAsia="ko-KR"/>
              </w:rPr>
              <w:t>2</w:t>
            </w:r>
          </w:p>
        </w:tc>
        <w:tc>
          <w:tcPr>
            <w:tcW w:w="1160" w:type="dxa"/>
            <w:tcBorders>
              <w:top w:val="nil"/>
              <w:left w:val="nil"/>
              <w:bottom w:val="single" w:sz="4" w:space="0" w:color="auto"/>
              <w:right w:val="nil"/>
            </w:tcBorders>
            <w:shd w:val="clear" w:color="auto" w:fill="auto"/>
            <w:noWrap/>
            <w:vAlign w:val="bottom"/>
            <w:hideMark/>
          </w:tcPr>
          <w:p w14:paraId="35259780"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0.0749</w:t>
            </w:r>
          </w:p>
        </w:tc>
        <w:tc>
          <w:tcPr>
            <w:tcW w:w="1160" w:type="dxa"/>
            <w:tcBorders>
              <w:top w:val="nil"/>
              <w:left w:val="nil"/>
              <w:bottom w:val="single" w:sz="4" w:space="0" w:color="auto"/>
              <w:right w:val="nil"/>
            </w:tcBorders>
            <w:shd w:val="clear" w:color="auto" w:fill="auto"/>
            <w:noWrap/>
            <w:vAlign w:val="bottom"/>
            <w:hideMark/>
          </w:tcPr>
          <w:p w14:paraId="7E31E715"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0.0757</w:t>
            </w:r>
          </w:p>
        </w:tc>
        <w:tc>
          <w:tcPr>
            <w:tcW w:w="1160" w:type="dxa"/>
            <w:tcBorders>
              <w:top w:val="nil"/>
              <w:left w:val="nil"/>
              <w:bottom w:val="single" w:sz="4" w:space="0" w:color="auto"/>
              <w:right w:val="nil"/>
            </w:tcBorders>
            <w:shd w:val="clear" w:color="auto" w:fill="auto"/>
            <w:noWrap/>
            <w:vAlign w:val="bottom"/>
            <w:hideMark/>
          </w:tcPr>
          <w:p w14:paraId="5B7B0BCF"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0.1697</w:t>
            </w:r>
          </w:p>
        </w:tc>
        <w:tc>
          <w:tcPr>
            <w:tcW w:w="1160" w:type="dxa"/>
            <w:tcBorders>
              <w:top w:val="nil"/>
              <w:left w:val="nil"/>
              <w:bottom w:val="single" w:sz="4" w:space="0" w:color="auto"/>
              <w:right w:val="nil"/>
            </w:tcBorders>
            <w:shd w:val="clear" w:color="auto" w:fill="auto"/>
            <w:noWrap/>
            <w:vAlign w:val="bottom"/>
            <w:hideMark/>
          </w:tcPr>
          <w:p w14:paraId="1A80F5B8" w14:textId="77777777" w:rsidR="00B71060" w:rsidRPr="003A4F79" w:rsidRDefault="00B71060" w:rsidP="00B71060">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0.1806</w:t>
            </w:r>
          </w:p>
        </w:tc>
      </w:tr>
    </w:tbl>
    <w:p w14:paraId="2E51DAC7" w14:textId="77777777" w:rsidR="00B71060" w:rsidRPr="003A4F79" w:rsidRDefault="00B71060" w:rsidP="00006565">
      <w:pPr>
        <w:pStyle w:val="FigureNotes"/>
        <w:jc w:val="center"/>
      </w:pPr>
    </w:p>
    <w:p w14:paraId="63FDCC9A" w14:textId="77777777" w:rsidR="001B2DE2" w:rsidRPr="003A4F79" w:rsidRDefault="001B2DE2" w:rsidP="00290F9F">
      <w:pPr>
        <w:rPr>
          <w:noProof/>
          <w:lang w:eastAsia="en-GB"/>
        </w:rPr>
        <w:sectPr w:rsidR="001B2DE2" w:rsidRPr="003A4F79" w:rsidSect="00F300F1">
          <w:pgSz w:w="12240" w:h="15840" w:code="1"/>
          <w:pgMar w:top="1412" w:right="1412" w:bottom="1140" w:left="1412" w:header="720" w:footer="431" w:gutter="0"/>
          <w:cols w:space="720"/>
          <w:docGrid w:linePitch="360"/>
        </w:sectPr>
      </w:pPr>
    </w:p>
    <w:p w14:paraId="26640FCC" w14:textId="115F7A9B" w:rsidR="00A72CB5" w:rsidRPr="003A4F79" w:rsidRDefault="00330049" w:rsidP="00290F9F">
      <w:pPr>
        <w:pStyle w:val="FigureCaption"/>
        <w:jc w:val="left"/>
      </w:pPr>
      <w:r w:rsidRPr="003A4F79">
        <w:lastRenderedPageBreak/>
        <w:t xml:space="preserve">Table </w:t>
      </w:r>
      <w:r w:rsidR="00A72CB5" w:rsidRPr="003A4F79">
        <w:t>3</w:t>
      </w:r>
    </w:p>
    <w:p w14:paraId="7F7C5D31" w14:textId="2908FD61" w:rsidR="00330049" w:rsidRPr="003A4F79" w:rsidRDefault="00A52D74" w:rsidP="00290F9F">
      <w:pPr>
        <w:pStyle w:val="FigureCaption"/>
        <w:jc w:val="left"/>
        <w:rPr>
          <w:b/>
        </w:rPr>
      </w:pPr>
      <w:r w:rsidRPr="003A4F79">
        <w:rPr>
          <w:b/>
        </w:rPr>
        <w:t xml:space="preserve">Beyond </w:t>
      </w:r>
      <w:r w:rsidR="0042119A" w:rsidRPr="003A4F79">
        <w:rPr>
          <w:b/>
        </w:rPr>
        <w:t>initial returns</w:t>
      </w:r>
      <w:r w:rsidRPr="003A4F79">
        <w:rPr>
          <w:b/>
        </w:rPr>
        <w:t>: A</w:t>
      </w:r>
      <w:r w:rsidR="00BE7A7E" w:rsidRPr="003A4F79">
        <w:rPr>
          <w:b/>
        </w:rPr>
        <w:t>verage</w:t>
      </w:r>
      <w:r w:rsidRPr="003A4F79">
        <w:rPr>
          <w:b/>
        </w:rPr>
        <w:t xml:space="preserve"> </w:t>
      </w:r>
      <w:r w:rsidR="0042119A" w:rsidRPr="003A4F79">
        <w:rPr>
          <w:b/>
        </w:rPr>
        <w:t>returns</w:t>
      </w:r>
    </w:p>
    <w:p w14:paraId="4C09E674" w14:textId="217E3919" w:rsidR="000A1C65" w:rsidRPr="003A4F79" w:rsidRDefault="0042119A" w:rsidP="00290F9F">
      <w:pPr>
        <w:pStyle w:val="FigureNotes"/>
        <w:spacing w:after="120"/>
        <w:rPr>
          <w:noProof/>
          <w:lang w:eastAsia="en-GB"/>
        </w:rPr>
      </w:pPr>
      <w:r w:rsidRPr="003A4F79">
        <w:t>T</w:t>
      </w:r>
      <w:r w:rsidR="000A1C65" w:rsidRPr="003A4F79">
        <w:t>he estimated coefficients</w:t>
      </w:r>
      <w:r w:rsidRPr="003A4F79">
        <w:t xml:space="preserve"> are reported</w:t>
      </w:r>
      <w:r w:rsidR="000A1C65" w:rsidRPr="003A4F79">
        <w:t xml:space="preserve"> from the following multi-period </w:t>
      </w:r>
      <w:r w:rsidR="000A1C65" w:rsidRPr="003A4F79">
        <w:rPr>
          <w:noProof/>
          <w:lang w:eastAsia="en-GB"/>
        </w:rPr>
        <w:t>(monthly) logit regression:</w:t>
      </w:r>
    </w:p>
    <w:p w14:paraId="11E1D886" w14:textId="2162967D" w:rsidR="000A1C65" w:rsidRPr="003A4F79" w:rsidRDefault="000A1C65" w:rsidP="00290F9F">
      <w:pPr>
        <w:pStyle w:val="FigureNotes"/>
        <w:jc w:val="center"/>
        <w:rPr>
          <w:i/>
        </w:rPr>
      </w:pPr>
      <w:r w:rsidRPr="003A4F79">
        <w:rPr>
          <w:i/>
        </w:rPr>
        <w:t>Logit(Re-entry</w:t>
      </w:r>
      <w:r w:rsidRPr="003A4F79">
        <w:rPr>
          <w:i/>
          <w:vertAlign w:val="subscript"/>
        </w:rPr>
        <w:t>i,t</w:t>
      </w:r>
      <w:r w:rsidRPr="003A4F79">
        <w:rPr>
          <w:i/>
        </w:rPr>
        <w:t>)</w:t>
      </w:r>
      <w:r w:rsidRPr="003A4F79">
        <w:rPr>
          <w:i/>
          <w:vertAlign w:val="subscript"/>
        </w:rPr>
        <w:t xml:space="preserve"> </w:t>
      </w:r>
      <w:r w:rsidRPr="003A4F79">
        <w:rPr>
          <w:i/>
        </w:rPr>
        <w:t>=  β</w:t>
      </w:r>
      <w:r w:rsidRPr="003A4F79">
        <w:rPr>
          <w:i/>
          <w:vertAlign w:val="subscript"/>
        </w:rPr>
        <w:t>0</w:t>
      </w:r>
      <w:r w:rsidRPr="003A4F79">
        <w:rPr>
          <w:i/>
        </w:rPr>
        <w:t xml:space="preserve"> + β</w:t>
      </w:r>
      <w:r w:rsidRPr="003A4F79">
        <w:rPr>
          <w:i/>
          <w:vertAlign w:val="subscript"/>
        </w:rPr>
        <w:t>1</w:t>
      </w:r>
      <w:r w:rsidRPr="003A4F79">
        <w:rPr>
          <w:i/>
        </w:rPr>
        <w:t>IniRet</w:t>
      </w:r>
      <w:r w:rsidRPr="003A4F79">
        <w:rPr>
          <w:i/>
          <w:vertAlign w:val="subscript"/>
        </w:rPr>
        <w:t>i</w:t>
      </w:r>
      <w:r w:rsidRPr="003A4F79">
        <w:rPr>
          <w:i/>
        </w:rPr>
        <w:t xml:space="preserve"> + β</w:t>
      </w:r>
      <w:r w:rsidRPr="003A4F79">
        <w:rPr>
          <w:i/>
          <w:vertAlign w:val="subscript"/>
        </w:rPr>
        <w:t>2</w:t>
      </w:r>
      <w:r w:rsidRPr="003A4F79">
        <w:rPr>
          <w:i/>
        </w:rPr>
        <w:t>AllRet</w:t>
      </w:r>
      <w:r w:rsidRPr="003A4F79">
        <w:rPr>
          <w:i/>
          <w:vertAlign w:val="subscript"/>
        </w:rPr>
        <w:t>i</w:t>
      </w:r>
      <w:r w:rsidRPr="003A4F79">
        <w:rPr>
          <w:i/>
        </w:rPr>
        <w:t xml:space="preserve">  + β</w:t>
      </w:r>
      <w:r w:rsidRPr="003A4F79">
        <w:rPr>
          <w:i/>
          <w:vertAlign w:val="subscript"/>
        </w:rPr>
        <w:t>3</w:t>
      </w:r>
      <w:r w:rsidRPr="003A4F79">
        <w:rPr>
          <w:i/>
        </w:rPr>
        <w:t>DurAway</w:t>
      </w:r>
      <w:r w:rsidRPr="003A4F79">
        <w:rPr>
          <w:i/>
          <w:vertAlign w:val="subscript"/>
        </w:rPr>
        <w:t>i,t</w:t>
      </w:r>
      <w:r w:rsidRPr="003A4F79">
        <w:rPr>
          <w:i/>
        </w:rPr>
        <w:t xml:space="preserve"> +</w:t>
      </w:r>
      <w:r w:rsidRPr="003A4F79">
        <w:rPr>
          <w:b/>
          <w:i/>
        </w:rPr>
        <w:t xml:space="preserve"> </w:t>
      </w:r>
      <w:r w:rsidRPr="003A4F79">
        <w:rPr>
          <w:i/>
        </w:rPr>
        <w:t>β</w:t>
      </w:r>
      <w:r w:rsidRPr="003A4F79">
        <w:rPr>
          <w:i/>
          <w:vertAlign w:val="subscript"/>
        </w:rPr>
        <w:t>4</w:t>
      </w:r>
      <w:r w:rsidRPr="003A4F79">
        <w:rPr>
          <w:i/>
        </w:rPr>
        <w:t>Controls</w:t>
      </w:r>
      <w:r w:rsidRPr="003A4F79">
        <w:rPr>
          <w:i/>
          <w:vertAlign w:val="subscript"/>
        </w:rPr>
        <w:t>i,t</w:t>
      </w:r>
    </w:p>
    <w:p w14:paraId="203C555D" w14:textId="59FE7ABF" w:rsidR="000A1C65" w:rsidRPr="003A4F79" w:rsidRDefault="000A1C65" w:rsidP="00290F9F">
      <w:pPr>
        <w:pStyle w:val="FigureNotes"/>
        <w:spacing w:after="120"/>
        <w:jc w:val="center"/>
        <w:rPr>
          <w:i/>
        </w:rPr>
      </w:pPr>
      <w:r w:rsidRPr="003A4F79">
        <w:rPr>
          <w:i/>
        </w:rPr>
        <w:t>+ (investment size fixed effect)+(zip-code fixed effect) +(exit month fixed effect)</w:t>
      </w:r>
      <w:r w:rsidR="0044537B" w:rsidRPr="003A4F79">
        <w:rPr>
          <w:i/>
        </w:rPr>
        <w:t xml:space="preserve"> +(year fixed effect) </w:t>
      </w:r>
      <w:r w:rsidRPr="003A4F79">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5068B986" w14:textId="73C37187" w:rsidR="007F79DF" w:rsidRPr="003A4F79" w:rsidRDefault="000A1C65" w:rsidP="007F79DF">
      <w:pPr>
        <w:pStyle w:val="FigureNotes"/>
      </w:pPr>
      <w:r w:rsidRPr="003A4F79">
        <w:rPr>
          <w:i/>
        </w:rPr>
        <w:t>Re-entry</w:t>
      </w:r>
      <w:r w:rsidRPr="003A4F79">
        <w:rPr>
          <w:noProof/>
          <w:lang w:eastAsia="en-GB"/>
        </w:rPr>
        <w:t xml:space="preserve"> equal</w:t>
      </w:r>
      <w:r w:rsidR="0042119A" w:rsidRPr="003A4F79">
        <w:rPr>
          <w:noProof/>
          <w:lang w:eastAsia="en-GB"/>
        </w:rPr>
        <w:t>s</w:t>
      </w:r>
      <w:r w:rsidRPr="003A4F79">
        <w:rPr>
          <w:noProof/>
          <w:lang w:eastAsia="en-GB"/>
        </w:rPr>
        <w:t xml:space="preserve"> 1 if investor </w:t>
      </w:r>
      <w:r w:rsidRPr="003A4F79">
        <w:rPr>
          <w:i/>
          <w:noProof/>
          <w:lang w:eastAsia="en-GB"/>
        </w:rPr>
        <w:t>i</w:t>
      </w:r>
      <w:r w:rsidRPr="003A4F79">
        <w:rPr>
          <w:noProof/>
          <w:lang w:eastAsia="en-GB"/>
        </w:rPr>
        <w:t xml:space="preserve"> re-enters the market in month </w:t>
      </w:r>
      <w:r w:rsidRPr="003A4F79">
        <w:rPr>
          <w:i/>
          <w:noProof/>
          <w:lang w:eastAsia="en-GB"/>
        </w:rPr>
        <w:t>t</w:t>
      </w:r>
      <w:r w:rsidRPr="003A4F79">
        <w:rPr>
          <w:noProof/>
          <w:lang w:eastAsia="en-GB"/>
        </w:rPr>
        <w:t xml:space="preserve"> by purchasing any stock at any time after one calendar month of exit, and otherwise is 0. </w:t>
      </w:r>
      <w:r w:rsidRPr="003A4F79">
        <w:rPr>
          <w:i/>
          <w:noProof/>
          <w:lang w:eastAsia="en-GB"/>
        </w:rPr>
        <w:t>IniRet</w:t>
      </w:r>
      <w:r w:rsidRPr="003A4F79">
        <w:rPr>
          <w:noProof/>
          <w:lang w:eastAsia="en-GB"/>
        </w:rPr>
        <w:t xml:space="preserve">, </w:t>
      </w:r>
      <w:r w:rsidR="0042119A" w:rsidRPr="003A4F79">
        <w:rPr>
          <w:noProof/>
          <w:lang w:eastAsia="en-GB"/>
        </w:rPr>
        <w:t xml:space="preserve">the </w:t>
      </w:r>
      <w:r w:rsidRPr="003A4F79">
        <w:rPr>
          <w:noProof/>
          <w:lang w:eastAsia="en-GB"/>
        </w:rPr>
        <w:t>main explanatory variable of interest, is the return in the first month of investing.</w:t>
      </w:r>
      <w:r w:rsidR="005237F0" w:rsidRPr="003A4F79">
        <w:t xml:space="preserve"> </w:t>
      </w:r>
      <w:r w:rsidR="00955A0F" w:rsidRPr="003A4F79">
        <w:rPr>
          <w:i/>
          <w:noProof/>
          <w:lang w:eastAsia="en-GB"/>
        </w:rPr>
        <w:t xml:space="preserve">AllRet </w:t>
      </w:r>
      <w:r w:rsidR="00955A0F" w:rsidRPr="003A4F79">
        <w:rPr>
          <w:noProof/>
          <w:lang w:eastAsia="en-GB"/>
        </w:rPr>
        <w:t>is the value-weighted average of monthly returns during the entire period of investing between entry and exit</w:t>
      </w:r>
      <w:r w:rsidR="005237F0" w:rsidRPr="003A4F79">
        <w:rPr>
          <w:noProof/>
          <w:lang w:eastAsia="en-GB"/>
        </w:rPr>
        <w:t>.</w:t>
      </w:r>
      <w:r w:rsidRPr="003A4F79">
        <w:rPr>
          <w:noProof/>
          <w:lang w:eastAsia="en-GB"/>
        </w:rPr>
        <w:t xml:space="preserve"> </w:t>
      </w:r>
      <w:r w:rsidRPr="003A4F79">
        <w:rPr>
          <w:i/>
        </w:rPr>
        <w:t xml:space="preserve">DurAway </w:t>
      </w:r>
      <w:r w:rsidR="0042119A" w:rsidRPr="003A4F79">
        <w:t>is the</w:t>
      </w:r>
      <w:r w:rsidRPr="003A4F79">
        <w:t xml:space="preserve"> time (in months) for which an investor is away from the stock market, i.e., time between exit month and month </w:t>
      </w:r>
      <w:r w:rsidRPr="003A4F79">
        <w:rPr>
          <w:i/>
        </w:rPr>
        <w:t>t</w:t>
      </w:r>
      <w:r w:rsidRPr="003A4F79">
        <w:t xml:space="preserve">. We account for </w:t>
      </w:r>
      <w:r w:rsidR="0042119A" w:rsidRPr="003A4F79">
        <w:t xml:space="preserve">the </w:t>
      </w:r>
      <w:r w:rsidRPr="003A4F79">
        <w:t xml:space="preserve">fixed effects </w:t>
      </w:r>
      <w:r w:rsidR="0042119A" w:rsidRPr="003A4F79">
        <w:t>of</w:t>
      </w:r>
      <w:r w:rsidRPr="003A4F79">
        <w:t xml:space="preserve"> investment size, location of residency, and exit time by including dummies for portfolio holding quintiles, 100 different zip codes, and 105 different exit months, respectively</w:t>
      </w:r>
      <w:r w:rsidR="00EE3D7C" w:rsidRPr="003A4F79">
        <w:t xml:space="preserve">: </w:t>
      </w:r>
      <w:r w:rsidRPr="003A4F79">
        <w:rPr>
          <w:rFonts w:asciiTheme="minorHAnsi" w:hAnsiTheme="minorHAnsi" w:cstheme="minorHAnsi"/>
          <w:i/>
        </w:rPr>
        <w:t xml:space="preserve">Investment size fixed effect </w:t>
      </w:r>
      <w:r w:rsidRPr="003A4F79">
        <w:rPr>
          <w:rFonts w:asciiTheme="minorHAnsi" w:hAnsiTheme="minorHAnsi" w:cstheme="minorHAnsi"/>
        </w:rPr>
        <w:t>us</w:t>
      </w:r>
      <w:r w:rsidR="0042119A" w:rsidRPr="003A4F79">
        <w:rPr>
          <w:rFonts w:asciiTheme="minorHAnsi" w:hAnsiTheme="minorHAnsi" w:cstheme="minorHAnsi"/>
        </w:rPr>
        <w:t>es</w:t>
      </w:r>
      <w:r w:rsidRPr="003A4F79">
        <w:rPr>
          <w:rFonts w:asciiTheme="minorHAnsi" w:hAnsiTheme="minorHAnsi" w:cstheme="minorHAnsi"/>
        </w:rPr>
        <w:t xml:space="preserve"> five dummy variables indicat</w:t>
      </w:r>
      <w:r w:rsidR="0042119A" w:rsidRPr="003A4F79">
        <w:rPr>
          <w:rFonts w:asciiTheme="minorHAnsi" w:hAnsiTheme="minorHAnsi" w:cstheme="minorHAnsi"/>
        </w:rPr>
        <w:t>ing</w:t>
      </w:r>
      <w:r w:rsidRPr="003A4F79">
        <w:rPr>
          <w:rFonts w:asciiTheme="minorHAnsi" w:hAnsiTheme="minorHAnsi" w:cstheme="minorHAnsi"/>
        </w:rPr>
        <w:t xml:space="preserve"> quintile</w:t>
      </w:r>
      <w:r w:rsidR="0042119A" w:rsidRPr="003A4F79">
        <w:rPr>
          <w:rFonts w:asciiTheme="minorHAnsi" w:hAnsiTheme="minorHAnsi" w:cstheme="minorHAnsi"/>
        </w:rPr>
        <w:t>s</w:t>
      </w:r>
      <w:r w:rsidRPr="003A4F79">
        <w:rPr>
          <w:rFonts w:asciiTheme="minorHAnsi" w:hAnsiTheme="minorHAnsi" w:cstheme="minorHAnsi"/>
        </w:rPr>
        <w:t xml:space="preserve"> of average portfolio holdings</w:t>
      </w:r>
      <w:r w:rsidR="00EE3D7C" w:rsidRPr="003A4F79">
        <w:rPr>
          <w:rFonts w:asciiTheme="minorHAnsi" w:hAnsiTheme="minorHAnsi" w:cstheme="minorHAnsi"/>
        </w:rPr>
        <w:t xml:space="preserve">; </w:t>
      </w:r>
      <w:r w:rsidRPr="003A4F79">
        <w:rPr>
          <w:rFonts w:asciiTheme="minorHAnsi" w:hAnsiTheme="minorHAnsi" w:cstheme="minorHAnsi"/>
          <w:i/>
        </w:rPr>
        <w:t xml:space="preserve">Zip-code fixed effect </w:t>
      </w:r>
      <w:r w:rsidRPr="003A4F79">
        <w:rPr>
          <w:rFonts w:asciiTheme="minorHAnsi" w:hAnsiTheme="minorHAnsi" w:cstheme="minorHAnsi"/>
        </w:rPr>
        <w:t xml:space="preserve">is based on 100 dummy variables </w:t>
      </w:r>
      <w:r w:rsidR="00572EEF" w:rsidRPr="003A4F79">
        <w:rPr>
          <w:rFonts w:asciiTheme="minorHAnsi" w:hAnsiTheme="minorHAnsi" w:cstheme="minorHAnsi"/>
        </w:rPr>
        <w:t>for</w:t>
      </w:r>
      <w:r w:rsidRPr="003A4F79">
        <w:rPr>
          <w:rFonts w:asciiTheme="minorHAnsi" w:hAnsiTheme="minorHAnsi" w:cstheme="minorHAnsi"/>
        </w:rPr>
        <w:t xml:space="preserve"> district</w:t>
      </w:r>
      <w:r w:rsidR="00572EEF" w:rsidRPr="003A4F79">
        <w:rPr>
          <w:rFonts w:asciiTheme="minorHAnsi" w:hAnsiTheme="minorHAnsi" w:cstheme="minorHAnsi"/>
        </w:rPr>
        <w:t>s</w:t>
      </w:r>
      <w:r w:rsidRPr="003A4F79">
        <w:rPr>
          <w:rFonts w:asciiTheme="minorHAnsi" w:hAnsiTheme="minorHAnsi" w:cstheme="minorHAnsi"/>
        </w:rPr>
        <w:t xml:space="preserve"> in Finland</w:t>
      </w:r>
      <w:r w:rsidR="00EE3D7C" w:rsidRPr="003A4F79">
        <w:rPr>
          <w:rFonts w:asciiTheme="minorHAnsi" w:hAnsiTheme="minorHAnsi" w:cstheme="minorHAnsi"/>
        </w:rPr>
        <w:t xml:space="preserve">; and </w:t>
      </w:r>
      <w:r w:rsidRPr="003A4F79">
        <w:rPr>
          <w:rFonts w:asciiTheme="minorHAnsi" w:hAnsiTheme="minorHAnsi" w:cstheme="minorHAnsi"/>
          <w:i/>
        </w:rPr>
        <w:t xml:space="preserve">Exit month fixed effect </w:t>
      </w:r>
      <w:r w:rsidRPr="003A4F79">
        <w:rPr>
          <w:rFonts w:asciiTheme="minorHAnsi" w:hAnsiTheme="minorHAnsi" w:cstheme="minorHAnsi"/>
        </w:rPr>
        <w:t>control</w:t>
      </w:r>
      <w:r w:rsidR="00572EEF" w:rsidRPr="003A4F79">
        <w:rPr>
          <w:rFonts w:asciiTheme="minorHAnsi" w:hAnsiTheme="minorHAnsi" w:cstheme="minorHAnsi"/>
        </w:rPr>
        <w:t>s</w:t>
      </w:r>
      <w:r w:rsidRPr="003A4F79">
        <w:rPr>
          <w:rFonts w:asciiTheme="minorHAnsi" w:hAnsiTheme="minorHAnsi" w:cstheme="minorHAnsi"/>
        </w:rPr>
        <w:t xml:space="preserve"> for 105 dummy variables indicating the calendar month of exit</w:t>
      </w:r>
      <w:r w:rsidR="00D37E06" w:rsidRPr="003A4F79">
        <w:rPr>
          <w:rFonts w:asciiTheme="minorHAnsi" w:hAnsiTheme="minorHAnsi" w:cstheme="minorHAnsi"/>
        </w:rPr>
        <w:t xml:space="preserve">; </w:t>
      </w:r>
      <w:r w:rsidR="00D37E06" w:rsidRPr="003A4F79">
        <w:rPr>
          <w:i/>
        </w:rPr>
        <w:t xml:space="preserve">Year fixed effect </w:t>
      </w:r>
      <w:r w:rsidR="00D37E06" w:rsidRPr="003A4F79">
        <w:t>is accounted for by controlling for 8 year dummy variables indicating the calendar year</w:t>
      </w:r>
      <w:r w:rsidRPr="003A4F79">
        <w:rPr>
          <w:rFonts w:asciiTheme="minorHAnsi" w:hAnsiTheme="minorHAnsi" w:cstheme="minorHAnsi"/>
        </w:rPr>
        <w:t xml:space="preserve">. </w:t>
      </w:r>
      <w:r w:rsidRPr="003A4F79">
        <w:rPr>
          <w:rFonts w:asciiTheme="minorHAnsi" w:hAnsiTheme="minorHAnsi" w:cstheme="minorHAnsi"/>
          <w:i/>
        </w:rPr>
        <w:t xml:space="preserve">Controls </w:t>
      </w:r>
      <w:r w:rsidRPr="003A4F79">
        <w:rPr>
          <w:rFonts w:asciiTheme="minorHAnsi" w:hAnsiTheme="minorHAnsi" w:cstheme="minorHAnsi"/>
        </w:rPr>
        <w:t>include the following variables</w:t>
      </w:r>
      <w:r w:rsidR="00EE3D7C" w:rsidRPr="003A4F79">
        <w:rPr>
          <w:rFonts w:asciiTheme="minorHAnsi" w:hAnsiTheme="minorHAnsi" w:cstheme="minorHAnsi"/>
        </w:rPr>
        <w:t xml:space="preserve">. </w:t>
      </w:r>
      <w:r w:rsidRPr="003A4F79">
        <w:rPr>
          <w:rFonts w:asciiTheme="minorHAnsi" w:hAnsiTheme="minorHAnsi" w:cstheme="minorHAnsi"/>
          <w:i/>
        </w:rPr>
        <w:t>InvSiz</w:t>
      </w:r>
      <w:r w:rsidRPr="003A4F79">
        <w:rPr>
          <w:rFonts w:asciiTheme="minorHAnsi" w:hAnsiTheme="minorHAnsi" w:cstheme="minorHAnsi"/>
        </w:rPr>
        <w:t xml:space="preserve"> is investment size</w:t>
      </w:r>
      <w:r w:rsidR="00572EEF" w:rsidRPr="003A4F79">
        <w:rPr>
          <w:rFonts w:asciiTheme="minorHAnsi" w:hAnsiTheme="minorHAnsi" w:cstheme="minorHAnsi"/>
        </w:rPr>
        <w:t>,</w:t>
      </w:r>
      <w:r w:rsidRPr="003A4F79">
        <w:rPr>
          <w:rFonts w:asciiTheme="minorHAnsi" w:hAnsiTheme="minorHAnsi" w:cstheme="minorHAnsi"/>
        </w:rPr>
        <w:t xml:space="preserve"> defined as the log of average portfolio holdings</w:t>
      </w:r>
      <w:r w:rsidR="00EE3D7C" w:rsidRPr="003A4F79">
        <w:rPr>
          <w:rFonts w:asciiTheme="minorHAnsi" w:hAnsiTheme="minorHAnsi" w:cstheme="minorHAnsi"/>
        </w:rPr>
        <w:t>.</w:t>
      </w:r>
      <w:r w:rsidRPr="003A4F79">
        <w:rPr>
          <w:rFonts w:asciiTheme="minorHAnsi" w:hAnsiTheme="minorHAnsi" w:cstheme="minorHAnsi"/>
          <w:i/>
        </w:rPr>
        <w:t xml:space="preserve"> ZeroTrd</w:t>
      </w:r>
      <w:r w:rsidRPr="003A4F79">
        <w:rPr>
          <w:rFonts w:asciiTheme="minorHAnsi" w:hAnsiTheme="minorHAnsi" w:cstheme="minorHAnsi"/>
        </w:rPr>
        <w:t xml:space="preserve"> is a dummy variable that equals 1 if the investor do</w:t>
      </w:r>
      <w:r w:rsidR="00572EEF" w:rsidRPr="003A4F79">
        <w:rPr>
          <w:rFonts w:asciiTheme="minorHAnsi" w:hAnsiTheme="minorHAnsi" w:cstheme="minorHAnsi"/>
        </w:rPr>
        <w:t>es</w:t>
      </w:r>
      <w:r w:rsidRPr="003A4F79">
        <w:rPr>
          <w:rFonts w:asciiTheme="minorHAnsi" w:hAnsiTheme="minorHAnsi" w:cstheme="minorHAnsi"/>
        </w:rPr>
        <w:t xml:space="preserve"> not trade between initial purchase and </w:t>
      </w:r>
      <w:r w:rsidR="00572EEF" w:rsidRPr="003A4F79">
        <w:rPr>
          <w:rFonts w:asciiTheme="minorHAnsi" w:hAnsiTheme="minorHAnsi" w:cstheme="minorHAnsi"/>
        </w:rPr>
        <w:t xml:space="preserve">market </w:t>
      </w:r>
      <w:r w:rsidRPr="003A4F79">
        <w:rPr>
          <w:rFonts w:asciiTheme="minorHAnsi" w:hAnsiTheme="minorHAnsi" w:cstheme="minorHAnsi"/>
        </w:rPr>
        <w:t xml:space="preserve">exit, and 0 otherwise. </w:t>
      </w:r>
      <w:r w:rsidRPr="003A4F79">
        <w:rPr>
          <w:rFonts w:asciiTheme="minorHAnsi" w:hAnsiTheme="minorHAnsi" w:cstheme="minorHAnsi"/>
          <w:i/>
        </w:rPr>
        <w:t>SglStock</w:t>
      </w:r>
      <w:r w:rsidRPr="003A4F79">
        <w:rPr>
          <w:rFonts w:asciiTheme="minorHAnsi" w:hAnsiTheme="minorHAnsi" w:cstheme="minorHAnsi"/>
        </w:rPr>
        <w:t xml:space="preserve"> is a dummy variable that equals 1 if the investor only owns one stock</w:t>
      </w:r>
      <w:r w:rsidR="00572EEF" w:rsidRPr="003A4F79">
        <w:rPr>
          <w:rFonts w:asciiTheme="minorHAnsi" w:hAnsiTheme="minorHAnsi" w:cstheme="minorHAnsi"/>
        </w:rPr>
        <w:t>.</w:t>
      </w:r>
      <w:r w:rsidRPr="003A4F79">
        <w:rPr>
          <w:rFonts w:asciiTheme="minorHAnsi" w:hAnsiTheme="minorHAnsi" w:cstheme="minorHAnsi"/>
        </w:rPr>
        <w:t xml:space="preserve"> </w:t>
      </w:r>
      <w:r w:rsidRPr="003A4F79">
        <w:rPr>
          <w:rFonts w:asciiTheme="minorHAnsi" w:hAnsiTheme="minorHAnsi" w:cstheme="minorHAnsi"/>
          <w:i/>
        </w:rPr>
        <w:t>Nokia</w:t>
      </w:r>
      <w:r w:rsidRPr="003A4F79">
        <w:rPr>
          <w:rFonts w:asciiTheme="minorHAnsi" w:hAnsiTheme="minorHAnsi" w:cstheme="minorHAnsi"/>
        </w:rPr>
        <w:t xml:space="preserve"> is a dummy variable equal to 1 if an investor initiate</w:t>
      </w:r>
      <w:r w:rsidR="00572EEF" w:rsidRPr="003A4F79">
        <w:rPr>
          <w:rFonts w:asciiTheme="minorHAnsi" w:hAnsiTheme="minorHAnsi" w:cstheme="minorHAnsi"/>
        </w:rPr>
        <w:t>s</w:t>
      </w:r>
      <w:r w:rsidRPr="003A4F79">
        <w:rPr>
          <w:rFonts w:asciiTheme="minorHAnsi" w:hAnsiTheme="minorHAnsi" w:cstheme="minorHAnsi"/>
        </w:rPr>
        <w:t xml:space="preserve"> </w:t>
      </w:r>
      <w:r w:rsidR="00572EEF" w:rsidRPr="003A4F79">
        <w:rPr>
          <w:rFonts w:asciiTheme="minorHAnsi" w:hAnsiTheme="minorHAnsi" w:cstheme="minorHAnsi"/>
        </w:rPr>
        <w:t xml:space="preserve">investment </w:t>
      </w:r>
      <w:r w:rsidRPr="003A4F79">
        <w:rPr>
          <w:rFonts w:asciiTheme="minorHAnsi" w:hAnsiTheme="minorHAnsi" w:cstheme="minorHAnsi"/>
        </w:rPr>
        <w:t>by purchasing Nokia stock</w:t>
      </w:r>
      <w:r w:rsidRPr="003A4F79">
        <w:rPr>
          <w:rFonts w:asciiTheme="minorHAnsi" w:hAnsiTheme="minorHAnsi" w:cstheme="minorHAnsi"/>
          <w:i/>
        </w:rPr>
        <w:t xml:space="preserve">. MktRet </w:t>
      </w:r>
      <w:r w:rsidRPr="003A4F79">
        <w:rPr>
          <w:rFonts w:asciiTheme="minorHAnsi" w:hAnsiTheme="minorHAnsi" w:cstheme="minorHAnsi"/>
        </w:rPr>
        <w:t>and</w:t>
      </w:r>
      <w:r w:rsidRPr="003A4F79">
        <w:rPr>
          <w:rFonts w:asciiTheme="minorHAnsi" w:hAnsiTheme="minorHAnsi" w:cstheme="minorHAnsi"/>
          <w:i/>
        </w:rPr>
        <w:t xml:space="preserve"> MktVol</w:t>
      </w:r>
      <w:r w:rsidRPr="003A4F79">
        <w:rPr>
          <w:rFonts w:asciiTheme="minorHAnsi" w:hAnsiTheme="minorHAnsi" w:cstheme="minorHAnsi"/>
        </w:rPr>
        <w:t xml:space="preserve"> </w:t>
      </w:r>
      <w:r w:rsidR="00572EEF" w:rsidRPr="003A4F79">
        <w:rPr>
          <w:rFonts w:asciiTheme="minorHAnsi" w:hAnsiTheme="minorHAnsi" w:cstheme="minorHAnsi"/>
        </w:rPr>
        <w:t xml:space="preserve">are </w:t>
      </w:r>
      <w:r w:rsidRPr="003A4F79">
        <w:rPr>
          <w:rFonts w:asciiTheme="minorHAnsi" w:hAnsiTheme="minorHAnsi" w:cstheme="minorHAnsi"/>
        </w:rPr>
        <w:t>the monthly return and volatility</w:t>
      </w:r>
      <w:r w:rsidR="00024015" w:rsidRPr="003A4F79">
        <w:t xml:space="preserve"> volatility (standard deviation of daily returns)</w:t>
      </w:r>
      <w:r w:rsidRPr="003A4F79">
        <w:rPr>
          <w:rFonts w:asciiTheme="minorHAnsi" w:hAnsiTheme="minorHAnsi" w:cstheme="minorHAnsi"/>
        </w:rPr>
        <w:t xml:space="preserve"> on the Finnish stock market (OMX Helsinki Index). </w:t>
      </w:r>
      <w:r w:rsidRPr="003A4F79">
        <w:rPr>
          <w:rFonts w:asciiTheme="minorHAnsi" w:hAnsiTheme="minorHAnsi" w:cstheme="minorHAnsi"/>
          <w:i/>
        </w:rPr>
        <w:t>Age</w:t>
      </w:r>
      <w:r w:rsidRPr="003A4F79">
        <w:rPr>
          <w:rFonts w:asciiTheme="minorHAnsi" w:hAnsiTheme="minorHAnsi" w:cstheme="minorHAnsi"/>
        </w:rPr>
        <w:t xml:space="preserve"> is investor age (in years) at the beginning of </w:t>
      </w:r>
      <w:r w:rsidR="00572EEF" w:rsidRPr="003A4F79">
        <w:rPr>
          <w:rFonts w:asciiTheme="minorHAnsi" w:hAnsiTheme="minorHAnsi" w:cstheme="minorHAnsi"/>
        </w:rPr>
        <w:t xml:space="preserve">the </w:t>
      </w:r>
      <w:r w:rsidRPr="003A4F79">
        <w:rPr>
          <w:rFonts w:asciiTheme="minorHAnsi" w:hAnsiTheme="minorHAnsi" w:cstheme="minorHAnsi"/>
        </w:rPr>
        <w:t>sample</w:t>
      </w:r>
      <w:r w:rsidR="00572EEF" w:rsidRPr="003A4F79">
        <w:rPr>
          <w:rFonts w:asciiTheme="minorHAnsi" w:hAnsiTheme="minorHAnsi" w:cstheme="minorHAnsi"/>
        </w:rPr>
        <w:t>.</w:t>
      </w:r>
      <w:r w:rsidRPr="003A4F79">
        <w:rPr>
          <w:rFonts w:asciiTheme="minorHAnsi" w:hAnsiTheme="minorHAnsi" w:cstheme="minorHAnsi"/>
        </w:rPr>
        <w:t xml:space="preserve"> </w:t>
      </w:r>
      <w:r w:rsidRPr="003A4F79">
        <w:rPr>
          <w:rFonts w:asciiTheme="minorHAnsi" w:hAnsiTheme="minorHAnsi" w:cstheme="minorHAnsi"/>
          <w:i/>
        </w:rPr>
        <w:t>Female</w:t>
      </w:r>
      <w:r w:rsidRPr="003A4F79">
        <w:rPr>
          <w:rFonts w:asciiTheme="minorHAnsi" w:hAnsiTheme="minorHAnsi" w:cstheme="minorHAnsi"/>
        </w:rPr>
        <w:t xml:space="preserve"> is a dummy variable that equals 1 if investor gender is female. </w:t>
      </w:r>
      <w:r w:rsidRPr="003A4F79">
        <w:rPr>
          <w:rFonts w:asciiTheme="minorHAnsi" w:hAnsiTheme="minorHAnsi" w:cstheme="minorHAnsi"/>
          <w:i/>
        </w:rPr>
        <w:t>Minor</w:t>
      </w:r>
      <w:r w:rsidRPr="003A4F79">
        <w:rPr>
          <w:rFonts w:asciiTheme="minorHAnsi" w:hAnsiTheme="minorHAnsi" w:cstheme="minorHAnsi"/>
        </w:rPr>
        <w:t xml:space="preserve"> is a dummy variable that equals 1 </w:t>
      </w:r>
      <w:r w:rsidR="00F20BC9" w:rsidRPr="003A4F79">
        <w:rPr>
          <w:lang w:eastAsia="en-GB"/>
        </w:rPr>
        <w:t>if the account holder is below 16 years of age</w:t>
      </w:r>
      <w:r w:rsidRPr="003A4F79">
        <w:rPr>
          <w:rFonts w:asciiTheme="minorHAnsi" w:hAnsiTheme="minorHAnsi" w:cstheme="minorHAnsi"/>
        </w:rPr>
        <w:t xml:space="preserve">. </w:t>
      </w:r>
      <w:r w:rsidRPr="003A4F79">
        <w:rPr>
          <w:rFonts w:asciiTheme="minorHAnsi" w:hAnsiTheme="minorHAnsi" w:cstheme="minorHAnsi"/>
          <w:i/>
        </w:rPr>
        <w:t xml:space="preserve">Burst </w:t>
      </w:r>
      <w:r w:rsidRPr="003A4F79">
        <w:rPr>
          <w:rFonts w:asciiTheme="minorHAnsi" w:hAnsiTheme="minorHAnsi" w:cstheme="minorHAnsi"/>
        </w:rPr>
        <w:t xml:space="preserve">is a dummy variable defined </w:t>
      </w:r>
      <w:r w:rsidR="00572EEF" w:rsidRPr="003A4F79">
        <w:rPr>
          <w:rFonts w:asciiTheme="minorHAnsi" w:hAnsiTheme="minorHAnsi" w:cstheme="minorHAnsi"/>
        </w:rPr>
        <w:t>as</w:t>
      </w:r>
      <w:r w:rsidRPr="003A4F79">
        <w:rPr>
          <w:rFonts w:asciiTheme="minorHAnsi" w:hAnsiTheme="minorHAnsi" w:cstheme="minorHAnsi"/>
        </w:rPr>
        <w:t xml:space="preserve"> 1 if the time is </w:t>
      </w:r>
      <w:r w:rsidR="00572EEF" w:rsidRPr="003A4F79">
        <w:rPr>
          <w:rFonts w:asciiTheme="minorHAnsi" w:hAnsiTheme="minorHAnsi" w:cstheme="minorHAnsi"/>
        </w:rPr>
        <w:t xml:space="preserve">after </w:t>
      </w:r>
      <w:r w:rsidRPr="003A4F79">
        <w:rPr>
          <w:rFonts w:asciiTheme="minorHAnsi" w:hAnsiTheme="minorHAnsi" w:cstheme="minorHAnsi"/>
        </w:rPr>
        <w:t>the dotcom bubble</w:t>
      </w:r>
      <w:r w:rsidR="00572EEF" w:rsidRPr="003A4F79">
        <w:rPr>
          <w:rFonts w:asciiTheme="minorHAnsi" w:hAnsiTheme="minorHAnsi" w:cstheme="minorHAnsi"/>
        </w:rPr>
        <w:t xml:space="preserve"> burst</w:t>
      </w:r>
      <w:r w:rsidRPr="003A4F79">
        <w:rPr>
          <w:rFonts w:asciiTheme="minorHAnsi" w:hAnsiTheme="minorHAnsi" w:cstheme="minorHAnsi"/>
        </w:rPr>
        <w:t xml:space="preserve"> (April 2000). </w:t>
      </w:r>
      <w:r w:rsidR="00DC4765" w:rsidRPr="003A4F79">
        <w:t xml:space="preserve">The Wald chi-square of the Wald test for the model fit is reported in the model fit column. </w:t>
      </w:r>
      <w:r w:rsidR="00E9521A" w:rsidRPr="003A4F79">
        <w:rPr>
          <w:rFonts w:asciiTheme="minorHAnsi" w:hAnsiTheme="minorHAnsi" w:cstheme="minorHAnsi"/>
        </w:rPr>
        <w:t>Robust s</w:t>
      </w:r>
      <w:r w:rsidRPr="003A4F79">
        <w:t>tandard error</w:t>
      </w:r>
      <w:r w:rsidR="00572EEF" w:rsidRPr="003A4F79">
        <w:t>s,</w:t>
      </w:r>
      <w:r w:rsidRPr="003A4F79">
        <w:t xml:space="preserve"> presented in </w:t>
      </w:r>
      <w:r w:rsidR="00572EEF" w:rsidRPr="003A4F79">
        <w:t>parentheses, are</w:t>
      </w:r>
      <w:r w:rsidRPr="003A4F79">
        <w:t xml:space="preserve"> clustered at </w:t>
      </w:r>
      <w:r w:rsidR="00DD608A" w:rsidRPr="003A4F79">
        <w:t xml:space="preserve">the </w:t>
      </w:r>
      <w:r w:rsidRPr="003A4F79">
        <w:t>investor level</w:t>
      </w:r>
      <w:r w:rsidR="00572EEF" w:rsidRPr="003A4F79">
        <w:t xml:space="preserve">: </w:t>
      </w:r>
      <w:r w:rsidRPr="003A4F79">
        <w:rPr>
          <w:rFonts w:ascii="Cambria Math" w:hAnsi="Cambria Math" w:cs="Cambria Math"/>
        </w:rPr>
        <w:t>∗∗∗</w:t>
      </w:r>
      <w:r w:rsidRPr="003A4F79">
        <w:t xml:space="preserve">, </w:t>
      </w:r>
      <w:r w:rsidRPr="003A4F79">
        <w:rPr>
          <w:rFonts w:ascii="Cambria Math" w:hAnsi="Cambria Math" w:cs="Cambria Math"/>
        </w:rPr>
        <w:t>∗∗</w:t>
      </w:r>
      <w:r w:rsidRPr="003A4F79">
        <w:t xml:space="preserve">, and </w:t>
      </w:r>
      <w:r w:rsidRPr="003A4F79">
        <w:rPr>
          <w:rFonts w:ascii="Cambria Math" w:hAnsi="Cambria Math" w:cs="Cambria Math"/>
        </w:rPr>
        <w:t>∗</w:t>
      </w:r>
      <w:r w:rsidRPr="003A4F79">
        <w:t xml:space="preserve"> denote statistical significance at </w:t>
      </w:r>
      <w:r w:rsidR="00DD608A" w:rsidRPr="003A4F79">
        <w:t xml:space="preserve">the </w:t>
      </w:r>
      <w:r w:rsidRPr="003A4F79">
        <w:t>1%, 5%, and 10%</w:t>
      </w:r>
      <w:r w:rsidR="00572EEF" w:rsidRPr="003A4F79">
        <w:t xml:space="preserve"> levels</w:t>
      </w:r>
      <w:r w:rsidRPr="003A4F79">
        <w:t>.</w:t>
      </w:r>
      <w:r w:rsidR="003F36C6" w:rsidRPr="003A4F79">
        <w:t xml:space="preserve"> </w:t>
      </w:r>
      <w:r w:rsidR="007F79DF" w:rsidRPr="003A4F79">
        <w:t>There are 276,470 investor-months (9,435 investors) in the sample.</w:t>
      </w:r>
    </w:p>
    <w:p w14:paraId="45A38B9B" w14:textId="51C96919" w:rsidR="00D17E71" w:rsidRPr="003A4F79" w:rsidRDefault="00D17E71">
      <w:pPr>
        <w:spacing w:line="240" w:lineRule="auto"/>
        <w:ind w:firstLine="0"/>
        <w:jc w:val="left"/>
        <w:rPr>
          <w:rFonts w:ascii="Times New Roman" w:hAnsi="Times New Roman" w:cs="Times New Roman"/>
          <w:noProof/>
          <w:sz w:val="20"/>
          <w:szCs w:val="20"/>
          <w:lang w:val="en-GB" w:eastAsia="ko-KR"/>
        </w:rPr>
      </w:pPr>
      <w:r w:rsidRPr="003A4F79">
        <w:rPr>
          <w:noProof/>
          <w:lang w:val="en-GB" w:eastAsia="ko-KR"/>
        </w:rPr>
        <w:br w:type="page"/>
      </w:r>
    </w:p>
    <w:tbl>
      <w:tblPr>
        <w:tblW w:w="7700" w:type="dxa"/>
        <w:jc w:val="center"/>
        <w:tblLook w:val="04A0" w:firstRow="1" w:lastRow="0" w:firstColumn="1" w:lastColumn="0" w:noHBand="0" w:noVBand="1"/>
      </w:tblPr>
      <w:tblGrid>
        <w:gridCol w:w="3060"/>
        <w:gridCol w:w="1216"/>
        <w:gridCol w:w="1216"/>
        <w:gridCol w:w="1216"/>
        <w:gridCol w:w="1216"/>
      </w:tblGrid>
      <w:tr w:rsidR="003A4F79" w:rsidRPr="003A4F79" w14:paraId="3DC31891" w14:textId="77777777" w:rsidTr="00D17E71">
        <w:trPr>
          <w:trHeight w:val="255"/>
          <w:jc w:val="center"/>
        </w:trPr>
        <w:tc>
          <w:tcPr>
            <w:tcW w:w="3060" w:type="dxa"/>
            <w:tcBorders>
              <w:top w:val="single" w:sz="4" w:space="0" w:color="auto"/>
              <w:left w:val="nil"/>
              <w:bottom w:val="nil"/>
              <w:right w:val="nil"/>
            </w:tcBorders>
            <w:shd w:val="clear" w:color="auto" w:fill="auto"/>
            <w:noWrap/>
            <w:vAlign w:val="bottom"/>
            <w:hideMark/>
          </w:tcPr>
          <w:p w14:paraId="2B19C007"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lastRenderedPageBreak/>
              <w:t> </w:t>
            </w:r>
          </w:p>
        </w:tc>
        <w:tc>
          <w:tcPr>
            <w:tcW w:w="1160" w:type="dxa"/>
            <w:tcBorders>
              <w:top w:val="single" w:sz="4" w:space="0" w:color="auto"/>
              <w:left w:val="nil"/>
              <w:bottom w:val="single" w:sz="4" w:space="0" w:color="auto"/>
              <w:right w:val="nil"/>
            </w:tcBorders>
            <w:shd w:val="clear" w:color="auto" w:fill="auto"/>
            <w:noWrap/>
            <w:vAlign w:val="bottom"/>
            <w:hideMark/>
          </w:tcPr>
          <w:p w14:paraId="15E8A1E4"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18975709"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00F2B862"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7A983F58"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4</w:t>
            </w:r>
          </w:p>
        </w:tc>
      </w:tr>
      <w:tr w:rsidR="003A4F79" w:rsidRPr="003A4F79" w14:paraId="0153A71E"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09252F6"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VARIABLES</w:t>
            </w:r>
          </w:p>
        </w:tc>
        <w:tc>
          <w:tcPr>
            <w:tcW w:w="4640" w:type="dxa"/>
            <w:gridSpan w:val="4"/>
            <w:tcBorders>
              <w:top w:val="nil"/>
              <w:left w:val="nil"/>
              <w:bottom w:val="single" w:sz="4" w:space="0" w:color="auto"/>
              <w:right w:val="nil"/>
            </w:tcBorders>
            <w:shd w:val="clear" w:color="auto" w:fill="auto"/>
            <w:noWrap/>
            <w:vAlign w:val="bottom"/>
            <w:hideMark/>
          </w:tcPr>
          <w:p w14:paraId="08856A82"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Re-entry</w:t>
            </w:r>
          </w:p>
        </w:tc>
      </w:tr>
      <w:tr w:rsidR="003A4F79" w:rsidRPr="003A4F79" w14:paraId="64D7AEE2" w14:textId="77777777" w:rsidTr="00D17E71">
        <w:trPr>
          <w:trHeight w:val="255"/>
          <w:jc w:val="center"/>
        </w:trPr>
        <w:tc>
          <w:tcPr>
            <w:tcW w:w="3060" w:type="dxa"/>
            <w:tcBorders>
              <w:top w:val="single" w:sz="4" w:space="0" w:color="auto"/>
              <w:left w:val="nil"/>
              <w:bottom w:val="nil"/>
              <w:right w:val="nil"/>
            </w:tcBorders>
            <w:shd w:val="clear" w:color="auto" w:fill="auto"/>
            <w:noWrap/>
            <w:vAlign w:val="bottom"/>
            <w:hideMark/>
          </w:tcPr>
          <w:p w14:paraId="013ED71F"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62CF7858"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4C48BEE1"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1DCF8AB1"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3E0870AF"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r>
      <w:tr w:rsidR="003A4F79" w:rsidRPr="003A4F79" w14:paraId="15879347"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415CEE9D"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w:t>
            </w:r>
          </w:p>
        </w:tc>
        <w:tc>
          <w:tcPr>
            <w:tcW w:w="1160" w:type="dxa"/>
            <w:tcBorders>
              <w:top w:val="nil"/>
              <w:left w:val="nil"/>
              <w:bottom w:val="nil"/>
              <w:right w:val="nil"/>
            </w:tcBorders>
            <w:shd w:val="clear" w:color="auto" w:fill="auto"/>
            <w:noWrap/>
            <w:vAlign w:val="bottom"/>
            <w:hideMark/>
          </w:tcPr>
          <w:p w14:paraId="253AE710"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1.6687***</w:t>
            </w:r>
          </w:p>
        </w:tc>
        <w:tc>
          <w:tcPr>
            <w:tcW w:w="1160" w:type="dxa"/>
            <w:tcBorders>
              <w:top w:val="nil"/>
              <w:left w:val="nil"/>
              <w:bottom w:val="nil"/>
              <w:right w:val="nil"/>
            </w:tcBorders>
            <w:shd w:val="clear" w:color="auto" w:fill="auto"/>
            <w:noWrap/>
            <w:vAlign w:val="bottom"/>
            <w:hideMark/>
          </w:tcPr>
          <w:p w14:paraId="5FBF051C"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1.6342***</w:t>
            </w:r>
          </w:p>
        </w:tc>
        <w:tc>
          <w:tcPr>
            <w:tcW w:w="1160" w:type="dxa"/>
            <w:tcBorders>
              <w:top w:val="nil"/>
              <w:left w:val="nil"/>
              <w:bottom w:val="nil"/>
              <w:right w:val="nil"/>
            </w:tcBorders>
            <w:shd w:val="clear" w:color="auto" w:fill="auto"/>
            <w:noWrap/>
            <w:vAlign w:val="bottom"/>
            <w:hideMark/>
          </w:tcPr>
          <w:p w14:paraId="3E33FB22"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1.6653***</w:t>
            </w:r>
          </w:p>
        </w:tc>
        <w:tc>
          <w:tcPr>
            <w:tcW w:w="1160" w:type="dxa"/>
            <w:tcBorders>
              <w:top w:val="nil"/>
              <w:left w:val="nil"/>
              <w:bottom w:val="nil"/>
              <w:right w:val="nil"/>
            </w:tcBorders>
            <w:shd w:val="clear" w:color="auto" w:fill="auto"/>
            <w:noWrap/>
            <w:vAlign w:val="bottom"/>
            <w:hideMark/>
          </w:tcPr>
          <w:p w14:paraId="6B3619C5"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1.4345**</w:t>
            </w:r>
          </w:p>
        </w:tc>
      </w:tr>
      <w:tr w:rsidR="003A4F79" w:rsidRPr="003A4F79" w14:paraId="0C7568F3"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D29D640"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90D055B"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(3.66)</w:t>
            </w:r>
          </w:p>
        </w:tc>
        <w:tc>
          <w:tcPr>
            <w:tcW w:w="1160" w:type="dxa"/>
            <w:tcBorders>
              <w:top w:val="nil"/>
              <w:left w:val="nil"/>
              <w:bottom w:val="nil"/>
              <w:right w:val="nil"/>
            </w:tcBorders>
            <w:shd w:val="clear" w:color="auto" w:fill="auto"/>
            <w:noWrap/>
            <w:vAlign w:val="bottom"/>
            <w:hideMark/>
          </w:tcPr>
          <w:p w14:paraId="23933F10"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(3.50)</w:t>
            </w:r>
          </w:p>
        </w:tc>
        <w:tc>
          <w:tcPr>
            <w:tcW w:w="1160" w:type="dxa"/>
            <w:tcBorders>
              <w:top w:val="nil"/>
              <w:left w:val="nil"/>
              <w:bottom w:val="nil"/>
              <w:right w:val="nil"/>
            </w:tcBorders>
            <w:shd w:val="clear" w:color="auto" w:fill="auto"/>
            <w:noWrap/>
            <w:vAlign w:val="bottom"/>
            <w:hideMark/>
          </w:tcPr>
          <w:p w14:paraId="62E71BD5"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(3.70)</w:t>
            </w:r>
          </w:p>
        </w:tc>
        <w:tc>
          <w:tcPr>
            <w:tcW w:w="1160" w:type="dxa"/>
            <w:tcBorders>
              <w:top w:val="nil"/>
              <w:left w:val="nil"/>
              <w:bottom w:val="nil"/>
              <w:right w:val="nil"/>
            </w:tcBorders>
            <w:shd w:val="clear" w:color="auto" w:fill="auto"/>
            <w:noWrap/>
            <w:vAlign w:val="bottom"/>
            <w:hideMark/>
          </w:tcPr>
          <w:p w14:paraId="57239E1B"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(2.49)</w:t>
            </w:r>
          </w:p>
        </w:tc>
      </w:tr>
      <w:tr w:rsidR="003A4F79" w:rsidRPr="003A4F79" w14:paraId="42ADC7ED"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F47DE6A"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AllRet</w:t>
            </w:r>
          </w:p>
        </w:tc>
        <w:tc>
          <w:tcPr>
            <w:tcW w:w="1160" w:type="dxa"/>
            <w:tcBorders>
              <w:top w:val="nil"/>
              <w:left w:val="nil"/>
              <w:bottom w:val="nil"/>
              <w:right w:val="nil"/>
            </w:tcBorders>
            <w:shd w:val="clear" w:color="auto" w:fill="auto"/>
            <w:noWrap/>
            <w:vAlign w:val="bottom"/>
            <w:hideMark/>
          </w:tcPr>
          <w:p w14:paraId="532C3B75"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1.0047</w:t>
            </w:r>
          </w:p>
        </w:tc>
        <w:tc>
          <w:tcPr>
            <w:tcW w:w="1160" w:type="dxa"/>
            <w:tcBorders>
              <w:top w:val="nil"/>
              <w:left w:val="nil"/>
              <w:bottom w:val="nil"/>
              <w:right w:val="nil"/>
            </w:tcBorders>
            <w:shd w:val="clear" w:color="auto" w:fill="auto"/>
            <w:noWrap/>
            <w:vAlign w:val="bottom"/>
            <w:hideMark/>
          </w:tcPr>
          <w:p w14:paraId="62F1E51F"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1.0037</w:t>
            </w:r>
          </w:p>
        </w:tc>
        <w:tc>
          <w:tcPr>
            <w:tcW w:w="1160" w:type="dxa"/>
            <w:tcBorders>
              <w:top w:val="nil"/>
              <w:left w:val="nil"/>
              <w:bottom w:val="nil"/>
              <w:right w:val="nil"/>
            </w:tcBorders>
            <w:shd w:val="clear" w:color="auto" w:fill="auto"/>
            <w:noWrap/>
            <w:vAlign w:val="bottom"/>
            <w:hideMark/>
          </w:tcPr>
          <w:p w14:paraId="74EFCC7F"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1.0209</w:t>
            </w:r>
          </w:p>
        </w:tc>
        <w:tc>
          <w:tcPr>
            <w:tcW w:w="1160" w:type="dxa"/>
            <w:tcBorders>
              <w:top w:val="nil"/>
              <w:left w:val="nil"/>
              <w:bottom w:val="nil"/>
              <w:right w:val="nil"/>
            </w:tcBorders>
            <w:shd w:val="clear" w:color="auto" w:fill="auto"/>
            <w:noWrap/>
            <w:vAlign w:val="bottom"/>
            <w:hideMark/>
          </w:tcPr>
          <w:p w14:paraId="2E85161B"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1.0129</w:t>
            </w:r>
          </w:p>
        </w:tc>
      </w:tr>
      <w:tr w:rsidR="003A4F79" w:rsidRPr="003A4F79" w14:paraId="21056A4F"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1FDB98D4"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682CCAA"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(0.26)</w:t>
            </w:r>
          </w:p>
        </w:tc>
        <w:tc>
          <w:tcPr>
            <w:tcW w:w="1160" w:type="dxa"/>
            <w:tcBorders>
              <w:top w:val="nil"/>
              <w:left w:val="nil"/>
              <w:bottom w:val="nil"/>
              <w:right w:val="nil"/>
            </w:tcBorders>
            <w:shd w:val="clear" w:color="auto" w:fill="auto"/>
            <w:noWrap/>
            <w:vAlign w:val="bottom"/>
            <w:hideMark/>
          </w:tcPr>
          <w:p w14:paraId="22F272D2"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(0.21)</w:t>
            </w:r>
          </w:p>
        </w:tc>
        <w:tc>
          <w:tcPr>
            <w:tcW w:w="1160" w:type="dxa"/>
            <w:tcBorders>
              <w:top w:val="nil"/>
              <w:left w:val="nil"/>
              <w:bottom w:val="nil"/>
              <w:right w:val="nil"/>
            </w:tcBorders>
            <w:shd w:val="clear" w:color="auto" w:fill="auto"/>
            <w:noWrap/>
            <w:vAlign w:val="bottom"/>
            <w:hideMark/>
          </w:tcPr>
          <w:p w14:paraId="4A2BACB1"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(1.19)</w:t>
            </w:r>
          </w:p>
        </w:tc>
        <w:tc>
          <w:tcPr>
            <w:tcW w:w="1160" w:type="dxa"/>
            <w:tcBorders>
              <w:top w:val="nil"/>
              <w:left w:val="nil"/>
              <w:bottom w:val="nil"/>
              <w:right w:val="nil"/>
            </w:tcBorders>
            <w:shd w:val="clear" w:color="auto" w:fill="auto"/>
            <w:noWrap/>
            <w:vAlign w:val="bottom"/>
            <w:hideMark/>
          </w:tcPr>
          <w:p w14:paraId="088CEA4E"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(0.73)</w:t>
            </w:r>
          </w:p>
        </w:tc>
      </w:tr>
      <w:tr w:rsidR="003A4F79" w:rsidRPr="003A4F79" w14:paraId="460002FA"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67CC2679"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InvSiz</w:t>
            </w:r>
          </w:p>
        </w:tc>
        <w:tc>
          <w:tcPr>
            <w:tcW w:w="1160" w:type="dxa"/>
            <w:tcBorders>
              <w:top w:val="nil"/>
              <w:left w:val="nil"/>
              <w:bottom w:val="nil"/>
              <w:right w:val="nil"/>
            </w:tcBorders>
            <w:shd w:val="clear" w:color="auto" w:fill="auto"/>
            <w:noWrap/>
            <w:vAlign w:val="bottom"/>
            <w:hideMark/>
          </w:tcPr>
          <w:p w14:paraId="1DECDEA1"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32584D5"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1.2318***</w:t>
            </w:r>
          </w:p>
        </w:tc>
        <w:tc>
          <w:tcPr>
            <w:tcW w:w="1160" w:type="dxa"/>
            <w:tcBorders>
              <w:top w:val="nil"/>
              <w:left w:val="nil"/>
              <w:bottom w:val="nil"/>
              <w:right w:val="nil"/>
            </w:tcBorders>
            <w:shd w:val="clear" w:color="auto" w:fill="auto"/>
            <w:noWrap/>
            <w:vAlign w:val="bottom"/>
            <w:hideMark/>
          </w:tcPr>
          <w:p w14:paraId="716597A6"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1.2123***</w:t>
            </w:r>
          </w:p>
        </w:tc>
        <w:tc>
          <w:tcPr>
            <w:tcW w:w="1160" w:type="dxa"/>
            <w:tcBorders>
              <w:top w:val="nil"/>
              <w:left w:val="nil"/>
              <w:bottom w:val="nil"/>
              <w:right w:val="nil"/>
            </w:tcBorders>
            <w:shd w:val="clear" w:color="auto" w:fill="auto"/>
            <w:noWrap/>
            <w:vAlign w:val="bottom"/>
            <w:hideMark/>
          </w:tcPr>
          <w:p w14:paraId="6177A4F4"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1.1710***</w:t>
            </w:r>
          </w:p>
        </w:tc>
      </w:tr>
      <w:tr w:rsidR="003A4F79" w:rsidRPr="003A4F79" w14:paraId="135DBB66"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97EFE99"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7F9FBE3"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C41182A"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(5.28)</w:t>
            </w:r>
          </w:p>
        </w:tc>
        <w:tc>
          <w:tcPr>
            <w:tcW w:w="1160" w:type="dxa"/>
            <w:tcBorders>
              <w:top w:val="nil"/>
              <w:left w:val="nil"/>
              <w:bottom w:val="nil"/>
              <w:right w:val="nil"/>
            </w:tcBorders>
            <w:shd w:val="clear" w:color="auto" w:fill="auto"/>
            <w:noWrap/>
            <w:vAlign w:val="bottom"/>
            <w:hideMark/>
          </w:tcPr>
          <w:p w14:paraId="68490841"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(4.47)</w:t>
            </w:r>
          </w:p>
        </w:tc>
        <w:tc>
          <w:tcPr>
            <w:tcW w:w="1160" w:type="dxa"/>
            <w:tcBorders>
              <w:top w:val="nil"/>
              <w:left w:val="nil"/>
              <w:bottom w:val="nil"/>
              <w:right w:val="nil"/>
            </w:tcBorders>
            <w:shd w:val="clear" w:color="auto" w:fill="auto"/>
            <w:noWrap/>
            <w:vAlign w:val="bottom"/>
            <w:hideMark/>
          </w:tcPr>
          <w:p w14:paraId="54CE8F56"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(3.68)</w:t>
            </w:r>
          </w:p>
        </w:tc>
      </w:tr>
      <w:tr w:rsidR="003A4F79" w:rsidRPr="003A4F79" w14:paraId="7F36615B"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DEAF3C7"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w:t>
            </w:r>
          </w:p>
        </w:tc>
        <w:tc>
          <w:tcPr>
            <w:tcW w:w="1160" w:type="dxa"/>
            <w:tcBorders>
              <w:top w:val="nil"/>
              <w:left w:val="nil"/>
              <w:bottom w:val="nil"/>
              <w:right w:val="nil"/>
            </w:tcBorders>
            <w:shd w:val="clear" w:color="auto" w:fill="auto"/>
            <w:noWrap/>
            <w:vAlign w:val="bottom"/>
            <w:hideMark/>
          </w:tcPr>
          <w:p w14:paraId="0996C3DB"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7E462A0"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FA88B90"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0.2869***</w:t>
            </w:r>
          </w:p>
        </w:tc>
        <w:tc>
          <w:tcPr>
            <w:tcW w:w="1160" w:type="dxa"/>
            <w:tcBorders>
              <w:top w:val="nil"/>
              <w:left w:val="nil"/>
              <w:bottom w:val="nil"/>
              <w:right w:val="nil"/>
            </w:tcBorders>
            <w:shd w:val="clear" w:color="auto" w:fill="auto"/>
            <w:noWrap/>
            <w:vAlign w:val="bottom"/>
            <w:hideMark/>
          </w:tcPr>
          <w:p w14:paraId="4FFEDB78"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0.3069***</w:t>
            </w:r>
          </w:p>
        </w:tc>
      </w:tr>
      <w:tr w:rsidR="003A4F79" w:rsidRPr="003A4F79" w14:paraId="3BB6181F"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6441ED4C"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0396595"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4FAF15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A08E214"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(-12.25)</w:t>
            </w:r>
          </w:p>
        </w:tc>
        <w:tc>
          <w:tcPr>
            <w:tcW w:w="1160" w:type="dxa"/>
            <w:tcBorders>
              <w:top w:val="nil"/>
              <w:left w:val="nil"/>
              <w:bottom w:val="nil"/>
              <w:right w:val="nil"/>
            </w:tcBorders>
            <w:shd w:val="clear" w:color="auto" w:fill="auto"/>
            <w:noWrap/>
            <w:vAlign w:val="bottom"/>
            <w:hideMark/>
          </w:tcPr>
          <w:p w14:paraId="71D60CCD"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(-11.62)</w:t>
            </w:r>
          </w:p>
        </w:tc>
      </w:tr>
      <w:tr w:rsidR="003A4F79" w:rsidRPr="003A4F79" w14:paraId="716F26F7"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3C83CA5"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ZeroTrd</w:t>
            </w:r>
          </w:p>
        </w:tc>
        <w:tc>
          <w:tcPr>
            <w:tcW w:w="1160" w:type="dxa"/>
            <w:tcBorders>
              <w:top w:val="nil"/>
              <w:left w:val="nil"/>
              <w:bottom w:val="nil"/>
              <w:right w:val="nil"/>
            </w:tcBorders>
            <w:shd w:val="clear" w:color="auto" w:fill="auto"/>
            <w:noWrap/>
            <w:vAlign w:val="bottom"/>
            <w:hideMark/>
          </w:tcPr>
          <w:p w14:paraId="43CB688C"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D769E32"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A9FCE1C"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2.8535***</w:t>
            </w:r>
          </w:p>
        </w:tc>
        <w:tc>
          <w:tcPr>
            <w:tcW w:w="1160" w:type="dxa"/>
            <w:tcBorders>
              <w:top w:val="nil"/>
              <w:left w:val="nil"/>
              <w:bottom w:val="nil"/>
              <w:right w:val="nil"/>
            </w:tcBorders>
            <w:shd w:val="clear" w:color="auto" w:fill="auto"/>
            <w:noWrap/>
            <w:vAlign w:val="bottom"/>
            <w:hideMark/>
          </w:tcPr>
          <w:p w14:paraId="5FB30261"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2.7421***</w:t>
            </w:r>
          </w:p>
        </w:tc>
      </w:tr>
      <w:tr w:rsidR="003A4F79" w:rsidRPr="003A4F79" w14:paraId="16A8C233"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036C8DE"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0C4BF4B"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6EB877F"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4B9F884"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(21.64)</w:t>
            </w:r>
          </w:p>
        </w:tc>
        <w:tc>
          <w:tcPr>
            <w:tcW w:w="1160" w:type="dxa"/>
            <w:tcBorders>
              <w:top w:val="nil"/>
              <w:left w:val="nil"/>
              <w:bottom w:val="nil"/>
              <w:right w:val="nil"/>
            </w:tcBorders>
            <w:shd w:val="clear" w:color="auto" w:fill="auto"/>
            <w:noWrap/>
            <w:vAlign w:val="bottom"/>
            <w:hideMark/>
          </w:tcPr>
          <w:p w14:paraId="2D7FB0A7"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(20.69)</w:t>
            </w:r>
          </w:p>
        </w:tc>
      </w:tr>
      <w:tr w:rsidR="003A4F79" w:rsidRPr="003A4F79" w14:paraId="22C7A771"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632ED599"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 × ZeroTrd</w:t>
            </w:r>
          </w:p>
        </w:tc>
        <w:tc>
          <w:tcPr>
            <w:tcW w:w="1160" w:type="dxa"/>
            <w:tcBorders>
              <w:top w:val="nil"/>
              <w:left w:val="nil"/>
              <w:bottom w:val="nil"/>
              <w:right w:val="nil"/>
            </w:tcBorders>
            <w:shd w:val="clear" w:color="auto" w:fill="auto"/>
            <w:noWrap/>
            <w:vAlign w:val="bottom"/>
            <w:hideMark/>
          </w:tcPr>
          <w:p w14:paraId="16C53BD5"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795076A"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B4A275B"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0.2537***</w:t>
            </w:r>
          </w:p>
        </w:tc>
        <w:tc>
          <w:tcPr>
            <w:tcW w:w="1160" w:type="dxa"/>
            <w:tcBorders>
              <w:top w:val="nil"/>
              <w:left w:val="nil"/>
              <w:bottom w:val="nil"/>
              <w:right w:val="nil"/>
            </w:tcBorders>
            <w:shd w:val="clear" w:color="auto" w:fill="auto"/>
            <w:noWrap/>
            <w:vAlign w:val="bottom"/>
            <w:hideMark/>
          </w:tcPr>
          <w:p w14:paraId="06D48A3B"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0.2697***</w:t>
            </w:r>
          </w:p>
        </w:tc>
      </w:tr>
      <w:tr w:rsidR="003A4F79" w:rsidRPr="003A4F79" w14:paraId="35F286BA"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606F61C1"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C0622CC"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271C55A"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1ACCDFB"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(-12.01)</w:t>
            </w:r>
          </w:p>
        </w:tc>
        <w:tc>
          <w:tcPr>
            <w:tcW w:w="1160" w:type="dxa"/>
            <w:tcBorders>
              <w:top w:val="nil"/>
              <w:left w:val="nil"/>
              <w:bottom w:val="nil"/>
              <w:right w:val="nil"/>
            </w:tcBorders>
            <w:shd w:val="clear" w:color="auto" w:fill="auto"/>
            <w:noWrap/>
            <w:vAlign w:val="bottom"/>
            <w:hideMark/>
          </w:tcPr>
          <w:p w14:paraId="3D67108B"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(-11.52)</w:t>
            </w:r>
          </w:p>
        </w:tc>
      </w:tr>
      <w:tr w:rsidR="003A4F79" w:rsidRPr="003A4F79" w14:paraId="7AEC2FD0"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34276C6E"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Nokia</w:t>
            </w:r>
          </w:p>
        </w:tc>
        <w:tc>
          <w:tcPr>
            <w:tcW w:w="1160" w:type="dxa"/>
            <w:tcBorders>
              <w:top w:val="nil"/>
              <w:left w:val="nil"/>
              <w:bottom w:val="nil"/>
              <w:right w:val="nil"/>
            </w:tcBorders>
            <w:shd w:val="clear" w:color="auto" w:fill="auto"/>
            <w:noWrap/>
            <w:vAlign w:val="bottom"/>
            <w:hideMark/>
          </w:tcPr>
          <w:p w14:paraId="67779026"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0E1F9FD"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840463D"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4D35838"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1.9975***</w:t>
            </w:r>
          </w:p>
        </w:tc>
      </w:tr>
      <w:tr w:rsidR="003A4F79" w:rsidRPr="003A4F79" w14:paraId="5C128D13"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1F325BD"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7FBA224"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B884128"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5385B99"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E1EBBAC"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(17.38)</w:t>
            </w:r>
          </w:p>
        </w:tc>
      </w:tr>
      <w:tr w:rsidR="003A4F79" w:rsidRPr="003A4F79" w14:paraId="4853C680"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4EBAF8B4"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MktRet</w:t>
            </w:r>
          </w:p>
        </w:tc>
        <w:tc>
          <w:tcPr>
            <w:tcW w:w="1160" w:type="dxa"/>
            <w:tcBorders>
              <w:top w:val="nil"/>
              <w:left w:val="nil"/>
              <w:bottom w:val="nil"/>
              <w:right w:val="nil"/>
            </w:tcBorders>
            <w:shd w:val="clear" w:color="auto" w:fill="auto"/>
            <w:noWrap/>
            <w:vAlign w:val="bottom"/>
            <w:hideMark/>
          </w:tcPr>
          <w:p w14:paraId="75E3F352"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0.4708***</w:t>
            </w:r>
          </w:p>
        </w:tc>
        <w:tc>
          <w:tcPr>
            <w:tcW w:w="1160" w:type="dxa"/>
            <w:tcBorders>
              <w:top w:val="nil"/>
              <w:left w:val="nil"/>
              <w:bottom w:val="nil"/>
              <w:right w:val="nil"/>
            </w:tcBorders>
            <w:shd w:val="clear" w:color="auto" w:fill="auto"/>
            <w:noWrap/>
            <w:vAlign w:val="bottom"/>
            <w:hideMark/>
          </w:tcPr>
          <w:p w14:paraId="44FA7A2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0.4716***</w:t>
            </w:r>
          </w:p>
        </w:tc>
        <w:tc>
          <w:tcPr>
            <w:tcW w:w="1160" w:type="dxa"/>
            <w:tcBorders>
              <w:top w:val="nil"/>
              <w:left w:val="nil"/>
              <w:bottom w:val="nil"/>
              <w:right w:val="nil"/>
            </w:tcBorders>
            <w:shd w:val="clear" w:color="auto" w:fill="auto"/>
            <w:noWrap/>
            <w:vAlign w:val="bottom"/>
            <w:hideMark/>
          </w:tcPr>
          <w:p w14:paraId="582C798A"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0.4360***</w:t>
            </w:r>
          </w:p>
        </w:tc>
        <w:tc>
          <w:tcPr>
            <w:tcW w:w="1160" w:type="dxa"/>
            <w:tcBorders>
              <w:top w:val="nil"/>
              <w:left w:val="nil"/>
              <w:bottom w:val="nil"/>
              <w:right w:val="nil"/>
            </w:tcBorders>
            <w:shd w:val="clear" w:color="auto" w:fill="auto"/>
            <w:noWrap/>
            <w:vAlign w:val="bottom"/>
            <w:hideMark/>
          </w:tcPr>
          <w:p w14:paraId="3D3F8165"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0.4229***</w:t>
            </w:r>
          </w:p>
        </w:tc>
      </w:tr>
      <w:tr w:rsidR="003A4F79" w:rsidRPr="003A4F79" w14:paraId="21D31F4C"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0F2E8ED"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1DEB06E"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(-4.45)</w:t>
            </w:r>
          </w:p>
        </w:tc>
        <w:tc>
          <w:tcPr>
            <w:tcW w:w="1160" w:type="dxa"/>
            <w:tcBorders>
              <w:top w:val="nil"/>
              <w:left w:val="nil"/>
              <w:bottom w:val="nil"/>
              <w:right w:val="nil"/>
            </w:tcBorders>
            <w:shd w:val="clear" w:color="auto" w:fill="auto"/>
            <w:noWrap/>
            <w:vAlign w:val="bottom"/>
            <w:hideMark/>
          </w:tcPr>
          <w:p w14:paraId="272327C1"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(-4.44)</w:t>
            </w:r>
          </w:p>
        </w:tc>
        <w:tc>
          <w:tcPr>
            <w:tcW w:w="1160" w:type="dxa"/>
            <w:tcBorders>
              <w:top w:val="nil"/>
              <w:left w:val="nil"/>
              <w:bottom w:val="nil"/>
              <w:right w:val="nil"/>
            </w:tcBorders>
            <w:shd w:val="clear" w:color="auto" w:fill="auto"/>
            <w:noWrap/>
            <w:vAlign w:val="bottom"/>
            <w:hideMark/>
          </w:tcPr>
          <w:p w14:paraId="0AB8EF02"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(-4.81)</w:t>
            </w:r>
          </w:p>
        </w:tc>
        <w:tc>
          <w:tcPr>
            <w:tcW w:w="1160" w:type="dxa"/>
            <w:tcBorders>
              <w:top w:val="nil"/>
              <w:left w:val="nil"/>
              <w:bottom w:val="nil"/>
              <w:right w:val="nil"/>
            </w:tcBorders>
            <w:shd w:val="clear" w:color="auto" w:fill="auto"/>
            <w:noWrap/>
            <w:vAlign w:val="bottom"/>
            <w:hideMark/>
          </w:tcPr>
          <w:p w14:paraId="73B5D5AC"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(-4.98)</w:t>
            </w:r>
          </w:p>
        </w:tc>
      </w:tr>
      <w:tr w:rsidR="003A4F79" w:rsidRPr="003A4F79" w14:paraId="57731A0A"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3B646B2B"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MktVol</w:t>
            </w:r>
          </w:p>
        </w:tc>
        <w:tc>
          <w:tcPr>
            <w:tcW w:w="1160" w:type="dxa"/>
            <w:tcBorders>
              <w:top w:val="nil"/>
              <w:left w:val="nil"/>
              <w:bottom w:val="nil"/>
              <w:right w:val="nil"/>
            </w:tcBorders>
            <w:shd w:val="clear" w:color="auto" w:fill="auto"/>
            <w:noWrap/>
            <w:vAlign w:val="bottom"/>
            <w:hideMark/>
          </w:tcPr>
          <w:p w14:paraId="1670322E"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0.4720</w:t>
            </w:r>
          </w:p>
        </w:tc>
        <w:tc>
          <w:tcPr>
            <w:tcW w:w="1160" w:type="dxa"/>
            <w:tcBorders>
              <w:top w:val="nil"/>
              <w:left w:val="nil"/>
              <w:bottom w:val="nil"/>
              <w:right w:val="nil"/>
            </w:tcBorders>
            <w:shd w:val="clear" w:color="auto" w:fill="auto"/>
            <w:noWrap/>
            <w:vAlign w:val="bottom"/>
            <w:hideMark/>
          </w:tcPr>
          <w:p w14:paraId="6941D537"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0.4705</w:t>
            </w:r>
          </w:p>
        </w:tc>
        <w:tc>
          <w:tcPr>
            <w:tcW w:w="1160" w:type="dxa"/>
            <w:tcBorders>
              <w:top w:val="nil"/>
              <w:left w:val="nil"/>
              <w:bottom w:val="nil"/>
              <w:right w:val="nil"/>
            </w:tcBorders>
            <w:shd w:val="clear" w:color="auto" w:fill="auto"/>
            <w:noWrap/>
            <w:vAlign w:val="bottom"/>
            <w:hideMark/>
          </w:tcPr>
          <w:p w14:paraId="1D9D9C4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0.4105</w:t>
            </w:r>
          </w:p>
        </w:tc>
        <w:tc>
          <w:tcPr>
            <w:tcW w:w="1160" w:type="dxa"/>
            <w:tcBorders>
              <w:top w:val="nil"/>
              <w:left w:val="nil"/>
              <w:bottom w:val="nil"/>
              <w:right w:val="nil"/>
            </w:tcBorders>
            <w:shd w:val="clear" w:color="auto" w:fill="auto"/>
            <w:noWrap/>
            <w:vAlign w:val="bottom"/>
            <w:hideMark/>
          </w:tcPr>
          <w:p w14:paraId="428084CA"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0.3984</w:t>
            </w:r>
          </w:p>
        </w:tc>
      </w:tr>
      <w:tr w:rsidR="003A4F79" w:rsidRPr="003A4F79" w14:paraId="5EAB86DE"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75BAD79B"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BEE5DAE"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(-1.19)</w:t>
            </w:r>
          </w:p>
        </w:tc>
        <w:tc>
          <w:tcPr>
            <w:tcW w:w="1160" w:type="dxa"/>
            <w:tcBorders>
              <w:top w:val="nil"/>
              <w:left w:val="nil"/>
              <w:bottom w:val="nil"/>
              <w:right w:val="nil"/>
            </w:tcBorders>
            <w:shd w:val="clear" w:color="auto" w:fill="auto"/>
            <w:noWrap/>
            <w:vAlign w:val="bottom"/>
            <w:hideMark/>
          </w:tcPr>
          <w:p w14:paraId="228CA62B"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(-1.19)</w:t>
            </w:r>
          </w:p>
        </w:tc>
        <w:tc>
          <w:tcPr>
            <w:tcW w:w="1160" w:type="dxa"/>
            <w:tcBorders>
              <w:top w:val="nil"/>
              <w:left w:val="nil"/>
              <w:bottom w:val="nil"/>
              <w:right w:val="nil"/>
            </w:tcBorders>
            <w:shd w:val="clear" w:color="auto" w:fill="auto"/>
            <w:noWrap/>
            <w:vAlign w:val="bottom"/>
            <w:hideMark/>
          </w:tcPr>
          <w:p w14:paraId="08CF7DD1"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(-1.37)</w:t>
            </w:r>
          </w:p>
        </w:tc>
        <w:tc>
          <w:tcPr>
            <w:tcW w:w="1160" w:type="dxa"/>
            <w:tcBorders>
              <w:top w:val="nil"/>
              <w:left w:val="nil"/>
              <w:bottom w:val="nil"/>
              <w:right w:val="nil"/>
            </w:tcBorders>
            <w:shd w:val="clear" w:color="auto" w:fill="auto"/>
            <w:noWrap/>
            <w:vAlign w:val="bottom"/>
            <w:hideMark/>
          </w:tcPr>
          <w:p w14:paraId="1B1A654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(-1.40)</w:t>
            </w:r>
          </w:p>
        </w:tc>
      </w:tr>
      <w:tr w:rsidR="003A4F79" w:rsidRPr="003A4F79" w14:paraId="2ECD3CA5"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7561D015"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Female</w:t>
            </w:r>
          </w:p>
        </w:tc>
        <w:tc>
          <w:tcPr>
            <w:tcW w:w="1160" w:type="dxa"/>
            <w:tcBorders>
              <w:top w:val="nil"/>
              <w:left w:val="nil"/>
              <w:bottom w:val="nil"/>
              <w:right w:val="nil"/>
            </w:tcBorders>
            <w:shd w:val="clear" w:color="auto" w:fill="auto"/>
            <w:noWrap/>
            <w:vAlign w:val="bottom"/>
            <w:hideMark/>
          </w:tcPr>
          <w:p w14:paraId="4478A2E0"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0.7406***</w:t>
            </w:r>
          </w:p>
        </w:tc>
        <w:tc>
          <w:tcPr>
            <w:tcW w:w="1160" w:type="dxa"/>
            <w:tcBorders>
              <w:top w:val="nil"/>
              <w:left w:val="nil"/>
              <w:bottom w:val="nil"/>
              <w:right w:val="nil"/>
            </w:tcBorders>
            <w:shd w:val="clear" w:color="auto" w:fill="auto"/>
            <w:noWrap/>
            <w:vAlign w:val="bottom"/>
            <w:hideMark/>
          </w:tcPr>
          <w:p w14:paraId="630D3EEB"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0.7419***</w:t>
            </w:r>
          </w:p>
        </w:tc>
        <w:tc>
          <w:tcPr>
            <w:tcW w:w="1160" w:type="dxa"/>
            <w:tcBorders>
              <w:top w:val="nil"/>
              <w:left w:val="nil"/>
              <w:bottom w:val="nil"/>
              <w:right w:val="nil"/>
            </w:tcBorders>
            <w:shd w:val="clear" w:color="auto" w:fill="auto"/>
            <w:noWrap/>
            <w:vAlign w:val="bottom"/>
            <w:hideMark/>
          </w:tcPr>
          <w:p w14:paraId="0E33AB85"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0.9245*</w:t>
            </w:r>
          </w:p>
        </w:tc>
        <w:tc>
          <w:tcPr>
            <w:tcW w:w="1160" w:type="dxa"/>
            <w:tcBorders>
              <w:top w:val="nil"/>
              <w:left w:val="nil"/>
              <w:bottom w:val="nil"/>
              <w:right w:val="nil"/>
            </w:tcBorders>
            <w:shd w:val="clear" w:color="auto" w:fill="auto"/>
            <w:noWrap/>
            <w:vAlign w:val="bottom"/>
            <w:hideMark/>
          </w:tcPr>
          <w:p w14:paraId="6F47C13D"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0.9174**</w:t>
            </w:r>
          </w:p>
        </w:tc>
      </w:tr>
      <w:tr w:rsidR="003A4F79" w:rsidRPr="003A4F79" w14:paraId="4A2FB099"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129C469C"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04D78C9"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(-7.06)</w:t>
            </w:r>
          </w:p>
        </w:tc>
        <w:tc>
          <w:tcPr>
            <w:tcW w:w="1160" w:type="dxa"/>
            <w:tcBorders>
              <w:top w:val="nil"/>
              <w:left w:val="nil"/>
              <w:bottom w:val="nil"/>
              <w:right w:val="nil"/>
            </w:tcBorders>
            <w:shd w:val="clear" w:color="auto" w:fill="auto"/>
            <w:noWrap/>
            <w:vAlign w:val="bottom"/>
            <w:hideMark/>
          </w:tcPr>
          <w:p w14:paraId="071F6DA5"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(-7.01)</w:t>
            </w:r>
          </w:p>
        </w:tc>
        <w:tc>
          <w:tcPr>
            <w:tcW w:w="1160" w:type="dxa"/>
            <w:tcBorders>
              <w:top w:val="nil"/>
              <w:left w:val="nil"/>
              <w:bottom w:val="nil"/>
              <w:right w:val="nil"/>
            </w:tcBorders>
            <w:shd w:val="clear" w:color="auto" w:fill="auto"/>
            <w:noWrap/>
            <w:vAlign w:val="bottom"/>
            <w:hideMark/>
          </w:tcPr>
          <w:p w14:paraId="5BBE1660"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(-1.81)</w:t>
            </w:r>
          </w:p>
        </w:tc>
        <w:tc>
          <w:tcPr>
            <w:tcW w:w="1160" w:type="dxa"/>
            <w:tcBorders>
              <w:top w:val="nil"/>
              <w:left w:val="nil"/>
              <w:bottom w:val="nil"/>
              <w:right w:val="nil"/>
            </w:tcBorders>
            <w:shd w:val="clear" w:color="auto" w:fill="auto"/>
            <w:noWrap/>
            <w:vAlign w:val="bottom"/>
            <w:hideMark/>
          </w:tcPr>
          <w:p w14:paraId="266D4D00"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(-1.98)</w:t>
            </w:r>
          </w:p>
        </w:tc>
      </w:tr>
      <w:tr w:rsidR="003A4F79" w:rsidRPr="003A4F79" w14:paraId="6B7548A7"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2296AEE2"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Age</w:t>
            </w:r>
          </w:p>
        </w:tc>
        <w:tc>
          <w:tcPr>
            <w:tcW w:w="1160" w:type="dxa"/>
            <w:tcBorders>
              <w:top w:val="nil"/>
              <w:left w:val="nil"/>
              <w:bottom w:val="nil"/>
              <w:right w:val="nil"/>
            </w:tcBorders>
            <w:shd w:val="clear" w:color="auto" w:fill="auto"/>
            <w:noWrap/>
            <w:vAlign w:val="bottom"/>
            <w:hideMark/>
          </w:tcPr>
          <w:p w14:paraId="09BFCAA7"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0.9993</w:t>
            </w:r>
          </w:p>
        </w:tc>
        <w:tc>
          <w:tcPr>
            <w:tcW w:w="1160" w:type="dxa"/>
            <w:tcBorders>
              <w:top w:val="nil"/>
              <w:left w:val="nil"/>
              <w:bottom w:val="nil"/>
              <w:right w:val="nil"/>
            </w:tcBorders>
            <w:shd w:val="clear" w:color="auto" w:fill="auto"/>
            <w:noWrap/>
            <w:vAlign w:val="bottom"/>
            <w:hideMark/>
          </w:tcPr>
          <w:p w14:paraId="1DCE252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0.9990</w:t>
            </w:r>
          </w:p>
        </w:tc>
        <w:tc>
          <w:tcPr>
            <w:tcW w:w="1160" w:type="dxa"/>
            <w:tcBorders>
              <w:top w:val="nil"/>
              <w:left w:val="nil"/>
              <w:bottom w:val="nil"/>
              <w:right w:val="nil"/>
            </w:tcBorders>
            <w:shd w:val="clear" w:color="auto" w:fill="auto"/>
            <w:noWrap/>
            <w:vAlign w:val="bottom"/>
            <w:hideMark/>
          </w:tcPr>
          <w:p w14:paraId="08737999"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1.0007</w:t>
            </w:r>
          </w:p>
        </w:tc>
        <w:tc>
          <w:tcPr>
            <w:tcW w:w="1160" w:type="dxa"/>
            <w:tcBorders>
              <w:top w:val="nil"/>
              <w:left w:val="nil"/>
              <w:bottom w:val="nil"/>
              <w:right w:val="nil"/>
            </w:tcBorders>
            <w:shd w:val="clear" w:color="auto" w:fill="auto"/>
            <w:noWrap/>
            <w:vAlign w:val="bottom"/>
            <w:hideMark/>
          </w:tcPr>
          <w:p w14:paraId="510C99CE"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r>
      <w:tr w:rsidR="003A4F79" w:rsidRPr="003A4F79" w14:paraId="0077BB2A"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D712030"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7EC8C1B"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(-0.58)</w:t>
            </w:r>
          </w:p>
        </w:tc>
        <w:tc>
          <w:tcPr>
            <w:tcW w:w="1160" w:type="dxa"/>
            <w:tcBorders>
              <w:top w:val="nil"/>
              <w:left w:val="nil"/>
              <w:bottom w:val="nil"/>
              <w:right w:val="nil"/>
            </w:tcBorders>
            <w:shd w:val="clear" w:color="auto" w:fill="auto"/>
            <w:noWrap/>
            <w:vAlign w:val="bottom"/>
            <w:hideMark/>
          </w:tcPr>
          <w:p w14:paraId="58C7CA4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(-0.83)</w:t>
            </w:r>
          </w:p>
        </w:tc>
        <w:tc>
          <w:tcPr>
            <w:tcW w:w="1160" w:type="dxa"/>
            <w:tcBorders>
              <w:top w:val="nil"/>
              <w:left w:val="nil"/>
              <w:bottom w:val="nil"/>
              <w:right w:val="nil"/>
            </w:tcBorders>
            <w:shd w:val="clear" w:color="auto" w:fill="auto"/>
            <w:noWrap/>
            <w:vAlign w:val="bottom"/>
            <w:hideMark/>
          </w:tcPr>
          <w:p w14:paraId="03A7601C"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(0.51)</w:t>
            </w:r>
          </w:p>
        </w:tc>
        <w:tc>
          <w:tcPr>
            <w:tcW w:w="1160" w:type="dxa"/>
            <w:tcBorders>
              <w:top w:val="nil"/>
              <w:left w:val="nil"/>
              <w:bottom w:val="nil"/>
              <w:right w:val="nil"/>
            </w:tcBorders>
            <w:shd w:val="clear" w:color="auto" w:fill="auto"/>
            <w:noWrap/>
            <w:vAlign w:val="bottom"/>
            <w:hideMark/>
          </w:tcPr>
          <w:p w14:paraId="471EB7A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(0.09)</w:t>
            </w:r>
          </w:p>
        </w:tc>
      </w:tr>
      <w:tr w:rsidR="003A4F79" w:rsidRPr="003A4F79" w14:paraId="7D44D476"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C53F0A9"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Burst</w:t>
            </w:r>
          </w:p>
        </w:tc>
        <w:tc>
          <w:tcPr>
            <w:tcW w:w="1160" w:type="dxa"/>
            <w:tcBorders>
              <w:top w:val="nil"/>
              <w:left w:val="nil"/>
              <w:bottom w:val="nil"/>
              <w:right w:val="nil"/>
            </w:tcBorders>
            <w:shd w:val="clear" w:color="auto" w:fill="auto"/>
            <w:noWrap/>
            <w:vAlign w:val="bottom"/>
            <w:hideMark/>
          </w:tcPr>
          <w:p w14:paraId="0B4431EE"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0.4590***</w:t>
            </w:r>
          </w:p>
        </w:tc>
        <w:tc>
          <w:tcPr>
            <w:tcW w:w="1160" w:type="dxa"/>
            <w:tcBorders>
              <w:top w:val="nil"/>
              <w:left w:val="nil"/>
              <w:bottom w:val="nil"/>
              <w:right w:val="nil"/>
            </w:tcBorders>
            <w:shd w:val="clear" w:color="auto" w:fill="auto"/>
            <w:noWrap/>
            <w:vAlign w:val="bottom"/>
            <w:hideMark/>
          </w:tcPr>
          <w:p w14:paraId="523C2EB8"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0.4590***</w:t>
            </w:r>
          </w:p>
        </w:tc>
        <w:tc>
          <w:tcPr>
            <w:tcW w:w="1160" w:type="dxa"/>
            <w:tcBorders>
              <w:top w:val="nil"/>
              <w:left w:val="nil"/>
              <w:bottom w:val="nil"/>
              <w:right w:val="nil"/>
            </w:tcBorders>
            <w:shd w:val="clear" w:color="auto" w:fill="auto"/>
            <w:noWrap/>
            <w:vAlign w:val="bottom"/>
            <w:hideMark/>
          </w:tcPr>
          <w:p w14:paraId="69D9345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0.5379***</w:t>
            </w:r>
          </w:p>
        </w:tc>
        <w:tc>
          <w:tcPr>
            <w:tcW w:w="1160" w:type="dxa"/>
            <w:tcBorders>
              <w:top w:val="nil"/>
              <w:left w:val="nil"/>
              <w:bottom w:val="nil"/>
              <w:right w:val="nil"/>
            </w:tcBorders>
            <w:shd w:val="clear" w:color="auto" w:fill="auto"/>
            <w:noWrap/>
            <w:vAlign w:val="bottom"/>
            <w:hideMark/>
          </w:tcPr>
          <w:p w14:paraId="4CB956D4"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0.5507***</w:t>
            </w:r>
          </w:p>
        </w:tc>
      </w:tr>
      <w:tr w:rsidR="003A4F79" w:rsidRPr="003A4F79" w14:paraId="50F606F1"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4979DB7"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78A5038"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(-10.95)</w:t>
            </w:r>
          </w:p>
        </w:tc>
        <w:tc>
          <w:tcPr>
            <w:tcW w:w="1160" w:type="dxa"/>
            <w:tcBorders>
              <w:top w:val="nil"/>
              <w:left w:val="nil"/>
              <w:bottom w:val="nil"/>
              <w:right w:val="nil"/>
            </w:tcBorders>
            <w:shd w:val="clear" w:color="auto" w:fill="auto"/>
            <w:noWrap/>
            <w:vAlign w:val="bottom"/>
            <w:hideMark/>
          </w:tcPr>
          <w:p w14:paraId="70344CE8"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(-10.95)</w:t>
            </w:r>
          </w:p>
        </w:tc>
        <w:tc>
          <w:tcPr>
            <w:tcW w:w="1160" w:type="dxa"/>
            <w:tcBorders>
              <w:top w:val="nil"/>
              <w:left w:val="nil"/>
              <w:bottom w:val="nil"/>
              <w:right w:val="nil"/>
            </w:tcBorders>
            <w:shd w:val="clear" w:color="auto" w:fill="auto"/>
            <w:noWrap/>
            <w:vAlign w:val="bottom"/>
            <w:hideMark/>
          </w:tcPr>
          <w:p w14:paraId="217754F2"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(-8.43)</w:t>
            </w:r>
          </w:p>
        </w:tc>
        <w:tc>
          <w:tcPr>
            <w:tcW w:w="1160" w:type="dxa"/>
            <w:tcBorders>
              <w:top w:val="nil"/>
              <w:left w:val="nil"/>
              <w:bottom w:val="nil"/>
              <w:right w:val="nil"/>
            </w:tcBorders>
            <w:shd w:val="clear" w:color="auto" w:fill="auto"/>
            <w:noWrap/>
            <w:vAlign w:val="bottom"/>
            <w:hideMark/>
          </w:tcPr>
          <w:p w14:paraId="7A029AB5"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(-8.00)</w:t>
            </w:r>
          </w:p>
        </w:tc>
      </w:tr>
      <w:tr w:rsidR="003A4F79" w:rsidRPr="003A4F79" w14:paraId="5416EC5B"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97528B1"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DurAway</w:t>
            </w:r>
          </w:p>
        </w:tc>
        <w:tc>
          <w:tcPr>
            <w:tcW w:w="1160" w:type="dxa"/>
            <w:tcBorders>
              <w:top w:val="nil"/>
              <w:left w:val="nil"/>
              <w:bottom w:val="nil"/>
              <w:right w:val="nil"/>
            </w:tcBorders>
            <w:shd w:val="clear" w:color="auto" w:fill="auto"/>
            <w:noWrap/>
            <w:vAlign w:val="bottom"/>
            <w:hideMark/>
          </w:tcPr>
          <w:p w14:paraId="6EA6B94F"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0.9470***</w:t>
            </w:r>
          </w:p>
        </w:tc>
        <w:tc>
          <w:tcPr>
            <w:tcW w:w="1160" w:type="dxa"/>
            <w:tcBorders>
              <w:top w:val="nil"/>
              <w:left w:val="nil"/>
              <w:bottom w:val="nil"/>
              <w:right w:val="nil"/>
            </w:tcBorders>
            <w:shd w:val="clear" w:color="auto" w:fill="auto"/>
            <w:noWrap/>
            <w:vAlign w:val="bottom"/>
            <w:hideMark/>
          </w:tcPr>
          <w:p w14:paraId="0D1FEF95"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0.9469***</w:t>
            </w:r>
          </w:p>
        </w:tc>
        <w:tc>
          <w:tcPr>
            <w:tcW w:w="1160" w:type="dxa"/>
            <w:tcBorders>
              <w:top w:val="nil"/>
              <w:left w:val="nil"/>
              <w:bottom w:val="nil"/>
              <w:right w:val="nil"/>
            </w:tcBorders>
            <w:shd w:val="clear" w:color="auto" w:fill="auto"/>
            <w:noWrap/>
            <w:vAlign w:val="bottom"/>
            <w:hideMark/>
          </w:tcPr>
          <w:p w14:paraId="1D36DF8D"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0.9559***</w:t>
            </w:r>
          </w:p>
        </w:tc>
        <w:tc>
          <w:tcPr>
            <w:tcW w:w="1160" w:type="dxa"/>
            <w:tcBorders>
              <w:top w:val="nil"/>
              <w:left w:val="nil"/>
              <w:bottom w:val="nil"/>
              <w:right w:val="nil"/>
            </w:tcBorders>
            <w:shd w:val="clear" w:color="auto" w:fill="auto"/>
            <w:noWrap/>
            <w:vAlign w:val="bottom"/>
            <w:hideMark/>
          </w:tcPr>
          <w:p w14:paraId="5D2AF572"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0.9568***</w:t>
            </w:r>
          </w:p>
        </w:tc>
      </w:tr>
      <w:tr w:rsidR="003A4F79" w:rsidRPr="003A4F79" w14:paraId="22D34690"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E76460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A68AA98"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(-24.97)</w:t>
            </w:r>
          </w:p>
        </w:tc>
        <w:tc>
          <w:tcPr>
            <w:tcW w:w="1160" w:type="dxa"/>
            <w:tcBorders>
              <w:top w:val="nil"/>
              <w:left w:val="nil"/>
              <w:bottom w:val="nil"/>
              <w:right w:val="nil"/>
            </w:tcBorders>
            <w:shd w:val="clear" w:color="auto" w:fill="auto"/>
            <w:noWrap/>
            <w:vAlign w:val="bottom"/>
            <w:hideMark/>
          </w:tcPr>
          <w:p w14:paraId="4C656A5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(-25.01)</w:t>
            </w:r>
          </w:p>
        </w:tc>
        <w:tc>
          <w:tcPr>
            <w:tcW w:w="1160" w:type="dxa"/>
            <w:tcBorders>
              <w:top w:val="nil"/>
              <w:left w:val="nil"/>
              <w:bottom w:val="nil"/>
              <w:right w:val="nil"/>
            </w:tcBorders>
            <w:shd w:val="clear" w:color="auto" w:fill="auto"/>
            <w:noWrap/>
            <w:vAlign w:val="bottom"/>
            <w:hideMark/>
          </w:tcPr>
          <w:p w14:paraId="69ACDB9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(-23.15)</w:t>
            </w:r>
          </w:p>
        </w:tc>
        <w:tc>
          <w:tcPr>
            <w:tcW w:w="1160" w:type="dxa"/>
            <w:tcBorders>
              <w:top w:val="nil"/>
              <w:left w:val="nil"/>
              <w:bottom w:val="nil"/>
              <w:right w:val="nil"/>
            </w:tcBorders>
            <w:shd w:val="clear" w:color="auto" w:fill="auto"/>
            <w:noWrap/>
            <w:vAlign w:val="bottom"/>
            <w:hideMark/>
          </w:tcPr>
          <w:p w14:paraId="2770860C"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(-23.19)</w:t>
            </w:r>
          </w:p>
        </w:tc>
      </w:tr>
      <w:tr w:rsidR="003A4F79" w:rsidRPr="003A4F79" w14:paraId="289E151E"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1E46D1BD"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DE907D2"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FDDB3B2"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743742D"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1CCCB40"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57FF792B"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39CE296"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Investment size quintile dummies</w:t>
            </w:r>
          </w:p>
        </w:tc>
        <w:tc>
          <w:tcPr>
            <w:tcW w:w="1160" w:type="dxa"/>
            <w:tcBorders>
              <w:top w:val="nil"/>
              <w:left w:val="nil"/>
              <w:bottom w:val="nil"/>
              <w:right w:val="nil"/>
            </w:tcBorders>
            <w:shd w:val="clear" w:color="auto" w:fill="auto"/>
            <w:noWrap/>
            <w:vAlign w:val="bottom"/>
            <w:hideMark/>
          </w:tcPr>
          <w:p w14:paraId="44AD784C"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DECD35A"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174F21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E77763A"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513E18EC"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7ED84840"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Zip code dummies</w:t>
            </w:r>
          </w:p>
        </w:tc>
        <w:tc>
          <w:tcPr>
            <w:tcW w:w="1160" w:type="dxa"/>
            <w:tcBorders>
              <w:top w:val="nil"/>
              <w:left w:val="nil"/>
              <w:bottom w:val="nil"/>
              <w:right w:val="nil"/>
            </w:tcBorders>
            <w:shd w:val="clear" w:color="auto" w:fill="auto"/>
            <w:noWrap/>
            <w:vAlign w:val="bottom"/>
            <w:hideMark/>
          </w:tcPr>
          <w:p w14:paraId="4A58B317"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7DB4C4D"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30B02BC"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874BB32"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3544285A"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564EF292"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Exit time dummies</w:t>
            </w:r>
          </w:p>
        </w:tc>
        <w:tc>
          <w:tcPr>
            <w:tcW w:w="1160" w:type="dxa"/>
            <w:tcBorders>
              <w:top w:val="nil"/>
              <w:left w:val="nil"/>
              <w:bottom w:val="nil"/>
              <w:right w:val="nil"/>
            </w:tcBorders>
            <w:shd w:val="clear" w:color="auto" w:fill="auto"/>
            <w:noWrap/>
            <w:vAlign w:val="bottom"/>
            <w:hideMark/>
          </w:tcPr>
          <w:p w14:paraId="2DBCA6E7"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395BB9EB"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EF84996"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662BB178"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0E86E15E"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12CCE3C8"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Year dummies</w:t>
            </w:r>
          </w:p>
        </w:tc>
        <w:tc>
          <w:tcPr>
            <w:tcW w:w="1160" w:type="dxa"/>
            <w:tcBorders>
              <w:top w:val="nil"/>
              <w:left w:val="nil"/>
              <w:bottom w:val="nil"/>
              <w:right w:val="nil"/>
            </w:tcBorders>
            <w:shd w:val="clear" w:color="auto" w:fill="auto"/>
            <w:noWrap/>
            <w:vAlign w:val="bottom"/>
            <w:hideMark/>
          </w:tcPr>
          <w:p w14:paraId="594B366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35725FCA"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7FD18A77"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24B9FF61"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4E9F1484"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67807E4E"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77A6827"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DFA76A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CA61638"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AAF355E"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0DD02643"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47E2DCBA"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Robust SE clustered at investor level</w:t>
            </w:r>
          </w:p>
        </w:tc>
        <w:tc>
          <w:tcPr>
            <w:tcW w:w="1160" w:type="dxa"/>
            <w:tcBorders>
              <w:top w:val="nil"/>
              <w:left w:val="nil"/>
              <w:bottom w:val="nil"/>
              <w:right w:val="nil"/>
            </w:tcBorders>
            <w:shd w:val="clear" w:color="auto" w:fill="auto"/>
            <w:noWrap/>
            <w:vAlign w:val="bottom"/>
            <w:hideMark/>
          </w:tcPr>
          <w:p w14:paraId="653A9E10"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4CECB7E"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5C616807"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FE0CAC8"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5063BB4D" w14:textId="77777777" w:rsidTr="00D17E71">
        <w:trPr>
          <w:trHeight w:val="255"/>
          <w:jc w:val="center"/>
        </w:trPr>
        <w:tc>
          <w:tcPr>
            <w:tcW w:w="3060" w:type="dxa"/>
            <w:tcBorders>
              <w:top w:val="nil"/>
              <w:left w:val="nil"/>
              <w:bottom w:val="nil"/>
              <w:right w:val="nil"/>
            </w:tcBorders>
            <w:shd w:val="clear" w:color="auto" w:fill="auto"/>
            <w:noWrap/>
            <w:vAlign w:val="bottom"/>
            <w:hideMark/>
          </w:tcPr>
          <w:p w14:paraId="05589662"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fit</w:t>
            </w:r>
          </w:p>
        </w:tc>
        <w:tc>
          <w:tcPr>
            <w:tcW w:w="1160" w:type="dxa"/>
            <w:tcBorders>
              <w:top w:val="nil"/>
              <w:left w:val="nil"/>
              <w:bottom w:val="nil"/>
              <w:right w:val="nil"/>
            </w:tcBorders>
            <w:shd w:val="clear" w:color="auto" w:fill="auto"/>
            <w:noWrap/>
            <w:vAlign w:val="bottom"/>
            <w:hideMark/>
          </w:tcPr>
          <w:p w14:paraId="328DF05D"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1,746.38***</w:t>
            </w:r>
          </w:p>
        </w:tc>
        <w:tc>
          <w:tcPr>
            <w:tcW w:w="1160" w:type="dxa"/>
            <w:tcBorders>
              <w:top w:val="nil"/>
              <w:left w:val="nil"/>
              <w:bottom w:val="nil"/>
              <w:right w:val="nil"/>
            </w:tcBorders>
            <w:shd w:val="clear" w:color="auto" w:fill="auto"/>
            <w:noWrap/>
            <w:vAlign w:val="bottom"/>
            <w:hideMark/>
          </w:tcPr>
          <w:p w14:paraId="0A4AF38F"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1,768.82***</w:t>
            </w:r>
          </w:p>
        </w:tc>
        <w:tc>
          <w:tcPr>
            <w:tcW w:w="1160" w:type="dxa"/>
            <w:tcBorders>
              <w:top w:val="nil"/>
              <w:left w:val="nil"/>
              <w:bottom w:val="nil"/>
              <w:right w:val="nil"/>
            </w:tcBorders>
            <w:shd w:val="clear" w:color="auto" w:fill="auto"/>
            <w:noWrap/>
            <w:vAlign w:val="bottom"/>
            <w:hideMark/>
          </w:tcPr>
          <w:p w14:paraId="786E6B45"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5,222.07***</w:t>
            </w:r>
          </w:p>
        </w:tc>
        <w:tc>
          <w:tcPr>
            <w:tcW w:w="1160" w:type="dxa"/>
            <w:tcBorders>
              <w:top w:val="nil"/>
              <w:left w:val="nil"/>
              <w:bottom w:val="nil"/>
              <w:right w:val="nil"/>
            </w:tcBorders>
            <w:shd w:val="clear" w:color="auto" w:fill="auto"/>
            <w:noWrap/>
            <w:vAlign w:val="bottom"/>
            <w:hideMark/>
          </w:tcPr>
          <w:p w14:paraId="3F162A5B"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5,718.72***</w:t>
            </w:r>
          </w:p>
        </w:tc>
      </w:tr>
      <w:tr w:rsidR="00D17E71" w:rsidRPr="003A4F79" w14:paraId="7245854A" w14:textId="77777777" w:rsidTr="00D17E71">
        <w:trPr>
          <w:trHeight w:val="315"/>
          <w:jc w:val="center"/>
        </w:trPr>
        <w:tc>
          <w:tcPr>
            <w:tcW w:w="3060" w:type="dxa"/>
            <w:tcBorders>
              <w:top w:val="nil"/>
              <w:left w:val="nil"/>
              <w:bottom w:val="single" w:sz="4" w:space="0" w:color="auto"/>
              <w:right w:val="nil"/>
            </w:tcBorders>
            <w:shd w:val="clear" w:color="auto" w:fill="auto"/>
            <w:noWrap/>
            <w:vAlign w:val="bottom"/>
            <w:hideMark/>
          </w:tcPr>
          <w:p w14:paraId="1D155570" w14:textId="77777777" w:rsidR="00D17E71" w:rsidRPr="003A4F79" w:rsidRDefault="00D17E71" w:rsidP="00D17E71">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Pseudo R</w:t>
            </w:r>
            <w:r w:rsidRPr="003A4F79">
              <w:rPr>
                <w:rFonts w:ascii="Times New Roman" w:eastAsia="Times New Roman" w:hAnsi="Times New Roman" w:cs="Times New Roman"/>
                <w:sz w:val="20"/>
                <w:szCs w:val="20"/>
                <w:vertAlign w:val="superscript"/>
                <w:lang w:val="en-GB" w:eastAsia="ko-KR"/>
              </w:rPr>
              <w:t>2</w:t>
            </w:r>
          </w:p>
        </w:tc>
        <w:tc>
          <w:tcPr>
            <w:tcW w:w="1160" w:type="dxa"/>
            <w:tcBorders>
              <w:top w:val="nil"/>
              <w:left w:val="nil"/>
              <w:bottom w:val="single" w:sz="4" w:space="0" w:color="auto"/>
              <w:right w:val="nil"/>
            </w:tcBorders>
            <w:shd w:val="clear" w:color="auto" w:fill="auto"/>
            <w:noWrap/>
            <w:vAlign w:val="bottom"/>
            <w:hideMark/>
          </w:tcPr>
          <w:p w14:paraId="567B62B5"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0.0749</w:t>
            </w:r>
          </w:p>
        </w:tc>
        <w:tc>
          <w:tcPr>
            <w:tcW w:w="1160" w:type="dxa"/>
            <w:tcBorders>
              <w:top w:val="nil"/>
              <w:left w:val="nil"/>
              <w:bottom w:val="single" w:sz="4" w:space="0" w:color="auto"/>
              <w:right w:val="nil"/>
            </w:tcBorders>
            <w:shd w:val="clear" w:color="auto" w:fill="auto"/>
            <w:noWrap/>
            <w:vAlign w:val="bottom"/>
            <w:hideMark/>
          </w:tcPr>
          <w:p w14:paraId="56869C5C"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0.0757</w:t>
            </w:r>
          </w:p>
        </w:tc>
        <w:tc>
          <w:tcPr>
            <w:tcW w:w="1160" w:type="dxa"/>
            <w:tcBorders>
              <w:top w:val="nil"/>
              <w:left w:val="nil"/>
              <w:bottom w:val="single" w:sz="4" w:space="0" w:color="auto"/>
              <w:right w:val="nil"/>
            </w:tcBorders>
            <w:shd w:val="clear" w:color="auto" w:fill="auto"/>
            <w:noWrap/>
            <w:vAlign w:val="bottom"/>
            <w:hideMark/>
          </w:tcPr>
          <w:p w14:paraId="052950C3"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0.1698</w:t>
            </w:r>
          </w:p>
        </w:tc>
        <w:tc>
          <w:tcPr>
            <w:tcW w:w="1160" w:type="dxa"/>
            <w:tcBorders>
              <w:top w:val="nil"/>
              <w:left w:val="nil"/>
              <w:bottom w:val="single" w:sz="4" w:space="0" w:color="auto"/>
              <w:right w:val="nil"/>
            </w:tcBorders>
            <w:shd w:val="clear" w:color="auto" w:fill="auto"/>
            <w:noWrap/>
            <w:vAlign w:val="bottom"/>
            <w:hideMark/>
          </w:tcPr>
          <w:p w14:paraId="1D0C0C6D" w14:textId="77777777" w:rsidR="00D17E71" w:rsidRPr="003A4F79" w:rsidRDefault="00D17E71" w:rsidP="00D17E71">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0.1782</w:t>
            </w:r>
          </w:p>
        </w:tc>
      </w:tr>
    </w:tbl>
    <w:p w14:paraId="36D1C7D0" w14:textId="77777777" w:rsidR="000A1C65" w:rsidRPr="003A4F79" w:rsidRDefault="000A1C65" w:rsidP="00DE0D82">
      <w:pPr>
        <w:pStyle w:val="FigureNotes"/>
        <w:jc w:val="center"/>
      </w:pPr>
    </w:p>
    <w:p w14:paraId="523DEC2B" w14:textId="4D3A2F4B" w:rsidR="005C0BAA" w:rsidRPr="003A4F79" w:rsidRDefault="005C0BAA" w:rsidP="00D826E0">
      <w:pPr>
        <w:pStyle w:val="FigureNotes"/>
        <w:jc w:val="center"/>
      </w:pPr>
    </w:p>
    <w:p w14:paraId="0BCF57CF" w14:textId="751DD7F2" w:rsidR="000F2E74" w:rsidRPr="003A4F79" w:rsidRDefault="000F2E74" w:rsidP="005C0BAA">
      <w:pPr>
        <w:ind w:firstLine="0"/>
        <w:jc w:val="center"/>
        <w:rPr>
          <w:sz w:val="20"/>
        </w:rPr>
      </w:pPr>
    </w:p>
    <w:p w14:paraId="41EBA776" w14:textId="33A2F1B5" w:rsidR="00A72CB5" w:rsidRPr="003A4F79" w:rsidRDefault="00B62FC9" w:rsidP="00290F9F">
      <w:pPr>
        <w:pStyle w:val="FigureCaption"/>
        <w:jc w:val="left"/>
      </w:pPr>
      <w:r w:rsidRPr="003A4F79">
        <w:br w:type="page"/>
      </w:r>
      <w:r w:rsidR="0083633D" w:rsidRPr="003A4F79">
        <w:lastRenderedPageBreak/>
        <w:t xml:space="preserve">Table </w:t>
      </w:r>
      <w:r w:rsidR="00A72CB5" w:rsidRPr="003A4F79">
        <w:t>4</w:t>
      </w:r>
    </w:p>
    <w:p w14:paraId="17BEBE3A" w14:textId="55929402" w:rsidR="00DE3560" w:rsidRPr="003A4F79" w:rsidRDefault="005905FE" w:rsidP="00290F9F">
      <w:pPr>
        <w:pStyle w:val="FigureCaption"/>
        <w:jc w:val="left"/>
        <w:rPr>
          <w:b/>
          <w:szCs w:val="24"/>
        </w:rPr>
      </w:pPr>
      <w:r w:rsidRPr="003A4F79">
        <w:rPr>
          <w:b/>
        </w:rPr>
        <w:t xml:space="preserve">Beyond </w:t>
      </w:r>
      <w:r w:rsidR="00572EEF" w:rsidRPr="003A4F79">
        <w:rPr>
          <w:b/>
        </w:rPr>
        <w:t>initial returns</w:t>
      </w:r>
      <w:r w:rsidRPr="003A4F79">
        <w:rPr>
          <w:b/>
        </w:rPr>
        <w:t xml:space="preserve">: Recent </w:t>
      </w:r>
      <w:r w:rsidR="00572EEF" w:rsidRPr="003A4F79">
        <w:rPr>
          <w:b/>
        </w:rPr>
        <w:t>returns</w:t>
      </w:r>
    </w:p>
    <w:p w14:paraId="2E3FEE72" w14:textId="35801301" w:rsidR="00E76F66" w:rsidRPr="003A4F79" w:rsidRDefault="00572EEF" w:rsidP="00290F9F">
      <w:pPr>
        <w:pStyle w:val="FigureNotes"/>
        <w:spacing w:after="120"/>
        <w:rPr>
          <w:noProof/>
          <w:lang w:eastAsia="en-GB"/>
        </w:rPr>
      </w:pPr>
      <w:r w:rsidRPr="003A4F79">
        <w:t>E</w:t>
      </w:r>
      <w:r w:rsidR="00E76F66" w:rsidRPr="003A4F79">
        <w:t>stimated coefficients</w:t>
      </w:r>
      <w:r w:rsidRPr="003A4F79">
        <w:t xml:space="preserve"> are reported</w:t>
      </w:r>
      <w:r w:rsidR="00E76F66" w:rsidRPr="003A4F79">
        <w:t xml:space="preserve"> from the following multi-period </w:t>
      </w:r>
      <w:r w:rsidR="00E76F66" w:rsidRPr="003A4F79">
        <w:rPr>
          <w:noProof/>
          <w:lang w:eastAsia="en-GB"/>
        </w:rPr>
        <w:t>(monthly) logit regression:</w:t>
      </w:r>
    </w:p>
    <w:p w14:paraId="7A3E8CF5" w14:textId="7C42C30E" w:rsidR="00E76F66" w:rsidRPr="003A4F79" w:rsidRDefault="00E76F66" w:rsidP="00290F9F">
      <w:pPr>
        <w:pStyle w:val="FigureNotes"/>
        <w:spacing w:after="120"/>
        <w:jc w:val="center"/>
        <w:rPr>
          <w:i/>
        </w:rPr>
      </w:pPr>
      <w:r w:rsidRPr="003A4F79">
        <w:rPr>
          <w:i/>
        </w:rPr>
        <w:t>Logit(Re-entry</w:t>
      </w:r>
      <w:r w:rsidRPr="003A4F79">
        <w:rPr>
          <w:i/>
          <w:vertAlign w:val="subscript"/>
        </w:rPr>
        <w:t>i,t</w:t>
      </w:r>
      <w:r w:rsidRPr="003A4F79">
        <w:rPr>
          <w:i/>
        </w:rPr>
        <w:t>)</w:t>
      </w:r>
      <w:r w:rsidRPr="003A4F79">
        <w:rPr>
          <w:i/>
          <w:vertAlign w:val="subscript"/>
        </w:rPr>
        <w:t xml:space="preserve"> </w:t>
      </w:r>
      <w:r w:rsidRPr="003A4F79">
        <w:rPr>
          <w:i/>
        </w:rPr>
        <w:t>=  β</w:t>
      </w:r>
      <w:r w:rsidRPr="003A4F79">
        <w:rPr>
          <w:i/>
          <w:vertAlign w:val="subscript"/>
        </w:rPr>
        <w:t>0</w:t>
      </w:r>
      <w:r w:rsidRPr="003A4F79">
        <w:rPr>
          <w:i/>
        </w:rPr>
        <w:t xml:space="preserve"> + β</w:t>
      </w:r>
      <w:r w:rsidRPr="003A4F79">
        <w:rPr>
          <w:i/>
          <w:vertAlign w:val="subscript"/>
        </w:rPr>
        <w:t>1</w:t>
      </w:r>
      <w:r w:rsidRPr="003A4F79">
        <w:rPr>
          <w:i/>
        </w:rPr>
        <w:t>IniRet</w:t>
      </w:r>
      <w:r w:rsidRPr="003A4F79">
        <w:rPr>
          <w:i/>
          <w:vertAlign w:val="subscript"/>
        </w:rPr>
        <w:t>i</w:t>
      </w:r>
      <w:r w:rsidRPr="003A4F79">
        <w:rPr>
          <w:i/>
        </w:rPr>
        <w:t xml:space="preserve"> + β</w:t>
      </w:r>
      <w:r w:rsidRPr="003A4F79">
        <w:rPr>
          <w:i/>
          <w:vertAlign w:val="subscript"/>
        </w:rPr>
        <w:t>2</w:t>
      </w:r>
      <w:r w:rsidRPr="003A4F79">
        <w:rPr>
          <w:i/>
        </w:rPr>
        <w:t>AllRet</w:t>
      </w:r>
      <w:r w:rsidRPr="003A4F79">
        <w:rPr>
          <w:i/>
          <w:vertAlign w:val="subscript"/>
        </w:rPr>
        <w:t>i</w:t>
      </w:r>
      <w:r w:rsidRPr="003A4F79">
        <w:rPr>
          <w:i/>
        </w:rPr>
        <w:t xml:space="preserve">  +</w:t>
      </w:r>
      <w:r w:rsidR="00FF7FBB" w:rsidRPr="003A4F79">
        <w:rPr>
          <w:i/>
        </w:rPr>
        <w:t xml:space="preserve"> β</w:t>
      </w:r>
      <w:r w:rsidR="00FF7FBB" w:rsidRPr="003A4F79">
        <w:rPr>
          <w:i/>
          <w:vertAlign w:val="subscript"/>
        </w:rPr>
        <w:t>3</w:t>
      </w:r>
      <w:r w:rsidR="00FF7FBB" w:rsidRPr="003A4F79">
        <w:rPr>
          <w:i/>
        </w:rPr>
        <w:t>RecRet</w:t>
      </w:r>
      <w:r w:rsidR="00FF7FBB" w:rsidRPr="003A4F79">
        <w:rPr>
          <w:i/>
          <w:vertAlign w:val="subscript"/>
        </w:rPr>
        <w:t>i</w:t>
      </w:r>
      <w:r w:rsidR="00FF7FBB" w:rsidRPr="003A4F79">
        <w:rPr>
          <w:i/>
        </w:rPr>
        <w:t xml:space="preserve">  +</w:t>
      </w:r>
      <w:r w:rsidRPr="003A4F79">
        <w:rPr>
          <w:i/>
        </w:rPr>
        <w:t xml:space="preserve"> β</w:t>
      </w:r>
      <w:r w:rsidR="00FF7FBB" w:rsidRPr="003A4F79">
        <w:rPr>
          <w:i/>
          <w:vertAlign w:val="subscript"/>
        </w:rPr>
        <w:t>4</w:t>
      </w:r>
      <w:r w:rsidRPr="003A4F79">
        <w:rPr>
          <w:i/>
        </w:rPr>
        <w:t>DurAway</w:t>
      </w:r>
      <w:r w:rsidRPr="003A4F79">
        <w:rPr>
          <w:i/>
          <w:vertAlign w:val="subscript"/>
        </w:rPr>
        <w:t>i,t</w:t>
      </w:r>
      <w:r w:rsidRPr="003A4F79">
        <w:rPr>
          <w:i/>
        </w:rPr>
        <w:t xml:space="preserve"> +</w:t>
      </w:r>
      <w:r w:rsidRPr="003A4F79">
        <w:rPr>
          <w:b/>
          <w:i/>
        </w:rPr>
        <w:t xml:space="preserve"> </w:t>
      </w:r>
      <w:r w:rsidRPr="003A4F79">
        <w:rPr>
          <w:i/>
        </w:rPr>
        <w:t>β</w:t>
      </w:r>
      <w:r w:rsidR="00FF7FBB" w:rsidRPr="003A4F79">
        <w:rPr>
          <w:i/>
          <w:vertAlign w:val="subscript"/>
        </w:rPr>
        <w:t>5</w:t>
      </w:r>
      <w:r w:rsidRPr="003A4F79">
        <w:rPr>
          <w:i/>
        </w:rPr>
        <w:t>Controls</w:t>
      </w:r>
      <w:r w:rsidRPr="003A4F79">
        <w:rPr>
          <w:i/>
          <w:vertAlign w:val="subscript"/>
        </w:rPr>
        <w:t>i,t</w:t>
      </w:r>
    </w:p>
    <w:p w14:paraId="4CB280A0" w14:textId="13C3B5DD" w:rsidR="00E76F66" w:rsidRPr="003A4F79" w:rsidRDefault="00E76F66" w:rsidP="00290F9F">
      <w:pPr>
        <w:pStyle w:val="FigureNotes"/>
        <w:spacing w:after="120"/>
        <w:jc w:val="center"/>
        <w:rPr>
          <w:i/>
        </w:rPr>
      </w:pPr>
      <w:r w:rsidRPr="003A4F79">
        <w:rPr>
          <w:i/>
        </w:rPr>
        <w:t>+ (investment size fixed effect)+(zip-code fixed effect) +(exit month fixed effect)</w:t>
      </w:r>
      <w:r w:rsidR="0044537B" w:rsidRPr="003A4F79">
        <w:rPr>
          <w:i/>
        </w:rPr>
        <w:t xml:space="preserve"> +(year fixed effect) </w:t>
      </w:r>
      <w:r w:rsidRPr="003A4F79">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412F98C1" w14:textId="1F4593AB" w:rsidR="007F79DF" w:rsidRPr="003A4F79" w:rsidRDefault="00E76F66" w:rsidP="007F79DF">
      <w:pPr>
        <w:pStyle w:val="FigureNotes"/>
      </w:pPr>
      <w:r w:rsidRPr="003A4F79">
        <w:rPr>
          <w:i/>
        </w:rPr>
        <w:t>Re-entry</w:t>
      </w:r>
      <w:r w:rsidRPr="003A4F79">
        <w:rPr>
          <w:noProof/>
          <w:lang w:eastAsia="en-GB"/>
        </w:rPr>
        <w:t xml:space="preserve"> equal</w:t>
      </w:r>
      <w:r w:rsidR="00572EEF" w:rsidRPr="003A4F79">
        <w:rPr>
          <w:noProof/>
          <w:lang w:eastAsia="en-GB"/>
        </w:rPr>
        <w:t>s</w:t>
      </w:r>
      <w:r w:rsidRPr="003A4F79">
        <w:rPr>
          <w:noProof/>
          <w:lang w:eastAsia="en-GB"/>
        </w:rPr>
        <w:t xml:space="preserve"> 1 if investor </w:t>
      </w:r>
      <w:r w:rsidRPr="003A4F79">
        <w:rPr>
          <w:i/>
          <w:noProof/>
          <w:lang w:eastAsia="en-GB"/>
        </w:rPr>
        <w:t>i</w:t>
      </w:r>
      <w:r w:rsidRPr="003A4F79">
        <w:rPr>
          <w:noProof/>
          <w:lang w:eastAsia="en-GB"/>
        </w:rPr>
        <w:t xml:space="preserve"> re-enters the market in month </w:t>
      </w:r>
      <w:r w:rsidRPr="003A4F79">
        <w:rPr>
          <w:i/>
          <w:noProof/>
          <w:lang w:eastAsia="en-GB"/>
        </w:rPr>
        <w:t>t</w:t>
      </w:r>
      <w:r w:rsidRPr="003A4F79">
        <w:rPr>
          <w:noProof/>
          <w:lang w:eastAsia="en-GB"/>
        </w:rPr>
        <w:t xml:space="preserve"> by purchasing any stock at any time after one calendar month of exit, and otherwise is 0. </w:t>
      </w:r>
      <w:r w:rsidRPr="003A4F79">
        <w:rPr>
          <w:i/>
          <w:noProof/>
          <w:lang w:eastAsia="en-GB"/>
        </w:rPr>
        <w:t>IniRet</w:t>
      </w:r>
      <w:r w:rsidRPr="003A4F79">
        <w:rPr>
          <w:noProof/>
          <w:lang w:eastAsia="en-GB"/>
        </w:rPr>
        <w:t xml:space="preserve">, </w:t>
      </w:r>
      <w:r w:rsidR="00572EEF" w:rsidRPr="003A4F79">
        <w:rPr>
          <w:noProof/>
          <w:lang w:eastAsia="en-GB"/>
        </w:rPr>
        <w:t xml:space="preserve">the </w:t>
      </w:r>
      <w:r w:rsidRPr="003A4F79">
        <w:rPr>
          <w:noProof/>
          <w:lang w:eastAsia="en-GB"/>
        </w:rPr>
        <w:t>main explanatory variable of interest, is the return in the first month of investing.</w:t>
      </w:r>
      <w:r w:rsidRPr="003A4F79">
        <w:t xml:space="preserve"> </w:t>
      </w:r>
      <w:r w:rsidR="00955A0F" w:rsidRPr="003A4F79">
        <w:rPr>
          <w:i/>
          <w:noProof/>
          <w:lang w:eastAsia="en-GB"/>
        </w:rPr>
        <w:t xml:space="preserve">AllRet </w:t>
      </w:r>
      <w:r w:rsidR="00955A0F" w:rsidRPr="003A4F79">
        <w:rPr>
          <w:noProof/>
          <w:lang w:eastAsia="en-GB"/>
        </w:rPr>
        <w:t>is the value-weighted average of monthly returns during the entire period of investing between entry and exit</w:t>
      </w:r>
      <w:r w:rsidR="00F30121" w:rsidRPr="003A4F79">
        <w:rPr>
          <w:noProof/>
          <w:lang w:eastAsia="en-GB"/>
        </w:rPr>
        <w:t xml:space="preserve">, and </w:t>
      </w:r>
      <w:r w:rsidR="00F30121" w:rsidRPr="003A4F79">
        <w:rPr>
          <w:i/>
        </w:rPr>
        <w:t>RecRet</w:t>
      </w:r>
      <w:r w:rsidR="00F30121" w:rsidRPr="003A4F79">
        <w:t xml:space="preserve"> is the return in the last month of investing</w:t>
      </w:r>
      <w:r w:rsidRPr="003A4F79">
        <w:rPr>
          <w:noProof/>
          <w:lang w:eastAsia="en-GB"/>
        </w:rPr>
        <w:t xml:space="preserve">. </w:t>
      </w:r>
      <w:r w:rsidRPr="003A4F79">
        <w:rPr>
          <w:i/>
        </w:rPr>
        <w:t>DurAway</w:t>
      </w:r>
      <w:r w:rsidR="00572EEF" w:rsidRPr="003A4F79">
        <w:t xml:space="preserve"> is</w:t>
      </w:r>
      <w:r w:rsidRPr="003A4F79">
        <w:t xml:space="preserve"> length of time (in months) for which an investor is away from the stock market, i.e., time between exit month and month </w:t>
      </w:r>
      <w:r w:rsidRPr="003A4F79">
        <w:rPr>
          <w:i/>
        </w:rPr>
        <w:t>t</w:t>
      </w:r>
      <w:r w:rsidRPr="003A4F79">
        <w:t xml:space="preserve">. We account for </w:t>
      </w:r>
      <w:r w:rsidR="00572EEF" w:rsidRPr="003A4F79">
        <w:t xml:space="preserve">the </w:t>
      </w:r>
      <w:r w:rsidRPr="003A4F79">
        <w:t xml:space="preserve">fixed effects </w:t>
      </w:r>
      <w:r w:rsidR="00572EEF" w:rsidRPr="003A4F79">
        <w:t>of</w:t>
      </w:r>
      <w:r w:rsidRPr="003A4F79">
        <w:t xml:space="preserve"> investment size, location of residency, and exit time by including dummies for portfolio holding quintiles, 100 different zip codes, and 105 different exit months, respectively</w:t>
      </w:r>
      <w:r w:rsidR="00EE3D7C" w:rsidRPr="003A4F79">
        <w:t xml:space="preserve">: </w:t>
      </w:r>
      <w:r w:rsidRPr="003A4F79">
        <w:rPr>
          <w:i/>
        </w:rPr>
        <w:t xml:space="preserve">Investment size fixed effect </w:t>
      </w:r>
      <w:r w:rsidRPr="003A4F79">
        <w:t>us</w:t>
      </w:r>
      <w:r w:rsidR="00572EEF" w:rsidRPr="003A4F79">
        <w:t>es</w:t>
      </w:r>
      <w:r w:rsidRPr="003A4F79">
        <w:t xml:space="preserve"> five dummy variables indicat</w:t>
      </w:r>
      <w:r w:rsidR="00572EEF" w:rsidRPr="003A4F79">
        <w:t>ing</w:t>
      </w:r>
      <w:r w:rsidRPr="003A4F79">
        <w:t xml:space="preserve"> quintile</w:t>
      </w:r>
      <w:r w:rsidR="00572EEF" w:rsidRPr="003A4F79">
        <w:t>s</w:t>
      </w:r>
      <w:r w:rsidRPr="003A4F79">
        <w:t xml:space="preserve"> of average portfolio holdings</w:t>
      </w:r>
      <w:r w:rsidR="00EE3D7C" w:rsidRPr="003A4F79">
        <w:t xml:space="preserve">; </w:t>
      </w:r>
      <w:r w:rsidRPr="003A4F79">
        <w:rPr>
          <w:i/>
        </w:rPr>
        <w:t xml:space="preserve">Zip-code fixed effect </w:t>
      </w:r>
      <w:r w:rsidRPr="003A4F79">
        <w:t xml:space="preserve">is based on 100 dummy variables </w:t>
      </w:r>
      <w:r w:rsidR="00572EEF" w:rsidRPr="003A4F79">
        <w:t>for</w:t>
      </w:r>
      <w:r w:rsidRPr="003A4F79">
        <w:t xml:space="preserve"> district</w:t>
      </w:r>
      <w:r w:rsidR="00572EEF" w:rsidRPr="003A4F79">
        <w:t>s</w:t>
      </w:r>
      <w:r w:rsidRPr="003A4F79">
        <w:t xml:space="preserve"> in Finland</w:t>
      </w:r>
      <w:r w:rsidR="00EE3D7C" w:rsidRPr="003A4F79">
        <w:t xml:space="preserve">; and </w:t>
      </w:r>
      <w:r w:rsidRPr="003A4F79">
        <w:rPr>
          <w:i/>
        </w:rPr>
        <w:t>Exit month fixed effect</w:t>
      </w:r>
      <w:r w:rsidRPr="003A4F79">
        <w:t xml:space="preserve"> </w:t>
      </w:r>
      <w:r w:rsidR="00572EEF" w:rsidRPr="003A4F79">
        <w:t xml:space="preserve">controls </w:t>
      </w:r>
      <w:r w:rsidRPr="003A4F79">
        <w:t>for 105 dummy variables indicating the calendar month of exit</w:t>
      </w:r>
      <w:r w:rsidR="000F6A41" w:rsidRPr="003A4F79">
        <w:t xml:space="preserve">; </w:t>
      </w:r>
      <w:r w:rsidR="000F6A41" w:rsidRPr="003A4F79">
        <w:rPr>
          <w:i/>
        </w:rPr>
        <w:t xml:space="preserve">Year fixed effect </w:t>
      </w:r>
      <w:r w:rsidR="000F6A41" w:rsidRPr="003A4F79">
        <w:t>is accounted for by controlling for 8 year dummy variables indicating the calendar year</w:t>
      </w:r>
      <w:r w:rsidRPr="003A4F79">
        <w:t xml:space="preserve">. </w:t>
      </w:r>
      <w:r w:rsidRPr="003A4F79">
        <w:rPr>
          <w:i/>
        </w:rPr>
        <w:t xml:space="preserve">Controls </w:t>
      </w:r>
      <w:r w:rsidRPr="003A4F79">
        <w:t>include the following variables</w:t>
      </w:r>
      <w:r w:rsidR="00EE3D7C" w:rsidRPr="003A4F79">
        <w:t xml:space="preserve">. </w:t>
      </w:r>
      <w:r w:rsidRPr="003A4F79">
        <w:rPr>
          <w:i/>
        </w:rPr>
        <w:t>InvSiz</w:t>
      </w:r>
      <w:r w:rsidRPr="003A4F79">
        <w:t xml:space="preserve"> is investment size</w:t>
      </w:r>
      <w:r w:rsidR="00572EEF" w:rsidRPr="003A4F79">
        <w:t>,</w:t>
      </w:r>
      <w:r w:rsidRPr="003A4F79">
        <w:t xml:space="preserve"> defined as the log of average portfolio holdings</w:t>
      </w:r>
      <w:r w:rsidR="00EE3D7C" w:rsidRPr="003A4F79">
        <w:t>.</w:t>
      </w:r>
      <w:r w:rsidR="00572EEF" w:rsidRPr="003A4F79">
        <w:t xml:space="preserve"> </w:t>
      </w:r>
      <w:r w:rsidRPr="003A4F79">
        <w:rPr>
          <w:i/>
        </w:rPr>
        <w:t>ZeroTrd</w:t>
      </w:r>
      <w:r w:rsidRPr="003A4F79">
        <w:t xml:space="preserve"> is a dummy variable that equals 1 if the investor do</w:t>
      </w:r>
      <w:r w:rsidR="00572EEF" w:rsidRPr="003A4F79">
        <w:t>es</w:t>
      </w:r>
      <w:r w:rsidRPr="003A4F79">
        <w:t xml:space="preserve"> not trade between initial purchase and </w:t>
      </w:r>
      <w:r w:rsidR="00572EEF" w:rsidRPr="003A4F79">
        <w:t xml:space="preserve">market </w:t>
      </w:r>
      <w:r w:rsidRPr="003A4F79">
        <w:t xml:space="preserve">exit, and 0 otherwise. </w:t>
      </w:r>
      <w:r w:rsidRPr="003A4F79">
        <w:rPr>
          <w:i/>
        </w:rPr>
        <w:t>SglStock</w:t>
      </w:r>
      <w:r w:rsidRPr="003A4F79">
        <w:t xml:space="preserve"> is a dummy variable that equals 1 if the investor only owns one stock</w:t>
      </w:r>
      <w:r w:rsidR="00572EEF" w:rsidRPr="003A4F79">
        <w:t>.</w:t>
      </w:r>
      <w:r w:rsidRPr="003A4F79">
        <w:t xml:space="preserve"> </w:t>
      </w:r>
      <w:r w:rsidRPr="003A4F79">
        <w:rPr>
          <w:i/>
        </w:rPr>
        <w:t>Nokia</w:t>
      </w:r>
      <w:r w:rsidRPr="003A4F79">
        <w:t xml:space="preserve"> is a dummy variable equal to 1 if an investor initiate</w:t>
      </w:r>
      <w:r w:rsidR="00572EEF" w:rsidRPr="003A4F79">
        <w:t>s</w:t>
      </w:r>
      <w:r w:rsidRPr="003A4F79">
        <w:t xml:space="preserve"> </w:t>
      </w:r>
      <w:r w:rsidR="00572EEF" w:rsidRPr="003A4F79">
        <w:t xml:space="preserve">investment </w:t>
      </w:r>
      <w:r w:rsidRPr="003A4F79">
        <w:t>by purchasing Nokia stock</w:t>
      </w:r>
      <w:r w:rsidRPr="003A4F79">
        <w:rPr>
          <w:i/>
        </w:rPr>
        <w:t xml:space="preserve">. MktRet </w:t>
      </w:r>
      <w:r w:rsidRPr="003A4F79">
        <w:t>and</w:t>
      </w:r>
      <w:r w:rsidRPr="003A4F79">
        <w:rPr>
          <w:i/>
        </w:rPr>
        <w:t xml:space="preserve"> MktVol</w:t>
      </w:r>
      <w:r w:rsidRPr="003A4F79">
        <w:t xml:space="preserve"> </w:t>
      </w:r>
      <w:r w:rsidR="00572EEF" w:rsidRPr="003A4F79">
        <w:t xml:space="preserve">are </w:t>
      </w:r>
      <w:r w:rsidRPr="003A4F79">
        <w:t>the monthly return and volatility</w:t>
      </w:r>
      <w:r w:rsidR="00024015" w:rsidRPr="003A4F79">
        <w:t xml:space="preserve"> volatility (standard deviation of daily returns)</w:t>
      </w:r>
      <w:r w:rsidRPr="003A4F79">
        <w:t xml:space="preserve"> on the Finnish stock market (OMX Helsinki Index). </w:t>
      </w:r>
      <w:r w:rsidRPr="003A4F79">
        <w:rPr>
          <w:i/>
        </w:rPr>
        <w:t>Age</w:t>
      </w:r>
      <w:r w:rsidRPr="003A4F79">
        <w:t xml:space="preserve"> is investor age (in years) at the beginning of </w:t>
      </w:r>
      <w:r w:rsidR="00572EEF" w:rsidRPr="003A4F79">
        <w:t xml:space="preserve">the </w:t>
      </w:r>
      <w:r w:rsidRPr="003A4F79">
        <w:t>sample</w:t>
      </w:r>
      <w:r w:rsidR="00572EEF" w:rsidRPr="003A4F79">
        <w:t>.</w:t>
      </w:r>
      <w:r w:rsidRPr="003A4F79">
        <w:t xml:space="preserve"> </w:t>
      </w:r>
      <w:r w:rsidRPr="003A4F79">
        <w:rPr>
          <w:i/>
        </w:rPr>
        <w:t>Female</w:t>
      </w:r>
      <w:r w:rsidRPr="003A4F79">
        <w:t xml:space="preserve"> is a dummy variable that equals 1 if investor gender is female. </w:t>
      </w:r>
      <w:r w:rsidRPr="003A4F79">
        <w:rPr>
          <w:i/>
        </w:rPr>
        <w:t>Minor</w:t>
      </w:r>
      <w:r w:rsidRPr="003A4F79">
        <w:t xml:space="preserve"> is a dummy variable that equals 1 </w:t>
      </w:r>
      <w:r w:rsidR="00EE3D7C" w:rsidRPr="003A4F79">
        <w:rPr>
          <w:lang w:eastAsia="en-GB"/>
        </w:rPr>
        <w:t>if the account holder is below 16 years of age</w:t>
      </w:r>
      <w:r w:rsidRPr="003A4F79">
        <w:t xml:space="preserve">. </w:t>
      </w:r>
      <w:r w:rsidRPr="003A4F79">
        <w:rPr>
          <w:i/>
        </w:rPr>
        <w:t xml:space="preserve">Burst </w:t>
      </w:r>
      <w:r w:rsidRPr="003A4F79">
        <w:t>is a dummy variable</w:t>
      </w:r>
      <w:r w:rsidR="00572EEF" w:rsidRPr="003A4F79">
        <w:t>,</w:t>
      </w:r>
      <w:r w:rsidRPr="003A4F79">
        <w:t xml:space="preserve"> defined </w:t>
      </w:r>
      <w:r w:rsidR="00572EEF" w:rsidRPr="003A4F79">
        <w:t>as</w:t>
      </w:r>
      <w:r w:rsidRPr="003A4F79">
        <w:t xml:space="preserve"> 1 if the time is </w:t>
      </w:r>
      <w:r w:rsidR="00572EEF" w:rsidRPr="003A4F79">
        <w:t xml:space="preserve">after the </w:t>
      </w:r>
      <w:r w:rsidRPr="003A4F79">
        <w:t>dotcom bubble</w:t>
      </w:r>
      <w:r w:rsidR="00572EEF" w:rsidRPr="003A4F79">
        <w:t xml:space="preserve"> burst</w:t>
      </w:r>
      <w:r w:rsidRPr="003A4F79">
        <w:t xml:space="preserve"> (April 2000). </w:t>
      </w:r>
      <w:r w:rsidR="004A7857" w:rsidRPr="003A4F79">
        <w:t xml:space="preserve">The Wald chi-square of the Wald test for the model fit is reported in the model fit column. </w:t>
      </w:r>
      <w:r w:rsidR="004A470C" w:rsidRPr="003A4F79">
        <w:t>Robust s</w:t>
      </w:r>
      <w:r w:rsidRPr="003A4F79">
        <w:t>tandard error</w:t>
      </w:r>
      <w:r w:rsidR="00572EEF" w:rsidRPr="003A4F79">
        <w:t>s,</w:t>
      </w:r>
      <w:r w:rsidRPr="003A4F79">
        <w:t xml:space="preserve"> presented in </w:t>
      </w:r>
      <w:r w:rsidR="00572EEF" w:rsidRPr="003A4F79">
        <w:t xml:space="preserve">parentheses, are </w:t>
      </w:r>
      <w:r w:rsidRPr="003A4F79">
        <w:t xml:space="preserve">clustered at </w:t>
      </w:r>
      <w:r w:rsidR="00DD608A" w:rsidRPr="003A4F79">
        <w:t xml:space="preserve">the </w:t>
      </w:r>
      <w:r w:rsidRPr="003A4F79">
        <w:t>investor level</w:t>
      </w:r>
      <w:r w:rsidR="00572EEF" w:rsidRPr="003A4F79">
        <w:t xml:space="preserve">: </w:t>
      </w:r>
      <w:r w:rsidRPr="003A4F79">
        <w:rPr>
          <w:rFonts w:ascii="Cambria Math" w:hAnsi="Cambria Math" w:cs="Cambria Math"/>
        </w:rPr>
        <w:t>∗∗∗</w:t>
      </w:r>
      <w:r w:rsidRPr="003A4F79">
        <w:t xml:space="preserve">, </w:t>
      </w:r>
      <w:r w:rsidRPr="003A4F79">
        <w:rPr>
          <w:rFonts w:ascii="Cambria Math" w:hAnsi="Cambria Math" w:cs="Cambria Math"/>
        </w:rPr>
        <w:t>∗∗</w:t>
      </w:r>
      <w:r w:rsidRPr="003A4F79">
        <w:t xml:space="preserve">, and </w:t>
      </w:r>
      <w:r w:rsidRPr="003A4F79">
        <w:rPr>
          <w:rFonts w:ascii="Cambria Math" w:hAnsi="Cambria Math" w:cs="Cambria Math"/>
        </w:rPr>
        <w:t>∗</w:t>
      </w:r>
      <w:r w:rsidRPr="003A4F79">
        <w:t xml:space="preserve"> denote statistical significance at </w:t>
      </w:r>
      <w:r w:rsidR="00DD608A" w:rsidRPr="003A4F79">
        <w:t xml:space="preserve">the </w:t>
      </w:r>
      <w:r w:rsidRPr="003A4F79">
        <w:t>1%, 5%, and 10%</w:t>
      </w:r>
      <w:r w:rsidR="00572EEF" w:rsidRPr="003A4F79">
        <w:t xml:space="preserve"> levels</w:t>
      </w:r>
      <w:r w:rsidRPr="003A4F79">
        <w:t>.</w:t>
      </w:r>
      <w:r w:rsidR="003F36C6" w:rsidRPr="003A4F79">
        <w:t xml:space="preserve"> </w:t>
      </w:r>
      <w:r w:rsidR="007F79DF" w:rsidRPr="003A4F79">
        <w:t>There are 276,470 investor-months (9,435 investors) in the sample.</w:t>
      </w:r>
    </w:p>
    <w:p w14:paraId="61CDF692" w14:textId="4D066A43" w:rsidR="00F018CC" w:rsidRPr="003A4F79" w:rsidRDefault="00F018CC">
      <w:pPr>
        <w:spacing w:line="240" w:lineRule="auto"/>
        <w:ind w:firstLine="0"/>
        <w:jc w:val="left"/>
        <w:rPr>
          <w:rFonts w:ascii="Times New Roman" w:hAnsi="Times New Roman" w:cs="Times New Roman"/>
          <w:noProof/>
          <w:sz w:val="20"/>
          <w:szCs w:val="20"/>
          <w:lang w:val="en-GB" w:eastAsia="ko-KR"/>
        </w:rPr>
      </w:pPr>
      <w:r w:rsidRPr="003A4F79">
        <w:rPr>
          <w:noProof/>
          <w:lang w:val="en-GB" w:eastAsia="ko-KR"/>
        </w:rPr>
        <w:br w:type="page"/>
      </w:r>
    </w:p>
    <w:tbl>
      <w:tblPr>
        <w:tblW w:w="7700" w:type="dxa"/>
        <w:jc w:val="center"/>
        <w:tblLook w:val="04A0" w:firstRow="1" w:lastRow="0" w:firstColumn="1" w:lastColumn="0" w:noHBand="0" w:noVBand="1"/>
      </w:tblPr>
      <w:tblGrid>
        <w:gridCol w:w="3060"/>
        <w:gridCol w:w="1216"/>
        <w:gridCol w:w="1216"/>
        <w:gridCol w:w="1216"/>
        <w:gridCol w:w="1216"/>
      </w:tblGrid>
      <w:tr w:rsidR="003A4F79" w:rsidRPr="003A4F79" w14:paraId="2FEC10E4" w14:textId="77777777" w:rsidTr="00F018CC">
        <w:trPr>
          <w:trHeight w:val="255"/>
          <w:jc w:val="center"/>
        </w:trPr>
        <w:tc>
          <w:tcPr>
            <w:tcW w:w="3060" w:type="dxa"/>
            <w:tcBorders>
              <w:top w:val="single" w:sz="4" w:space="0" w:color="auto"/>
              <w:left w:val="nil"/>
              <w:bottom w:val="nil"/>
              <w:right w:val="nil"/>
            </w:tcBorders>
            <w:shd w:val="clear" w:color="auto" w:fill="auto"/>
            <w:noWrap/>
            <w:vAlign w:val="bottom"/>
            <w:hideMark/>
          </w:tcPr>
          <w:p w14:paraId="4E02235C"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lastRenderedPageBreak/>
              <w:t> </w:t>
            </w:r>
          </w:p>
        </w:tc>
        <w:tc>
          <w:tcPr>
            <w:tcW w:w="1160" w:type="dxa"/>
            <w:tcBorders>
              <w:top w:val="single" w:sz="4" w:space="0" w:color="auto"/>
              <w:left w:val="nil"/>
              <w:bottom w:val="single" w:sz="4" w:space="0" w:color="auto"/>
              <w:right w:val="nil"/>
            </w:tcBorders>
            <w:shd w:val="clear" w:color="auto" w:fill="auto"/>
            <w:noWrap/>
            <w:vAlign w:val="bottom"/>
            <w:hideMark/>
          </w:tcPr>
          <w:p w14:paraId="431359B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58666EEA"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6CB9FD3E"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3635257E"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4</w:t>
            </w:r>
          </w:p>
        </w:tc>
      </w:tr>
      <w:tr w:rsidR="003A4F79" w:rsidRPr="003A4F79" w14:paraId="25BFD7A5"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E50C490"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VARIABLES</w:t>
            </w:r>
          </w:p>
        </w:tc>
        <w:tc>
          <w:tcPr>
            <w:tcW w:w="4640" w:type="dxa"/>
            <w:gridSpan w:val="4"/>
            <w:tcBorders>
              <w:top w:val="nil"/>
              <w:left w:val="nil"/>
              <w:bottom w:val="single" w:sz="4" w:space="0" w:color="auto"/>
              <w:right w:val="nil"/>
            </w:tcBorders>
            <w:shd w:val="clear" w:color="auto" w:fill="auto"/>
            <w:noWrap/>
            <w:vAlign w:val="bottom"/>
            <w:hideMark/>
          </w:tcPr>
          <w:p w14:paraId="4B917199"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Re-entry</w:t>
            </w:r>
          </w:p>
        </w:tc>
      </w:tr>
      <w:tr w:rsidR="003A4F79" w:rsidRPr="003A4F79" w14:paraId="50BECD6F" w14:textId="77777777" w:rsidTr="00F018CC">
        <w:trPr>
          <w:trHeight w:val="255"/>
          <w:jc w:val="center"/>
        </w:trPr>
        <w:tc>
          <w:tcPr>
            <w:tcW w:w="3060" w:type="dxa"/>
            <w:tcBorders>
              <w:top w:val="single" w:sz="4" w:space="0" w:color="auto"/>
              <w:left w:val="nil"/>
              <w:bottom w:val="nil"/>
              <w:right w:val="nil"/>
            </w:tcBorders>
            <w:shd w:val="clear" w:color="auto" w:fill="auto"/>
            <w:noWrap/>
            <w:vAlign w:val="bottom"/>
            <w:hideMark/>
          </w:tcPr>
          <w:p w14:paraId="4BC09F58"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37ADDAF8"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23B63A6E"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20EC5BB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268829F8"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r>
      <w:tr w:rsidR="003A4F79" w:rsidRPr="003A4F79" w14:paraId="31257EE7"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42DBF9F5"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w:t>
            </w:r>
          </w:p>
        </w:tc>
        <w:tc>
          <w:tcPr>
            <w:tcW w:w="1160" w:type="dxa"/>
            <w:tcBorders>
              <w:top w:val="nil"/>
              <w:left w:val="nil"/>
              <w:bottom w:val="nil"/>
              <w:right w:val="nil"/>
            </w:tcBorders>
            <w:shd w:val="clear" w:color="auto" w:fill="auto"/>
            <w:noWrap/>
            <w:vAlign w:val="bottom"/>
            <w:hideMark/>
          </w:tcPr>
          <w:p w14:paraId="0C1115A8"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1.6521***</w:t>
            </w:r>
          </w:p>
        </w:tc>
        <w:tc>
          <w:tcPr>
            <w:tcW w:w="1160" w:type="dxa"/>
            <w:tcBorders>
              <w:top w:val="nil"/>
              <w:left w:val="nil"/>
              <w:bottom w:val="nil"/>
              <w:right w:val="nil"/>
            </w:tcBorders>
            <w:shd w:val="clear" w:color="auto" w:fill="auto"/>
            <w:noWrap/>
            <w:vAlign w:val="bottom"/>
            <w:hideMark/>
          </w:tcPr>
          <w:p w14:paraId="067885DB"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1.6332***</w:t>
            </w:r>
          </w:p>
        </w:tc>
        <w:tc>
          <w:tcPr>
            <w:tcW w:w="1160" w:type="dxa"/>
            <w:tcBorders>
              <w:top w:val="nil"/>
              <w:left w:val="nil"/>
              <w:bottom w:val="nil"/>
              <w:right w:val="nil"/>
            </w:tcBorders>
            <w:shd w:val="clear" w:color="auto" w:fill="auto"/>
            <w:noWrap/>
            <w:vAlign w:val="bottom"/>
            <w:hideMark/>
          </w:tcPr>
          <w:p w14:paraId="58B3E265"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1.7110***</w:t>
            </w:r>
          </w:p>
        </w:tc>
        <w:tc>
          <w:tcPr>
            <w:tcW w:w="1160" w:type="dxa"/>
            <w:tcBorders>
              <w:top w:val="nil"/>
              <w:left w:val="nil"/>
              <w:bottom w:val="nil"/>
              <w:right w:val="nil"/>
            </w:tcBorders>
            <w:shd w:val="clear" w:color="auto" w:fill="auto"/>
            <w:noWrap/>
            <w:vAlign w:val="bottom"/>
            <w:hideMark/>
          </w:tcPr>
          <w:p w14:paraId="0801339B"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1.4768**</w:t>
            </w:r>
          </w:p>
        </w:tc>
      </w:tr>
      <w:tr w:rsidR="003A4F79" w:rsidRPr="003A4F79" w14:paraId="27C2D478"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682233C"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98E7AEE"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(3.30)</w:t>
            </w:r>
          </w:p>
        </w:tc>
        <w:tc>
          <w:tcPr>
            <w:tcW w:w="1160" w:type="dxa"/>
            <w:tcBorders>
              <w:top w:val="nil"/>
              <w:left w:val="nil"/>
              <w:bottom w:val="nil"/>
              <w:right w:val="nil"/>
            </w:tcBorders>
            <w:shd w:val="clear" w:color="auto" w:fill="auto"/>
            <w:noWrap/>
            <w:vAlign w:val="bottom"/>
            <w:hideMark/>
          </w:tcPr>
          <w:p w14:paraId="7A0ED6E5"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(3.22)</w:t>
            </w:r>
          </w:p>
        </w:tc>
        <w:tc>
          <w:tcPr>
            <w:tcW w:w="1160" w:type="dxa"/>
            <w:tcBorders>
              <w:top w:val="nil"/>
              <w:left w:val="nil"/>
              <w:bottom w:val="nil"/>
              <w:right w:val="nil"/>
            </w:tcBorders>
            <w:shd w:val="clear" w:color="auto" w:fill="auto"/>
            <w:noWrap/>
            <w:vAlign w:val="bottom"/>
            <w:hideMark/>
          </w:tcPr>
          <w:p w14:paraId="2657189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(3.67)</w:t>
            </w:r>
          </w:p>
        </w:tc>
        <w:tc>
          <w:tcPr>
            <w:tcW w:w="1160" w:type="dxa"/>
            <w:tcBorders>
              <w:top w:val="nil"/>
              <w:left w:val="nil"/>
              <w:bottom w:val="nil"/>
              <w:right w:val="nil"/>
            </w:tcBorders>
            <w:shd w:val="clear" w:color="auto" w:fill="auto"/>
            <w:noWrap/>
            <w:vAlign w:val="bottom"/>
            <w:hideMark/>
          </w:tcPr>
          <w:p w14:paraId="7657F79A"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(2.51)</w:t>
            </w:r>
          </w:p>
        </w:tc>
      </w:tr>
      <w:tr w:rsidR="003A4F79" w:rsidRPr="003A4F79" w14:paraId="770C9423"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785DCD71"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AllRet</w:t>
            </w:r>
          </w:p>
        </w:tc>
        <w:tc>
          <w:tcPr>
            <w:tcW w:w="1160" w:type="dxa"/>
            <w:tcBorders>
              <w:top w:val="nil"/>
              <w:left w:val="nil"/>
              <w:bottom w:val="nil"/>
              <w:right w:val="nil"/>
            </w:tcBorders>
            <w:shd w:val="clear" w:color="auto" w:fill="auto"/>
            <w:noWrap/>
            <w:vAlign w:val="bottom"/>
            <w:hideMark/>
          </w:tcPr>
          <w:p w14:paraId="419F5DB0"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1.0489</w:t>
            </w:r>
          </w:p>
        </w:tc>
        <w:tc>
          <w:tcPr>
            <w:tcW w:w="1160" w:type="dxa"/>
            <w:tcBorders>
              <w:top w:val="nil"/>
              <w:left w:val="nil"/>
              <w:bottom w:val="nil"/>
              <w:right w:val="nil"/>
            </w:tcBorders>
            <w:shd w:val="clear" w:color="auto" w:fill="auto"/>
            <w:noWrap/>
            <w:vAlign w:val="bottom"/>
            <w:hideMark/>
          </w:tcPr>
          <w:p w14:paraId="19DA09AC"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1.0065</w:t>
            </w:r>
          </w:p>
        </w:tc>
        <w:tc>
          <w:tcPr>
            <w:tcW w:w="1160" w:type="dxa"/>
            <w:tcBorders>
              <w:top w:val="nil"/>
              <w:left w:val="nil"/>
              <w:bottom w:val="nil"/>
              <w:right w:val="nil"/>
            </w:tcBorders>
            <w:shd w:val="clear" w:color="auto" w:fill="auto"/>
            <w:noWrap/>
            <w:vAlign w:val="bottom"/>
            <w:hideMark/>
          </w:tcPr>
          <w:p w14:paraId="5CB1D211"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0.9224</w:t>
            </w:r>
          </w:p>
        </w:tc>
        <w:tc>
          <w:tcPr>
            <w:tcW w:w="1160" w:type="dxa"/>
            <w:tcBorders>
              <w:top w:val="nil"/>
              <w:left w:val="nil"/>
              <w:bottom w:val="nil"/>
              <w:right w:val="nil"/>
            </w:tcBorders>
            <w:shd w:val="clear" w:color="auto" w:fill="auto"/>
            <w:noWrap/>
            <w:vAlign w:val="bottom"/>
            <w:hideMark/>
          </w:tcPr>
          <w:p w14:paraId="2CD4B410"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0.9005</w:t>
            </w:r>
          </w:p>
        </w:tc>
      </w:tr>
      <w:tr w:rsidR="003A4F79" w:rsidRPr="003A4F79" w14:paraId="2BA32AF4"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389C0A1C"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53CB6B4"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(0.17)</w:t>
            </w:r>
          </w:p>
        </w:tc>
        <w:tc>
          <w:tcPr>
            <w:tcW w:w="1160" w:type="dxa"/>
            <w:tcBorders>
              <w:top w:val="nil"/>
              <w:left w:val="nil"/>
              <w:bottom w:val="nil"/>
              <w:right w:val="nil"/>
            </w:tcBorders>
            <w:shd w:val="clear" w:color="auto" w:fill="auto"/>
            <w:noWrap/>
            <w:vAlign w:val="bottom"/>
            <w:hideMark/>
          </w:tcPr>
          <w:p w14:paraId="1539EBC3"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(0.02)</w:t>
            </w:r>
          </w:p>
        </w:tc>
        <w:tc>
          <w:tcPr>
            <w:tcW w:w="1160" w:type="dxa"/>
            <w:tcBorders>
              <w:top w:val="nil"/>
              <w:left w:val="nil"/>
              <w:bottom w:val="nil"/>
              <w:right w:val="nil"/>
            </w:tcBorders>
            <w:shd w:val="clear" w:color="auto" w:fill="auto"/>
            <w:noWrap/>
            <w:vAlign w:val="bottom"/>
            <w:hideMark/>
          </w:tcPr>
          <w:p w14:paraId="6A165F8B"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(-0.49)</w:t>
            </w:r>
          </w:p>
        </w:tc>
        <w:tc>
          <w:tcPr>
            <w:tcW w:w="1160" w:type="dxa"/>
            <w:tcBorders>
              <w:top w:val="nil"/>
              <w:left w:val="nil"/>
              <w:bottom w:val="nil"/>
              <w:right w:val="nil"/>
            </w:tcBorders>
            <w:shd w:val="clear" w:color="auto" w:fill="auto"/>
            <w:noWrap/>
            <w:vAlign w:val="bottom"/>
            <w:hideMark/>
          </w:tcPr>
          <w:p w14:paraId="775C512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(-0.49)</w:t>
            </w:r>
          </w:p>
        </w:tc>
      </w:tr>
      <w:tr w:rsidR="003A4F79" w:rsidRPr="003A4F79" w14:paraId="6E261AAF"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DB39301"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RecRet</w:t>
            </w:r>
          </w:p>
        </w:tc>
        <w:tc>
          <w:tcPr>
            <w:tcW w:w="1160" w:type="dxa"/>
            <w:tcBorders>
              <w:top w:val="nil"/>
              <w:left w:val="nil"/>
              <w:bottom w:val="nil"/>
              <w:right w:val="nil"/>
            </w:tcBorders>
            <w:shd w:val="clear" w:color="auto" w:fill="auto"/>
            <w:noWrap/>
            <w:vAlign w:val="bottom"/>
            <w:hideMark/>
          </w:tcPr>
          <w:p w14:paraId="5D1B6853"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0.9786</w:t>
            </w:r>
          </w:p>
        </w:tc>
        <w:tc>
          <w:tcPr>
            <w:tcW w:w="1160" w:type="dxa"/>
            <w:tcBorders>
              <w:top w:val="nil"/>
              <w:left w:val="nil"/>
              <w:bottom w:val="nil"/>
              <w:right w:val="nil"/>
            </w:tcBorders>
            <w:shd w:val="clear" w:color="auto" w:fill="auto"/>
            <w:noWrap/>
            <w:vAlign w:val="bottom"/>
            <w:hideMark/>
          </w:tcPr>
          <w:p w14:paraId="7F7E259E"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0.9986</w:t>
            </w:r>
          </w:p>
        </w:tc>
        <w:tc>
          <w:tcPr>
            <w:tcW w:w="1160" w:type="dxa"/>
            <w:tcBorders>
              <w:top w:val="nil"/>
              <w:left w:val="nil"/>
              <w:bottom w:val="nil"/>
              <w:right w:val="nil"/>
            </w:tcBorders>
            <w:shd w:val="clear" w:color="auto" w:fill="auto"/>
            <w:noWrap/>
            <w:vAlign w:val="bottom"/>
            <w:hideMark/>
          </w:tcPr>
          <w:p w14:paraId="25762D10"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1.0527</w:t>
            </w:r>
          </w:p>
        </w:tc>
        <w:tc>
          <w:tcPr>
            <w:tcW w:w="1160" w:type="dxa"/>
            <w:tcBorders>
              <w:top w:val="nil"/>
              <w:left w:val="nil"/>
              <w:bottom w:val="nil"/>
              <w:right w:val="nil"/>
            </w:tcBorders>
            <w:shd w:val="clear" w:color="auto" w:fill="auto"/>
            <w:noWrap/>
            <w:vAlign w:val="bottom"/>
            <w:hideMark/>
          </w:tcPr>
          <w:p w14:paraId="41AB92A8"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1.0611</w:t>
            </w:r>
          </w:p>
        </w:tc>
      </w:tr>
      <w:tr w:rsidR="003A4F79" w:rsidRPr="003A4F79" w14:paraId="555A09A0"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46DA9BBE"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B959EB7"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(-0.16)</w:t>
            </w:r>
          </w:p>
        </w:tc>
        <w:tc>
          <w:tcPr>
            <w:tcW w:w="1160" w:type="dxa"/>
            <w:tcBorders>
              <w:top w:val="nil"/>
              <w:left w:val="nil"/>
              <w:bottom w:val="nil"/>
              <w:right w:val="nil"/>
            </w:tcBorders>
            <w:shd w:val="clear" w:color="auto" w:fill="auto"/>
            <w:noWrap/>
            <w:vAlign w:val="bottom"/>
            <w:hideMark/>
          </w:tcPr>
          <w:p w14:paraId="45F6B263"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(-0.01)</w:t>
            </w:r>
          </w:p>
        </w:tc>
        <w:tc>
          <w:tcPr>
            <w:tcW w:w="1160" w:type="dxa"/>
            <w:tcBorders>
              <w:top w:val="nil"/>
              <w:left w:val="nil"/>
              <w:bottom w:val="nil"/>
              <w:right w:val="nil"/>
            </w:tcBorders>
            <w:shd w:val="clear" w:color="auto" w:fill="auto"/>
            <w:noWrap/>
            <w:vAlign w:val="bottom"/>
            <w:hideMark/>
          </w:tcPr>
          <w:p w14:paraId="24266CF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(0.62)</w:t>
            </w:r>
          </w:p>
        </w:tc>
        <w:tc>
          <w:tcPr>
            <w:tcW w:w="1160" w:type="dxa"/>
            <w:tcBorders>
              <w:top w:val="nil"/>
              <w:left w:val="nil"/>
              <w:bottom w:val="nil"/>
              <w:right w:val="nil"/>
            </w:tcBorders>
            <w:shd w:val="clear" w:color="auto" w:fill="auto"/>
            <w:noWrap/>
            <w:vAlign w:val="bottom"/>
            <w:hideMark/>
          </w:tcPr>
          <w:p w14:paraId="712FE466"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(0.55)</w:t>
            </w:r>
          </w:p>
        </w:tc>
      </w:tr>
      <w:tr w:rsidR="003A4F79" w:rsidRPr="003A4F79" w14:paraId="55D91E21"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7A30209A"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InvSiz</w:t>
            </w:r>
          </w:p>
        </w:tc>
        <w:tc>
          <w:tcPr>
            <w:tcW w:w="1160" w:type="dxa"/>
            <w:tcBorders>
              <w:top w:val="nil"/>
              <w:left w:val="nil"/>
              <w:bottom w:val="nil"/>
              <w:right w:val="nil"/>
            </w:tcBorders>
            <w:shd w:val="clear" w:color="auto" w:fill="auto"/>
            <w:noWrap/>
            <w:vAlign w:val="bottom"/>
            <w:hideMark/>
          </w:tcPr>
          <w:p w14:paraId="235FC037"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B5DB2A8"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1.2318***</w:t>
            </w:r>
          </w:p>
        </w:tc>
        <w:tc>
          <w:tcPr>
            <w:tcW w:w="1160" w:type="dxa"/>
            <w:tcBorders>
              <w:top w:val="nil"/>
              <w:left w:val="nil"/>
              <w:bottom w:val="nil"/>
              <w:right w:val="nil"/>
            </w:tcBorders>
            <w:shd w:val="clear" w:color="auto" w:fill="auto"/>
            <w:noWrap/>
            <w:vAlign w:val="bottom"/>
            <w:hideMark/>
          </w:tcPr>
          <w:p w14:paraId="449BA51B"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1.2137***</w:t>
            </w:r>
          </w:p>
        </w:tc>
        <w:tc>
          <w:tcPr>
            <w:tcW w:w="1160" w:type="dxa"/>
            <w:tcBorders>
              <w:top w:val="nil"/>
              <w:left w:val="nil"/>
              <w:bottom w:val="nil"/>
              <w:right w:val="nil"/>
            </w:tcBorders>
            <w:shd w:val="clear" w:color="auto" w:fill="auto"/>
            <w:noWrap/>
            <w:vAlign w:val="bottom"/>
            <w:hideMark/>
          </w:tcPr>
          <w:p w14:paraId="2219E0F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1.1726***</w:t>
            </w:r>
          </w:p>
        </w:tc>
      </w:tr>
      <w:tr w:rsidR="003A4F79" w:rsidRPr="003A4F79" w14:paraId="7EBF3A7C"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565B820"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A5558D3"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73D6F25"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(5.26)</w:t>
            </w:r>
          </w:p>
        </w:tc>
        <w:tc>
          <w:tcPr>
            <w:tcW w:w="1160" w:type="dxa"/>
            <w:tcBorders>
              <w:top w:val="nil"/>
              <w:left w:val="nil"/>
              <w:bottom w:val="nil"/>
              <w:right w:val="nil"/>
            </w:tcBorders>
            <w:shd w:val="clear" w:color="auto" w:fill="auto"/>
            <w:noWrap/>
            <w:vAlign w:val="bottom"/>
            <w:hideMark/>
          </w:tcPr>
          <w:p w14:paraId="7ADDA5C5"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(4.49)</w:t>
            </w:r>
          </w:p>
        </w:tc>
        <w:tc>
          <w:tcPr>
            <w:tcW w:w="1160" w:type="dxa"/>
            <w:tcBorders>
              <w:top w:val="nil"/>
              <w:left w:val="nil"/>
              <w:bottom w:val="nil"/>
              <w:right w:val="nil"/>
            </w:tcBorders>
            <w:shd w:val="clear" w:color="auto" w:fill="auto"/>
            <w:noWrap/>
            <w:vAlign w:val="bottom"/>
            <w:hideMark/>
          </w:tcPr>
          <w:p w14:paraId="242D73C6"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(3.70)</w:t>
            </w:r>
          </w:p>
        </w:tc>
      </w:tr>
      <w:tr w:rsidR="003A4F79" w:rsidRPr="003A4F79" w14:paraId="16B5208A"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93392CC"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w:t>
            </w:r>
          </w:p>
        </w:tc>
        <w:tc>
          <w:tcPr>
            <w:tcW w:w="1160" w:type="dxa"/>
            <w:tcBorders>
              <w:top w:val="nil"/>
              <w:left w:val="nil"/>
              <w:bottom w:val="nil"/>
              <w:right w:val="nil"/>
            </w:tcBorders>
            <w:shd w:val="clear" w:color="auto" w:fill="auto"/>
            <w:noWrap/>
            <w:vAlign w:val="bottom"/>
            <w:hideMark/>
          </w:tcPr>
          <w:p w14:paraId="1A935761"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18BF1B7"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0C4CC48"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0.2867***</w:t>
            </w:r>
          </w:p>
        </w:tc>
        <w:tc>
          <w:tcPr>
            <w:tcW w:w="1160" w:type="dxa"/>
            <w:tcBorders>
              <w:top w:val="nil"/>
              <w:left w:val="nil"/>
              <w:bottom w:val="nil"/>
              <w:right w:val="nil"/>
            </w:tcBorders>
            <w:shd w:val="clear" w:color="auto" w:fill="auto"/>
            <w:noWrap/>
            <w:vAlign w:val="bottom"/>
            <w:hideMark/>
          </w:tcPr>
          <w:p w14:paraId="68DD8E9E"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0.3067***</w:t>
            </w:r>
          </w:p>
        </w:tc>
      </w:tr>
      <w:tr w:rsidR="003A4F79" w:rsidRPr="003A4F79" w14:paraId="7F8679FF"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3DADF924"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63BBDF5"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CF33EB6"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AB9BCBC"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(-12.25)</w:t>
            </w:r>
          </w:p>
        </w:tc>
        <w:tc>
          <w:tcPr>
            <w:tcW w:w="1160" w:type="dxa"/>
            <w:tcBorders>
              <w:top w:val="nil"/>
              <w:left w:val="nil"/>
              <w:bottom w:val="nil"/>
              <w:right w:val="nil"/>
            </w:tcBorders>
            <w:shd w:val="clear" w:color="auto" w:fill="auto"/>
            <w:noWrap/>
            <w:vAlign w:val="bottom"/>
            <w:hideMark/>
          </w:tcPr>
          <w:p w14:paraId="328A525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(-11.63)</w:t>
            </w:r>
          </w:p>
        </w:tc>
      </w:tr>
      <w:tr w:rsidR="003A4F79" w:rsidRPr="003A4F79" w14:paraId="3C50BE0C"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65031F06"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ZeroTrd</w:t>
            </w:r>
          </w:p>
        </w:tc>
        <w:tc>
          <w:tcPr>
            <w:tcW w:w="1160" w:type="dxa"/>
            <w:tcBorders>
              <w:top w:val="nil"/>
              <w:left w:val="nil"/>
              <w:bottom w:val="nil"/>
              <w:right w:val="nil"/>
            </w:tcBorders>
            <w:shd w:val="clear" w:color="auto" w:fill="auto"/>
            <w:noWrap/>
            <w:vAlign w:val="bottom"/>
            <w:hideMark/>
          </w:tcPr>
          <w:p w14:paraId="43CA1EE4"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C0FF861"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BB87C20"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2.8544***</w:t>
            </w:r>
          </w:p>
        </w:tc>
        <w:tc>
          <w:tcPr>
            <w:tcW w:w="1160" w:type="dxa"/>
            <w:tcBorders>
              <w:top w:val="nil"/>
              <w:left w:val="nil"/>
              <w:bottom w:val="nil"/>
              <w:right w:val="nil"/>
            </w:tcBorders>
            <w:shd w:val="clear" w:color="auto" w:fill="auto"/>
            <w:noWrap/>
            <w:vAlign w:val="bottom"/>
            <w:hideMark/>
          </w:tcPr>
          <w:p w14:paraId="7F7EBE20"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2.7426***</w:t>
            </w:r>
          </w:p>
        </w:tc>
      </w:tr>
      <w:tr w:rsidR="003A4F79" w:rsidRPr="003A4F79" w14:paraId="706D2959"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097A5E9"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4C47D10"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0FEA91B"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4AA2B08"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(21.65)</w:t>
            </w:r>
          </w:p>
        </w:tc>
        <w:tc>
          <w:tcPr>
            <w:tcW w:w="1160" w:type="dxa"/>
            <w:tcBorders>
              <w:top w:val="nil"/>
              <w:left w:val="nil"/>
              <w:bottom w:val="nil"/>
              <w:right w:val="nil"/>
            </w:tcBorders>
            <w:shd w:val="clear" w:color="auto" w:fill="auto"/>
            <w:noWrap/>
            <w:vAlign w:val="bottom"/>
            <w:hideMark/>
          </w:tcPr>
          <w:p w14:paraId="5F418A8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(20.70)</w:t>
            </w:r>
          </w:p>
        </w:tc>
      </w:tr>
      <w:tr w:rsidR="003A4F79" w:rsidRPr="003A4F79" w14:paraId="0DF4A6E1"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6D82B47"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 × ZeroTrd</w:t>
            </w:r>
          </w:p>
        </w:tc>
        <w:tc>
          <w:tcPr>
            <w:tcW w:w="1160" w:type="dxa"/>
            <w:tcBorders>
              <w:top w:val="nil"/>
              <w:left w:val="nil"/>
              <w:bottom w:val="nil"/>
              <w:right w:val="nil"/>
            </w:tcBorders>
            <w:shd w:val="clear" w:color="auto" w:fill="auto"/>
            <w:noWrap/>
            <w:vAlign w:val="bottom"/>
            <w:hideMark/>
          </w:tcPr>
          <w:p w14:paraId="4E0104A8"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81C6DE9"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5B1450F"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0.2538***</w:t>
            </w:r>
          </w:p>
        </w:tc>
        <w:tc>
          <w:tcPr>
            <w:tcW w:w="1160" w:type="dxa"/>
            <w:tcBorders>
              <w:top w:val="nil"/>
              <w:left w:val="nil"/>
              <w:bottom w:val="nil"/>
              <w:right w:val="nil"/>
            </w:tcBorders>
            <w:shd w:val="clear" w:color="auto" w:fill="auto"/>
            <w:noWrap/>
            <w:vAlign w:val="bottom"/>
            <w:hideMark/>
          </w:tcPr>
          <w:p w14:paraId="4CB319E1"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0.2698***</w:t>
            </w:r>
          </w:p>
        </w:tc>
      </w:tr>
      <w:tr w:rsidR="003A4F79" w:rsidRPr="003A4F79" w14:paraId="3A92DD85"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7DB2CCEB"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F6C42A4"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7455D61"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B1C16E0"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(-12.01)</w:t>
            </w:r>
          </w:p>
        </w:tc>
        <w:tc>
          <w:tcPr>
            <w:tcW w:w="1160" w:type="dxa"/>
            <w:tcBorders>
              <w:top w:val="nil"/>
              <w:left w:val="nil"/>
              <w:bottom w:val="nil"/>
              <w:right w:val="nil"/>
            </w:tcBorders>
            <w:shd w:val="clear" w:color="auto" w:fill="auto"/>
            <w:noWrap/>
            <w:vAlign w:val="bottom"/>
            <w:hideMark/>
          </w:tcPr>
          <w:p w14:paraId="4FA65189"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(-11.52)</w:t>
            </w:r>
          </w:p>
        </w:tc>
      </w:tr>
      <w:tr w:rsidR="003A4F79" w:rsidRPr="003A4F79" w14:paraId="0035544C"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F490E9C"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Nokia</w:t>
            </w:r>
          </w:p>
        </w:tc>
        <w:tc>
          <w:tcPr>
            <w:tcW w:w="1160" w:type="dxa"/>
            <w:tcBorders>
              <w:top w:val="nil"/>
              <w:left w:val="nil"/>
              <w:bottom w:val="nil"/>
              <w:right w:val="nil"/>
            </w:tcBorders>
            <w:shd w:val="clear" w:color="auto" w:fill="auto"/>
            <w:noWrap/>
            <w:vAlign w:val="bottom"/>
            <w:hideMark/>
          </w:tcPr>
          <w:p w14:paraId="20C2419A"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75B7CFF"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BD72A7C"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885CDCF"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1.9976***</w:t>
            </w:r>
          </w:p>
        </w:tc>
      </w:tr>
      <w:tr w:rsidR="003A4F79" w:rsidRPr="003A4F79" w14:paraId="27AFE6EE"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18EF8FC6"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96B6032"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7562806"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F4A53A1"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1774572"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(17.38)</w:t>
            </w:r>
          </w:p>
        </w:tc>
      </w:tr>
      <w:tr w:rsidR="003A4F79" w:rsidRPr="003A4F79" w14:paraId="78972A62"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23AFB00"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MktRet</w:t>
            </w:r>
          </w:p>
        </w:tc>
        <w:tc>
          <w:tcPr>
            <w:tcW w:w="1160" w:type="dxa"/>
            <w:tcBorders>
              <w:top w:val="nil"/>
              <w:left w:val="nil"/>
              <w:bottom w:val="nil"/>
              <w:right w:val="nil"/>
            </w:tcBorders>
            <w:shd w:val="clear" w:color="auto" w:fill="auto"/>
            <w:noWrap/>
            <w:vAlign w:val="bottom"/>
            <w:hideMark/>
          </w:tcPr>
          <w:p w14:paraId="4BBBEDD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0.4712***</w:t>
            </w:r>
          </w:p>
        </w:tc>
        <w:tc>
          <w:tcPr>
            <w:tcW w:w="1160" w:type="dxa"/>
            <w:tcBorders>
              <w:top w:val="nil"/>
              <w:left w:val="nil"/>
              <w:bottom w:val="nil"/>
              <w:right w:val="nil"/>
            </w:tcBorders>
            <w:shd w:val="clear" w:color="auto" w:fill="auto"/>
            <w:noWrap/>
            <w:vAlign w:val="bottom"/>
            <w:hideMark/>
          </w:tcPr>
          <w:p w14:paraId="03A12057"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0.4716***</w:t>
            </w:r>
          </w:p>
        </w:tc>
        <w:tc>
          <w:tcPr>
            <w:tcW w:w="1160" w:type="dxa"/>
            <w:tcBorders>
              <w:top w:val="nil"/>
              <w:left w:val="nil"/>
              <w:bottom w:val="nil"/>
              <w:right w:val="nil"/>
            </w:tcBorders>
            <w:shd w:val="clear" w:color="auto" w:fill="auto"/>
            <w:noWrap/>
            <w:vAlign w:val="bottom"/>
            <w:hideMark/>
          </w:tcPr>
          <w:p w14:paraId="5762500B"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0.4350***</w:t>
            </w:r>
          </w:p>
        </w:tc>
        <w:tc>
          <w:tcPr>
            <w:tcW w:w="1160" w:type="dxa"/>
            <w:tcBorders>
              <w:top w:val="nil"/>
              <w:left w:val="nil"/>
              <w:bottom w:val="nil"/>
              <w:right w:val="nil"/>
            </w:tcBorders>
            <w:shd w:val="clear" w:color="auto" w:fill="auto"/>
            <w:noWrap/>
            <w:vAlign w:val="bottom"/>
            <w:hideMark/>
          </w:tcPr>
          <w:p w14:paraId="71A596C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0.4217***</w:t>
            </w:r>
          </w:p>
        </w:tc>
      </w:tr>
      <w:tr w:rsidR="003A4F79" w:rsidRPr="003A4F79" w14:paraId="08A0F017"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5A41F1C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EE63D96"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(-4.44)</w:t>
            </w:r>
          </w:p>
        </w:tc>
        <w:tc>
          <w:tcPr>
            <w:tcW w:w="1160" w:type="dxa"/>
            <w:tcBorders>
              <w:top w:val="nil"/>
              <w:left w:val="nil"/>
              <w:bottom w:val="nil"/>
              <w:right w:val="nil"/>
            </w:tcBorders>
            <w:shd w:val="clear" w:color="auto" w:fill="auto"/>
            <w:noWrap/>
            <w:vAlign w:val="bottom"/>
            <w:hideMark/>
          </w:tcPr>
          <w:p w14:paraId="51D55D7C"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(-4.44)</w:t>
            </w:r>
          </w:p>
        </w:tc>
        <w:tc>
          <w:tcPr>
            <w:tcW w:w="1160" w:type="dxa"/>
            <w:tcBorders>
              <w:top w:val="nil"/>
              <w:left w:val="nil"/>
              <w:bottom w:val="nil"/>
              <w:right w:val="nil"/>
            </w:tcBorders>
            <w:shd w:val="clear" w:color="auto" w:fill="auto"/>
            <w:noWrap/>
            <w:vAlign w:val="bottom"/>
            <w:hideMark/>
          </w:tcPr>
          <w:p w14:paraId="01704E85"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(-4.82)</w:t>
            </w:r>
          </w:p>
        </w:tc>
        <w:tc>
          <w:tcPr>
            <w:tcW w:w="1160" w:type="dxa"/>
            <w:tcBorders>
              <w:top w:val="nil"/>
              <w:left w:val="nil"/>
              <w:bottom w:val="nil"/>
              <w:right w:val="nil"/>
            </w:tcBorders>
            <w:shd w:val="clear" w:color="auto" w:fill="auto"/>
            <w:noWrap/>
            <w:vAlign w:val="bottom"/>
            <w:hideMark/>
          </w:tcPr>
          <w:p w14:paraId="4C80EA14"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(-4.99)</w:t>
            </w:r>
          </w:p>
        </w:tc>
      </w:tr>
      <w:tr w:rsidR="003A4F79" w:rsidRPr="003A4F79" w14:paraId="60ABEFB4"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12753BC"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MktVol</w:t>
            </w:r>
          </w:p>
        </w:tc>
        <w:tc>
          <w:tcPr>
            <w:tcW w:w="1160" w:type="dxa"/>
            <w:tcBorders>
              <w:top w:val="nil"/>
              <w:left w:val="nil"/>
              <w:bottom w:val="nil"/>
              <w:right w:val="nil"/>
            </w:tcBorders>
            <w:shd w:val="clear" w:color="auto" w:fill="auto"/>
            <w:noWrap/>
            <w:vAlign w:val="bottom"/>
            <w:hideMark/>
          </w:tcPr>
          <w:p w14:paraId="7CC421AB"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0.4713</w:t>
            </w:r>
          </w:p>
        </w:tc>
        <w:tc>
          <w:tcPr>
            <w:tcW w:w="1160" w:type="dxa"/>
            <w:tcBorders>
              <w:top w:val="nil"/>
              <w:left w:val="nil"/>
              <w:bottom w:val="nil"/>
              <w:right w:val="nil"/>
            </w:tcBorders>
            <w:shd w:val="clear" w:color="auto" w:fill="auto"/>
            <w:noWrap/>
            <w:vAlign w:val="bottom"/>
            <w:hideMark/>
          </w:tcPr>
          <w:p w14:paraId="0B4C9D2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0.4704</w:t>
            </w:r>
          </w:p>
        </w:tc>
        <w:tc>
          <w:tcPr>
            <w:tcW w:w="1160" w:type="dxa"/>
            <w:tcBorders>
              <w:top w:val="nil"/>
              <w:left w:val="nil"/>
              <w:bottom w:val="nil"/>
              <w:right w:val="nil"/>
            </w:tcBorders>
            <w:shd w:val="clear" w:color="auto" w:fill="auto"/>
            <w:noWrap/>
            <w:vAlign w:val="bottom"/>
            <w:hideMark/>
          </w:tcPr>
          <w:p w14:paraId="15368B29"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0.4119</w:t>
            </w:r>
          </w:p>
        </w:tc>
        <w:tc>
          <w:tcPr>
            <w:tcW w:w="1160" w:type="dxa"/>
            <w:tcBorders>
              <w:top w:val="nil"/>
              <w:left w:val="nil"/>
              <w:bottom w:val="nil"/>
              <w:right w:val="nil"/>
            </w:tcBorders>
            <w:shd w:val="clear" w:color="auto" w:fill="auto"/>
            <w:noWrap/>
            <w:vAlign w:val="bottom"/>
            <w:hideMark/>
          </w:tcPr>
          <w:p w14:paraId="68856621"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0.4000</w:t>
            </w:r>
          </w:p>
        </w:tc>
      </w:tr>
      <w:tr w:rsidR="003A4F79" w:rsidRPr="003A4F79" w14:paraId="3C66BB0D"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3F17C5E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E10E067"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(-1.19)</w:t>
            </w:r>
          </w:p>
        </w:tc>
        <w:tc>
          <w:tcPr>
            <w:tcW w:w="1160" w:type="dxa"/>
            <w:tcBorders>
              <w:top w:val="nil"/>
              <w:left w:val="nil"/>
              <w:bottom w:val="nil"/>
              <w:right w:val="nil"/>
            </w:tcBorders>
            <w:shd w:val="clear" w:color="auto" w:fill="auto"/>
            <w:noWrap/>
            <w:vAlign w:val="bottom"/>
            <w:hideMark/>
          </w:tcPr>
          <w:p w14:paraId="387D97F3"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(-1.19)</w:t>
            </w:r>
          </w:p>
        </w:tc>
        <w:tc>
          <w:tcPr>
            <w:tcW w:w="1160" w:type="dxa"/>
            <w:tcBorders>
              <w:top w:val="nil"/>
              <w:left w:val="nil"/>
              <w:bottom w:val="nil"/>
              <w:right w:val="nil"/>
            </w:tcBorders>
            <w:shd w:val="clear" w:color="auto" w:fill="auto"/>
            <w:noWrap/>
            <w:vAlign w:val="bottom"/>
            <w:hideMark/>
          </w:tcPr>
          <w:p w14:paraId="453B1886"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(-1.36)</w:t>
            </w:r>
          </w:p>
        </w:tc>
        <w:tc>
          <w:tcPr>
            <w:tcW w:w="1160" w:type="dxa"/>
            <w:tcBorders>
              <w:top w:val="nil"/>
              <w:left w:val="nil"/>
              <w:bottom w:val="nil"/>
              <w:right w:val="nil"/>
            </w:tcBorders>
            <w:shd w:val="clear" w:color="auto" w:fill="auto"/>
            <w:noWrap/>
            <w:vAlign w:val="bottom"/>
            <w:hideMark/>
          </w:tcPr>
          <w:p w14:paraId="07289EF4"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(-1.40)</w:t>
            </w:r>
          </w:p>
        </w:tc>
      </w:tr>
      <w:tr w:rsidR="003A4F79" w:rsidRPr="003A4F79" w14:paraId="6DF9A814"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4C22B558"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Female</w:t>
            </w:r>
          </w:p>
        </w:tc>
        <w:tc>
          <w:tcPr>
            <w:tcW w:w="1160" w:type="dxa"/>
            <w:tcBorders>
              <w:top w:val="nil"/>
              <w:left w:val="nil"/>
              <w:bottom w:val="nil"/>
              <w:right w:val="nil"/>
            </w:tcBorders>
            <w:shd w:val="clear" w:color="auto" w:fill="auto"/>
            <w:noWrap/>
            <w:vAlign w:val="bottom"/>
            <w:hideMark/>
          </w:tcPr>
          <w:p w14:paraId="6A93BFB7"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0.7404***</w:t>
            </w:r>
          </w:p>
        </w:tc>
        <w:tc>
          <w:tcPr>
            <w:tcW w:w="1160" w:type="dxa"/>
            <w:tcBorders>
              <w:top w:val="nil"/>
              <w:left w:val="nil"/>
              <w:bottom w:val="nil"/>
              <w:right w:val="nil"/>
            </w:tcBorders>
            <w:shd w:val="clear" w:color="auto" w:fill="auto"/>
            <w:noWrap/>
            <w:vAlign w:val="bottom"/>
            <w:hideMark/>
          </w:tcPr>
          <w:p w14:paraId="412ECC03"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0.7419***</w:t>
            </w:r>
          </w:p>
        </w:tc>
        <w:tc>
          <w:tcPr>
            <w:tcW w:w="1160" w:type="dxa"/>
            <w:tcBorders>
              <w:top w:val="nil"/>
              <w:left w:val="nil"/>
              <w:bottom w:val="nil"/>
              <w:right w:val="nil"/>
            </w:tcBorders>
            <w:shd w:val="clear" w:color="auto" w:fill="auto"/>
            <w:noWrap/>
            <w:vAlign w:val="bottom"/>
            <w:hideMark/>
          </w:tcPr>
          <w:p w14:paraId="3B556495"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0.9255*</w:t>
            </w:r>
          </w:p>
        </w:tc>
        <w:tc>
          <w:tcPr>
            <w:tcW w:w="1160" w:type="dxa"/>
            <w:tcBorders>
              <w:top w:val="nil"/>
              <w:left w:val="nil"/>
              <w:bottom w:val="nil"/>
              <w:right w:val="nil"/>
            </w:tcBorders>
            <w:shd w:val="clear" w:color="auto" w:fill="auto"/>
            <w:noWrap/>
            <w:vAlign w:val="bottom"/>
            <w:hideMark/>
          </w:tcPr>
          <w:p w14:paraId="56008BA2"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0.9183**</w:t>
            </w:r>
          </w:p>
        </w:tc>
      </w:tr>
      <w:tr w:rsidR="003A4F79" w:rsidRPr="003A4F79" w14:paraId="243E3093"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1DB20C7E"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295EFC0"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(-7.06)</w:t>
            </w:r>
          </w:p>
        </w:tc>
        <w:tc>
          <w:tcPr>
            <w:tcW w:w="1160" w:type="dxa"/>
            <w:tcBorders>
              <w:top w:val="nil"/>
              <w:left w:val="nil"/>
              <w:bottom w:val="nil"/>
              <w:right w:val="nil"/>
            </w:tcBorders>
            <w:shd w:val="clear" w:color="auto" w:fill="auto"/>
            <w:noWrap/>
            <w:vAlign w:val="bottom"/>
            <w:hideMark/>
          </w:tcPr>
          <w:p w14:paraId="5D1B7882"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(-7.01)</w:t>
            </w:r>
          </w:p>
        </w:tc>
        <w:tc>
          <w:tcPr>
            <w:tcW w:w="1160" w:type="dxa"/>
            <w:tcBorders>
              <w:top w:val="nil"/>
              <w:left w:val="nil"/>
              <w:bottom w:val="nil"/>
              <w:right w:val="nil"/>
            </w:tcBorders>
            <w:shd w:val="clear" w:color="auto" w:fill="auto"/>
            <w:noWrap/>
            <w:vAlign w:val="bottom"/>
            <w:hideMark/>
          </w:tcPr>
          <w:p w14:paraId="01EAF251"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(-1.78)</w:t>
            </w:r>
          </w:p>
        </w:tc>
        <w:tc>
          <w:tcPr>
            <w:tcW w:w="1160" w:type="dxa"/>
            <w:tcBorders>
              <w:top w:val="nil"/>
              <w:left w:val="nil"/>
              <w:bottom w:val="nil"/>
              <w:right w:val="nil"/>
            </w:tcBorders>
            <w:shd w:val="clear" w:color="auto" w:fill="auto"/>
            <w:noWrap/>
            <w:vAlign w:val="bottom"/>
            <w:hideMark/>
          </w:tcPr>
          <w:p w14:paraId="2D5EADCC"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(-1.96)</w:t>
            </w:r>
          </w:p>
        </w:tc>
      </w:tr>
      <w:tr w:rsidR="003A4F79" w:rsidRPr="003A4F79" w14:paraId="38D78F83"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0DA2A22"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Age</w:t>
            </w:r>
          </w:p>
        </w:tc>
        <w:tc>
          <w:tcPr>
            <w:tcW w:w="1160" w:type="dxa"/>
            <w:tcBorders>
              <w:top w:val="nil"/>
              <w:left w:val="nil"/>
              <w:bottom w:val="nil"/>
              <w:right w:val="nil"/>
            </w:tcBorders>
            <w:shd w:val="clear" w:color="auto" w:fill="auto"/>
            <w:noWrap/>
            <w:vAlign w:val="bottom"/>
            <w:hideMark/>
          </w:tcPr>
          <w:p w14:paraId="4C8F0CB4"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0.9993</w:t>
            </w:r>
          </w:p>
        </w:tc>
        <w:tc>
          <w:tcPr>
            <w:tcW w:w="1160" w:type="dxa"/>
            <w:tcBorders>
              <w:top w:val="nil"/>
              <w:left w:val="nil"/>
              <w:bottom w:val="nil"/>
              <w:right w:val="nil"/>
            </w:tcBorders>
            <w:shd w:val="clear" w:color="auto" w:fill="auto"/>
            <w:noWrap/>
            <w:vAlign w:val="bottom"/>
            <w:hideMark/>
          </w:tcPr>
          <w:p w14:paraId="26E731A1"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0.9990</w:t>
            </w:r>
          </w:p>
        </w:tc>
        <w:tc>
          <w:tcPr>
            <w:tcW w:w="1160" w:type="dxa"/>
            <w:tcBorders>
              <w:top w:val="nil"/>
              <w:left w:val="nil"/>
              <w:bottom w:val="nil"/>
              <w:right w:val="nil"/>
            </w:tcBorders>
            <w:shd w:val="clear" w:color="auto" w:fill="auto"/>
            <w:noWrap/>
            <w:vAlign w:val="bottom"/>
            <w:hideMark/>
          </w:tcPr>
          <w:p w14:paraId="0E67C36F"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1.0006</w:t>
            </w:r>
          </w:p>
        </w:tc>
        <w:tc>
          <w:tcPr>
            <w:tcW w:w="1160" w:type="dxa"/>
            <w:tcBorders>
              <w:top w:val="nil"/>
              <w:left w:val="nil"/>
              <w:bottom w:val="nil"/>
              <w:right w:val="nil"/>
            </w:tcBorders>
            <w:shd w:val="clear" w:color="auto" w:fill="auto"/>
            <w:noWrap/>
            <w:vAlign w:val="bottom"/>
            <w:hideMark/>
          </w:tcPr>
          <w:p w14:paraId="3DC139EA"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r>
      <w:tr w:rsidR="003A4F79" w:rsidRPr="003A4F79" w14:paraId="12D352C5"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40A975B2"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0151717"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(-0.58)</w:t>
            </w:r>
          </w:p>
        </w:tc>
        <w:tc>
          <w:tcPr>
            <w:tcW w:w="1160" w:type="dxa"/>
            <w:tcBorders>
              <w:top w:val="nil"/>
              <w:left w:val="nil"/>
              <w:bottom w:val="nil"/>
              <w:right w:val="nil"/>
            </w:tcBorders>
            <w:shd w:val="clear" w:color="auto" w:fill="auto"/>
            <w:noWrap/>
            <w:vAlign w:val="bottom"/>
            <w:hideMark/>
          </w:tcPr>
          <w:p w14:paraId="042396A4"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(-0.83)</w:t>
            </w:r>
          </w:p>
        </w:tc>
        <w:tc>
          <w:tcPr>
            <w:tcW w:w="1160" w:type="dxa"/>
            <w:tcBorders>
              <w:top w:val="nil"/>
              <w:left w:val="nil"/>
              <w:bottom w:val="nil"/>
              <w:right w:val="nil"/>
            </w:tcBorders>
            <w:shd w:val="clear" w:color="auto" w:fill="auto"/>
            <w:noWrap/>
            <w:vAlign w:val="bottom"/>
            <w:hideMark/>
          </w:tcPr>
          <w:p w14:paraId="6456B76A"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(0.50)</w:t>
            </w:r>
          </w:p>
        </w:tc>
        <w:tc>
          <w:tcPr>
            <w:tcW w:w="1160" w:type="dxa"/>
            <w:tcBorders>
              <w:top w:val="nil"/>
              <w:left w:val="nil"/>
              <w:bottom w:val="nil"/>
              <w:right w:val="nil"/>
            </w:tcBorders>
            <w:shd w:val="clear" w:color="auto" w:fill="auto"/>
            <w:noWrap/>
            <w:vAlign w:val="bottom"/>
            <w:hideMark/>
          </w:tcPr>
          <w:p w14:paraId="6DC7534B"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w:t>
            </w:r>
          </w:p>
        </w:tc>
      </w:tr>
      <w:tr w:rsidR="003A4F79" w:rsidRPr="003A4F79" w14:paraId="691965EE"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501B000B"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Burst</w:t>
            </w:r>
          </w:p>
        </w:tc>
        <w:tc>
          <w:tcPr>
            <w:tcW w:w="1160" w:type="dxa"/>
            <w:tcBorders>
              <w:top w:val="nil"/>
              <w:left w:val="nil"/>
              <w:bottom w:val="nil"/>
              <w:right w:val="nil"/>
            </w:tcBorders>
            <w:shd w:val="clear" w:color="auto" w:fill="auto"/>
            <w:noWrap/>
            <w:vAlign w:val="bottom"/>
            <w:hideMark/>
          </w:tcPr>
          <w:p w14:paraId="36DD93D8"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0.4591***</w:t>
            </w:r>
          </w:p>
        </w:tc>
        <w:tc>
          <w:tcPr>
            <w:tcW w:w="1160" w:type="dxa"/>
            <w:tcBorders>
              <w:top w:val="nil"/>
              <w:left w:val="nil"/>
              <w:bottom w:val="nil"/>
              <w:right w:val="nil"/>
            </w:tcBorders>
            <w:shd w:val="clear" w:color="auto" w:fill="auto"/>
            <w:noWrap/>
            <w:vAlign w:val="bottom"/>
            <w:hideMark/>
          </w:tcPr>
          <w:p w14:paraId="6D7D83E2"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0.4590***</w:t>
            </w:r>
          </w:p>
        </w:tc>
        <w:tc>
          <w:tcPr>
            <w:tcW w:w="1160" w:type="dxa"/>
            <w:tcBorders>
              <w:top w:val="nil"/>
              <w:left w:val="nil"/>
              <w:bottom w:val="nil"/>
              <w:right w:val="nil"/>
            </w:tcBorders>
            <w:shd w:val="clear" w:color="auto" w:fill="auto"/>
            <w:noWrap/>
            <w:vAlign w:val="bottom"/>
            <w:hideMark/>
          </w:tcPr>
          <w:p w14:paraId="03395AB5"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0.5377***</w:t>
            </w:r>
          </w:p>
        </w:tc>
        <w:tc>
          <w:tcPr>
            <w:tcW w:w="1160" w:type="dxa"/>
            <w:tcBorders>
              <w:top w:val="nil"/>
              <w:left w:val="nil"/>
              <w:bottom w:val="nil"/>
              <w:right w:val="nil"/>
            </w:tcBorders>
            <w:shd w:val="clear" w:color="auto" w:fill="auto"/>
            <w:noWrap/>
            <w:vAlign w:val="bottom"/>
            <w:hideMark/>
          </w:tcPr>
          <w:p w14:paraId="4A5990EB"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0.5505***</w:t>
            </w:r>
          </w:p>
        </w:tc>
      </w:tr>
      <w:tr w:rsidR="003A4F79" w:rsidRPr="003A4F79" w14:paraId="3417CC66"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0E685526"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39745AE"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(-10.94)</w:t>
            </w:r>
          </w:p>
        </w:tc>
        <w:tc>
          <w:tcPr>
            <w:tcW w:w="1160" w:type="dxa"/>
            <w:tcBorders>
              <w:top w:val="nil"/>
              <w:left w:val="nil"/>
              <w:bottom w:val="nil"/>
              <w:right w:val="nil"/>
            </w:tcBorders>
            <w:shd w:val="clear" w:color="auto" w:fill="auto"/>
            <w:noWrap/>
            <w:vAlign w:val="bottom"/>
            <w:hideMark/>
          </w:tcPr>
          <w:p w14:paraId="6D590ADC"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(-10.94)</w:t>
            </w:r>
          </w:p>
        </w:tc>
        <w:tc>
          <w:tcPr>
            <w:tcW w:w="1160" w:type="dxa"/>
            <w:tcBorders>
              <w:top w:val="nil"/>
              <w:left w:val="nil"/>
              <w:bottom w:val="nil"/>
              <w:right w:val="nil"/>
            </w:tcBorders>
            <w:shd w:val="clear" w:color="auto" w:fill="auto"/>
            <w:noWrap/>
            <w:vAlign w:val="bottom"/>
            <w:hideMark/>
          </w:tcPr>
          <w:p w14:paraId="0C029449"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(-8.43)</w:t>
            </w:r>
          </w:p>
        </w:tc>
        <w:tc>
          <w:tcPr>
            <w:tcW w:w="1160" w:type="dxa"/>
            <w:tcBorders>
              <w:top w:val="nil"/>
              <w:left w:val="nil"/>
              <w:bottom w:val="nil"/>
              <w:right w:val="nil"/>
            </w:tcBorders>
            <w:shd w:val="clear" w:color="auto" w:fill="auto"/>
            <w:noWrap/>
            <w:vAlign w:val="bottom"/>
            <w:hideMark/>
          </w:tcPr>
          <w:p w14:paraId="59FF5975"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(-8.01)</w:t>
            </w:r>
          </w:p>
        </w:tc>
      </w:tr>
      <w:tr w:rsidR="003A4F79" w:rsidRPr="003A4F79" w14:paraId="019A5B3F"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1009384E"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DurAway</w:t>
            </w:r>
          </w:p>
        </w:tc>
        <w:tc>
          <w:tcPr>
            <w:tcW w:w="1160" w:type="dxa"/>
            <w:tcBorders>
              <w:top w:val="nil"/>
              <w:left w:val="nil"/>
              <w:bottom w:val="nil"/>
              <w:right w:val="nil"/>
            </w:tcBorders>
            <w:shd w:val="clear" w:color="auto" w:fill="auto"/>
            <w:noWrap/>
            <w:vAlign w:val="bottom"/>
            <w:hideMark/>
          </w:tcPr>
          <w:p w14:paraId="4CC1B43E"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0.9470***</w:t>
            </w:r>
          </w:p>
        </w:tc>
        <w:tc>
          <w:tcPr>
            <w:tcW w:w="1160" w:type="dxa"/>
            <w:tcBorders>
              <w:top w:val="nil"/>
              <w:left w:val="nil"/>
              <w:bottom w:val="nil"/>
              <w:right w:val="nil"/>
            </w:tcBorders>
            <w:shd w:val="clear" w:color="auto" w:fill="auto"/>
            <w:noWrap/>
            <w:vAlign w:val="bottom"/>
            <w:hideMark/>
          </w:tcPr>
          <w:p w14:paraId="3E2C994C"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0.9469***</w:t>
            </w:r>
          </w:p>
        </w:tc>
        <w:tc>
          <w:tcPr>
            <w:tcW w:w="1160" w:type="dxa"/>
            <w:tcBorders>
              <w:top w:val="nil"/>
              <w:left w:val="nil"/>
              <w:bottom w:val="nil"/>
              <w:right w:val="nil"/>
            </w:tcBorders>
            <w:shd w:val="clear" w:color="auto" w:fill="auto"/>
            <w:noWrap/>
            <w:vAlign w:val="bottom"/>
            <w:hideMark/>
          </w:tcPr>
          <w:p w14:paraId="5001CC3B"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0.9559***</w:t>
            </w:r>
          </w:p>
        </w:tc>
        <w:tc>
          <w:tcPr>
            <w:tcW w:w="1160" w:type="dxa"/>
            <w:tcBorders>
              <w:top w:val="nil"/>
              <w:left w:val="nil"/>
              <w:bottom w:val="nil"/>
              <w:right w:val="nil"/>
            </w:tcBorders>
            <w:shd w:val="clear" w:color="auto" w:fill="auto"/>
            <w:noWrap/>
            <w:vAlign w:val="bottom"/>
            <w:hideMark/>
          </w:tcPr>
          <w:p w14:paraId="7004C22E"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0.9568***</w:t>
            </w:r>
          </w:p>
        </w:tc>
      </w:tr>
      <w:tr w:rsidR="003A4F79" w:rsidRPr="003A4F79" w14:paraId="7BCF7769"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19AB2F2B"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73D4FB3"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(-24.97)</w:t>
            </w:r>
          </w:p>
        </w:tc>
        <w:tc>
          <w:tcPr>
            <w:tcW w:w="1160" w:type="dxa"/>
            <w:tcBorders>
              <w:top w:val="nil"/>
              <w:left w:val="nil"/>
              <w:bottom w:val="nil"/>
              <w:right w:val="nil"/>
            </w:tcBorders>
            <w:shd w:val="clear" w:color="auto" w:fill="auto"/>
            <w:noWrap/>
            <w:vAlign w:val="bottom"/>
            <w:hideMark/>
          </w:tcPr>
          <w:p w14:paraId="66276B84"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(-25.01)</w:t>
            </w:r>
          </w:p>
        </w:tc>
        <w:tc>
          <w:tcPr>
            <w:tcW w:w="1160" w:type="dxa"/>
            <w:tcBorders>
              <w:top w:val="nil"/>
              <w:left w:val="nil"/>
              <w:bottom w:val="nil"/>
              <w:right w:val="nil"/>
            </w:tcBorders>
            <w:shd w:val="clear" w:color="auto" w:fill="auto"/>
            <w:noWrap/>
            <w:vAlign w:val="bottom"/>
            <w:hideMark/>
          </w:tcPr>
          <w:p w14:paraId="11549540"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(-23.14)</w:t>
            </w:r>
          </w:p>
        </w:tc>
        <w:tc>
          <w:tcPr>
            <w:tcW w:w="1160" w:type="dxa"/>
            <w:tcBorders>
              <w:top w:val="nil"/>
              <w:left w:val="nil"/>
              <w:bottom w:val="nil"/>
              <w:right w:val="nil"/>
            </w:tcBorders>
            <w:shd w:val="clear" w:color="auto" w:fill="auto"/>
            <w:noWrap/>
            <w:vAlign w:val="bottom"/>
            <w:hideMark/>
          </w:tcPr>
          <w:p w14:paraId="74EE7A1C"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(-23.19)</w:t>
            </w:r>
          </w:p>
        </w:tc>
      </w:tr>
      <w:tr w:rsidR="003A4F79" w:rsidRPr="003A4F79" w14:paraId="0EEC7816"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6124DF12"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E8E8CFB"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DC3520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92F8088"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E62CA01"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0964EC4D"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0C790CD"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Investment size quintile dummies</w:t>
            </w:r>
          </w:p>
        </w:tc>
        <w:tc>
          <w:tcPr>
            <w:tcW w:w="1160" w:type="dxa"/>
            <w:tcBorders>
              <w:top w:val="nil"/>
              <w:left w:val="nil"/>
              <w:bottom w:val="nil"/>
              <w:right w:val="nil"/>
            </w:tcBorders>
            <w:shd w:val="clear" w:color="auto" w:fill="auto"/>
            <w:noWrap/>
            <w:vAlign w:val="bottom"/>
            <w:hideMark/>
          </w:tcPr>
          <w:p w14:paraId="230AD3C7"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716B41D2"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3AC90EE6"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E4D5FE6"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384B8391"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7FC9EF1B"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Zip code dummies</w:t>
            </w:r>
          </w:p>
        </w:tc>
        <w:tc>
          <w:tcPr>
            <w:tcW w:w="1160" w:type="dxa"/>
            <w:tcBorders>
              <w:top w:val="nil"/>
              <w:left w:val="nil"/>
              <w:bottom w:val="nil"/>
              <w:right w:val="nil"/>
            </w:tcBorders>
            <w:shd w:val="clear" w:color="auto" w:fill="auto"/>
            <w:noWrap/>
            <w:vAlign w:val="bottom"/>
            <w:hideMark/>
          </w:tcPr>
          <w:p w14:paraId="00E6D44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326B3A42"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56A6B6D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54C22D2A"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098E73F8"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44032D50"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lastRenderedPageBreak/>
              <w:t>Exit time dummies</w:t>
            </w:r>
          </w:p>
        </w:tc>
        <w:tc>
          <w:tcPr>
            <w:tcW w:w="1160" w:type="dxa"/>
            <w:tcBorders>
              <w:top w:val="nil"/>
              <w:left w:val="nil"/>
              <w:bottom w:val="nil"/>
              <w:right w:val="nil"/>
            </w:tcBorders>
            <w:shd w:val="clear" w:color="auto" w:fill="auto"/>
            <w:noWrap/>
            <w:vAlign w:val="bottom"/>
            <w:hideMark/>
          </w:tcPr>
          <w:p w14:paraId="48EE3585"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758818E3"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12FBA0C"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F012252"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13AB3F15"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39039758"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Year dummies</w:t>
            </w:r>
          </w:p>
        </w:tc>
        <w:tc>
          <w:tcPr>
            <w:tcW w:w="1160" w:type="dxa"/>
            <w:tcBorders>
              <w:top w:val="nil"/>
              <w:left w:val="nil"/>
              <w:bottom w:val="nil"/>
              <w:right w:val="nil"/>
            </w:tcBorders>
            <w:shd w:val="clear" w:color="auto" w:fill="auto"/>
            <w:noWrap/>
            <w:vAlign w:val="bottom"/>
            <w:hideMark/>
          </w:tcPr>
          <w:p w14:paraId="59D1ED89"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65928BC4"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208C6BA"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65BCB651"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48C2BBB7"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2B9FD38F"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D83E101"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75BA4DA"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1D00F98"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5F3103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47BE50C3"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71A8473A"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Robust SE clustered at investor level</w:t>
            </w:r>
          </w:p>
        </w:tc>
        <w:tc>
          <w:tcPr>
            <w:tcW w:w="1160" w:type="dxa"/>
            <w:tcBorders>
              <w:top w:val="nil"/>
              <w:left w:val="nil"/>
              <w:bottom w:val="nil"/>
              <w:right w:val="nil"/>
            </w:tcBorders>
            <w:shd w:val="clear" w:color="auto" w:fill="auto"/>
            <w:noWrap/>
            <w:vAlign w:val="bottom"/>
            <w:hideMark/>
          </w:tcPr>
          <w:p w14:paraId="5FC15D8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82ED034"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56F61688"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39CB4FB9"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7B24F580" w14:textId="77777777" w:rsidTr="00F018CC">
        <w:trPr>
          <w:trHeight w:val="255"/>
          <w:jc w:val="center"/>
        </w:trPr>
        <w:tc>
          <w:tcPr>
            <w:tcW w:w="3060" w:type="dxa"/>
            <w:tcBorders>
              <w:top w:val="nil"/>
              <w:left w:val="nil"/>
              <w:bottom w:val="nil"/>
              <w:right w:val="nil"/>
            </w:tcBorders>
            <w:shd w:val="clear" w:color="auto" w:fill="auto"/>
            <w:noWrap/>
            <w:vAlign w:val="bottom"/>
            <w:hideMark/>
          </w:tcPr>
          <w:p w14:paraId="6B2D1989"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fit</w:t>
            </w:r>
          </w:p>
        </w:tc>
        <w:tc>
          <w:tcPr>
            <w:tcW w:w="1160" w:type="dxa"/>
            <w:tcBorders>
              <w:top w:val="nil"/>
              <w:left w:val="nil"/>
              <w:bottom w:val="nil"/>
              <w:right w:val="nil"/>
            </w:tcBorders>
            <w:shd w:val="clear" w:color="auto" w:fill="auto"/>
            <w:noWrap/>
            <w:vAlign w:val="bottom"/>
            <w:hideMark/>
          </w:tcPr>
          <w:p w14:paraId="3C398EA9"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1,749.49***</w:t>
            </w:r>
          </w:p>
        </w:tc>
        <w:tc>
          <w:tcPr>
            <w:tcW w:w="1160" w:type="dxa"/>
            <w:tcBorders>
              <w:top w:val="nil"/>
              <w:left w:val="nil"/>
              <w:bottom w:val="nil"/>
              <w:right w:val="nil"/>
            </w:tcBorders>
            <w:shd w:val="clear" w:color="auto" w:fill="auto"/>
            <w:noWrap/>
            <w:vAlign w:val="bottom"/>
            <w:hideMark/>
          </w:tcPr>
          <w:p w14:paraId="0722C6D5"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1,771.12***</w:t>
            </w:r>
          </w:p>
        </w:tc>
        <w:tc>
          <w:tcPr>
            <w:tcW w:w="1160" w:type="dxa"/>
            <w:tcBorders>
              <w:top w:val="nil"/>
              <w:left w:val="nil"/>
              <w:bottom w:val="nil"/>
              <w:right w:val="nil"/>
            </w:tcBorders>
            <w:shd w:val="clear" w:color="auto" w:fill="auto"/>
            <w:noWrap/>
            <w:vAlign w:val="bottom"/>
            <w:hideMark/>
          </w:tcPr>
          <w:p w14:paraId="5C32A042"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5,224.11***</w:t>
            </w:r>
          </w:p>
        </w:tc>
        <w:tc>
          <w:tcPr>
            <w:tcW w:w="1160" w:type="dxa"/>
            <w:tcBorders>
              <w:top w:val="nil"/>
              <w:left w:val="nil"/>
              <w:bottom w:val="nil"/>
              <w:right w:val="nil"/>
            </w:tcBorders>
            <w:shd w:val="clear" w:color="auto" w:fill="auto"/>
            <w:noWrap/>
            <w:vAlign w:val="bottom"/>
            <w:hideMark/>
          </w:tcPr>
          <w:p w14:paraId="1D3AFDBD"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5,720.54***</w:t>
            </w:r>
          </w:p>
        </w:tc>
      </w:tr>
      <w:tr w:rsidR="00F018CC" w:rsidRPr="003A4F79" w14:paraId="3DE0EF75" w14:textId="77777777" w:rsidTr="00F018CC">
        <w:trPr>
          <w:trHeight w:val="315"/>
          <w:jc w:val="center"/>
        </w:trPr>
        <w:tc>
          <w:tcPr>
            <w:tcW w:w="3060" w:type="dxa"/>
            <w:tcBorders>
              <w:top w:val="nil"/>
              <w:left w:val="nil"/>
              <w:bottom w:val="single" w:sz="4" w:space="0" w:color="auto"/>
              <w:right w:val="nil"/>
            </w:tcBorders>
            <w:shd w:val="clear" w:color="auto" w:fill="auto"/>
            <w:noWrap/>
            <w:vAlign w:val="bottom"/>
            <w:hideMark/>
          </w:tcPr>
          <w:p w14:paraId="53EB3865" w14:textId="77777777" w:rsidR="00F018CC" w:rsidRPr="003A4F79" w:rsidRDefault="00F018CC" w:rsidP="00F018CC">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Pseudo R</w:t>
            </w:r>
            <w:r w:rsidRPr="003A4F79">
              <w:rPr>
                <w:rFonts w:ascii="Times New Roman" w:eastAsia="Times New Roman" w:hAnsi="Times New Roman" w:cs="Times New Roman"/>
                <w:sz w:val="20"/>
                <w:szCs w:val="20"/>
                <w:vertAlign w:val="superscript"/>
                <w:lang w:val="en-GB" w:eastAsia="ko-KR"/>
              </w:rPr>
              <w:t>2</w:t>
            </w:r>
          </w:p>
        </w:tc>
        <w:tc>
          <w:tcPr>
            <w:tcW w:w="1160" w:type="dxa"/>
            <w:tcBorders>
              <w:top w:val="nil"/>
              <w:left w:val="nil"/>
              <w:bottom w:val="single" w:sz="4" w:space="0" w:color="auto"/>
              <w:right w:val="nil"/>
            </w:tcBorders>
            <w:shd w:val="clear" w:color="auto" w:fill="auto"/>
            <w:noWrap/>
            <w:vAlign w:val="bottom"/>
            <w:hideMark/>
          </w:tcPr>
          <w:p w14:paraId="01DF4F24"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0.0749</w:t>
            </w:r>
          </w:p>
        </w:tc>
        <w:tc>
          <w:tcPr>
            <w:tcW w:w="1160" w:type="dxa"/>
            <w:tcBorders>
              <w:top w:val="nil"/>
              <w:left w:val="nil"/>
              <w:bottom w:val="single" w:sz="4" w:space="0" w:color="auto"/>
              <w:right w:val="nil"/>
            </w:tcBorders>
            <w:shd w:val="clear" w:color="auto" w:fill="auto"/>
            <w:noWrap/>
            <w:vAlign w:val="bottom"/>
            <w:hideMark/>
          </w:tcPr>
          <w:p w14:paraId="6EEBC063"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0.0757</w:t>
            </w:r>
          </w:p>
        </w:tc>
        <w:tc>
          <w:tcPr>
            <w:tcW w:w="1160" w:type="dxa"/>
            <w:tcBorders>
              <w:top w:val="nil"/>
              <w:left w:val="nil"/>
              <w:bottom w:val="single" w:sz="4" w:space="0" w:color="auto"/>
              <w:right w:val="nil"/>
            </w:tcBorders>
            <w:shd w:val="clear" w:color="auto" w:fill="auto"/>
            <w:noWrap/>
            <w:vAlign w:val="bottom"/>
            <w:hideMark/>
          </w:tcPr>
          <w:p w14:paraId="65408B87"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0.1698</w:t>
            </w:r>
          </w:p>
        </w:tc>
        <w:tc>
          <w:tcPr>
            <w:tcW w:w="1160" w:type="dxa"/>
            <w:tcBorders>
              <w:top w:val="nil"/>
              <w:left w:val="nil"/>
              <w:bottom w:val="single" w:sz="4" w:space="0" w:color="auto"/>
              <w:right w:val="nil"/>
            </w:tcBorders>
            <w:shd w:val="clear" w:color="auto" w:fill="auto"/>
            <w:noWrap/>
            <w:vAlign w:val="bottom"/>
            <w:hideMark/>
          </w:tcPr>
          <w:p w14:paraId="7835AAA8" w14:textId="77777777" w:rsidR="00F018CC" w:rsidRPr="003A4F79" w:rsidRDefault="00F018CC" w:rsidP="00F018CC">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0.1782</w:t>
            </w:r>
          </w:p>
        </w:tc>
      </w:tr>
    </w:tbl>
    <w:p w14:paraId="0A27595F" w14:textId="77777777" w:rsidR="003F36C6" w:rsidRPr="003A4F79" w:rsidRDefault="003F36C6" w:rsidP="00DA2A0C">
      <w:pPr>
        <w:pStyle w:val="FigureNotes"/>
        <w:jc w:val="center"/>
      </w:pPr>
    </w:p>
    <w:p w14:paraId="375A558D" w14:textId="1F28117C" w:rsidR="005905FE" w:rsidRPr="003A4F79" w:rsidRDefault="005905FE" w:rsidP="00290F9F">
      <w:pPr>
        <w:pStyle w:val="FigureNotes"/>
        <w:spacing w:after="120"/>
      </w:pPr>
    </w:p>
    <w:p w14:paraId="1634A771" w14:textId="07B49D29" w:rsidR="005905FE" w:rsidRPr="003A4F79" w:rsidRDefault="005905FE" w:rsidP="005C0BAA">
      <w:pPr>
        <w:ind w:firstLine="0"/>
        <w:jc w:val="center"/>
      </w:pPr>
    </w:p>
    <w:p w14:paraId="71D0DB73" w14:textId="77777777" w:rsidR="00423F74" w:rsidRPr="003A4F79" w:rsidRDefault="00194309" w:rsidP="00423F74">
      <w:pPr>
        <w:pStyle w:val="FigureCaption"/>
        <w:jc w:val="left"/>
      </w:pPr>
      <w:r w:rsidRPr="003A4F79">
        <w:rPr>
          <w:szCs w:val="23"/>
        </w:rPr>
        <w:br w:type="page"/>
      </w:r>
      <w:r w:rsidR="00423F74" w:rsidRPr="003A4F79">
        <w:lastRenderedPageBreak/>
        <w:t>Table 5</w:t>
      </w:r>
    </w:p>
    <w:p w14:paraId="06030BEA" w14:textId="16FE256A" w:rsidR="00423F74" w:rsidRPr="003A4F79" w:rsidRDefault="00423F74" w:rsidP="00423F74">
      <w:pPr>
        <w:pStyle w:val="FigureCaption"/>
        <w:jc w:val="left"/>
        <w:rPr>
          <w:b/>
          <w:szCs w:val="24"/>
        </w:rPr>
      </w:pPr>
      <w:r w:rsidRPr="003A4F79">
        <w:rPr>
          <w:b/>
        </w:rPr>
        <w:t>Beyond initial returns: Reali</w:t>
      </w:r>
      <w:r w:rsidR="00C95B94" w:rsidRPr="003A4F79">
        <w:rPr>
          <w:b/>
        </w:rPr>
        <w:t>s</w:t>
      </w:r>
      <w:r w:rsidRPr="003A4F79">
        <w:rPr>
          <w:b/>
        </w:rPr>
        <w:t>ed returns</w:t>
      </w:r>
    </w:p>
    <w:p w14:paraId="4AA8F9D0" w14:textId="77777777" w:rsidR="000B5B5B" w:rsidRPr="003A4F79" w:rsidRDefault="000B5B5B" w:rsidP="000B5B5B">
      <w:pPr>
        <w:pStyle w:val="FigureNotes"/>
        <w:spacing w:after="120"/>
        <w:rPr>
          <w:noProof/>
          <w:lang w:eastAsia="en-GB"/>
        </w:rPr>
      </w:pPr>
      <w:r w:rsidRPr="003A4F79">
        <w:t xml:space="preserve">Estimated coefficients are reported from the following multi-period </w:t>
      </w:r>
      <w:r w:rsidRPr="003A4F79">
        <w:rPr>
          <w:noProof/>
          <w:lang w:eastAsia="en-GB"/>
        </w:rPr>
        <w:t>(monthly) logit regression:</w:t>
      </w:r>
    </w:p>
    <w:p w14:paraId="4F8489E9" w14:textId="7FD48C19" w:rsidR="000B5B5B" w:rsidRPr="003A4F79" w:rsidRDefault="000B5B5B" w:rsidP="000B5B5B">
      <w:pPr>
        <w:pStyle w:val="FigureNotes"/>
        <w:spacing w:after="120"/>
        <w:jc w:val="center"/>
        <w:rPr>
          <w:i/>
        </w:rPr>
      </w:pPr>
      <w:r w:rsidRPr="003A4F79">
        <w:rPr>
          <w:i/>
        </w:rPr>
        <w:t>Logit(Re-entry</w:t>
      </w:r>
      <w:r w:rsidRPr="003A4F79">
        <w:rPr>
          <w:i/>
          <w:vertAlign w:val="subscript"/>
        </w:rPr>
        <w:t>i,t</w:t>
      </w:r>
      <w:r w:rsidRPr="003A4F79">
        <w:rPr>
          <w:i/>
        </w:rPr>
        <w:t>)</w:t>
      </w:r>
      <w:r w:rsidRPr="003A4F79">
        <w:rPr>
          <w:i/>
          <w:vertAlign w:val="subscript"/>
        </w:rPr>
        <w:t xml:space="preserve"> </w:t>
      </w:r>
      <w:r w:rsidRPr="003A4F79">
        <w:rPr>
          <w:i/>
        </w:rPr>
        <w:t>=  β</w:t>
      </w:r>
      <w:r w:rsidRPr="003A4F79">
        <w:rPr>
          <w:i/>
          <w:vertAlign w:val="subscript"/>
        </w:rPr>
        <w:t>0</w:t>
      </w:r>
      <w:r w:rsidRPr="003A4F79">
        <w:rPr>
          <w:i/>
        </w:rPr>
        <w:t xml:space="preserve"> + β</w:t>
      </w:r>
      <w:r w:rsidRPr="003A4F79">
        <w:rPr>
          <w:i/>
          <w:vertAlign w:val="subscript"/>
        </w:rPr>
        <w:t>1</w:t>
      </w:r>
      <w:r w:rsidRPr="003A4F79">
        <w:rPr>
          <w:i/>
        </w:rPr>
        <w:t>IniRet</w:t>
      </w:r>
      <w:r w:rsidRPr="003A4F79">
        <w:rPr>
          <w:i/>
          <w:vertAlign w:val="subscript"/>
        </w:rPr>
        <w:t>i</w:t>
      </w:r>
      <w:r w:rsidRPr="003A4F79">
        <w:rPr>
          <w:i/>
        </w:rPr>
        <w:t xml:space="preserve"> + β</w:t>
      </w:r>
      <w:r w:rsidRPr="003A4F79">
        <w:rPr>
          <w:i/>
          <w:vertAlign w:val="subscript"/>
        </w:rPr>
        <w:t>2</w:t>
      </w:r>
      <w:r w:rsidRPr="003A4F79">
        <w:rPr>
          <w:i/>
        </w:rPr>
        <w:t>AllRet</w:t>
      </w:r>
      <w:r w:rsidRPr="003A4F79">
        <w:rPr>
          <w:i/>
          <w:vertAlign w:val="subscript"/>
        </w:rPr>
        <w:t>i</w:t>
      </w:r>
      <w:r w:rsidRPr="003A4F79">
        <w:rPr>
          <w:i/>
        </w:rPr>
        <w:t xml:space="preserve">  + β</w:t>
      </w:r>
      <w:r w:rsidRPr="003A4F79">
        <w:rPr>
          <w:i/>
          <w:vertAlign w:val="subscript"/>
        </w:rPr>
        <w:t>3</w:t>
      </w:r>
      <w:r w:rsidRPr="003A4F79">
        <w:rPr>
          <w:i/>
        </w:rPr>
        <w:t>RecRet</w:t>
      </w:r>
      <w:r w:rsidRPr="003A4F79">
        <w:rPr>
          <w:i/>
          <w:vertAlign w:val="subscript"/>
        </w:rPr>
        <w:t>i</w:t>
      </w:r>
      <w:r w:rsidRPr="003A4F79">
        <w:rPr>
          <w:i/>
        </w:rPr>
        <w:t xml:space="preserve">  +</w:t>
      </w:r>
      <w:r w:rsidR="0044537B" w:rsidRPr="003A4F79">
        <w:rPr>
          <w:i/>
        </w:rPr>
        <w:t xml:space="preserve"> β</w:t>
      </w:r>
      <w:r w:rsidR="0044537B" w:rsidRPr="003A4F79">
        <w:rPr>
          <w:i/>
          <w:vertAlign w:val="subscript"/>
        </w:rPr>
        <w:t>4</w:t>
      </w:r>
      <w:r w:rsidR="0044537B" w:rsidRPr="003A4F79">
        <w:rPr>
          <w:i/>
        </w:rPr>
        <w:t>RealRet</w:t>
      </w:r>
      <w:r w:rsidR="0044537B" w:rsidRPr="003A4F79">
        <w:rPr>
          <w:i/>
          <w:vertAlign w:val="subscript"/>
        </w:rPr>
        <w:t>i</w:t>
      </w:r>
      <w:r w:rsidR="0044537B" w:rsidRPr="003A4F79">
        <w:rPr>
          <w:i/>
        </w:rPr>
        <w:t xml:space="preserve"> +</w:t>
      </w:r>
      <w:r w:rsidRPr="003A4F79">
        <w:rPr>
          <w:i/>
        </w:rPr>
        <w:t xml:space="preserve"> β</w:t>
      </w:r>
      <w:r w:rsidR="0044537B" w:rsidRPr="003A4F79">
        <w:rPr>
          <w:i/>
          <w:vertAlign w:val="subscript"/>
        </w:rPr>
        <w:t>5</w:t>
      </w:r>
      <w:r w:rsidRPr="003A4F79">
        <w:rPr>
          <w:i/>
        </w:rPr>
        <w:t>DurAway</w:t>
      </w:r>
      <w:r w:rsidRPr="003A4F79">
        <w:rPr>
          <w:i/>
          <w:vertAlign w:val="subscript"/>
        </w:rPr>
        <w:t>i,t</w:t>
      </w:r>
      <w:r w:rsidRPr="003A4F79">
        <w:rPr>
          <w:i/>
        </w:rPr>
        <w:t xml:space="preserve"> +</w:t>
      </w:r>
      <w:r w:rsidRPr="003A4F79">
        <w:rPr>
          <w:b/>
          <w:i/>
        </w:rPr>
        <w:t xml:space="preserve"> </w:t>
      </w:r>
      <w:r w:rsidRPr="003A4F79">
        <w:rPr>
          <w:i/>
        </w:rPr>
        <w:t>β</w:t>
      </w:r>
      <w:r w:rsidR="0044537B" w:rsidRPr="003A4F79">
        <w:rPr>
          <w:i/>
          <w:vertAlign w:val="subscript"/>
        </w:rPr>
        <w:t>6</w:t>
      </w:r>
      <w:r w:rsidRPr="003A4F79">
        <w:rPr>
          <w:i/>
        </w:rPr>
        <w:t>Controls</w:t>
      </w:r>
      <w:r w:rsidRPr="003A4F79">
        <w:rPr>
          <w:i/>
          <w:vertAlign w:val="subscript"/>
        </w:rPr>
        <w:t>i,t</w:t>
      </w:r>
    </w:p>
    <w:p w14:paraId="2AAB9852" w14:textId="7389FC27" w:rsidR="000B5B5B" w:rsidRPr="003A4F79" w:rsidRDefault="000B5B5B" w:rsidP="000B5B5B">
      <w:pPr>
        <w:pStyle w:val="FigureNotes"/>
        <w:spacing w:after="120"/>
        <w:jc w:val="center"/>
        <w:rPr>
          <w:i/>
        </w:rPr>
      </w:pPr>
      <w:r w:rsidRPr="003A4F79">
        <w:rPr>
          <w:i/>
        </w:rPr>
        <w:t>+ (investment size fixed effect)+(zip-code fixed effect) +(exit month fixed effect)</w:t>
      </w:r>
      <w:r w:rsidR="0044537B" w:rsidRPr="003A4F79">
        <w:rPr>
          <w:i/>
        </w:rPr>
        <w:t xml:space="preserve"> +(year fixed effect) </w:t>
      </w:r>
      <w:r w:rsidRPr="003A4F79">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13FF521D" w14:textId="2EEE0A95" w:rsidR="000B5B5B" w:rsidRPr="003A4F79" w:rsidRDefault="000B5B5B" w:rsidP="000B5B5B">
      <w:pPr>
        <w:pStyle w:val="FigureNotes"/>
      </w:pPr>
      <w:r w:rsidRPr="003A4F79">
        <w:rPr>
          <w:i/>
        </w:rPr>
        <w:t>Re-entry</w:t>
      </w:r>
      <w:r w:rsidRPr="003A4F79">
        <w:rPr>
          <w:noProof/>
          <w:lang w:eastAsia="en-GB"/>
        </w:rPr>
        <w:t xml:space="preserve"> equals 1 if investor </w:t>
      </w:r>
      <w:r w:rsidRPr="003A4F79">
        <w:rPr>
          <w:i/>
          <w:noProof/>
          <w:lang w:eastAsia="en-GB"/>
        </w:rPr>
        <w:t>i</w:t>
      </w:r>
      <w:r w:rsidRPr="003A4F79">
        <w:rPr>
          <w:noProof/>
          <w:lang w:eastAsia="en-GB"/>
        </w:rPr>
        <w:t xml:space="preserve"> re-enters the market in month </w:t>
      </w:r>
      <w:r w:rsidRPr="003A4F79">
        <w:rPr>
          <w:i/>
          <w:noProof/>
          <w:lang w:eastAsia="en-GB"/>
        </w:rPr>
        <w:t>t</w:t>
      </w:r>
      <w:r w:rsidRPr="003A4F79">
        <w:rPr>
          <w:noProof/>
          <w:lang w:eastAsia="en-GB"/>
        </w:rPr>
        <w:t xml:space="preserve"> by purchasing any stock at any time after one calendar month of exit, and otherwise is 0. </w:t>
      </w:r>
      <w:r w:rsidRPr="003A4F79">
        <w:rPr>
          <w:i/>
          <w:noProof/>
          <w:lang w:eastAsia="en-GB"/>
        </w:rPr>
        <w:t>IniRet</w:t>
      </w:r>
      <w:r w:rsidRPr="003A4F79">
        <w:rPr>
          <w:noProof/>
          <w:lang w:eastAsia="en-GB"/>
        </w:rPr>
        <w:t>, the main explanatory variable of interest, is the return in the first month of investing.</w:t>
      </w:r>
      <w:r w:rsidRPr="003A4F79">
        <w:t xml:space="preserve"> </w:t>
      </w:r>
      <w:r w:rsidR="00955A0F" w:rsidRPr="003A4F79">
        <w:rPr>
          <w:i/>
          <w:noProof/>
          <w:lang w:eastAsia="en-GB"/>
        </w:rPr>
        <w:t xml:space="preserve">AllRet </w:t>
      </w:r>
      <w:r w:rsidR="00955A0F" w:rsidRPr="003A4F79">
        <w:rPr>
          <w:noProof/>
          <w:lang w:eastAsia="en-GB"/>
        </w:rPr>
        <w:t>is the value-weighted average of monthly returns during the entire period of investing between entry and exit</w:t>
      </w:r>
      <w:r w:rsidRPr="003A4F79">
        <w:rPr>
          <w:noProof/>
          <w:lang w:eastAsia="en-GB"/>
        </w:rPr>
        <w:t xml:space="preserve">, </w:t>
      </w:r>
      <w:r w:rsidRPr="003A4F79">
        <w:rPr>
          <w:i/>
        </w:rPr>
        <w:t>RecRet</w:t>
      </w:r>
      <w:r w:rsidRPr="003A4F79">
        <w:t xml:space="preserve"> is the return in the last month of investing</w:t>
      </w:r>
      <w:r w:rsidR="00B7017A" w:rsidRPr="003A4F79">
        <w:t xml:space="preserve">, and </w:t>
      </w:r>
      <w:r w:rsidR="00B7017A" w:rsidRPr="003A4F79">
        <w:rPr>
          <w:i/>
        </w:rPr>
        <w:t>RealRet</w:t>
      </w:r>
      <w:r w:rsidR="00B7017A" w:rsidRPr="003A4F79">
        <w:t xml:space="preserve"> is the </w:t>
      </w:r>
      <w:r w:rsidR="00955A0F" w:rsidRPr="003A4F79">
        <w:t>reali</w:t>
      </w:r>
      <w:r w:rsidR="00C95B94" w:rsidRPr="003A4F79">
        <w:t>s</w:t>
      </w:r>
      <w:r w:rsidR="00955A0F" w:rsidRPr="003A4F79">
        <w:t xml:space="preserve">ed </w:t>
      </w:r>
      <w:r w:rsidR="00B7017A" w:rsidRPr="003A4F79">
        <w:t>return during the actual period of investing</w:t>
      </w:r>
      <w:r w:rsidRPr="003A4F79">
        <w:rPr>
          <w:noProof/>
          <w:lang w:eastAsia="en-GB"/>
        </w:rPr>
        <w:t xml:space="preserve">. </w:t>
      </w:r>
      <w:r w:rsidRPr="003A4F79">
        <w:rPr>
          <w:i/>
        </w:rPr>
        <w:t>DurAway</w:t>
      </w:r>
      <w:r w:rsidRPr="003A4F79">
        <w:t xml:space="preserve"> is length of time (in months) for which an investor is away from the stock market, i.e., time between exit month and month </w:t>
      </w:r>
      <w:r w:rsidRPr="003A4F79">
        <w:rPr>
          <w:i/>
        </w:rPr>
        <w:t>t</w:t>
      </w:r>
      <w:r w:rsidRPr="003A4F79">
        <w:t xml:space="preserve">. We account for the fixed effects of investment size, location of residency, and exit time by including dummies for portfolio holding quintiles, 100 different zip codes, and 105 different exit months, respectively: </w:t>
      </w:r>
      <w:r w:rsidRPr="003A4F79">
        <w:rPr>
          <w:i/>
        </w:rPr>
        <w:t xml:space="preserve">Investment size fixed effect </w:t>
      </w:r>
      <w:r w:rsidRPr="003A4F79">
        <w:t xml:space="preserve">uses five dummy variables indicating quintiles of average portfolio holdings; </w:t>
      </w:r>
      <w:r w:rsidRPr="003A4F79">
        <w:rPr>
          <w:i/>
        </w:rPr>
        <w:t xml:space="preserve">Zip-code fixed effect </w:t>
      </w:r>
      <w:r w:rsidRPr="003A4F79">
        <w:t xml:space="preserve">is based on 100 dummy variables for districts in Finland; and </w:t>
      </w:r>
      <w:r w:rsidRPr="003A4F79">
        <w:rPr>
          <w:i/>
        </w:rPr>
        <w:t>Exit month fixed effect</w:t>
      </w:r>
      <w:r w:rsidRPr="003A4F79">
        <w:t xml:space="preserve"> controls for 105 dummy variables indicating the calendar month of exit</w:t>
      </w:r>
      <w:r w:rsidR="00007E7D" w:rsidRPr="003A4F79">
        <w:t xml:space="preserve">; </w:t>
      </w:r>
      <w:r w:rsidR="00007E7D" w:rsidRPr="003A4F79">
        <w:rPr>
          <w:i/>
        </w:rPr>
        <w:t xml:space="preserve">Year fixed effect </w:t>
      </w:r>
      <w:r w:rsidR="00007E7D" w:rsidRPr="003A4F79">
        <w:t>is accounted for by controlling for 8 year dummy variables indicating the calendar year</w:t>
      </w:r>
      <w:r w:rsidRPr="003A4F79">
        <w:t xml:space="preserve">. </w:t>
      </w:r>
      <w:r w:rsidRPr="003A4F79">
        <w:rPr>
          <w:i/>
        </w:rPr>
        <w:t xml:space="preserve">Controls </w:t>
      </w:r>
      <w:r w:rsidRPr="003A4F79">
        <w:t xml:space="preserve">include the following variables. </w:t>
      </w:r>
      <w:r w:rsidRPr="003A4F79">
        <w:rPr>
          <w:i/>
        </w:rPr>
        <w:t>InvSiz</w:t>
      </w:r>
      <w:r w:rsidRPr="003A4F79">
        <w:t xml:space="preserve"> is investment size, defined as the log of average portfolio holdings. </w:t>
      </w:r>
      <w:r w:rsidRPr="003A4F79">
        <w:rPr>
          <w:i/>
        </w:rPr>
        <w:t>ZeroTrd</w:t>
      </w:r>
      <w:r w:rsidRPr="003A4F79">
        <w:t xml:space="preserve"> is a dummy variable that equals 1 if the investor does not trade between initial purchase and market exit, and 0 otherwise. </w:t>
      </w:r>
      <w:r w:rsidRPr="003A4F79">
        <w:rPr>
          <w:i/>
        </w:rPr>
        <w:t>SglStock</w:t>
      </w:r>
      <w:r w:rsidRPr="003A4F79">
        <w:t xml:space="preserve"> is a dummy variable that equals 1 if the investor only owns one stock. </w:t>
      </w:r>
      <w:r w:rsidRPr="003A4F79">
        <w:rPr>
          <w:i/>
        </w:rPr>
        <w:t>Nokia</w:t>
      </w:r>
      <w:r w:rsidRPr="003A4F79">
        <w:t xml:space="preserve"> is a dummy variable equal to 1 if an investor initiates investment by purchasing Nokia stock</w:t>
      </w:r>
      <w:r w:rsidRPr="003A4F79">
        <w:rPr>
          <w:i/>
        </w:rPr>
        <w:t xml:space="preserve">. MktRet </w:t>
      </w:r>
      <w:r w:rsidRPr="003A4F79">
        <w:t>and</w:t>
      </w:r>
      <w:r w:rsidRPr="003A4F79">
        <w:rPr>
          <w:i/>
        </w:rPr>
        <w:t xml:space="preserve"> MktVol</w:t>
      </w:r>
      <w:r w:rsidRPr="003A4F79">
        <w:t xml:space="preserve"> are the monthly return and volatility</w:t>
      </w:r>
      <w:r w:rsidR="008B71E0" w:rsidRPr="003A4F79">
        <w:t xml:space="preserve"> volatility (standard deviation of daily returns)</w:t>
      </w:r>
      <w:r w:rsidRPr="003A4F79">
        <w:t xml:space="preserve"> on the Finnish stock market (OMX Helsinki Index). </w:t>
      </w:r>
      <w:r w:rsidRPr="003A4F79">
        <w:rPr>
          <w:i/>
        </w:rPr>
        <w:t>Age</w:t>
      </w:r>
      <w:r w:rsidRPr="003A4F79">
        <w:t xml:space="preserve"> is investor age (in years) at the beginning of the sample. </w:t>
      </w:r>
      <w:r w:rsidRPr="003A4F79">
        <w:rPr>
          <w:i/>
        </w:rPr>
        <w:t>Female</w:t>
      </w:r>
      <w:r w:rsidRPr="003A4F79">
        <w:t xml:space="preserve"> is a dummy variable that equals 1 if investor gender is female. </w:t>
      </w:r>
      <w:r w:rsidRPr="003A4F79">
        <w:rPr>
          <w:i/>
        </w:rPr>
        <w:t>Minor</w:t>
      </w:r>
      <w:r w:rsidRPr="003A4F79">
        <w:t xml:space="preserve"> is a dummy variable that equals 1 </w:t>
      </w:r>
      <w:r w:rsidRPr="003A4F79">
        <w:rPr>
          <w:lang w:eastAsia="en-GB"/>
        </w:rPr>
        <w:t>if the account holder is below 16 years of age</w:t>
      </w:r>
      <w:r w:rsidRPr="003A4F79">
        <w:t xml:space="preserve">. </w:t>
      </w:r>
      <w:r w:rsidRPr="003A4F79">
        <w:rPr>
          <w:i/>
        </w:rPr>
        <w:t xml:space="preserve">Burst </w:t>
      </w:r>
      <w:r w:rsidRPr="003A4F79">
        <w:t xml:space="preserve">is a dummy variable, defined as 1 if the time is after the dotcom bubble burst (April 2000). The Wald chi-square of the Wald test for the model fit is reported in the model fit column. Robust standard errors, presented in parentheses, are clustered at </w:t>
      </w:r>
      <w:r w:rsidR="00DD608A" w:rsidRPr="003A4F79">
        <w:t xml:space="preserve">the </w:t>
      </w:r>
      <w:r w:rsidRPr="003A4F79">
        <w:t xml:space="preserve">investor level: </w:t>
      </w:r>
      <w:r w:rsidRPr="003A4F79">
        <w:rPr>
          <w:rFonts w:ascii="Cambria Math" w:hAnsi="Cambria Math" w:cs="Cambria Math"/>
        </w:rPr>
        <w:t>∗∗∗</w:t>
      </w:r>
      <w:r w:rsidRPr="003A4F79">
        <w:t xml:space="preserve">, </w:t>
      </w:r>
      <w:r w:rsidRPr="003A4F79">
        <w:rPr>
          <w:rFonts w:ascii="Cambria Math" w:hAnsi="Cambria Math" w:cs="Cambria Math"/>
        </w:rPr>
        <w:t>∗∗</w:t>
      </w:r>
      <w:r w:rsidRPr="003A4F79">
        <w:t xml:space="preserve">, and </w:t>
      </w:r>
      <w:r w:rsidRPr="003A4F79">
        <w:rPr>
          <w:rFonts w:ascii="Cambria Math" w:hAnsi="Cambria Math" w:cs="Cambria Math"/>
        </w:rPr>
        <w:t>∗</w:t>
      </w:r>
      <w:r w:rsidRPr="003A4F79">
        <w:t xml:space="preserve"> denote statistical significance at </w:t>
      </w:r>
      <w:r w:rsidR="00DD608A" w:rsidRPr="003A4F79">
        <w:t xml:space="preserve">the </w:t>
      </w:r>
      <w:r w:rsidRPr="003A4F79">
        <w:t>1%, 5%, and 10% levels. There are 276,470 investor-months (9,435 investors) in the sample.</w:t>
      </w:r>
    </w:p>
    <w:p w14:paraId="70F542C5" w14:textId="77777777" w:rsidR="00254265" w:rsidRPr="003A4F79" w:rsidRDefault="00254265">
      <w:pPr>
        <w:spacing w:line="240" w:lineRule="auto"/>
        <w:ind w:firstLine="0"/>
        <w:jc w:val="left"/>
      </w:pPr>
      <w:r w:rsidRPr="003A4F79">
        <w:br w:type="page"/>
      </w:r>
    </w:p>
    <w:tbl>
      <w:tblPr>
        <w:tblW w:w="7700" w:type="dxa"/>
        <w:jc w:val="center"/>
        <w:tblLook w:val="04A0" w:firstRow="1" w:lastRow="0" w:firstColumn="1" w:lastColumn="0" w:noHBand="0" w:noVBand="1"/>
      </w:tblPr>
      <w:tblGrid>
        <w:gridCol w:w="3060"/>
        <w:gridCol w:w="1216"/>
        <w:gridCol w:w="1216"/>
        <w:gridCol w:w="1216"/>
        <w:gridCol w:w="1216"/>
      </w:tblGrid>
      <w:tr w:rsidR="003A4F79" w:rsidRPr="003A4F79" w14:paraId="22B7747A" w14:textId="77777777" w:rsidTr="00254265">
        <w:trPr>
          <w:trHeight w:val="255"/>
          <w:jc w:val="center"/>
        </w:trPr>
        <w:tc>
          <w:tcPr>
            <w:tcW w:w="3060" w:type="dxa"/>
            <w:tcBorders>
              <w:top w:val="single" w:sz="4" w:space="0" w:color="auto"/>
              <w:left w:val="nil"/>
              <w:bottom w:val="nil"/>
              <w:right w:val="nil"/>
            </w:tcBorders>
            <w:shd w:val="clear" w:color="auto" w:fill="auto"/>
            <w:noWrap/>
            <w:vAlign w:val="bottom"/>
            <w:hideMark/>
          </w:tcPr>
          <w:p w14:paraId="2E63653E"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lastRenderedPageBreak/>
              <w:t> </w:t>
            </w:r>
          </w:p>
        </w:tc>
        <w:tc>
          <w:tcPr>
            <w:tcW w:w="1160" w:type="dxa"/>
            <w:tcBorders>
              <w:top w:val="single" w:sz="4" w:space="0" w:color="auto"/>
              <w:left w:val="nil"/>
              <w:bottom w:val="single" w:sz="4" w:space="0" w:color="auto"/>
              <w:right w:val="nil"/>
            </w:tcBorders>
            <w:shd w:val="clear" w:color="auto" w:fill="auto"/>
            <w:noWrap/>
            <w:vAlign w:val="bottom"/>
            <w:hideMark/>
          </w:tcPr>
          <w:p w14:paraId="362FCF72"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63360CAC"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2B910E88"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76E74E6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4</w:t>
            </w:r>
          </w:p>
        </w:tc>
      </w:tr>
      <w:tr w:rsidR="003A4F79" w:rsidRPr="003A4F79" w14:paraId="785E0442"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72FC227E"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VARIABLES</w:t>
            </w:r>
          </w:p>
        </w:tc>
        <w:tc>
          <w:tcPr>
            <w:tcW w:w="4640" w:type="dxa"/>
            <w:gridSpan w:val="4"/>
            <w:tcBorders>
              <w:top w:val="nil"/>
              <w:left w:val="nil"/>
              <w:bottom w:val="single" w:sz="4" w:space="0" w:color="auto"/>
              <w:right w:val="nil"/>
            </w:tcBorders>
            <w:shd w:val="clear" w:color="auto" w:fill="auto"/>
            <w:noWrap/>
            <w:vAlign w:val="bottom"/>
            <w:hideMark/>
          </w:tcPr>
          <w:p w14:paraId="4DC42220"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Re-entry</w:t>
            </w:r>
          </w:p>
        </w:tc>
      </w:tr>
      <w:tr w:rsidR="003A4F79" w:rsidRPr="003A4F79" w14:paraId="2BD6637E" w14:textId="77777777" w:rsidTr="00254265">
        <w:trPr>
          <w:trHeight w:val="255"/>
          <w:jc w:val="center"/>
        </w:trPr>
        <w:tc>
          <w:tcPr>
            <w:tcW w:w="3060" w:type="dxa"/>
            <w:tcBorders>
              <w:top w:val="single" w:sz="4" w:space="0" w:color="auto"/>
              <w:left w:val="nil"/>
              <w:bottom w:val="nil"/>
              <w:right w:val="nil"/>
            </w:tcBorders>
            <w:shd w:val="clear" w:color="auto" w:fill="auto"/>
            <w:noWrap/>
            <w:vAlign w:val="bottom"/>
            <w:hideMark/>
          </w:tcPr>
          <w:p w14:paraId="49D641A0"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3BA07576"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15C6FDA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0DFD6B40"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4E083497"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r>
      <w:tr w:rsidR="003A4F79" w:rsidRPr="003A4F79" w14:paraId="705CF183"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5AB39C0F"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w:t>
            </w:r>
          </w:p>
        </w:tc>
        <w:tc>
          <w:tcPr>
            <w:tcW w:w="1160" w:type="dxa"/>
            <w:tcBorders>
              <w:top w:val="nil"/>
              <w:left w:val="nil"/>
              <w:bottom w:val="nil"/>
              <w:right w:val="nil"/>
            </w:tcBorders>
            <w:shd w:val="clear" w:color="auto" w:fill="auto"/>
            <w:noWrap/>
            <w:vAlign w:val="bottom"/>
            <w:hideMark/>
          </w:tcPr>
          <w:p w14:paraId="3776C9A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1.6234***</w:t>
            </w:r>
          </w:p>
        </w:tc>
        <w:tc>
          <w:tcPr>
            <w:tcW w:w="1160" w:type="dxa"/>
            <w:tcBorders>
              <w:top w:val="nil"/>
              <w:left w:val="nil"/>
              <w:bottom w:val="nil"/>
              <w:right w:val="nil"/>
            </w:tcBorders>
            <w:shd w:val="clear" w:color="auto" w:fill="auto"/>
            <w:noWrap/>
            <w:vAlign w:val="bottom"/>
            <w:hideMark/>
          </w:tcPr>
          <w:p w14:paraId="6322320D"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1.6033***</w:t>
            </w:r>
          </w:p>
        </w:tc>
        <w:tc>
          <w:tcPr>
            <w:tcW w:w="1160" w:type="dxa"/>
            <w:tcBorders>
              <w:top w:val="nil"/>
              <w:left w:val="nil"/>
              <w:bottom w:val="nil"/>
              <w:right w:val="nil"/>
            </w:tcBorders>
            <w:shd w:val="clear" w:color="auto" w:fill="auto"/>
            <w:noWrap/>
            <w:vAlign w:val="bottom"/>
            <w:hideMark/>
          </w:tcPr>
          <w:p w14:paraId="31E713A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1.6552***</w:t>
            </w:r>
          </w:p>
        </w:tc>
        <w:tc>
          <w:tcPr>
            <w:tcW w:w="1160" w:type="dxa"/>
            <w:tcBorders>
              <w:top w:val="nil"/>
              <w:left w:val="nil"/>
              <w:bottom w:val="nil"/>
              <w:right w:val="nil"/>
            </w:tcBorders>
            <w:shd w:val="clear" w:color="auto" w:fill="auto"/>
            <w:noWrap/>
            <w:vAlign w:val="bottom"/>
            <w:hideMark/>
          </w:tcPr>
          <w:p w14:paraId="08E911CF"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1.4357**</w:t>
            </w:r>
          </w:p>
        </w:tc>
      </w:tr>
      <w:tr w:rsidR="003A4F79" w:rsidRPr="003A4F79" w14:paraId="21BE7254"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38AA1B16"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0DDF56E"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(3.17)</w:t>
            </w:r>
          </w:p>
        </w:tc>
        <w:tc>
          <w:tcPr>
            <w:tcW w:w="1160" w:type="dxa"/>
            <w:tcBorders>
              <w:top w:val="nil"/>
              <w:left w:val="nil"/>
              <w:bottom w:val="nil"/>
              <w:right w:val="nil"/>
            </w:tcBorders>
            <w:shd w:val="clear" w:color="auto" w:fill="auto"/>
            <w:noWrap/>
            <w:vAlign w:val="bottom"/>
            <w:hideMark/>
          </w:tcPr>
          <w:p w14:paraId="0E1D600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(3.08)</w:t>
            </w:r>
          </w:p>
        </w:tc>
        <w:tc>
          <w:tcPr>
            <w:tcW w:w="1160" w:type="dxa"/>
            <w:tcBorders>
              <w:top w:val="nil"/>
              <w:left w:val="nil"/>
              <w:bottom w:val="nil"/>
              <w:right w:val="nil"/>
            </w:tcBorders>
            <w:shd w:val="clear" w:color="auto" w:fill="auto"/>
            <w:noWrap/>
            <w:vAlign w:val="bottom"/>
            <w:hideMark/>
          </w:tcPr>
          <w:p w14:paraId="17F95864"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(3.42)</w:t>
            </w:r>
          </w:p>
        </w:tc>
        <w:tc>
          <w:tcPr>
            <w:tcW w:w="1160" w:type="dxa"/>
            <w:tcBorders>
              <w:top w:val="nil"/>
              <w:left w:val="nil"/>
              <w:bottom w:val="nil"/>
              <w:right w:val="nil"/>
            </w:tcBorders>
            <w:shd w:val="clear" w:color="auto" w:fill="auto"/>
            <w:noWrap/>
            <w:vAlign w:val="bottom"/>
            <w:hideMark/>
          </w:tcPr>
          <w:p w14:paraId="53C0AD1F"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(2.32)</w:t>
            </w:r>
          </w:p>
        </w:tc>
      </w:tr>
      <w:tr w:rsidR="003A4F79" w:rsidRPr="003A4F79" w14:paraId="62DF78D8"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2234C1DB"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AllRet</w:t>
            </w:r>
          </w:p>
        </w:tc>
        <w:tc>
          <w:tcPr>
            <w:tcW w:w="1160" w:type="dxa"/>
            <w:tcBorders>
              <w:top w:val="nil"/>
              <w:left w:val="nil"/>
              <w:bottom w:val="nil"/>
              <w:right w:val="nil"/>
            </w:tcBorders>
            <w:shd w:val="clear" w:color="auto" w:fill="auto"/>
            <w:noWrap/>
            <w:vAlign w:val="bottom"/>
            <w:hideMark/>
          </w:tcPr>
          <w:p w14:paraId="5CFDB10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1.0248</w:t>
            </w:r>
          </w:p>
        </w:tc>
        <w:tc>
          <w:tcPr>
            <w:tcW w:w="1160" w:type="dxa"/>
            <w:tcBorders>
              <w:top w:val="nil"/>
              <w:left w:val="nil"/>
              <w:bottom w:val="nil"/>
              <w:right w:val="nil"/>
            </w:tcBorders>
            <w:shd w:val="clear" w:color="auto" w:fill="auto"/>
            <w:noWrap/>
            <w:vAlign w:val="bottom"/>
            <w:hideMark/>
          </w:tcPr>
          <w:p w14:paraId="0B7CEB14"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0.9819</w:t>
            </w:r>
          </w:p>
        </w:tc>
        <w:tc>
          <w:tcPr>
            <w:tcW w:w="1160" w:type="dxa"/>
            <w:tcBorders>
              <w:top w:val="nil"/>
              <w:left w:val="nil"/>
              <w:bottom w:val="nil"/>
              <w:right w:val="nil"/>
            </w:tcBorders>
            <w:shd w:val="clear" w:color="auto" w:fill="auto"/>
            <w:noWrap/>
            <w:vAlign w:val="bottom"/>
            <w:hideMark/>
          </w:tcPr>
          <w:p w14:paraId="52532512"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0.9006</w:t>
            </w:r>
          </w:p>
        </w:tc>
        <w:tc>
          <w:tcPr>
            <w:tcW w:w="1160" w:type="dxa"/>
            <w:tcBorders>
              <w:top w:val="nil"/>
              <w:left w:val="nil"/>
              <w:bottom w:val="nil"/>
              <w:right w:val="nil"/>
            </w:tcBorders>
            <w:shd w:val="clear" w:color="auto" w:fill="auto"/>
            <w:noWrap/>
            <w:vAlign w:val="bottom"/>
            <w:hideMark/>
          </w:tcPr>
          <w:p w14:paraId="5AC21654"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0.8780</w:t>
            </w:r>
          </w:p>
        </w:tc>
      </w:tr>
      <w:tr w:rsidR="003A4F79" w:rsidRPr="003A4F79" w14:paraId="05EED4C3"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322BD8A0"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7224A04"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(0.09)</w:t>
            </w:r>
          </w:p>
        </w:tc>
        <w:tc>
          <w:tcPr>
            <w:tcW w:w="1160" w:type="dxa"/>
            <w:tcBorders>
              <w:top w:val="nil"/>
              <w:left w:val="nil"/>
              <w:bottom w:val="nil"/>
              <w:right w:val="nil"/>
            </w:tcBorders>
            <w:shd w:val="clear" w:color="auto" w:fill="auto"/>
            <w:noWrap/>
            <w:vAlign w:val="bottom"/>
            <w:hideMark/>
          </w:tcPr>
          <w:p w14:paraId="597E57C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(-0.06)</w:t>
            </w:r>
          </w:p>
        </w:tc>
        <w:tc>
          <w:tcPr>
            <w:tcW w:w="1160" w:type="dxa"/>
            <w:tcBorders>
              <w:top w:val="nil"/>
              <w:left w:val="nil"/>
              <w:bottom w:val="nil"/>
              <w:right w:val="nil"/>
            </w:tcBorders>
            <w:shd w:val="clear" w:color="auto" w:fill="auto"/>
            <w:noWrap/>
            <w:vAlign w:val="bottom"/>
            <w:hideMark/>
          </w:tcPr>
          <w:p w14:paraId="5EF9CBA6"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(-0.59)</w:t>
            </w:r>
          </w:p>
        </w:tc>
        <w:tc>
          <w:tcPr>
            <w:tcW w:w="1160" w:type="dxa"/>
            <w:tcBorders>
              <w:top w:val="nil"/>
              <w:left w:val="nil"/>
              <w:bottom w:val="nil"/>
              <w:right w:val="nil"/>
            </w:tcBorders>
            <w:shd w:val="clear" w:color="auto" w:fill="auto"/>
            <w:noWrap/>
            <w:vAlign w:val="bottom"/>
            <w:hideMark/>
          </w:tcPr>
          <w:p w14:paraId="30068A27"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(-0.57)</w:t>
            </w:r>
          </w:p>
        </w:tc>
      </w:tr>
      <w:tr w:rsidR="003A4F79" w:rsidRPr="003A4F79" w14:paraId="5840EC5C"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3664E11B"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RecRet</w:t>
            </w:r>
          </w:p>
        </w:tc>
        <w:tc>
          <w:tcPr>
            <w:tcW w:w="1160" w:type="dxa"/>
            <w:tcBorders>
              <w:top w:val="nil"/>
              <w:left w:val="nil"/>
              <w:bottom w:val="nil"/>
              <w:right w:val="nil"/>
            </w:tcBorders>
            <w:shd w:val="clear" w:color="auto" w:fill="auto"/>
            <w:noWrap/>
            <w:vAlign w:val="bottom"/>
            <w:hideMark/>
          </w:tcPr>
          <w:p w14:paraId="571C9F5A"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0.9897</w:t>
            </w:r>
          </w:p>
        </w:tc>
        <w:tc>
          <w:tcPr>
            <w:tcW w:w="1160" w:type="dxa"/>
            <w:tcBorders>
              <w:top w:val="nil"/>
              <w:left w:val="nil"/>
              <w:bottom w:val="nil"/>
              <w:right w:val="nil"/>
            </w:tcBorders>
            <w:shd w:val="clear" w:color="auto" w:fill="auto"/>
            <w:noWrap/>
            <w:vAlign w:val="bottom"/>
            <w:hideMark/>
          </w:tcPr>
          <w:p w14:paraId="001A11AC"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1.0107</w:t>
            </w:r>
          </w:p>
        </w:tc>
        <w:tc>
          <w:tcPr>
            <w:tcW w:w="1160" w:type="dxa"/>
            <w:tcBorders>
              <w:top w:val="nil"/>
              <w:left w:val="nil"/>
              <w:bottom w:val="nil"/>
              <w:right w:val="nil"/>
            </w:tcBorders>
            <w:shd w:val="clear" w:color="auto" w:fill="auto"/>
            <w:noWrap/>
            <w:vAlign w:val="bottom"/>
            <w:hideMark/>
          </w:tcPr>
          <w:p w14:paraId="03249C06"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1.0650</w:t>
            </w:r>
          </w:p>
        </w:tc>
        <w:tc>
          <w:tcPr>
            <w:tcW w:w="1160" w:type="dxa"/>
            <w:tcBorders>
              <w:top w:val="nil"/>
              <w:left w:val="nil"/>
              <w:bottom w:val="nil"/>
              <w:right w:val="nil"/>
            </w:tcBorders>
            <w:shd w:val="clear" w:color="auto" w:fill="auto"/>
            <w:noWrap/>
            <w:vAlign w:val="bottom"/>
            <w:hideMark/>
          </w:tcPr>
          <w:p w14:paraId="2E824FEC"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1.0743</w:t>
            </w:r>
          </w:p>
        </w:tc>
      </w:tr>
      <w:tr w:rsidR="003A4F79" w:rsidRPr="003A4F79" w14:paraId="18C9ECB1"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4DB864FE"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607451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w:t>
            </w:r>
          </w:p>
        </w:tc>
        <w:tc>
          <w:tcPr>
            <w:tcW w:w="1160" w:type="dxa"/>
            <w:tcBorders>
              <w:top w:val="nil"/>
              <w:left w:val="nil"/>
              <w:bottom w:val="nil"/>
              <w:right w:val="nil"/>
            </w:tcBorders>
            <w:shd w:val="clear" w:color="auto" w:fill="auto"/>
            <w:noWrap/>
            <w:vAlign w:val="bottom"/>
            <w:hideMark/>
          </w:tcPr>
          <w:p w14:paraId="4FF2042E"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w:t>
            </w:r>
          </w:p>
        </w:tc>
        <w:tc>
          <w:tcPr>
            <w:tcW w:w="1160" w:type="dxa"/>
            <w:tcBorders>
              <w:top w:val="nil"/>
              <w:left w:val="nil"/>
              <w:bottom w:val="nil"/>
              <w:right w:val="nil"/>
            </w:tcBorders>
            <w:shd w:val="clear" w:color="auto" w:fill="auto"/>
            <w:noWrap/>
            <w:vAlign w:val="bottom"/>
            <w:hideMark/>
          </w:tcPr>
          <w:p w14:paraId="1297327A"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(0.71)</w:t>
            </w:r>
          </w:p>
        </w:tc>
        <w:tc>
          <w:tcPr>
            <w:tcW w:w="1160" w:type="dxa"/>
            <w:tcBorders>
              <w:top w:val="nil"/>
              <w:left w:val="nil"/>
              <w:bottom w:val="nil"/>
              <w:right w:val="nil"/>
            </w:tcBorders>
            <w:shd w:val="clear" w:color="auto" w:fill="auto"/>
            <w:noWrap/>
            <w:vAlign w:val="bottom"/>
            <w:hideMark/>
          </w:tcPr>
          <w:p w14:paraId="4D783D06"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(0.63)</w:t>
            </w:r>
          </w:p>
        </w:tc>
      </w:tr>
      <w:tr w:rsidR="003A4F79" w:rsidRPr="003A4F79" w14:paraId="2DB9EB24"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58A1027"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RealRet</w:t>
            </w:r>
          </w:p>
        </w:tc>
        <w:tc>
          <w:tcPr>
            <w:tcW w:w="1160" w:type="dxa"/>
            <w:tcBorders>
              <w:top w:val="nil"/>
              <w:left w:val="nil"/>
              <w:bottom w:val="nil"/>
              <w:right w:val="nil"/>
            </w:tcBorders>
            <w:shd w:val="clear" w:color="auto" w:fill="auto"/>
            <w:noWrap/>
            <w:vAlign w:val="bottom"/>
            <w:hideMark/>
          </w:tcPr>
          <w:p w14:paraId="6C9A7771"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1.0436*</w:t>
            </w:r>
          </w:p>
        </w:tc>
        <w:tc>
          <w:tcPr>
            <w:tcW w:w="1160" w:type="dxa"/>
            <w:tcBorders>
              <w:top w:val="nil"/>
              <w:left w:val="nil"/>
              <w:bottom w:val="nil"/>
              <w:right w:val="nil"/>
            </w:tcBorders>
            <w:shd w:val="clear" w:color="auto" w:fill="auto"/>
            <w:noWrap/>
            <w:vAlign w:val="bottom"/>
            <w:hideMark/>
          </w:tcPr>
          <w:p w14:paraId="7CE50AA1"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1.0452*</w:t>
            </w:r>
          </w:p>
        </w:tc>
        <w:tc>
          <w:tcPr>
            <w:tcW w:w="1160" w:type="dxa"/>
            <w:tcBorders>
              <w:top w:val="nil"/>
              <w:left w:val="nil"/>
              <w:bottom w:val="nil"/>
              <w:right w:val="nil"/>
            </w:tcBorders>
            <w:shd w:val="clear" w:color="auto" w:fill="auto"/>
            <w:noWrap/>
            <w:vAlign w:val="bottom"/>
            <w:hideMark/>
          </w:tcPr>
          <w:p w14:paraId="79D5C7EF"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1.0754***</w:t>
            </w:r>
          </w:p>
        </w:tc>
        <w:tc>
          <w:tcPr>
            <w:tcW w:w="1160" w:type="dxa"/>
            <w:tcBorders>
              <w:top w:val="nil"/>
              <w:left w:val="nil"/>
              <w:bottom w:val="nil"/>
              <w:right w:val="nil"/>
            </w:tcBorders>
            <w:shd w:val="clear" w:color="auto" w:fill="auto"/>
            <w:noWrap/>
            <w:vAlign w:val="bottom"/>
            <w:hideMark/>
          </w:tcPr>
          <w:p w14:paraId="196408FF"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1.0673***</w:t>
            </w:r>
          </w:p>
        </w:tc>
      </w:tr>
      <w:tr w:rsidR="003A4F79" w:rsidRPr="003A4F79" w14:paraId="77D3D0AA"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507E890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15B1621"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(1.73)</w:t>
            </w:r>
          </w:p>
        </w:tc>
        <w:tc>
          <w:tcPr>
            <w:tcW w:w="1160" w:type="dxa"/>
            <w:tcBorders>
              <w:top w:val="nil"/>
              <w:left w:val="nil"/>
              <w:bottom w:val="nil"/>
              <w:right w:val="nil"/>
            </w:tcBorders>
            <w:shd w:val="clear" w:color="auto" w:fill="auto"/>
            <w:noWrap/>
            <w:vAlign w:val="bottom"/>
            <w:hideMark/>
          </w:tcPr>
          <w:p w14:paraId="3E6CA1E4"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(1.80)</w:t>
            </w:r>
          </w:p>
        </w:tc>
        <w:tc>
          <w:tcPr>
            <w:tcW w:w="1160" w:type="dxa"/>
            <w:tcBorders>
              <w:top w:val="nil"/>
              <w:left w:val="nil"/>
              <w:bottom w:val="nil"/>
              <w:right w:val="nil"/>
            </w:tcBorders>
            <w:shd w:val="clear" w:color="auto" w:fill="auto"/>
            <w:noWrap/>
            <w:vAlign w:val="bottom"/>
            <w:hideMark/>
          </w:tcPr>
          <w:p w14:paraId="688B809E"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(3.17)</w:t>
            </w:r>
          </w:p>
        </w:tc>
        <w:tc>
          <w:tcPr>
            <w:tcW w:w="1160" w:type="dxa"/>
            <w:tcBorders>
              <w:top w:val="nil"/>
              <w:left w:val="nil"/>
              <w:bottom w:val="nil"/>
              <w:right w:val="nil"/>
            </w:tcBorders>
            <w:shd w:val="clear" w:color="auto" w:fill="auto"/>
            <w:noWrap/>
            <w:vAlign w:val="bottom"/>
            <w:hideMark/>
          </w:tcPr>
          <w:p w14:paraId="4AD2109A"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(2.77)</w:t>
            </w:r>
          </w:p>
        </w:tc>
      </w:tr>
      <w:tr w:rsidR="003A4F79" w:rsidRPr="003A4F79" w14:paraId="64CFB689"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3F8F91B"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InvSiz</w:t>
            </w:r>
          </w:p>
        </w:tc>
        <w:tc>
          <w:tcPr>
            <w:tcW w:w="1160" w:type="dxa"/>
            <w:tcBorders>
              <w:top w:val="nil"/>
              <w:left w:val="nil"/>
              <w:bottom w:val="nil"/>
              <w:right w:val="nil"/>
            </w:tcBorders>
            <w:shd w:val="clear" w:color="auto" w:fill="auto"/>
            <w:noWrap/>
            <w:vAlign w:val="bottom"/>
            <w:hideMark/>
          </w:tcPr>
          <w:p w14:paraId="51793149"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164AB5E"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1.2329***</w:t>
            </w:r>
          </w:p>
        </w:tc>
        <w:tc>
          <w:tcPr>
            <w:tcW w:w="1160" w:type="dxa"/>
            <w:tcBorders>
              <w:top w:val="nil"/>
              <w:left w:val="nil"/>
              <w:bottom w:val="nil"/>
              <w:right w:val="nil"/>
            </w:tcBorders>
            <w:shd w:val="clear" w:color="auto" w:fill="auto"/>
            <w:noWrap/>
            <w:vAlign w:val="bottom"/>
            <w:hideMark/>
          </w:tcPr>
          <w:p w14:paraId="7E0EF38F"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1.2161***</w:t>
            </w:r>
          </w:p>
        </w:tc>
        <w:tc>
          <w:tcPr>
            <w:tcW w:w="1160" w:type="dxa"/>
            <w:tcBorders>
              <w:top w:val="nil"/>
              <w:left w:val="nil"/>
              <w:bottom w:val="nil"/>
              <w:right w:val="nil"/>
            </w:tcBorders>
            <w:shd w:val="clear" w:color="auto" w:fill="auto"/>
            <w:noWrap/>
            <w:vAlign w:val="bottom"/>
            <w:hideMark/>
          </w:tcPr>
          <w:p w14:paraId="1EA2C0EB"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1.1751***</w:t>
            </w:r>
          </w:p>
        </w:tc>
      </w:tr>
      <w:tr w:rsidR="003A4F79" w:rsidRPr="003A4F79" w14:paraId="6E4D1F88"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0F9A845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5D36D32"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B10F979"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(5.29)</w:t>
            </w:r>
          </w:p>
        </w:tc>
        <w:tc>
          <w:tcPr>
            <w:tcW w:w="1160" w:type="dxa"/>
            <w:tcBorders>
              <w:top w:val="nil"/>
              <w:left w:val="nil"/>
              <w:bottom w:val="nil"/>
              <w:right w:val="nil"/>
            </w:tcBorders>
            <w:shd w:val="clear" w:color="auto" w:fill="auto"/>
            <w:noWrap/>
            <w:vAlign w:val="bottom"/>
            <w:hideMark/>
          </w:tcPr>
          <w:p w14:paraId="253F566C"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(4.53)</w:t>
            </w:r>
          </w:p>
        </w:tc>
        <w:tc>
          <w:tcPr>
            <w:tcW w:w="1160" w:type="dxa"/>
            <w:tcBorders>
              <w:top w:val="nil"/>
              <w:left w:val="nil"/>
              <w:bottom w:val="nil"/>
              <w:right w:val="nil"/>
            </w:tcBorders>
            <w:shd w:val="clear" w:color="auto" w:fill="auto"/>
            <w:noWrap/>
            <w:vAlign w:val="bottom"/>
            <w:hideMark/>
          </w:tcPr>
          <w:p w14:paraId="09E3414F"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(3.75)</w:t>
            </w:r>
          </w:p>
        </w:tc>
      </w:tr>
      <w:tr w:rsidR="003A4F79" w:rsidRPr="003A4F79" w14:paraId="4D4CDBE3"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FBF8837"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w:t>
            </w:r>
          </w:p>
        </w:tc>
        <w:tc>
          <w:tcPr>
            <w:tcW w:w="1160" w:type="dxa"/>
            <w:tcBorders>
              <w:top w:val="nil"/>
              <w:left w:val="nil"/>
              <w:bottom w:val="nil"/>
              <w:right w:val="nil"/>
            </w:tcBorders>
            <w:shd w:val="clear" w:color="auto" w:fill="auto"/>
            <w:noWrap/>
            <w:vAlign w:val="bottom"/>
            <w:hideMark/>
          </w:tcPr>
          <w:p w14:paraId="11D9575D"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9F932CC"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81E95CC"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0.2865***</w:t>
            </w:r>
          </w:p>
        </w:tc>
        <w:tc>
          <w:tcPr>
            <w:tcW w:w="1160" w:type="dxa"/>
            <w:tcBorders>
              <w:top w:val="nil"/>
              <w:left w:val="nil"/>
              <w:bottom w:val="nil"/>
              <w:right w:val="nil"/>
            </w:tcBorders>
            <w:shd w:val="clear" w:color="auto" w:fill="auto"/>
            <w:noWrap/>
            <w:vAlign w:val="bottom"/>
            <w:hideMark/>
          </w:tcPr>
          <w:p w14:paraId="58659D3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0.3065***</w:t>
            </w:r>
          </w:p>
        </w:tc>
      </w:tr>
      <w:tr w:rsidR="003A4F79" w:rsidRPr="003A4F79" w14:paraId="758D4EA6"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89C60F2"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23FD059"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528B529"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5BA9CAB"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(-12.26)</w:t>
            </w:r>
          </w:p>
        </w:tc>
        <w:tc>
          <w:tcPr>
            <w:tcW w:w="1160" w:type="dxa"/>
            <w:tcBorders>
              <w:top w:val="nil"/>
              <w:left w:val="nil"/>
              <w:bottom w:val="nil"/>
              <w:right w:val="nil"/>
            </w:tcBorders>
            <w:shd w:val="clear" w:color="auto" w:fill="auto"/>
            <w:noWrap/>
            <w:vAlign w:val="bottom"/>
            <w:hideMark/>
          </w:tcPr>
          <w:p w14:paraId="03191D7F"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(-11.63)</w:t>
            </w:r>
          </w:p>
        </w:tc>
      </w:tr>
      <w:tr w:rsidR="003A4F79" w:rsidRPr="003A4F79" w14:paraId="164EFDEE"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490F3B61"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ZeroTrd</w:t>
            </w:r>
          </w:p>
        </w:tc>
        <w:tc>
          <w:tcPr>
            <w:tcW w:w="1160" w:type="dxa"/>
            <w:tcBorders>
              <w:top w:val="nil"/>
              <w:left w:val="nil"/>
              <w:bottom w:val="nil"/>
              <w:right w:val="nil"/>
            </w:tcBorders>
            <w:shd w:val="clear" w:color="auto" w:fill="auto"/>
            <w:noWrap/>
            <w:vAlign w:val="bottom"/>
            <w:hideMark/>
          </w:tcPr>
          <w:p w14:paraId="6865D991"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6588E02"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E4C9FA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2.8450***</w:t>
            </w:r>
          </w:p>
        </w:tc>
        <w:tc>
          <w:tcPr>
            <w:tcW w:w="1160" w:type="dxa"/>
            <w:tcBorders>
              <w:top w:val="nil"/>
              <w:left w:val="nil"/>
              <w:bottom w:val="nil"/>
              <w:right w:val="nil"/>
            </w:tcBorders>
            <w:shd w:val="clear" w:color="auto" w:fill="auto"/>
            <w:noWrap/>
            <w:vAlign w:val="bottom"/>
            <w:hideMark/>
          </w:tcPr>
          <w:p w14:paraId="4C954A44"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2.7359***</w:t>
            </w:r>
          </w:p>
        </w:tc>
      </w:tr>
      <w:tr w:rsidR="003A4F79" w:rsidRPr="003A4F79" w14:paraId="300A85EF"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6F704429"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0F3DBA5"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63E216E"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89566A7"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(21.59)</w:t>
            </w:r>
          </w:p>
        </w:tc>
        <w:tc>
          <w:tcPr>
            <w:tcW w:w="1160" w:type="dxa"/>
            <w:tcBorders>
              <w:top w:val="nil"/>
              <w:left w:val="nil"/>
              <w:bottom w:val="nil"/>
              <w:right w:val="nil"/>
            </w:tcBorders>
            <w:shd w:val="clear" w:color="auto" w:fill="auto"/>
            <w:noWrap/>
            <w:vAlign w:val="bottom"/>
            <w:hideMark/>
          </w:tcPr>
          <w:p w14:paraId="169011E0"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(20.66)</w:t>
            </w:r>
          </w:p>
        </w:tc>
      </w:tr>
      <w:tr w:rsidR="003A4F79" w:rsidRPr="003A4F79" w14:paraId="11574FCE"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EC0E736"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 × ZeroTrd</w:t>
            </w:r>
          </w:p>
        </w:tc>
        <w:tc>
          <w:tcPr>
            <w:tcW w:w="1160" w:type="dxa"/>
            <w:tcBorders>
              <w:top w:val="nil"/>
              <w:left w:val="nil"/>
              <w:bottom w:val="nil"/>
              <w:right w:val="nil"/>
            </w:tcBorders>
            <w:shd w:val="clear" w:color="auto" w:fill="auto"/>
            <w:noWrap/>
            <w:vAlign w:val="bottom"/>
            <w:hideMark/>
          </w:tcPr>
          <w:p w14:paraId="6972BDBC"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1E5BB32"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54B6E91"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0.2533***</w:t>
            </w:r>
          </w:p>
        </w:tc>
        <w:tc>
          <w:tcPr>
            <w:tcW w:w="1160" w:type="dxa"/>
            <w:tcBorders>
              <w:top w:val="nil"/>
              <w:left w:val="nil"/>
              <w:bottom w:val="nil"/>
              <w:right w:val="nil"/>
            </w:tcBorders>
            <w:shd w:val="clear" w:color="auto" w:fill="auto"/>
            <w:noWrap/>
            <w:vAlign w:val="bottom"/>
            <w:hideMark/>
          </w:tcPr>
          <w:p w14:paraId="09DD7ED4"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0.2692***</w:t>
            </w:r>
          </w:p>
        </w:tc>
      </w:tr>
      <w:tr w:rsidR="003A4F79" w:rsidRPr="003A4F79" w14:paraId="1D94501F"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5D9D3B92"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403308B"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96A42E7"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C955BE1"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(-12.02)</w:t>
            </w:r>
          </w:p>
        </w:tc>
        <w:tc>
          <w:tcPr>
            <w:tcW w:w="1160" w:type="dxa"/>
            <w:tcBorders>
              <w:top w:val="nil"/>
              <w:left w:val="nil"/>
              <w:bottom w:val="nil"/>
              <w:right w:val="nil"/>
            </w:tcBorders>
            <w:shd w:val="clear" w:color="auto" w:fill="auto"/>
            <w:noWrap/>
            <w:vAlign w:val="bottom"/>
            <w:hideMark/>
          </w:tcPr>
          <w:p w14:paraId="48F296E9"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(-11.54)</w:t>
            </w:r>
          </w:p>
        </w:tc>
      </w:tr>
      <w:tr w:rsidR="003A4F79" w:rsidRPr="003A4F79" w14:paraId="3D0BB63F"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5DD2892E"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Nokia</w:t>
            </w:r>
          </w:p>
        </w:tc>
        <w:tc>
          <w:tcPr>
            <w:tcW w:w="1160" w:type="dxa"/>
            <w:tcBorders>
              <w:top w:val="nil"/>
              <w:left w:val="nil"/>
              <w:bottom w:val="nil"/>
              <w:right w:val="nil"/>
            </w:tcBorders>
            <w:shd w:val="clear" w:color="auto" w:fill="auto"/>
            <w:noWrap/>
            <w:vAlign w:val="bottom"/>
            <w:hideMark/>
          </w:tcPr>
          <w:p w14:paraId="70E59455"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2786CED"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0F7973D"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571E284"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1.9965***</w:t>
            </w:r>
          </w:p>
        </w:tc>
      </w:tr>
      <w:tr w:rsidR="003A4F79" w:rsidRPr="003A4F79" w14:paraId="6B04C3A3"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055B75FE"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0CA425B"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A604F90"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BD90B20"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08C8CDD"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(17.37)</w:t>
            </w:r>
          </w:p>
        </w:tc>
      </w:tr>
      <w:tr w:rsidR="003A4F79" w:rsidRPr="003A4F79" w14:paraId="07B24C22"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30D23DC0"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MktRet</w:t>
            </w:r>
          </w:p>
        </w:tc>
        <w:tc>
          <w:tcPr>
            <w:tcW w:w="1160" w:type="dxa"/>
            <w:tcBorders>
              <w:top w:val="nil"/>
              <w:left w:val="nil"/>
              <w:bottom w:val="nil"/>
              <w:right w:val="nil"/>
            </w:tcBorders>
            <w:shd w:val="clear" w:color="auto" w:fill="auto"/>
            <w:noWrap/>
            <w:vAlign w:val="bottom"/>
            <w:hideMark/>
          </w:tcPr>
          <w:p w14:paraId="0C97BA3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0.4711***</w:t>
            </w:r>
          </w:p>
        </w:tc>
        <w:tc>
          <w:tcPr>
            <w:tcW w:w="1160" w:type="dxa"/>
            <w:tcBorders>
              <w:top w:val="nil"/>
              <w:left w:val="nil"/>
              <w:bottom w:val="nil"/>
              <w:right w:val="nil"/>
            </w:tcBorders>
            <w:shd w:val="clear" w:color="auto" w:fill="auto"/>
            <w:noWrap/>
            <w:vAlign w:val="bottom"/>
            <w:hideMark/>
          </w:tcPr>
          <w:p w14:paraId="33CF335C"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0.4716***</w:t>
            </w:r>
          </w:p>
        </w:tc>
        <w:tc>
          <w:tcPr>
            <w:tcW w:w="1160" w:type="dxa"/>
            <w:tcBorders>
              <w:top w:val="nil"/>
              <w:left w:val="nil"/>
              <w:bottom w:val="nil"/>
              <w:right w:val="nil"/>
            </w:tcBorders>
            <w:shd w:val="clear" w:color="auto" w:fill="auto"/>
            <w:noWrap/>
            <w:vAlign w:val="bottom"/>
            <w:hideMark/>
          </w:tcPr>
          <w:p w14:paraId="2EF21B6D"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0.4349***</w:t>
            </w:r>
          </w:p>
        </w:tc>
        <w:tc>
          <w:tcPr>
            <w:tcW w:w="1160" w:type="dxa"/>
            <w:tcBorders>
              <w:top w:val="nil"/>
              <w:left w:val="nil"/>
              <w:bottom w:val="nil"/>
              <w:right w:val="nil"/>
            </w:tcBorders>
            <w:shd w:val="clear" w:color="auto" w:fill="auto"/>
            <w:noWrap/>
            <w:vAlign w:val="bottom"/>
            <w:hideMark/>
          </w:tcPr>
          <w:p w14:paraId="1912F79F"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0.4215***</w:t>
            </w:r>
          </w:p>
        </w:tc>
      </w:tr>
      <w:tr w:rsidR="003A4F79" w:rsidRPr="003A4F79" w14:paraId="3E712497"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5E1F5EC2"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483315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(-4.45)</w:t>
            </w:r>
          </w:p>
        </w:tc>
        <w:tc>
          <w:tcPr>
            <w:tcW w:w="1160" w:type="dxa"/>
            <w:tcBorders>
              <w:top w:val="nil"/>
              <w:left w:val="nil"/>
              <w:bottom w:val="nil"/>
              <w:right w:val="nil"/>
            </w:tcBorders>
            <w:shd w:val="clear" w:color="auto" w:fill="auto"/>
            <w:noWrap/>
            <w:vAlign w:val="bottom"/>
            <w:hideMark/>
          </w:tcPr>
          <w:p w14:paraId="6808898E"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(-4.44)</w:t>
            </w:r>
          </w:p>
        </w:tc>
        <w:tc>
          <w:tcPr>
            <w:tcW w:w="1160" w:type="dxa"/>
            <w:tcBorders>
              <w:top w:val="nil"/>
              <w:left w:val="nil"/>
              <w:bottom w:val="nil"/>
              <w:right w:val="nil"/>
            </w:tcBorders>
            <w:shd w:val="clear" w:color="auto" w:fill="auto"/>
            <w:noWrap/>
            <w:vAlign w:val="bottom"/>
            <w:hideMark/>
          </w:tcPr>
          <w:p w14:paraId="2A91FA3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(-4.83)</w:t>
            </w:r>
          </w:p>
        </w:tc>
        <w:tc>
          <w:tcPr>
            <w:tcW w:w="1160" w:type="dxa"/>
            <w:tcBorders>
              <w:top w:val="nil"/>
              <w:left w:val="nil"/>
              <w:bottom w:val="nil"/>
              <w:right w:val="nil"/>
            </w:tcBorders>
            <w:shd w:val="clear" w:color="auto" w:fill="auto"/>
            <w:noWrap/>
            <w:vAlign w:val="bottom"/>
            <w:hideMark/>
          </w:tcPr>
          <w:p w14:paraId="3D389321"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(-5.00)</w:t>
            </w:r>
          </w:p>
        </w:tc>
      </w:tr>
      <w:tr w:rsidR="003A4F79" w:rsidRPr="003A4F79" w14:paraId="3CEAA19A"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5959943"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MktVol</w:t>
            </w:r>
          </w:p>
        </w:tc>
        <w:tc>
          <w:tcPr>
            <w:tcW w:w="1160" w:type="dxa"/>
            <w:tcBorders>
              <w:top w:val="nil"/>
              <w:left w:val="nil"/>
              <w:bottom w:val="nil"/>
              <w:right w:val="nil"/>
            </w:tcBorders>
            <w:shd w:val="clear" w:color="auto" w:fill="auto"/>
            <w:noWrap/>
            <w:vAlign w:val="bottom"/>
            <w:hideMark/>
          </w:tcPr>
          <w:p w14:paraId="2725621A"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0.4710</w:t>
            </w:r>
          </w:p>
        </w:tc>
        <w:tc>
          <w:tcPr>
            <w:tcW w:w="1160" w:type="dxa"/>
            <w:tcBorders>
              <w:top w:val="nil"/>
              <w:left w:val="nil"/>
              <w:bottom w:val="nil"/>
              <w:right w:val="nil"/>
            </w:tcBorders>
            <w:shd w:val="clear" w:color="auto" w:fill="auto"/>
            <w:noWrap/>
            <w:vAlign w:val="bottom"/>
            <w:hideMark/>
          </w:tcPr>
          <w:p w14:paraId="60315337"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0.4702</w:t>
            </w:r>
          </w:p>
        </w:tc>
        <w:tc>
          <w:tcPr>
            <w:tcW w:w="1160" w:type="dxa"/>
            <w:tcBorders>
              <w:top w:val="nil"/>
              <w:left w:val="nil"/>
              <w:bottom w:val="nil"/>
              <w:right w:val="nil"/>
            </w:tcBorders>
            <w:shd w:val="clear" w:color="auto" w:fill="auto"/>
            <w:noWrap/>
            <w:vAlign w:val="bottom"/>
            <w:hideMark/>
          </w:tcPr>
          <w:p w14:paraId="5F5241AA"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0.4113</w:t>
            </w:r>
          </w:p>
        </w:tc>
        <w:tc>
          <w:tcPr>
            <w:tcW w:w="1160" w:type="dxa"/>
            <w:tcBorders>
              <w:top w:val="nil"/>
              <w:left w:val="nil"/>
              <w:bottom w:val="nil"/>
              <w:right w:val="nil"/>
            </w:tcBorders>
            <w:shd w:val="clear" w:color="auto" w:fill="auto"/>
            <w:noWrap/>
            <w:vAlign w:val="bottom"/>
            <w:hideMark/>
          </w:tcPr>
          <w:p w14:paraId="71AE0B0B"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0.3997</w:t>
            </w:r>
          </w:p>
        </w:tc>
      </w:tr>
      <w:tr w:rsidR="003A4F79" w:rsidRPr="003A4F79" w14:paraId="5F3E3F9C"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0466D7C"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8E2EE08"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(-1.19)</w:t>
            </w:r>
          </w:p>
        </w:tc>
        <w:tc>
          <w:tcPr>
            <w:tcW w:w="1160" w:type="dxa"/>
            <w:tcBorders>
              <w:top w:val="nil"/>
              <w:left w:val="nil"/>
              <w:bottom w:val="nil"/>
              <w:right w:val="nil"/>
            </w:tcBorders>
            <w:shd w:val="clear" w:color="auto" w:fill="auto"/>
            <w:noWrap/>
            <w:vAlign w:val="bottom"/>
            <w:hideMark/>
          </w:tcPr>
          <w:p w14:paraId="34D2ADC1"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(-1.20)</w:t>
            </w:r>
          </w:p>
        </w:tc>
        <w:tc>
          <w:tcPr>
            <w:tcW w:w="1160" w:type="dxa"/>
            <w:tcBorders>
              <w:top w:val="nil"/>
              <w:left w:val="nil"/>
              <w:bottom w:val="nil"/>
              <w:right w:val="nil"/>
            </w:tcBorders>
            <w:shd w:val="clear" w:color="auto" w:fill="auto"/>
            <w:noWrap/>
            <w:vAlign w:val="bottom"/>
            <w:hideMark/>
          </w:tcPr>
          <w:p w14:paraId="1160A0E7"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(-1.36)</w:t>
            </w:r>
          </w:p>
        </w:tc>
        <w:tc>
          <w:tcPr>
            <w:tcW w:w="1160" w:type="dxa"/>
            <w:tcBorders>
              <w:top w:val="nil"/>
              <w:left w:val="nil"/>
              <w:bottom w:val="nil"/>
              <w:right w:val="nil"/>
            </w:tcBorders>
            <w:shd w:val="clear" w:color="auto" w:fill="auto"/>
            <w:noWrap/>
            <w:vAlign w:val="bottom"/>
            <w:hideMark/>
          </w:tcPr>
          <w:p w14:paraId="430984F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(-1.40)</w:t>
            </w:r>
          </w:p>
        </w:tc>
      </w:tr>
      <w:tr w:rsidR="003A4F79" w:rsidRPr="003A4F79" w14:paraId="2D7C42D3"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721B1BA3"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Female</w:t>
            </w:r>
          </w:p>
        </w:tc>
        <w:tc>
          <w:tcPr>
            <w:tcW w:w="1160" w:type="dxa"/>
            <w:tcBorders>
              <w:top w:val="nil"/>
              <w:left w:val="nil"/>
              <w:bottom w:val="nil"/>
              <w:right w:val="nil"/>
            </w:tcBorders>
            <w:shd w:val="clear" w:color="auto" w:fill="auto"/>
            <w:noWrap/>
            <w:vAlign w:val="bottom"/>
            <w:hideMark/>
          </w:tcPr>
          <w:p w14:paraId="15001F7F"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0.7388***</w:t>
            </w:r>
          </w:p>
        </w:tc>
        <w:tc>
          <w:tcPr>
            <w:tcW w:w="1160" w:type="dxa"/>
            <w:tcBorders>
              <w:top w:val="nil"/>
              <w:left w:val="nil"/>
              <w:bottom w:val="nil"/>
              <w:right w:val="nil"/>
            </w:tcBorders>
            <w:shd w:val="clear" w:color="auto" w:fill="auto"/>
            <w:noWrap/>
            <w:vAlign w:val="bottom"/>
            <w:hideMark/>
          </w:tcPr>
          <w:p w14:paraId="40C5188A"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0.7402***</w:t>
            </w:r>
          </w:p>
        </w:tc>
        <w:tc>
          <w:tcPr>
            <w:tcW w:w="1160" w:type="dxa"/>
            <w:tcBorders>
              <w:top w:val="nil"/>
              <w:left w:val="nil"/>
              <w:bottom w:val="nil"/>
              <w:right w:val="nil"/>
            </w:tcBorders>
            <w:shd w:val="clear" w:color="auto" w:fill="auto"/>
            <w:noWrap/>
            <w:vAlign w:val="bottom"/>
            <w:hideMark/>
          </w:tcPr>
          <w:p w14:paraId="644B31F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0.9226*</w:t>
            </w:r>
          </w:p>
        </w:tc>
        <w:tc>
          <w:tcPr>
            <w:tcW w:w="1160" w:type="dxa"/>
            <w:tcBorders>
              <w:top w:val="nil"/>
              <w:left w:val="nil"/>
              <w:bottom w:val="nil"/>
              <w:right w:val="nil"/>
            </w:tcBorders>
            <w:shd w:val="clear" w:color="auto" w:fill="auto"/>
            <w:noWrap/>
            <w:vAlign w:val="bottom"/>
            <w:hideMark/>
          </w:tcPr>
          <w:p w14:paraId="33C87D50"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0.9150**</w:t>
            </w:r>
          </w:p>
        </w:tc>
      </w:tr>
      <w:tr w:rsidR="003A4F79" w:rsidRPr="003A4F79" w14:paraId="180D3BD5"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31C6D8D"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4A365FB"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(-7.11)</w:t>
            </w:r>
          </w:p>
        </w:tc>
        <w:tc>
          <w:tcPr>
            <w:tcW w:w="1160" w:type="dxa"/>
            <w:tcBorders>
              <w:top w:val="nil"/>
              <w:left w:val="nil"/>
              <w:bottom w:val="nil"/>
              <w:right w:val="nil"/>
            </w:tcBorders>
            <w:shd w:val="clear" w:color="auto" w:fill="auto"/>
            <w:noWrap/>
            <w:vAlign w:val="bottom"/>
            <w:hideMark/>
          </w:tcPr>
          <w:p w14:paraId="4B8C2B0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(-7.06)</w:t>
            </w:r>
          </w:p>
        </w:tc>
        <w:tc>
          <w:tcPr>
            <w:tcW w:w="1160" w:type="dxa"/>
            <w:tcBorders>
              <w:top w:val="nil"/>
              <w:left w:val="nil"/>
              <w:bottom w:val="nil"/>
              <w:right w:val="nil"/>
            </w:tcBorders>
            <w:shd w:val="clear" w:color="auto" w:fill="auto"/>
            <w:noWrap/>
            <w:vAlign w:val="bottom"/>
            <w:hideMark/>
          </w:tcPr>
          <w:p w14:paraId="5B5B3AAD"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(-1.85)</w:t>
            </w:r>
          </w:p>
        </w:tc>
        <w:tc>
          <w:tcPr>
            <w:tcW w:w="1160" w:type="dxa"/>
            <w:tcBorders>
              <w:top w:val="nil"/>
              <w:left w:val="nil"/>
              <w:bottom w:val="nil"/>
              <w:right w:val="nil"/>
            </w:tcBorders>
            <w:shd w:val="clear" w:color="auto" w:fill="auto"/>
            <w:noWrap/>
            <w:vAlign w:val="bottom"/>
            <w:hideMark/>
          </w:tcPr>
          <w:p w14:paraId="55E6F336"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(-2.04)</w:t>
            </w:r>
          </w:p>
        </w:tc>
      </w:tr>
      <w:tr w:rsidR="003A4F79" w:rsidRPr="003A4F79" w14:paraId="766B629F"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4EBD0C5B"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Age</w:t>
            </w:r>
          </w:p>
        </w:tc>
        <w:tc>
          <w:tcPr>
            <w:tcW w:w="1160" w:type="dxa"/>
            <w:tcBorders>
              <w:top w:val="nil"/>
              <w:left w:val="nil"/>
              <w:bottom w:val="nil"/>
              <w:right w:val="nil"/>
            </w:tcBorders>
            <w:shd w:val="clear" w:color="auto" w:fill="auto"/>
            <w:noWrap/>
            <w:vAlign w:val="bottom"/>
            <w:hideMark/>
          </w:tcPr>
          <w:p w14:paraId="458FDED1"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0.9993</w:t>
            </w:r>
          </w:p>
        </w:tc>
        <w:tc>
          <w:tcPr>
            <w:tcW w:w="1160" w:type="dxa"/>
            <w:tcBorders>
              <w:top w:val="nil"/>
              <w:left w:val="nil"/>
              <w:bottom w:val="nil"/>
              <w:right w:val="nil"/>
            </w:tcBorders>
            <w:shd w:val="clear" w:color="auto" w:fill="auto"/>
            <w:noWrap/>
            <w:vAlign w:val="bottom"/>
            <w:hideMark/>
          </w:tcPr>
          <w:p w14:paraId="3B63D70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0.9990</w:t>
            </w:r>
          </w:p>
        </w:tc>
        <w:tc>
          <w:tcPr>
            <w:tcW w:w="1160" w:type="dxa"/>
            <w:tcBorders>
              <w:top w:val="nil"/>
              <w:left w:val="nil"/>
              <w:bottom w:val="nil"/>
              <w:right w:val="nil"/>
            </w:tcBorders>
            <w:shd w:val="clear" w:color="auto" w:fill="auto"/>
            <w:noWrap/>
            <w:vAlign w:val="bottom"/>
            <w:hideMark/>
          </w:tcPr>
          <w:p w14:paraId="003C54D4"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1.0007</w:t>
            </w:r>
          </w:p>
        </w:tc>
        <w:tc>
          <w:tcPr>
            <w:tcW w:w="1160" w:type="dxa"/>
            <w:tcBorders>
              <w:top w:val="nil"/>
              <w:left w:val="nil"/>
              <w:bottom w:val="nil"/>
              <w:right w:val="nil"/>
            </w:tcBorders>
            <w:shd w:val="clear" w:color="auto" w:fill="auto"/>
            <w:noWrap/>
            <w:vAlign w:val="bottom"/>
            <w:hideMark/>
          </w:tcPr>
          <w:p w14:paraId="258EE81D"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r>
      <w:tr w:rsidR="003A4F79" w:rsidRPr="003A4F79" w14:paraId="0E411011"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0B35DEF"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C274A27"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(-0.59)</w:t>
            </w:r>
          </w:p>
        </w:tc>
        <w:tc>
          <w:tcPr>
            <w:tcW w:w="1160" w:type="dxa"/>
            <w:tcBorders>
              <w:top w:val="nil"/>
              <w:left w:val="nil"/>
              <w:bottom w:val="nil"/>
              <w:right w:val="nil"/>
            </w:tcBorders>
            <w:shd w:val="clear" w:color="auto" w:fill="auto"/>
            <w:noWrap/>
            <w:vAlign w:val="bottom"/>
            <w:hideMark/>
          </w:tcPr>
          <w:p w14:paraId="1A549A14"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(-0.84)</w:t>
            </w:r>
          </w:p>
        </w:tc>
        <w:tc>
          <w:tcPr>
            <w:tcW w:w="1160" w:type="dxa"/>
            <w:tcBorders>
              <w:top w:val="nil"/>
              <w:left w:val="nil"/>
              <w:bottom w:val="nil"/>
              <w:right w:val="nil"/>
            </w:tcBorders>
            <w:shd w:val="clear" w:color="auto" w:fill="auto"/>
            <w:noWrap/>
            <w:vAlign w:val="bottom"/>
            <w:hideMark/>
          </w:tcPr>
          <w:p w14:paraId="3AA7B7EC"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(0.51)</w:t>
            </w:r>
          </w:p>
        </w:tc>
        <w:tc>
          <w:tcPr>
            <w:tcW w:w="1160" w:type="dxa"/>
            <w:tcBorders>
              <w:top w:val="nil"/>
              <w:left w:val="nil"/>
              <w:bottom w:val="nil"/>
              <w:right w:val="nil"/>
            </w:tcBorders>
            <w:shd w:val="clear" w:color="auto" w:fill="auto"/>
            <w:noWrap/>
            <w:vAlign w:val="bottom"/>
            <w:hideMark/>
          </w:tcPr>
          <w:p w14:paraId="4F47BD96"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(0.08)</w:t>
            </w:r>
          </w:p>
        </w:tc>
      </w:tr>
      <w:tr w:rsidR="003A4F79" w:rsidRPr="003A4F79" w14:paraId="6CB9CC5C"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71121737"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Burst</w:t>
            </w:r>
          </w:p>
        </w:tc>
        <w:tc>
          <w:tcPr>
            <w:tcW w:w="1160" w:type="dxa"/>
            <w:tcBorders>
              <w:top w:val="nil"/>
              <w:left w:val="nil"/>
              <w:bottom w:val="nil"/>
              <w:right w:val="nil"/>
            </w:tcBorders>
            <w:shd w:val="clear" w:color="auto" w:fill="auto"/>
            <w:noWrap/>
            <w:vAlign w:val="bottom"/>
            <w:hideMark/>
          </w:tcPr>
          <w:p w14:paraId="5E119E47"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0.4594***</w:t>
            </w:r>
          </w:p>
        </w:tc>
        <w:tc>
          <w:tcPr>
            <w:tcW w:w="1160" w:type="dxa"/>
            <w:tcBorders>
              <w:top w:val="nil"/>
              <w:left w:val="nil"/>
              <w:bottom w:val="nil"/>
              <w:right w:val="nil"/>
            </w:tcBorders>
            <w:shd w:val="clear" w:color="auto" w:fill="auto"/>
            <w:noWrap/>
            <w:vAlign w:val="bottom"/>
            <w:hideMark/>
          </w:tcPr>
          <w:p w14:paraId="64F1E906"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0.4594***</w:t>
            </w:r>
          </w:p>
        </w:tc>
        <w:tc>
          <w:tcPr>
            <w:tcW w:w="1160" w:type="dxa"/>
            <w:tcBorders>
              <w:top w:val="nil"/>
              <w:left w:val="nil"/>
              <w:bottom w:val="nil"/>
              <w:right w:val="nil"/>
            </w:tcBorders>
            <w:shd w:val="clear" w:color="auto" w:fill="auto"/>
            <w:noWrap/>
            <w:vAlign w:val="bottom"/>
            <w:hideMark/>
          </w:tcPr>
          <w:p w14:paraId="2F858637"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0.5387***</w:t>
            </w:r>
          </w:p>
        </w:tc>
        <w:tc>
          <w:tcPr>
            <w:tcW w:w="1160" w:type="dxa"/>
            <w:tcBorders>
              <w:top w:val="nil"/>
              <w:left w:val="nil"/>
              <w:bottom w:val="nil"/>
              <w:right w:val="nil"/>
            </w:tcBorders>
            <w:shd w:val="clear" w:color="auto" w:fill="auto"/>
            <w:noWrap/>
            <w:vAlign w:val="bottom"/>
            <w:hideMark/>
          </w:tcPr>
          <w:p w14:paraId="307AA93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0.5517***</w:t>
            </w:r>
          </w:p>
        </w:tc>
      </w:tr>
      <w:tr w:rsidR="003A4F79" w:rsidRPr="003A4F79" w14:paraId="474B0460"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2EE1E686"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B557B52"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(-10.93)</w:t>
            </w:r>
          </w:p>
        </w:tc>
        <w:tc>
          <w:tcPr>
            <w:tcW w:w="1160" w:type="dxa"/>
            <w:tcBorders>
              <w:top w:val="nil"/>
              <w:left w:val="nil"/>
              <w:bottom w:val="nil"/>
              <w:right w:val="nil"/>
            </w:tcBorders>
            <w:shd w:val="clear" w:color="auto" w:fill="auto"/>
            <w:noWrap/>
            <w:vAlign w:val="bottom"/>
            <w:hideMark/>
          </w:tcPr>
          <w:p w14:paraId="0968CE10"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(-10.93)</w:t>
            </w:r>
          </w:p>
        </w:tc>
        <w:tc>
          <w:tcPr>
            <w:tcW w:w="1160" w:type="dxa"/>
            <w:tcBorders>
              <w:top w:val="nil"/>
              <w:left w:val="nil"/>
              <w:bottom w:val="nil"/>
              <w:right w:val="nil"/>
            </w:tcBorders>
            <w:shd w:val="clear" w:color="auto" w:fill="auto"/>
            <w:noWrap/>
            <w:vAlign w:val="bottom"/>
            <w:hideMark/>
          </w:tcPr>
          <w:p w14:paraId="14B5E40D"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(-8.41)</w:t>
            </w:r>
          </w:p>
        </w:tc>
        <w:tc>
          <w:tcPr>
            <w:tcW w:w="1160" w:type="dxa"/>
            <w:tcBorders>
              <w:top w:val="nil"/>
              <w:left w:val="nil"/>
              <w:bottom w:val="nil"/>
              <w:right w:val="nil"/>
            </w:tcBorders>
            <w:shd w:val="clear" w:color="auto" w:fill="auto"/>
            <w:noWrap/>
            <w:vAlign w:val="bottom"/>
            <w:hideMark/>
          </w:tcPr>
          <w:p w14:paraId="20FA8EF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(-7.98)</w:t>
            </w:r>
          </w:p>
        </w:tc>
      </w:tr>
      <w:tr w:rsidR="003A4F79" w:rsidRPr="003A4F79" w14:paraId="56A80C4A"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23F3B9A2"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DurAway</w:t>
            </w:r>
          </w:p>
        </w:tc>
        <w:tc>
          <w:tcPr>
            <w:tcW w:w="1160" w:type="dxa"/>
            <w:tcBorders>
              <w:top w:val="nil"/>
              <w:left w:val="nil"/>
              <w:bottom w:val="nil"/>
              <w:right w:val="nil"/>
            </w:tcBorders>
            <w:shd w:val="clear" w:color="auto" w:fill="auto"/>
            <w:noWrap/>
            <w:vAlign w:val="bottom"/>
            <w:hideMark/>
          </w:tcPr>
          <w:p w14:paraId="58253EC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0.9470***</w:t>
            </w:r>
          </w:p>
        </w:tc>
        <w:tc>
          <w:tcPr>
            <w:tcW w:w="1160" w:type="dxa"/>
            <w:tcBorders>
              <w:top w:val="nil"/>
              <w:left w:val="nil"/>
              <w:bottom w:val="nil"/>
              <w:right w:val="nil"/>
            </w:tcBorders>
            <w:shd w:val="clear" w:color="auto" w:fill="auto"/>
            <w:noWrap/>
            <w:vAlign w:val="bottom"/>
            <w:hideMark/>
          </w:tcPr>
          <w:p w14:paraId="27E5A08C"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0.9469***</w:t>
            </w:r>
          </w:p>
        </w:tc>
        <w:tc>
          <w:tcPr>
            <w:tcW w:w="1160" w:type="dxa"/>
            <w:tcBorders>
              <w:top w:val="nil"/>
              <w:left w:val="nil"/>
              <w:bottom w:val="nil"/>
              <w:right w:val="nil"/>
            </w:tcBorders>
            <w:shd w:val="clear" w:color="auto" w:fill="auto"/>
            <w:noWrap/>
            <w:vAlign w:val="bottom"/>
            <w:hideMark/>
          </w:tcPr>
          <w:p w14:paraId="2F4CEF4E"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0.9558***</w:t>
            </w:r>
          </w:p>
        </w:tc>
        <w:tc>
          <w:tcPr>
            <w:tcW w:w="1160" w:type="dxa"/>
            <w:tcBorders>
              <w:top w:val="nil"/>
              <w:left w:val="nil"/>
              <w:bottom w:val="nil"/>
              <w:right w:val="nil"/>
            </w:tcBorders>
            <w:shd w:val="clear" w:color="auto" w:fill="auto"/>
            <w:noWrap/>
            <w:vAlign w:val="bottom"/>
            <w:hideMark/>
          </w:tcPr>
          <w:p w14:paraId="3585520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0.9568***</w:t>
            </w:r>
          </w:p>
        </w:tc>
      </w:tr>
      <w:tr w:rsidR="003A4F79" w:rsidRPr="003A4F79" w14:paraId="01020F8F"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07EC4C80"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F3F874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(-24.99)</w:t>
            </w:r>
          </w:p>
        </w:tc>
        <w:tc>
          <w:tcPr>
            <w:tcW w:w="1160" w:type="dxa"/>
            <w:tcBorders>
              <w:top w:val="nil"/>
              <w:left w:val="nil"/>
              <w:bottom w:val="nil"/>
              <w:right w:val="nil"/>
            </w:tcBorders>
            <w:shd w:val="clear" w:color="auto" w:fill="auto"/>
            <w:noWrap/>
            <w:vAlign w:val="bottom"/>
            <w:hideMark/>
          </w:tcPr>
          <w:p w14:paraId="1335217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(-25.03)</w:t>
            </w:r>
          </w:p>
        </w:tc>
        <w:tc>
          <w:tcPr>
            <w:tcW w:w="1160" w:type="dxa"/>
            <w:tcBorders>
              <w:top w:val="nil"/>
              <w:left w:val="nil"/>
              <w:bottom w:val="nil"/>
              <w:right w:val="nil"/>
            </w:tcBorders>
            <w:shd w:val="clear" w:color="auto" w:fill="auto"/>
            <w:noWrap/>
            <w:vAlign w:val="bottom"/>
            <w:hideMark/>
          </w:tcPr>
          <w:p w14:paraId="7851529A"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(-23.17)</w:t>
            </w:r>
          </w:p>
        </w:tc>
        <w:tc>
          <w:tcPr>
            <w:tcW w:w="1160" w:type="dxa"/>
            <w:tcBorders>
              <w:top w:val="nil"/>
              <w:left w:val="nil"/>
              <w:bottom w:val="nil"/>
              <w:right w:val="nil"/>
            </w:tcBorders>
            <w:shd w:val="clear" w:color="auto" w:fill="auto"/>
            <w:noWrap/>
            <w:vAlign w:val="bottom"/>
            <w:hideMark/>
          </w:tcPr>
          <w:p w14:paraId="62DADAA0"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(-23.23)</w:t>
            </w:r>
          </w:p>
        </w:tc>
      </w:tr>
      <w:tr w:rsidR="003A4F79" w:rsidRPr="003A4F79" w14:paraId="5A2D503C"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471B95D9"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85088D1"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49D76D8"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7E509CB"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8B59BF8"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08E24C07"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176BF128"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lastRenderedPageBreak/>
              <w:t>Investment size quintile dummies</w:t>
            </w:r>
          </w:p>
        </w:tc>
        <w:tc>
          <w:tcPr>
            <w:tcW w:w="1160" w:type="dxa"/>
            <w:tcBorders>
              <w:top w:val="nil"/>
              <w:left w:val="nil"/>
              <w:bottom w:val="nil"/>
              <w:right w:val="nil"/>
            </w:tcBorders>
            <w:shd w:val="clear" w:color="auto" w:fill="auto"/>
            <w:noWrap/>
            <w:vAlign w:val="bottom"/>
            <w:hideMark/>
          </w:tcPr>
          <w:p w14:paraId="230F3977"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A1C4AF9"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A74E389"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149D7A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776EE9A5"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6C8B6AC7"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Zip code dummies</w:t>
            </w:r>
          </w:p>
        </w:tc>
        <w:tc>
          <w:tcPr>
            <w:tcW w:w="1160" w:type="dxa"/>
            <w:tcBorders>
              <w:top w:val="nil"/>
              <w:left w:val="nil"/>
              <w:bottom w:val="nil"/>
              <w:right w:val="nil"/>
            </w:tcBorders>
            <w:shd w:val="clear" w:color="auto" w:fill="auto"/>
            <w:noWrap/>
            <w:vAlign w:val="bottom"/>
            <w:hideMark/>
          </w:tcPr>
          <w:p w14:paraId="3B8C4F8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0D33686"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1DF75AB"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4B1E36F"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42AEBB4E"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7506545A"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Exit time dummies</w:t>
            </w:r>
          </w:p>
        </w:tc>
        <w:tc>
          <w:tcPr>
            <w:tcW w:w="1160" w:type="dxa"/>
            <w:tcBorders>
              <w:top w:val="nil"/>
              <w:left w:val="nil"/>
              <w:bottom w:val="nil"/>
              <w:right w:val="nil"/>
            </w:tcBorders>
            <w:shd w:val="clear" w:color="auto" w:fill="auto"/>
            <w:noWrap/>
            <w:vAlign w:val="bottom"/>
            <w:hideMark/>
          </w:tcPr>
          <w:p w14:paraId="0EDEF2D0"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A15E19E"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547D2BE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610973DC"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5EF1D462"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445466E4"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Year dummies</w:t>
            </w:r>
          </w:p>
        </w:tc>
        <w:tc>
          <w:tcPr>
            <w:tcW w:w="1160" w:type="dxa"/>
            <w:tcBorders>
              <w:top w:val="nil"/>
              <w:left w:val="nil"/>
              <w:bottom w:val="nil"/>
              <w:right w:val="nil"/>
            </w:tcBorders>
            <w:shd w:val="clear" w:color="auto" w:fill="auto"/>
            <w:noWrap/>
            <w:vAlign w:val="bottom"/>
            <w:hideMark/>
          </w:tcPr>
          <w:p w14:paraId="74FC2492"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813FCE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1D9501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8E1F147"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28AD70E5"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7E6DAF25"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0E52383"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1904936"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7555052"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EF71A01"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4BE57575"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20D0B8CA"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Robust SE clustered at investor level</w:t>
            </w:r>
          </w:p>
        </w:tc>
        <w:tc>
          <w:tcPr>
            <w:tcW w:w="1160" w:type="dxa"/>
            <w:tcBorders>
              <w:top w:val="nil"/>
              <w:left w:val="nil"/>
              <w:bottom w:val="nil"/>
              <w:right w:val="nil"/>
            </w:tcBorders>
            <w:shd w:val="clear" w:color="auto" w:fill="auto"/>
            <w:noWrap/>
            <w:vAlign w:val="bottom"/>
            <w:hideMark/>
          </w:tcPr>
          <w:p w14:paraId="024DEEAF"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2CA6620"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29BC9619"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2D6F799"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345069D0" w14:textId="77777777" w:rsidTr="00254265">
        <w:trPr>
          <w:trHeight w:val="255"/>
          <w:jc w:val="center"/>
        </w:trPr>
        <w:tc>
          <w:tcPr>
            <w:tcW w:w="3060" w:type="dxa"/>
            <w:tcBorders>
              <w:top w:val="nil"/>
              <w:left w:val="nil"/>
              <w:bottom w:val="nil"/>
              <w:right w:val="nil"/>
            </w:tcBorders>
            <w:shd w:val="clear" w:color="auto" w:fill="auto"/>
            <w:noWrap/>
            <w:vAlign w:val="bottom"/>
            <w:hideMark/>
          </w:tcPr>
          <w:p w14:paraId="3CD7F148"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fit</w:t>
            </w:r>
          </w:p>
        </w:tc>
        <w:tc>
          <w:tcPr>
            <w:tcW w:w="1160" w:type="dxa"/>
            <w:tcBorders>
              <w:top w:val="nil"/>
              <w:left w:val="nil"/>
              <w:bottom w:val="nil"/>
              <w:right w:val="nil"/>
            </w:tcBorders>
            <w:shd w:val="clear" w:color="auto" w:fill="auto"/>
            <w:noWrap/>
            <w:vAlign w:val="bottom"/>
            <w:hideMark/>
          </w:tcPr>
          <w:p w14:paraId="43502096"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1,749.49***</w:t>
            </w:r>
          </w:p>
        </w:tc>
        <w:tc>
          <w:tcPr>
            <w:tcW w:w="1160" w:type="dxa"/>
            <w:tcBorders>
              <w:top w:val="nil"/>
              <w:left w:val="nil"/>
              <w:bottom w:val="nil"/>
              <w:right w:val="nil"/>
            </w:tcBorders>
            <w:shd w:val="clear" w:color="auto" w:fill="auto"/>
            <w:noWrap/>
            <w:vAlign w:val="bottom"/>
            <w:hideMark/>
          </w:tcPr>
          <w:p w14:paraId="73FEF4A1"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1,771.12***</w:t>
            </w:r>
          </w:p>
        </w:tc>
        <w:tc>
          <w:tcPr>
            <w:tcW w:w="1160" w:type="dxa"/>
            <w:tcBorders>
              <w:top w:val="nil"/>
              <w:left w:val="nil"/>
              <w:bottom w:val="nil"/>
              <w:right w:val="nil"/>
            </w:tcBorders>
            <w:shd w:val="clear" w:color="auto" w:fill="auto"/>
            <w:noWrap/>
            <w:vAlign w:val="bottom"/>
            <w:hideMark/>
          </w:tcPr>
          <w:p w14:paraId="16FBB209"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5,224.11***</w:t>
            </w:r>
          </w:p>
        </w:tc>
        <w:tc>
          <w:tcPr>
            <w:tcW w:w="1160" w:type="dxa"/>
            <w:tcBorders>
              <w:top w:val="nil"/>
              <w:left w:val="nil"/>
              <w:bottom w:val="nil"/>
              <w:right w:val="nil"/>
            </w:tcBorders>
            <w:shd w:val="clear" w:color="auto" w:fill="auto"/>
            <w:noWrap/>
            <w:vAlign w:val="bottom"/>
            <w:hideMark/>
          </w:tcPr>
          <w:p w14:paraId="50E9CC5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5,720.54***</w:t>
            </w:r>
          </w:p>
        </w:tc>
      </w:tr>
      <w:tr w:rsidR="003A4F79" w:rsidRPr="003A4F79" w14:paraId="04A3A5EE" w14:textId="77777777" w:rsidTr="00254265">
        <w:trPr>
          <w:trHeight w:val="315"/>
          <w:jc w:val="center"/>
        </w:trPr>
        <w:tc>
          <w:tcPr>
            <w:tcW w:w="3060" w:type="dxa"/>
            <w:tcBorders>
              <w:top w:val="nil"/>
              <w:left w:val="nil"/>
              <w:bottom w:val="single" w:sz="4" w:space="0" w:color="auto"/>
              <w:right w:val="nil"/>
            </w:tcBorders>
            <w:shd w:val="clear" w:color="auto" w:fill="auto"/>
            <w:noWrap/>
            <w:vAlign w:val="bottom"/>
            <w:hideMark/>
          </w:tcPr>
          <w:p w14:paraId="0BF82C5A" w14:textId="77777777" w:rsidR="00254265" w:rsidRPr="003A4F79" w:rsidRDefault="00254265" w:rsidP="00254265">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Pseudo R</w:t>
            </w:r>
            <w:r w:rsidRPr="003A4F79">
              <w:rPr>
                <w:rFonts w:ascii="Times New Roman" w:eastAsia="Times New Roman" w:hAnsi="Times New Roman" w:cs="Times New Roman"/>
                <w:sz w:val="20"/>
                <w:szCs w:val="20"/>
                <w:vertAlign w:val="superscript"/>
                <w:lang w:val="en-GB" w:eastAsia="ko-KR"/>
              </w:rPr>
              <w:t>2</w:t>
            </w:r>
          </w:p>
        </w:tc>
        <w:tc>
          <w:tcPr>
            <w:tcW w:w="1160" w:type="dxa"/>
            <w:tcBorders>
              <w:top w:val="nil"/>
              <w:left w:val="nil"/>
              <w:bottom w:val="single" w:sz="4" w:space="0" w:color="auto"/>
              <w:right w:val="nil"/>
            </w:tcBorders>
            <w:shd w:val="clear" w:color="auto" w:fill="auto"/>
            <w:noWrap/>
            <w:vAlign w:val="bottom"/>
            <w:hideMark/>
          </w:tcPr>
          <w:p w14:paraId="4ACA3FBA"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0.0749</w:t>
            </w:r>
          </w:p>
        </w:tc>
        <w:tc>
          <w:tcPr>
            <w:tcW w:w="1160" w:type="dxa"/>
            <w:tcBorders>
              <w:top w:val="nil"/>
              <w:left w:val="nil"/>
              <w:bottom w:val="single" w:sz="4" w:space="0" w:color="auto"/>
              <w:right w:val="nil"/>
            </w:tcBorders>
            <w:shd w:val="clear" w:color="auto" w:fill="auto"/>
            <w:noWrap/>
            <w:vAlign w:val="bottom"/>
            <w:hideMark/>
          </w:tcPr>
          <w:p w14:paraId="4BFBA3E7"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0.0757</w:t>
            </w:r>
          </w:p>
        </w:tc>
        <w:tc>
          <w:tcPr>
            <w:tcW w:w="1160" w:type="dxa"/>
            <w:tcBorders>
              <w:top w:val="nil"/>
              <w:left w:val="nil"/>
              <w:bottom w:val="single" w:sz="4" w:space="0" w:color="auto"/>
              <w:right w:val="nil"/>
            </w:tcBorders>
            <w:shd w:val="clear" w:color="auto" w:fill="auto"/>
            <w:noWrap/>
            <w:vAlign w:val="bottom"/>
            <w:hideMark/>
          </w:tcPr>
          <w:p w14:paraId="0FCBACE3"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0.1698</w:t>
            </w:r>
          </w:p>
        </w:tc>
        <w:tc>
          <w:tcPr>
            <w:tcW w:w="1160" w:type="dxa"/>
            <w:tcBorders>
              <w:top w:val="nil"/>
              <w:left w:val="nil"/>
              <w:bottom w:val="single" w:sz="4" w:space="0" w:color="auto"/>
              <w:right w:val="nil"/>
            </w:tcBorders>
            <w:shd w:val="clear" w:color="auto" w:fill="auto"/>
            <w:noWrap/>
            <w:vAlign w:val="bottom"/>
            <w:hideMark/>
          </w:tcPr>
          <w:p w14:paraId="13B43D62" w14:textId="77777777" w:rsidR="00254265" w:rsidRPr="003A4F79" w:rsidRDefault="00254265" w:rsidP="00254265">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0.1782</w:t>
            </w:r>
          </w:p>
        </w:tc>
      </w:tr>
    </w:tbl>
    <w:p w14:paraId="1D70B3FB" w14:textId="5EA166E5" w:rsidR="00423F74" w:rsidRPr="003A4F79" w:rsidRDefault="00423F74">
      <w:pPr>
        <w:spacing w:line="240" w:lineRule="auto"/>
        <w:ind w:firstLine="0"/>
        <w:jc w:val="left"/>
      </w:pPr>
      <w:r w:rsidRPr="003A4F79">
        <w:br w:type="page"/>
      </w:r>
    </w:p>
    <w:p w14:paraId="56EB70AD" w14:textId="57A31B2B" w:rsidR="00AD12C6" w:rsidRPr="003A4F79" w:rsidRDefault="00AD12C6" w:rsidP="00AD12C6">
      <w:pPr>
        <w:pStyle w:val="FigureCaption"/>
        <w:jc w:val="left"/>
      </w:pPr>
      <w:r w:rsidRPr="003A4F79">
        <w:lastRenderedPageBreak/>
        <w:t>Table 6</w:t>
      </w:r>
    </w:p>
    <w:p w14:paraId="214E75B7" w14:textId="6B3FF507" w:rsidR="00AD12C6" w:rsidRPr="003A4F79" w:rsidRDefault="00472312" w:rsidP="00AD12C6">
      <w:pPr>
        <w:pStyle w:val="FigureCaption"/>
        <w:jc w:val="left"/>
        <w:rPr>
          <w:b/>
        </w:rPr>
      </w:pPr>
      <w:r w:rsidRPr="003A4F79">
        <w:rPr>
          <w:b/>
        </w:rPr>
        <w:t>Primacy vs. Salience</w:t>
      </w:r>
    </w:p>
    <w:p w14:paraId="45DEDEC8" w14:textId="77777777" w:rsidR="006B0F0D" w:rsidRPr="003A4F79" w:rsidRDefault="006B0F0D" w:rsidP="006B0F0D">
      <w:pPr>
        <w:pStyle w:val="FigureNotes"/>
        <w:spacing w:after="120"/>
        <w:rPr>
          <w:noProof/>
          <w:lang w:eastAsia="en-GB"/>
        </w:rPr>
      </w:pPr>
      <w:r w:rsidRPr="003A4F79">
        <w:t xml:space="preserve">Estimated coefficients are reported from the following multi-period </w:t>
      </w:r>
      <w:r w:rsidRPr="003A4F79">
        <w:rPr>
          <w:noProof/>
          <w:lang w:eastAsia="en-GB"/>
        </w:rPr>
        <w:t>(monthly) logit regression:</w:t>
      </w:r>
    </w:p>
    <w:p w14:paraId="12157B1F" w14:textId="1782E042" w:rsidR="006B0F0D" w:rsidRPr="003A4F79" w:rsidRDefault="006B0F0D" w:rsidP="006B0F0D">
      <w:pPr>
        <w:pStyle w:val="FigureNotes"/>
        <w:spacing w:after="120"/>
        <w:jc w:val="center"/>
        <w:rPr>
          <w:i/>
        </w:rPr>
      </w:pPr>
      <w:r w:rsidRPr="003A4F79">
        <w:rPr>
          <w:i/>
        </w:rPr>
        <w:t>Logit(Re-entry</w:t>
      </w:r>
      <w:r w:rsidRPr="003A4F79">
        <w:rPr>
          <w:i/>
          <w:vertAlign w:val="subscript"/>
        </w:rPr>
        <w:t>i,t</w:t>
      </w:r>
      <w:r w:rsidRPr="003A4F79">
        <w:rPr>
          <w:i/>
        </w:rPr>
        <w:t>)</w:t>
      </w:r>
      <w:r w:rsidRPr="003A4F79">
        <w:rPr>
          <w:i/>
          <w:vertAlign w:val="subscript"/>
        </w:rPr>
        <w:t xml:space="preserve"> </w:t>
      </w:r>
      <w:r w:rsidRPr="003A4F79">
        <w:rPr>
          <w:i/>
        </w:rPr>
        <w:t>=  β</w:t>
      </w:r>
      <w:r w:rsidRPr="003A4F79">
        <w:rPr>
          <w:i/>
          <w:vertAlign w:val="subscript"/>
        </w:rPr>
        <w:t>0</w:t>
      </w:r>
      <w:r w:rsidRPr="003A4F79">
        <w:rPr>
          <w:i/>
        </w:rPr>
        <w:t xml:space="preserve"> + β</w:t>
      </w:r>
      <w:r w:rsidRPr="003A4F79">
        <w:rPr>
          <w:i/>
          <w:vertAlign w:val="subscript"/>
        </w:rPr>
        <w:t>1</w:t>
      </w:r>
      <w:r w:rsidRPr="003A4F79">
        <w:rPr>
          <w:i/>
        </w:rPr>
        <w:t>IniRet</w:t>
      </w:r>
      <w:r w:rsidRPr="003A4F79">
        <w:rPr>
          <w:i/>
          <w:vertAlign w:val="subscript"/>
        </w:rPr>
        <w:t>i</w:t>
      </w:r>
      <w:r w:rsidRPr="003A4F79">
        <w:rPr>
          <w:i/>
        </w:rPr>
        <w:t xml:space="preserve"> + β</w:t>
      </w:r>
      <w:r w:rsidRPr="003A4F79">
        <w:rPr>
          <w:i/>
          <w:vertAlign w:val="subscript"/>
        </w:rPr>
        <w:t>2</w:t>
      </w:r>
      <w:r w:rsidRPr="003A4F79">
        <w:rPr>
          <w:i/>
        </w:rPr>
        <w:t>AllRet</w:t>
      </w:r>
      <w:r w:rsidRPr="003A4F79">
        <w:rPr>
          <w:i/>
          <w:vertAlign w:val="subscript"/>
        </w:rPr>
        <w:t>i</w:t>
      </w:r>
      <w:r w:rsidRPr="003A4F79">
        <w:rPr>
          <w:i/>
        </w:rPr>
        <w:t xml:space="preserve">  + β</w:t>
      </w:r>
      <w:r w:rsidRPr="003A4F79">
        <w:rPr>
          <w:i/>
          <w:vertAlign w:val="subscript"/>
        </w:rPr>
        <w:t>3</w:t>
      </w:r>
      <w:r w:rsidRPr="003A4F79">
        <w:rPr>
          <w:i/>
        </w:rPr>
        <w:t>RecRet</w:t>
      </w:r>
      <w:r w:rsidRPr="003A4F79">
        <w:rPr>
          <w:i/>
          <w:vertAlign w:val="subscript"/>
        </w:rPr>
        <w:t>i</w:t>
      </w:r>
      <w:r w:rsidRPr="003A4F79">
        <w:rPr>
          <w:i/>
        </w:rPr>
        <w:t xml:space="preserve">  </w:t>
      </w:r>
      <w:r w:rsidR="00030BB5" w:rsidRPr="003A4F79">
        <w:rPr>
          <w:i/>
        </w:rPr>
        <w:t>+ β</w:t>
      </w:r>
      <w:r w:rsidR="00030BB5" w:rsidRPr="003A4F79">
        <w:rPr>
          <w:i/>
          <w:vertAlign w:val="subscript"/>
        </w:rPr>
        <w:t>4</w:t>
      </w:r>
      <w:r w:rsidR="00030BB5" w:rsidRPr="003A4F79">
        <w:rPr>
          <w:i/>
        </w:rPr>
        <w:t>RealRet</w:t>
      </w:r>
      <w:r w:rsidR="00030BB5" w:rsidRPr="003A4F79">
        <w:rPr>
          <w:i/>
          <w:vertAlign w:val="subscript"/>
        </w:rPr>
        <w:t>i</w:t>
      </w:r>
      <w:r w:rsidR="00030BB5" w:rsidRPr="003A4F79">
        <w:rPr>
          <w:i/>
        </w:rPr>
        <w:t xml:space="preserve"> + β</w:t>
      </w:r>
      <w:r w:rsidR="007F33F0" w:rsidRPr="003A4F79">
        <w:rPr>
          <w:i/>
          <w:vertAlign w:val="subscript"/>
        </w:rPr>
        <w:t>5</w:t>
      </w:r>
      <w:r w:rsidR="00030BB5" w:rsidRPr="003A4F79">
        <w:rPr>
          <w:i/>
        </w:rPr>
        <w:t>Saliency</w:t>
      </w:r>
      <w:r w:rsidR="00030BB5" w:rsidRPr="003A4F79">
        <w:rPr>
          <w:i/>
          <w:vertAlign w:val="subscript"/>
        </w:rPr>
        <w:t>i</w:t>
      </w:r>
      <w:r w:rsidR="00030BB5" w:rsidRPr="003A4F79">
        <w:rPr>
          <w:i/>
        </w:rPr>
        <w:t xml:space="preserve"> </w:t>
      </w:r>
      <w:r w:rsidRPr="003A4F79">
        <w:rPr>
          <w:i/>
        </w:rPr>
        <w:t>+ β</w:t>
      </w:r>
      <w:r w:rsidR="007F33F0" w:rsidRPr="003A4F79">
        <w:rPr>
          <w:i/>
          <w:vertAlign w:val="subscript"/>
        </w:rPr>
        <w:t>6</w:t>
      </w:r>
      <w:r w:rsidRPr="003A4F79">
        <w:rPr>
          <w:i/>
        </w:rPr>
        <w:t>DurAway</w:t>
      </w:r>
      <w:r w:rsidRPr="003A4F79">
        <w:rPr>
          <w:i/>
          <w:vertAlign w:val="subscript"/>
        </w:rPr>
        <w:t>i,t</w:t>
      </w:r>
      <w:r w:rsidRPr="003A4F79">
        <w:rPr>
          <w:i/>
        </w:rPr>
        <w:t xml:space="preserve"> +</w:t>
      </w:r>
      <w:r w:rsidRPr="003A4F79">
        <w:rPr>
          <w:b/>
          <w:i/>
        </w:rPr>
        <w:t xml:space="preserve"> </w:t>
      </w:r>
      <w:r w:rsidRPr="003A4F79">
        <w:rPr>
          <w:i/>
        </w:rPr>
        <w:t>β</w:t>
      </w:r>
      <w:r w:rsidR="007F33F0" w:rsidRPr="003A4F79">
        <w:rPr>
          <w:i/>
          <w:vertAlign w:val="subscript"/>
        </w:rPr>
        <w:t>7</w:t>
      </w:r>
      <w:r w:rsidRPr="003A4F79">
        <w:rPr>
          <w:i/>
        </w:rPr>
        <w:t>Controls</w:t>
      </w:r>
      <w:r w:rsidRPr="003A4F79">
        <w:rPr>
          <w:i/>
          <w:vertAlign w:val="subscript"/>
        </w:rPr>
        <w:t>i,t</w:t>
      </w:r>
    </w:p>
    <w:p w14:paraId="5D210D48" w14:textId="3086F4AB" w:rsidR="006B0F0D" w:rsidRPr="003A4F79" w:rsidRDefault="006B0F0D" w:rsidP="006B0F0D">
      <w:pPr>
        <w:pStyle w:val="FigureNotes"/>
        <w:spacing w:after="120"/>
        <w:jc w:val="center"/>
        <w:rPr>
          <w:i/>
        </w:rPr>
      </w:pPr>
      <w:r w:rsidRPr="003A4F79">
        <w:rPr>
          <w:i/>
        </w:rPr>
        <w:t>+ (investment size fixed effect)+(zip-code fixed effect) +(exit month fixed effect)</w:t>
      </w:r>
      <w:r w:rsidR="00030BB5" w:rsidRPr="003A4F79">
        <w:rPr>
          <w:i/>
        </w:rPr>
        <w:t xml:space="preserve"> +(year fixed effect) </w:t>
      </w:r>
      <w:r w:rsidRPr="003A4F79">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580765C3" w14:textId="7D18BD02" w:rsidR="006B0F0D" w:rsidRPr="003A4F79" w:rsidRDefault="006B0F0D" w:rsidP="006B0F0D">
      <w:pPr>
        <w:pStyle w:val="FigureNotes"/>
      </w:pPr>
      <w:r w:rsidRPr="003A4F79">
        <w:rPr>
          <w:i/>
        </w:rPr>
        <w:t>Re-entry</w:t>
      </w:r>
      <w:r w:rsidRPr="003A4F79">
        <w:rPr>
          <w:noProof/>
          <w:lang w:eastAsia="en-GB"/>
        </w:rPr>
        <w:t xml:space="preserve"> equals 1 if investor </w:t>
      </w:r>
      <w:r w:rsidRPr="003A4F79">
        <w:rPr>
          <w:i/>
          <w:noProof/>
          <w:lang w:eastAsia="en-GB"/>
        </w:rPr>
        <w:t>i</w:t>
      </w:r>
      <w:r w:rsidRPr="003A4F79">
        <w:rPr>
          <w:noProof/>
          <w:lang w:eastAsia="en-GB"/>
        </w:rPr>
        <w:t xml:space="preserve"> re-enters the market in month </w:t>
      </w:r>
      <w:r w:rsidRPr="003A4F79">
        <w:rPr>
          <w:i/>
          <w:noProof/>
          <w:lang w:eastAsia="en-GB"/>
        </w:rPr>
        <w:t>t</w:t>
      </w:r>
      <w:r w:rsidRPr="003A4F79">
        <w:rPr>
          <w:noProof/>
          <w:lang w:eastAsia="en-GB"/>
        </w:rPr>
        <w:t xml:space="preserve"> by purchasing any stock at any time after one calendar month of exit, and otherwise is 0. </w:t>
      </w:r>
      <w:r w:rsidRPr="003A4F79">
        <w:rPr>
          <w:i/>
          <w:noProof/>
          <w:lang w:eastAsia="en-GB"/>
        </w:rPr>
        <w:t>IniRet</w:t>
      </w:r>
      <w:r w:rsidRPr="003A4F79">
        <w:rPr>
          <w:noProof/>
          <w:lang w:eastAsia="en-GB"/>
        </w:rPr>
        <w:t>, the main explanatory variable of interest, is the return in the first month of investing.</w:t>
      </w:r>
      <w:r w:rsidRPr="003A4F79">
        <w:t xml:space="preserve"> </w:t>
      </w:r>
      <w:r w:rsidR="000C79DD" w:rsidRPr="003A4F79">
        <w:rPr>
          <w:i/>
          <w:noProof/>
          <w:lang w:eastAsia="en-GB"/>
        </w:rPr>
        <w:t xml:space="preserve">AllRet </w:t>
      </w:r>
      <w:r w:rsidR="000C79DD" w:rsidRPr="003A4F79">
        <w:rPr>
          <w:noProof/>
          <w:lang w:eastAsia="en-GB"/>
        </w:rPr>
        <w:t>is the value-weighted average of monthly returns during the entire period of investing between entry and exit</w:t>
      </w:r>
      <w:r w:rsidRPr="003A4F79">
        <w:rPr>
          <w:noProof/>
          <w:lang w:eastAsia="en-GB"/>
        </w:rPr>
        <w:t xml:space="preserve">, </w:t>
      </w:r>
      <w:r w:rsidRPr="003A4F79">
        <w:rPr>
          <w:i/>
        </w:rPr>
        <w:t>RecRet</w:t>
      </w:r>
      <w:r w:rsidRPr="003A4F79">
        <w:t xml:space="preserve"> is the return in the last month of investing</w:t>
      </w:r>
      <w:r w:rsidR="007F33F0" w:rsidRPr="003A4F79">
        <w:t xml:space="preserve">, and </w:t>
      </w:r>
      <w:r w:rsidR="007F33F0" w:rsidRPr="003A4F79">
        <w:rPr>
          <w:i/>
        </w:rPr>
        <w:t>RealRet</w:t>
      </w:r>
      <w:r w:rsidR="007F33F0" w:rsidRPr="003A4F79">
        <w:t xml:space="preserve"> is the </w:t>
      </w:r>
      <w:r w:rsidR="000C79DD" w:rsidRPr="003A4F79">
        <w:t>reali</w:t>
      </w:r>
      <w:r w:rsidR="00C95B94" w:rsidRPr="003A4F79">
        <w:t>s</w:t>
      </w:r>
      <w:r w:rsidR="000C79DD" w:rsidRPr="003A4F79">
        <w:t xml:space="preserve">ed </w:t>
      </w:r>
      <w:r w:rsidR="007F33F0" w:rsidRPr="003A4F79">
        <w:t>return during the actual period of investing</w:t>
      </w:r>
      <w:r w:rsidRPr="003A4F79">
        <w:rPr>
          <w:noProof/>
          <w:lang w:eastAsia="en-GB"/>
        </w:rPr>
        <w:t>.</w:t>
      </w:r>
      <w:r w:rsidR="007F33F0" w:rsidRPr="003A4F79">
        <w:rPr>
          <w:noProof/>
          <w:lang w:eastAsia="en-GB"/>
        </w:rPr>
        <w:t xml:space="preserve"> </w:t>
      </w:r>
      <w:r w:rsidR="007F33F0" w:rsidRPr="003A4F79">
        <w:rPr>
          <w:i/>
          <w:noProof/>
          <w:lang w:eastAsia="en-GB"/>
        </w:rPr>
        <w:t>Saliency</w:t>
      </w:r>
      <w:r w:rsidR="007F33F0" w:rsidRPr="003A4F79">
        <w:rPr>
          <w:noProof/>
          <w:lang w:eastAsia="en-GB"/>
        </w:rPr>
        <w:t xml:space="preserve"> is an absolute difference between the initial return and the average return for the duration of investing, d</w:t>
      </w:r>
      <w:r w:rsidR="0073716E" w:rsidRPr="003A4F79">
        <w:rPr>
          <w:noProof/>
          <w:lang w:eastAsia="en-GB"/>
        </w:rPr>
        <w:t>i</w:t>
      </w:r>
      <w:r w:rsidR="007F33F0" w:rsidRPr="003A4F79">
        <w:rPr>
          <w:noProof/>
          <w:lang w:eastAsia="en-GB"/>
        </w:rPr>
        <w:t>vided by the abs</w:t>
      </w:r>
      <w:r w:rsidR="0073716E" w:rsidRPr="003A4F79">
        <w:rPr>
          <w:noProof/>
          <w:lang w:eastAsia="en-GB"/>
        </w:rPr>
        <w:t>l</w:t>
      </w:r>
      <w:r w:rsidR="007F33F0" w:rsidRPr="003A4F79">
        <w:rPr>
          <w:noProof/>
          <w:lang w:eastAsia="en-GB"/>
        </w:rPr>
        <w:t>oute value of average returns.</w:t>
      </w:r>
      <w:r w:rsidR="007F33F0" w:rsidRPr="003A4F79">
        <w:rPr>
          <w:i/>
        </w:rPr>
        <w:t xml:space="preserve"> </w:t>
      </w:r>
      <w:r w:rsidRPr="003A4F79">
        <w:rPr>
          <w:i/>
        </w:rPr>
        <w:t>DurAway</w:t>
      </w:r>
      <w:r w:rsidRPr="003A4F79">
        <w:t xml:space="preserve"> is length of time (in months) for which an investor is away from the stock market, i.e., time between exit month and month </w:t>
      </w:r>
      <w:r w:rsidRPr="003A4F79">
        <w:rPr>
          <w:i/>
        </w:rPr>
        <w:t>t</w:t>
      </w:r>
      <w:r w:rsidRPr="003A4F79">
        <w:t xml:space="preserve">. We account for the fixed effects of investment size, location of residency, and exit time by including dummies for portfolio holding quintiles, 100 different zip codes, and 105 different exit months, respectively: </w:t>
      </w:r>
      <w:r w:rsidRPr="003A4F79">
        <w:rPr>
          <w:i/>
        </w:rPr>
        <w:t xml:space="preserve">Investment size fixed effect </w:t>
      </w:r>
      <w:r w:rsidRPr="003A4F79">
        <w:t xml:space="preserve">uses five dummy variables indicating quintiles of average portfolio holdings; </w:t>
      </w:r>
      <w:r w:rsidRPr="003A4F79">
        <w:rPr>
          <w:i/>
        </w:rPr>
        <w:t xml:space="preserve">Zip-code fixed effect </w:t>
      </w:r>
      <w:r w:rsidRPr="003A4F79">
        <w:t xml:space="preserve">is based on 100 dummy variables for districts in Finland; and </w:t>
      </w:r>
      <w:r w:rsidRPr="003A4F79">
        <w:rPr>
          <w:i/>
        </w:rPr>
        <w:t>Exit month fixed effect</w:t>
      </w:r>
      <w:r w:rsidRPr="003A4F79">
        <w:t xml:space="preserve"> controls for 105 dummy variables indicating the calendar month of exit</w:t>
      </w:r>
      <w:r w:rsidR="004000E0" w:rsidRPr="003A4F79">
        <w:t xml:space="preserve">; </w:t>
      </w:r>
      <w:r w:rsidR="004000E0" w:rsidRPr="003A4F79">
        <w:rPr>
          <w:i/>
        </w:rPr>
        <w:t xml:space="preserve">Year fixed effect </w:t>
      </w:r>
      <w:r w:rsidR="004000E0" w:rsidRPr="003A4F79">
        <w:t>is accounted for by controlling for 8 year dummy variables indicating the calendar year</w:t>
      </w:r>
      <w:r w:rsidRPr="003A4F79">
        <w:t xml:space="preserve">. </w:t>
      </w:r>
      <w:r w:rsidRPr="003A4F79">
        <w:rPr>
          <w:i/>
        </w:rPr>
        <w:t xml:space="preserve">Controls </w:t>
      </w:r>
      <w:r w:rsidRPr="003A4F79">
        <w:t xml:space="preserve">include the following variables. </w:t>
      </w:r>
      <w:r w:rsidRPr="003A4F79">
        <w:rPr>
          <w:i/>
        </w:rPr>
        <w:t>InvSiz</w:t>
      </w:r>
      <w:r w:rsidRPr="003A4F79">
        <w:t xml:space="preserve"> is investment size, defined as the log of average portfolio holdings. </w:t>
      </w:r>
      <w:r w:rsidRPr="003A4F79">
        <w:rPr>
          <w:i/>
        </w:rPr>
        <w:t>ZeroTrd</w:t>
      </w:r>
      <w:r w:rsidRPr="003A4F79">
        <w:t xml:space="preserve"> is a dummy variable that equals 1 if the investor does not trade between initial purchase and market exit, and 0 otherwise. </w:t>
      </w:r>
      <w:r w:rsidRPr="003A4F79">
        <w:rPr>
          <w:i/>
        </w:rPr>
        <w:t>SglStock</w:t>
      </w:r>
      <w:r w:rsidRPr="003A4F79">
        <w:t xml:space="preserve"> is a dummy variable that equals 1 if the investor only owns one stock. </w:t>
      </w:r>
      <w:r w:rsidRPr="003A4F79">
        <w:rPr>
          <w:i/>
        </w:rPr>
        <w:t>Nokia</w:t>
      </w:r>
      <w:r w:rsidRPr="003A4F79">
        <w:t xml:space="preserve"> is a dummy variable equal to 1 if an investor initiates investment by purchasing Nokia stock</w:t>
      </w:r>
      <w:r w:rsidRPr="003A4F79">
        <w:rPr>
          <w:i/>
        </w:rPr>
        <w:t xml:space="preserve">. MktRet </w:t>
      </w:r>
      <w:r w:rsidRPr="003A4F79">
        <w:t>and</w:t>
      </w:r>
      <w:r w:rsidRPr="003A4F79">
        <w:rPr>
          <w:i/>
        </w:rPr>
        <w:t xml:space="preserve"> MktVol</w:t>
      </w:r>
      <w:r w:rsidRPr="003A4F79">
        <w:t xml:space="preserve"> are the monthly return and volatility</w:t>
      </w:r>
      <w:r w:rsidR="009D51CF" w:rsidRPr="003A4F79">
        <w:t xml:space="preserve"> volatility (standard deviation of daily returns)</w:t>
      </w:r>
      <w:r w:rsidRPr="003A4F79">
        <w:t xml:space="preserve"> on the Finnish stock market (OMX Helsinki Index). </w:t>
      </w:r>
      <w:r w:rsidRPr="003A4F79">
        <w:rPr>
          <w:i/>
        </w:rPr>
        <w:t>Age</w:t>
      </w:r>
      <w:r w:rsidRPr="003A4F79">
        <w:t xml:space="preserve"> is investor age (in years) at the beginning of the sample. </w:t>
      </w:r>
      <w:r w:rsidRPr="003A4F79">
        <w:rPr>
          <w:i/>
        </w:rPr>
        <w:t>Female</w:t>
      </w:r>
      <w:r w:rsidRPr="003A4F79">
        <w:t xml:space="preserve"> is a dummy variable that equals 1 if investor gender is female. </w:t>
      </w:r>
      <w:r w:rsidRPr="003A4F79">
        <w:rPr>
          <w:i/>
        </w:rPr>
        <w:t>Minor</w:t>
      </w:r>
      <w:r w:rsidRPr="003A4F79">
        <w:t xml:space="preserve"> is a dummy variable that equals 1 </w:t>
      </w:r>
      <w:r w:rsidRPr="003A4F79">
        <w:rPr>
          <w:lang w:eastAsia="en-GB"/>
        </w:rPr>
        <w:t>if the account holder is below 16 years of age</w:t>
      </w:r>
      <w:r w:rsidRPr="003A4F79">
        <w:t xml:space="preserve">. </w:t>
      </w:r>
      <w:r w:rsidRPr="003A4F79">
        <w:rPr>
          <w:i/>
        </w:rPr>
        <w:t xml:space="preserve">Burst </w:t>
      </w:r>
      <w:r w:rsidRPr="003A4F79">
        <w:t xml:space="preserve">is a dummy variable, defined as 1 if the time is after the dotcom bubble burst (April 2000). The Wald chi-square of the Wald test for the model fit is reported in the model fit column. Robust standard errors, presented in parentheses, are clustered at </w:t>
      </w:r>
      <w:r w:rsidR="00DD608A" w:rsidRPr="003A4F79">
        <w:t xml:space="preserve">the </w:t>
      </w:r>
      <w:r w:rsidRPr="003A4F79">
        <w:t xml:space="preserve">investor level: </w:t>
      </w:r>
      <w:r w:rsidRPr="003A4F79">
        <w:rPr>
          <w:rFonts w:ascii="Cambria Math" w:hAnsi="Cambria Math" w:cs="Cambria Math"/>
        </w:rPr>
        <w:t>∗∗∗</w:t>
      </w:r>
      <w:r w:rsidRPr="003A4F79">
        <w:t xml:space="preserve">, </w:t>
      </w:r>
      <w:r w:rsidRPr="003A4F79">
        <w:rPr>
          <w:rFonts w:ascii="Cambria Math" w:hAnsi="Cambria Math" w:cs="Cambria Math"/>
        </w:rPr>
        <w:t>∗∗</w:t>
      </w:r>
      <w:r w:rsidRPr="003A4F79">
        <w:t xml:space="preserve">, and </w:t>
      </w:r>
      <w:r w:rsidRPr="003A4F79">
        <w:rPr>
          <w:rFonts w:ascii="Cambria Math" w:hAnsi="Cambria Math" w:cs="Cambria Math"/>
        </w:rPr>
        <w:t>∗</w:t>
      </w:r>
      <w:r w:rsidRPr="003A4F79">
        <w:t xml:space="preserve"> denote statistical significance at </w:t>
      </w:r>
      <w:r w:rsidR="00DD608A" w:rsidRPr="003A4F79">
        <w:t xml:space="preserve">the </w:t>
      </w:r>
      <w:r w:rsidRPr="003A4F79">
        <w:t>1%, 5%, and 10% levels. There are 276,470 investor-months (9,435 investors) in the sample.</w:t>
      </w:r>
    </w:p>
    <w:p w14:paraId="2DEE3301" w14:textId="77777777" w:rsidR="006B0F0D" w:rsidRPr="003A4F79" w:rsidRDefault="006B0F0D">
      <w:pPr>
        <w:spacing w:line="240" w:lineRule="auto"/>
        <w:ind w:firstLine="0"/>
        <w:jc w:val="left"/>
      </w:pPr>
      <w:r w:rsidRPr="003A4F79">
        <w:br w:type="page"/>
      </w:r>
    </w:p>
    <w:tbl>
      <w:tblPr>
        <w:tblW w:w="7700" w:type="dxa"/>
        <w:jc w:val="center"/>
        <w:tblLook w:val="04A0" w:firstRow="1" w:lastRow="0" w:firstColumn="1" w:lastColumn="0" w:noHBand="0" w:noVBand="1"/>
      </w:tblPr>
      <w:tblGrid>
        <w:gridCol w:w="3060"/>
        <w:gridCol w:w="1216"/>
        <w:gridCol w:w="1216"/>
        <w:gridCol w:w="1216"/>
        <w:gridCol w:w="1216"/>
      </w:tblGrid>
      <w:tr w:rsidR="003A4F79" w:rsidRPr="003A4F79" w14:paraId="30D56FCE" w14:textId="77777777" w:rsidTr="006B0F0D">
        <w:trPr>
          <w:trHeight w:val="255"/>
          <w:jc w:val="center"/>
        </w:trPr>
        <w:tc>
          <w:tcPr>
            <w:tcW w:w="3060" w:type="dxa"/>
            <w:tcBorders>
              <w:top w:val="single" w:sz="4" w:space="0" w:color="auto"/>
              <w:left w:val="nil"/>
              <w:bottom w:val="nil"/>
              <w:right w:val="nil"/>
            </w:tcBorders>
            <w:shd w:val="clear" w:color="auto" w:fill="auto"/>
            <w:noWrap/>
            <w:vAlign w:val="bottom"/>
            <w:hideMark/>
          </w:tcPr>
          <w:p w14:paraId="694247EF"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lastRenderedPageBreak/>
              <w:t> </w:t>
            </w:r>
          </w:p>
        </w:tc>
        <w:tc>
          <w:tcPr>
            <w:tcW w:w="1160" w:type="dxa"/>
            <w:tcBorders>
              <w:top w:val="single" w:sz="4" w:space="0" w:color="auto"/>
              <w:left w:val="nil"/>
              <w:bottom w:val="single" w:sz="4" w:space="0" w:color="auto"/>
              <w:right w:val="nil"/>
            </w:tcBorders>
            <w:shd w:val="clear" w:color="auto" w:fill="auto"/>
            <w:noWrap/>
            <w:vAlign w:val="bottom"/>
            <w:hideMark/>
          </w:tcPr>
          <w:p w14:paraId="2ECE80AE"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432B596B"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71123F46"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641265B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4</w:t>
            </w:r>
          </w:p>
        </w:tc>
      </w:tr>
      <w:tr w:rsidR="003A4F79" w:rsidRPr="003A4F79" w14:paraId="137BE641"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072F0682"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VARIABLES</w:t>
            </w:r>
          </w:p>
        </w:tc>
        <w:tc>
          <w:tcPr>
            <w:tcW w:w="4640" w:type="dxa"/>
            <w:gridSpan w:val="4"/>
            <w:tcBorders>
              <w:top w:val="nil"/>
              <w:left w:val="nil"/>
              <w:bottom w:val="single" w:sz="4" w:space="0" w:color="auto"/>
              <w:right w:val="nil"/>
            </w:tcBorders>
            <w:shd w:val="clear" w:color="auto" w:fill="auto"/>
            <w:noWrap/>
            <w:vAlign w:val="bottom"/>
            <w:hideMark/>
          </w:tcPr>
          <w:p w14:paraId="32196672"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Re-entry</w:t>
            </w:r>
          </w:p>
        </w:tc>
      </w:tr>
      <w:tr w:rsidR="003A4F79" w:rsidRPr="003A4F79" w14:paraId="1596242E" w14:textId="77777777" w:rsidTr="006B0F0D">
        <w:trPr>
          <w:trHeight w:val="255"/>
          <w:jc w:val="center"/>
        </w:trPr>
        <w:tc>
          <w:tcPr>
            <w:tcW w:w="3060" w:type="dxa"/>
            <w:tcBorders>
              <w:top w:val="single" w:sz="4" w:space="0" w:color="auto"/>
              <w:left w:val="nil"/>
              <w:bottom w:val="nil"/>
              <w:right w:val="nil"/>
            </w:tcBorders>
            <w:shd w:val="clear" w:color="auto" w:fill="auto"/>
            <w:noWrap/>
            <w:vAlign w:val="bottom"/>
            <w:hideMark/>
          </w:tcPr>
          <w:p w14:paraId="133CFFFE"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2635657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6982C79E"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5930F17B"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45ACE9E7"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r>
      <w:tr w:rsidR="003A4F79" w:rsidRPr="003A4F79" w14:paraId="4EF0305F"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3BF6A359"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w:t>
            </w:r>
          </w:p>
        </w:tc>
        <w:tc>
          <w:tcPr>
            <w:tcW w:w="1160" w:type="dxa"/>
            <w:tcBorders>
              <w:top w:val="nil"/>
              <w:left w:val="nil"/>
              <w:bottom w:val="nil"/>
              <w:right w:val="nil"/>
            </w:tcBorders>
            <w:shd w:val="clear" w:color="auto" w:fill="auto"/>
            <w:noWrap/>
            <w:vAlign w:val="bottom"/>
            <w:hideMark/>
          </w:tcPr>
          <w:p w14:paraId="7FE54E5E"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1.6255***</w:t>
            </w:r>
          </w:p>
        </w:tc>
        <w:tc>
          <w:tcPr>
            <w:tcW w:w="1160" w:type="dxa"/>
            <w:tcBorders>
              <w:top w:val="nil"/>
              <w:left w:val="nil"/>
              <w:bottom w:val="nil"/>
              <w:right w:val="nil"/>
            </w:tcBorders>
            <w:shd w:val="clear" w:color="auto" w:fill="auto"/>
            <w:noWrap/>
            <w:vAlign w:val="bottom"/>
            <w:hideMark/>
          </w:tcPr>
          <w:p w14:paraId="1AFC5F77"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1.6054***</w:t>
            </w:r>
          </w:p>
        </w:tc>
        <w:tc>
          <w:tcPr>
            <w:tcW w:w="1160" w:type="dxa"/>
            <w:tcBorders>
              <w:top w:val="nil"/>
              <w:left w:val="nil"/>
              <w:bottom w:val="nil"/>
              <w:right w:val="nil"/>
            </w:tcBorders>
            <w:shd w:val="clear" w:color="auto" w:fill="auto"/>
            <w:noWrap/>
            <w:vAlign w:val="bottom"/>
            <w:hideMark/>
          </w:tcPr>
          <w:p w14:paraId="5EE720AF"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1.6579***</w:t>
            </w:r>
          </w:p>
        </w:tc>
        <w:tc>
          <w:tcPr>
            <w:tcW w:w="1160" w:type="dxa"/>
            <w:tcBorders>
              <w:top w:val="nil"/>
              <w:left w:val="nil"/>
              <w:bottom w:val="nil"/>
              <w:right w:val="nil"/>
            </w:tcBorders>
            <w:shd w:val="clear" w:color="auto" w:fill="auto"/>
            <w:noWrap/>
            <w:vAlign w:val="bottom"/>
            <w:hideMark/>
          </w:tcPr>
          <w:p w14:paraId="63DDCC36"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1.4376**</w:t>
            </w:r>
          </w:p>
        </w:tc>
      </w:tr>
      <w:tr w:rsidR="003A4F79" w:rsidRPr="003A4F79" w14:paraId="35144098"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6F7C96E8"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9B63FC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(3.18)</w:t>
            </w:r>
          </w:p>
        </w:tc>
        <w:tc>
          <w:tcPr>
            <w:tcW w:w="1160" w:type="dxa"/>
            <w:tcBorders>
              <w:top w:val="nil"/>
              <w:left w:val="nil"/>
              <w:bottom w:val="nil"/>
              <w:right w:val="nil"/>
            </w:tcBorders>
            <w:shd w:val="clear" w:color="auto" w:fill="auto"/>
            <w:noWrap/>
            <w:vAlign w:val="bottom"/>
            <w:hideMark/>
          </w:tcPr>
          <w:p w14:paraId="7FB9E572"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(3.09)</w:t>
            </w:r>
          </w:p>
        </w:tc>
        <w:tc>
          <w:tcPr>
            <w:tcW w:w="1160" w:type="dxa"/>
            <w:tcBorders>
              <w:top w:val="nil"/>
              <w:left w:val="nil"/>
              <w:bottom w:val="nil"/>
              <w:right w:val="nil"/>
            </w:tcBorders>
            <w:shd w:val="clear" w:color="auto" w:fill="auto"/>
            <w:noWrap/>
            <w:vAlign w:val="bottom"/>
            <w:hideMark/>
          </w:tcPr>
          <w:p w14:paraId="19A4480B"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(3.43)</w:t>
            </w:r>
          </w:p>
        </w:tc>
        <w:tc>
          <w:tcPr>
            <w:tcW w:w="1160" w:type="dxa"/>
            <w:tcBorders>
              <w:top w:val="nil"/>
              <w:left w:val="nil"/>
              <w:bottom w:val="nil"/>
              <w:right w:val="nil"/>
            </w:tcBorders>
            <w:shd w:val="clear" w:color="auto" w:fill="auto"/>
            <w:noWrap/>
            <w:vAlign w:val="bottom"/>
            <w:hideMark/>
          </w:tcPr>
          <w:p w14:paraId="4E6C8AC3"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(2.33)</w:t>
            </w:r>
          </w:p>
        </w:tc>
      </w:tr>
      <w:tr w:rsidR="003A4F79" w:rsidRPr="003A4F79" w14:paraId="3DE2E5DF"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64FED451"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AllRet</w:t>
            </w:r>
          </w:p>
        </w:tc>
        <w:tc>
          <w:tcPr>
            <w:tcW w:w="1160" w:type="dxa"/>
            <w:tcBorders>
              <w:top w:val="nil"/>
              <w:left w:val="nil"/>
              <w:bottom w:val="nil"/>
              <w:right w:val="nil"/>
            </w:tcBorders>
            <w:shd w:val="clear" w:color="auto" w:fill="auto"/>
            <w:noWrap/>
            <w:vAlign w:val="bottom"/>
            <w:hideMark/>
          </w:tcPr>
          <w:p w14:paraId="1F24241C"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1.0272</w:t>
            </w:r>
          </w:p>
        </w:tc>
        <w:tc>
          <w:tcPr>
            <w:tcW w:w="1160" w:type="dxa"/>
            <w:tcBorders>
              <w:top w:val="nil"/>
              <w:left w:val="nil"/>
              <w:bottom w:val="nil"/>
              <w:right w:val="nil"/>
            </w:tcBorders>
            <w:shd w:val="clear" w:color="auto" w:fill="auto"/>
            <w:noWrap/>
            <w:vAlign w:val="bottom"/>
            <w:hideMark/>
          </w:tcPr>
          <w:p w14:paraId="488A033D"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0.9840</w:t>
            </w:r>
          </w:p>
        </w:tc>
        <w:tc>
          <w:tcPr>
            <w:tcW w:w="1160" w:type="dxa"/>
            <w:tcBorders>
              <w:top w:val="nil"/>
              <w:left w:val="nil"/>
              <w:bottom w:val="nil"/>
              <w:right w:val="nil"/>
            </w:tcBorders>
            <w:shd w:val="clear" w:color="auto" w:fill="auto"/>
            <w:noWrap/>
            <w:vAlign w:val="bottom"/>
            <w:hideMark/>
          </w:tcPr>
          <w:p w14:paraId="71AB166C"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0.9012</w:t>
            </w:r>
          </w:p>
        </w:tc>
        <w:tc>
          <w:tcPr>
            <w:tcW w:w="1160" w:type="dxa"/>
            <w:tcBorders>
              <w:top w:val="nil"/>
              <w:left w:val="nil"/>
              <w:bottom w:val="nil"/>
              <w:right w:val="nil"/>
            </w:tcBorders>
            <w:shd w:val="clear" w:color="auto" w:fill="auto"/>
            <w:noWrap/>
            <w:vAlign w:val="bottom"/>
            <w:hideMark/>
          </w:tcPr>
          <w:p w14:paraId="4B881037"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0.8795</w:t>
            </w:r>
          </w:p>
        </w:tc>
      </w:tr>
      <w:tr w:rsidR="003A4F79" w:rsidRPr="003A4F79" w14:paraId="5B54C7BC"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44997853"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EA9D999"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(0.09)</w:t>
            </w:r>
          </w:p>
        </w:tc>
        <w:tc>
          <w:tcPr>
            <w:tcW w:w="1160" w:type="dxa"/>
            <w:tcBorders>
              <w:top w:val="nil"/>
              <w:left w:val="nil"/>
              <w:bottom w:val="nil"/>
              <w:right w:val="nil"/>
            </w:tcBorders>
            <w:shd w:val="clear" w:color="auto" w:fill="auto"/>
            <w:noWrap/>
            <w:vAlign w:val="bottom"/>
            <w:hideMark/>
          </w:tcPr>
          <w:p w14:paraId="650DAD6E"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(-0.06)</w:t>
            </w:r>
          </w:p>
        </w:tc>
        <w:tc>
          <w:tcPr>
            <w:tcW w:w="1160" w:type="dxa"/>
            <w:tcBorders>
              <w:top w:val="nil"/>
              <w:left w:val="nil"/>
              <w:bottom w:val="nil"/>
              <w:right w:val="nil"/>
            </w:tcBorders>
            <w:shd w:val="clear" w:color="auto" w:fill="auto"/>
            <w:noWrap/>
            <w:vAlign w:val="bottom"/>
            <w:hideMark/>
          </w:tcPr>
          <w:p w14:paraId="58C32F8C"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(-0.59)</w:t>
            </w:r>
          </w:p>
        </w:tc>
        <w:tc>
          <w:tcPr>
            <w:tcW w:w="1160" w:type="dxa"/>
            <w:tcBorders>
              <w:top w:val="nil"/>
              <w:left w:val="nil"/>
              <w:bottom w:val="nil"/>
              <w:right w:val="nil"/>
            </w:tcBorders>
            <w:shd w:val="clear" w:color="auto" w:fill="auto"/>
            <w:noWrap/>
            <w:vAlign w:val="bottom"/>
            <w:hideMark/>
          </w:tcPr>
          <w:p w14:paraId="5303FED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(-0.56)</w:t>
            </w:r>
          </w:p>
        </w:tc>
      </w:tr>
      <w:tr w:rsidR="003A4F79" w:rsidRPr="003A4F79" w14:paraId="7C2E255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5E7F6FA1"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RecRet</w:t>
            </w:r>
          </w:p>
        </w:tc>
        <w:tc>
          <w:tcPr>
            <w:tcW w:w="1160" w:type="dxa"/>
            <w:tcBorders>
              <w:top w:val="nil"/>
              <w:left w:val="nil"/>
              <w:bottom w:val="nil"/>
              <w:right w:val="nil"/>
            </w:tcBorders>
            <w:shd w:val="clear" w:color="auto" w:fill="auto"/>
            <w:noWrap/>
            <w:vAlign w:val="bottom"/>
            <w:hideMark/>
          </w:tcPr>
          <w:p w14:paraId="59EA68C0"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0.9886</w:t>
            </w:r>
          </w:p>
        </w:tc>
        <w:tc>
          <w:tcPr>
            <w:tcW w:w="1160" w:type="dxa"/>
            <w:tcBorders>
              <w:top w:val="nil"/>
              <w:left w:val="nil"/>
              <w:bottom w:val="nil"/>
              <w:right w:val="nil"/>
            </w:tcBorders>
            <w:shd w:val="clear" w:color="auto" w:fill="auto"/>
            <w:noWrap/>
            <w:vAlign w:val="bottom"/>
            <w:hideMark/>
          </w:tcPr>
          <w:p w14:paraId="10C171DB"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1.0096</w:t>
            </w:r>
          </w:p>
        </w:tc>
        <w:tc>
          <w:tcPr>
            <w:tcW w:w="1160" w:type="dxa"/>
            <w:tcBorders>
              <w:top w:val="nil"/>
              <w:left w:val="nil"/>
              <w:bottom w:val="nil"/>
              <w:right w:val="nil"/>
            </w:tcBorders>
            <w:shd w:val="clear" w:color="auto" w:fill="auto"/>
            <w:noWrap/>
            <w:vAlign w:val="bottom"/>
            <w:hideMark/>
          </w:tcPr>
          <w:p w14:paraId="6839ABCF"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1.0646</w:t>
            </w:r>
          </w:p>
        </w:tc>
        <w:tc>
          <w:tcPr>
            <w:tcW w:w="1160" w:type="dxa"/>
            <w:tcBorders>
              <w:top w:val="nil"/>
              <w:left w:val="nil"/>
              <w:bottom w:val="nil"/>
              <w:right w:val="nil"/>
            </w:tcBorders>
            <w:shd w:val="clear" w:color="auto" w:fill="auto"/>
            <w:noWrap/>
            <w:vAlign w:val="bottom"/>
            <w:hideMark/>
          </w:tcPr>
          <w:p w14:paraId="07810875"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1.0733</w:t>
            </w:r>
          </w:p>
        </w:tc>
      </w:tr>
      <w:tr w:rsidR="003A4F79" w:rsidRPr="003A4F79" w14:paraId="266FDE69"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115AE388"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6D78DF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(-0.08)</w:t>
            </w:r>
          </w:p>
        </w:tc>
        <w:tc>
          <w:tcPr>
            <w:tcW w:w="1160" w:type="dxa"/>
            <w:tcBorders>
              <w:top w:val="nil"/>
              <w:left w:val="nil"/>
              <w:bottom w:val="nil"/>
              <w:right w:val="nil"/>
            </w:tcBorders>
            <w:shd w:val="clear" w:color="auto" w:fill="auto"/>
            <w:noWrap/>
            <w:vAlign w:val="bottom"/>
            <w:hideMark/>
          </w:tcPr>
          <w:p w14:paraId="766EAB26"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w:t>
            </w:r>
          </w:p>
        </w:tc>
        <w:tc>
          <w:tcPr>
            <w:tcW w:w="1160" w:type="dxa"/>
            <w:tcBorders>
              <w:top w:val="nil"/>
              <w:left w:val="nil"/>
              <w:bottom w:val="nil"/>
              <w:right w:val="nil"/>
            </w:tcBorders>
            <w:shd w:val="clear" w:color="auto" w:fill="auto"/>
            <w:noWrap/>
            <w:vAlign w:val="bottom"/>
            <w:hideMark/>
          </w:tcPr>
          <w:p w14:paraId="0EA8D043"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(0.71)</w:t>
            </w:r>
          </w:p>
        </w:tc>
        <w:tc>
          <w:tcPr>
            <w:tcW w:w="1160" w:type="dxa"/>
            <w:tcBorders>
              <w:top w:val="nil"/>
              <w:left w:val="nil"/>
              <w:bottom w:val="nil"/>
              <w:right w:val="nil"/>
            </w:tcBorders>
            <w:shd w:val="clear" w:color="auto" w:fill="auto"/>
            <w:noWrap/>
            <w:vAlign w:val="bottom"/>
            <w:hideMark/>
          </w:tcPr>
          <w:p w14:paraId="7D4A4CC3"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(0.62)</w:t>
            </w:r>
          </w:p>
        </w:tc>
      </w:tr>
      <w:tr w:rsidR="003A4F79" w:rsidRPr="003A4F79" w14:paraId="55B099B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2CB42881"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RealRet</w:t>
            </w:r>
          </w:p>
        </w:tc>
        <w:tc>
          <w:tcPr>
            <w:tcW w:w="1160" w:type="dxa"/>
            <w:tcBorders>
              <w:top w:val="nil"/>
              <w:left w:val="nil"/>
              <w:bottom w:val="nil"/>
              <w:right w:val="nil"/>
            </w:tcBorders>
            <w:shd w:val="clear" w:color="auto" w:fill="auto"/>
            <w:noWrap/>
            <w:vAlign w:val="bottom"/>
            <w:hideMark/>
          </w:tcPr>
          <w:p w14:paraId="1682A5D9"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1.0436*</w:t>
            </w:r>
          </w:p>
        </w:tc>
        <w:tc>
          <w:tcPr>
            <w:tcW w:w="1160" w:type="dxa"/>
            <w:tcBorders>
              <w:top w:val="nil"/>
              <w:left w:val="nil"/>
              <w:bottom w:val="nil"/>
              <w:right w:val="nil"/>
            </w:tcBorders>
            <w:shd w:val="clear" w:color="auto" w:fill="auto"/>
            <w:noWrap/>
            <w:vAlign w:val="bottom"/>
            <w:hideMark/>
          </w:tcPr>
          <w:p w14:paraId="2D21262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1.0452*</w:t>
            </w:r>
          </w:p>
        </w:tc>
        <w:tc>
          <w:tcPr>
            <w:tcW w:w="1160" w:type="dxa"/>
            <w:tcBorders>
              <w:top w:val="nil"/>
              <w:left w:val="nil"/>
              <w:bottom w:val="nil"/>
              <w:right w:val="nil"/>
            </w:tcBorders>
            <w:shd w:val="clear" w:color="auto" w:fill="auto"/>
            <w:noWrap/>
            <w:vAlign w:val="bottom"/>
            <w:hideMark/>
          </w:tcPr>
          <w:p w14:paraId="6BC1D2CD"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1.0754***</w:t>
            </w:r>
          </w:p>
        </w:tc>
        <w:tc>
          <w:tcPr>
            <w:tcW w:w="1160" w:type="dxa"/>
            <w:tcBorders>
              <w:top w:val="nil"/>
              <w:left w:val="nil"/>
              <w:bottom w:val="nil"/>
              <w:right w:val="nil"/>
            </w:tcBorders>
            <w:shd w:val="clear" w:color="auto" w:fill="auto"/>
            <w:noWrap/>
            <w:vAlign w:val="bottom"/>
            <w:hideMark/>
          </w:tcPr>
          <w:p w14:paraId="05C0EF7F"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1.0673***</w:t>
            </w:r>
          </w:p>
        </w:tc>
      </w:tr>
      <w:tr w:rsidR="003A4F79" w:rsidRPr="003A4F79" w14:paraId="5CCCECA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73055B90"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F96A6F6"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(1.73)</w:t>
            </w:r>
          </w:p>
        </w:tc>
        <w:tc>
          <w:tcPr>
            <w:tcW w:w="1160" w:type="dxa"/>
            <w:tcBorders>
              <w:top w:val="nil"/>
              <w:left w:val="nil"/>
              <w:bottom w:val="nil"/>
              <w:right w:val="nil"/>
            </w:tcBorders>
            <w:shd w:val="clear" w:color="auto" w:fill="auto"/>
            <w:noWrap/>
            <w:vAlign w:val="bottom"/>
            <w:hideMark/>
          </w:tcPr>
          <w:p w14:paraId="41900AC0"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(1.80)</w:t>
            </w:r>
          </w:p>
        </w:tc>
        <w:tc>
          <w:tcPr>
            <w:tcW w:w="1160" w:type="dxa"/>
            <w:tcBorders>
              <w:top w:val="nil"/>
              <w:left w:val="nil"/>
              <w:bottom w:val="nil"/>
              <w:right w:val="nil"/>
            </w:tcBorders>
            <w:shd w:val="clear" w:color="auto" w:fill="auto"/>
            <w:noWrap/>
            <w:vAlign w:val="bottom"/>
            <w:hideMark/>
          </w:tcPr>
          <w:p w14:paraId="4DF94A5B"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(3.17)</w:t>
            </w:r>
          </w:p>
        </w:tc>
        <w:tc>
          <w:tcPr>
            <w:tcW w:w="1160" w:type="dxa"/>
            <w:tcBorders>
              <w:top w:val="nil"/>
              <w:left w:val="nil"/>
              <w:bottom w:val="nil"/>
              <w:right w:val="nil"/>
            </w:tcBorders>
            <w:shd w:val="clear" w:color="auto" w:fill="auto"/>
            <w:noWrap/>
            <w:vAlign w:val="bottom"/>
            <w:hideMark/>
          </w:tcPr>
          <w:p w14:paraId="6FA66065"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(2.77)</w:t>
            </w:r>
          </w:p>
        </w:tc>
      </w:tr>
      <w:tr w:rsidR="003A4F79" w:rsidRPr="003A4F79" w14:paraId="10E4F8A0"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3C9F236C"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Saliency</w:t>
            </w:r>
          </w:p>
        </w:tc>
        <w:tc>
          <w:tcPr>
            <w:tcW w:w="1160" w:type="dxa"/>
            <w:tcBorders>
              <w:top w:val="nil"/>
              <w:left w:val="nil"/>
              <w:bottom w:val="nil"/>
              <w:right w:val="nil"/>
            </w:tcBorders>
            <w:shd w:val="clear" w:color="auto" w:fill="auto"/>
            <w:noWrap/>
            <w:vAlign w:val="bottom"/>
            <w:hideMark/>
          </w:tcPr>
          <w:p w14:paraId="401EC9E4"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c>
          <w:tcPr>
            <w:tcW w:w="1160" w:type="dxa"/>
            <w:tcBorders>
              <w:top w:val="nil"/>
              <w:left w:val="nil"/>
              <w:bottom w:val="nil"/>
              <w:right w:val="nil"/>
            </w:tcBorders>
            <w:shd w:val="clear" w:color="auto" w:fill="auto"/>
            <w:noWrap/>
            <w:vAlign w:val="bottom"/>
            <w:hideMark/>
          </w:tcPr>
          <w:p w14:paraId="7833F9A1"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c>
          <w:tcPr>
            <w:tcW w:w="1160" w:type="dxa"/>
            <w:tcBorders>
              <w:top w:val="nil"/>
              <w:left w:val="nil"/>
              <w:bottom w:val="nil"/>
              <w:right w:val="nil"/>
            </w:tcBorders>
            <w:shd w:val="clear" w:color="auto" w:fill="auto"/>
            <w:noWrap/>
            <w:vAlign w:val="bottom"/>
            <w:hideMark/>
          </w:tcPr>
          <w:p w14:paraId="7CFC9277"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c>
          <w:tcPr>
            <w:tcW w:w="1160" w:type="dxa"/>
            <w:tcBorders>
              <w:top w:val="nil"/>
              <w:left w:val="nil"/>
              <w:bottom w:val="nil"/>
              <w:right w:val="nil"/>
            </w:tcBorders>
            <w:shd w:val="clear" w:color="auto" w:fill="auto"/>
            <w:noWrap/>
            <w:vAlign w:val="bottom"/>
            <w:hideMark/>
          </w:tcPr>
          <w:p w14:paraId="008BDE8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r>
      <w:tr w:rsidR="003A4F79" w:rsidRPr="003A4F79" w14:paraId="3F4CB2D5"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3B22D736"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2A703B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(3.86)</w:t>
            </w:r>
          </w:p>
        </w:tc>
        <w:tc>
          <w:tcPr>
            <w:tcW w:w="1160" w:type="dxa"/>
            <w:tcBorders>
              <w:top w:val="nil"/>
              <w:left w:val="nil"/>
              <w:bottom w:val="nil"/>
              <w:right w:val="nil"/>
            </w:tcBorders>
            <w:shd w:val="clear" w:color="auto" w:fill="auto"/>
            <w:noWrap/>
            <w:vAlign w:val="bottom"/>
            <w:hideMark/>
          </w:tcPr>
          <w:p w14:paraId="1C46D548"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(3.70)</w:t>
            </w:r>
          </w:p>
        </w:tc>
        <w:tc>
          <w:tcPr>
            <w:tcW w:w="1160" w:type="dxa"/>
            <w:tcBorders>
              <w:top w:val="nil"/>
              <w:left w:val="nil"/>
              <w:bottom w:val="nil"/>
              <w:right w:val="nil"/>
            </w:tcBorders>
            <w:shd w:val="clear" w:color="auto" w:fill="auto"/>
            <w:noWrap/>
            <w:vAlign w:val="bottom"/>
            <w:hideMark/>
          </w:tcPr>
          <w:p w14:paraId="6470F569"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(3.62)</w:t>
            </w:r>
          </w:p>
        </w:tc>
        <w:tc>
          <w:tcPr>
            <w:tcW w:w="1160" w:type="dxa"/>
            <w:tcBorders>
              <w:top w:val="nil"/>
              <w:left w:val="nil"/>
              <w:bottom w:val="nil"/>
              <w:right w:val="nil"/>
            </w:tcBorders>
            <w:shd w:val="clear" w:color="auto" w:fill="auto"/>
            <w:noWrap/>
            <w:vAlign w:val="bottom"/>
            <w:hideMark/>
          </w:tcPr>
          <w:p w14:paraId="5C839735"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(5.17)</w:t>
            </w:r>
          </w:p>
        </w:tc>
      </w:tr>
      <w:tr w:rsidR="003A4F79" w:rsidRPr="003A4F79" w14:paraId="4ACEAB0D"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7C756267"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InvSiz</w:t>
            </w:r>
          </w:p>
        </w:tc>
        <w:tc>
          <w:tcPr>
            <w:tcW w:w="1160" w:type="dxa"/>
            <w:tcBorders>
              <w:top w:val="nil"/>
              <w:left w:val="nil"/>
              <w:bottom w:val="nil"/>
              <w:right w:val="nil"/>
            </w:tcBorders>
            <w:shd w:val="clear" w:color="auto" w:fill="auto"/>
            <w:noWrap/>
            <w:vAlign w:val="bottom"/>
            <w:hideMark/>
          </w:tcPr>
          <w:p w14:paraId="3E4CFF21"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AE47C9E"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1.2328***</w:t>
            </w:r>
          </w:p>
        </w:tc>
        <w:tc>
          <w:tcPr>
            <w:tcW w:w="1160" w:type="dxa"/>
            <w:tcBorders>
              <w:top w:val="nil"/>
              <w:left w:val="nil"/>
              <w:bottom w:val="nil"/>
              <w:right w:val="nil"/>
            </w:tcBorders>
            <w:shd w:val="clear" w:color="auto" w:fill="auto"/>
            <w:noWrap/>
            <w:vAlign w:val="bottom"/>
            <w:hideMark/>
          </w:tcPr>
          <w:p w14:paraId="1A8D74E5"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1.2163***</w:t>
            </w:r>
          </w:p>
        </w:tc>
        <w:tc>
          <w:tcPr>
            <w:tcW w:w="1160" w:type="dxa"/>
            <w:tcBorders>
              <w:top w:val="nil"/>
              <w:left w:val="nil"/>
              <w:bottom w:val="nil"/>
              <w:right w:val="nil"/>
            </w:tcBorders>
            <w:shd w:val="clear" w:color="auto" w:fill="auto"/>
            <w:noWrap/>
            <w:vAlign w:val="bottom"/>
            <w:hideMark/>
          </w:tcPr>
          <w:p w14:paraId="3FCA3136"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1.1752***</w:t>
            </w:r>
          </w:p>
        </w:tc>
      </w:tr>
      <w:tr w:rsidR="003A4F79" w:rsidRPr="003A4F79" w14:paraId="242BA9D1"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7584E1AB"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5D2560F"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13C3784"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(5.28)</w:t>
            </w:r>
          </w:p>
        </w:tc>
        <w:tc>
          <w:tcPr>
            <w:tcW w:w="1160" w:type="dxa"/>
            <w:tcBorders>
              <w:top w:val="nil"/>
              <w:left w:val="nil"/>
              <w:bottom w:val="nil"/>
              <w:right w:val="nil"/>
            </w:tcBorders>
            <w:shd w:val="clear" w:color="auto" w:fill="auto"/>
            <w:noWrap/>
            <w:vAlign w:val="bottom"/>
            <w:hideMark/>
          </w:tcPr>
          <w:p w14:paraId="2E2ABA64"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(4.53)</w:t>
            </w:r>
          </w:p>
        </w:tc>
        <w:tc>
          <w:tcPr>
            <w:tcW w:w="1160" w:type="dxa"/>
            <w:tcBorders>
              <w:top w:val="nil"/>
              <w:left w:val="nil"/>
              <w:bottom w:val="nil"/>
              <w:right w:val="nil"/>
            </w:tcBorders>
            <w:shd w:val="clear" w:color="auto" w:fill="auto"/>
            <w:noWrap/>
            <w:vAlign w:val="bottom"/>
            <w:hideMark/>
          </w:tcPr>
          <w:p w14:paraId="383D567C"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(3.75)</w:t>
            </w:r>
          </w:p>
        </w:tc>
      </w:tr>
      <w:tr w:rsidR="003A4F79" w:rsidRPr="003A4F79" w14:paraId="302B9415"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3A1E7771"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w:t>
            </w:r>
          </w:p>
        </w:tc>
        <w:tc>
          <w:tcPr>
            <w:tcW w:w="1160" w:type="dxa"/>
            <w:tcBorders>
              <w:top w:val="nil"/>
              <w:left w:val="nil"/>
              <w:bottom w:val="nil"/>
              <w:right w:val="nil"/>
            </w:tcBorders>
            <w:shd w:val="clear" w:color="auto" w:fill="auto"/>
            <w:noWrap/>
            <w:vAlign w:val="bottom"/>
            <w:hideMark/>
          </w:tcPr>
          <w:p w14:paraId="3DD8EC96"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5F91BB8"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0A94AE6"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0.2868***</w:t>
            </w:r>
          </w:p>
        </w:tc>
        <w:tc>
          <w:tcPr>
            <w:tcW w:w="1160" w:type="dxa"/>
            <w:tcBorders>
              <w:top w:val="nil"/>
              <w:left w:val="nil"/>
              <w:bottom w:val="nil"/>
              <w:right w:val="nil"/>
            </w:tcBorders>
            <w:shd w:val="clear" w:color="auto" w:fill="auto"/>
            <w:noWrap/>
            <w:vAlign w:val="bottom"/>
            <w:hideMark/>
          </w:tcPr>
          <w:p w14:paraId="79AAFFFD"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0.3069***</w:t>
            </w:r>
          </w:p>
        </w:tc>
      </w:tr>
      <w:tr w:rsidR="003A4F79" w:rsidRPr="003A4F79" w14:paraId="72DA797F"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12DCC2B9"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A26E58F"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1417B31"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81FAAEB"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(-12.24)</w:t>
            </w:r>
          </w:p>
        </w:tc>
        <w:tc>
          <w:tcPr>
            <w:tcW w:w="1160" w:type="dxa"/>
            <w:tcBorders>
              <w:top w:val="nil"/>
              <w:left w:val="nil"/>
              <w:bottom w:val="nil"/>
              <w:right w:val="nil"/>
            </w:tcBorders>
            <w:shd w:val="clear" w:color="auto" w:fill="auto"/>
            <w:noWrap/>
            <w:vAlign w:val="bottom"/>
            <w:hideMark/>
          </w:tcPr>
          <w:p w14:paraId="01ECC1FB"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(-11.62)</w:t>
            </w:r>
          </w:p>
        </w:tc>
      </w:tr>
      <w:tr w:rsidR="003A4F79" w:rsidRPr="003A4F79" w14:paraId="4DEC97BC"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4273E9A3"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ZeroTrd</w:t>
            </w:r>
          </w:p>
        </w:tc>
        <w:tc>
          <w:tcPr>
            <w:tcW w:w="1160" w:type="dxa"/>
            <w:tcBorders>
              <w:top w:val="nil"/>
              <w:left w:val="nil"/>
              <w:bottom w:val="nil"/>
              <w:right w:val="nil"/>
            </w:tcBorders>
            <w:shd w:val="clear" w:color="auto" w:fill="auto"/>
            <w:noWrap/>
            <w:vAlign w:val="bottom"/>
            <w:hideMark/>
          </w:tcPr>
          <w:p w14:paraId="73D6DD5D"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4F7401C"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C632772"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2.8480***</w:t>
            </w:r>
          </w:p>
        </w:tc>
        <w:tc>
          <w:tcPr>
            <w:tcW w:w="1160" w:type="dxa"/>
            <w:tcBorders>
              <w:top w:val="nil"/>
              <w:left w:val="nil"/>
              <w:bottom w:val="nil"/>
              <w:right w:val="nil"/>
            </w:tcBorders>
            <w:shd w:val="clear" w:color="auto" w:fill="auto"/>
            <w:noWrap/>
            <w:vAlign w:val="bottom"/>
            <w:hideMark/>
          </w:tcPr>
          <w:p w14:paraId="32ED1FE0"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2.7394***</w:t>
            </w:r>
          </w:p>
        </w:tc>
      </w:tr>
      <w:tr w:rsidR="003A4F79" w:rsidRPr="003A4F79" w14:paraId="2FBE8D48"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0885EC74"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4CCD9DD"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1CE9DD9"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E8A47E7"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(21.58)</w:t>
            </w:r>
          </w:p>
        </w:tc>
        <w:tc>
          <w:tcPr>
            <w:tcW w:w="1160" w:type="dxa"/>
            <w:tcBorders>
              <w:top w:val="nil"/>
              <w:left w:val="nil"/>
              <w:bottom w:val="nil"/>
              <w:right w:val="nil"/>
            </w:tcBorders>
            <w:shd w:val="clear" w:color="auto" w:fill="auto"/>
            <w:noWrap/>
            <w:vAlign w:val="bottom"/>
            <w:hideMark/>
          </w:tcPr>
          <w:p w14:paraId="59F539FD"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(20.67)</w:t>
            </w:r>
          </w:p>
        </w:tc>
      </w:tr>
      <w:tr w:rsidR="003A4F79" w:rsidRPr="003A4F79" w14:paraId="0F7E7D52"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3C3ECBFD"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 × ZeroTrd</w:t>
            </w:r>
          </w:p>
        </w:tc>
        <w:tc>
          <w:tcPr>
            <w:tcW w:w="1160" w:type="dxa"/>
            <w:tcBorders>
              <w:top w:val="nil"/>
              <w:left w:val="nil"/>
              <w:bottom w:val="nil"/>
              <w:right w:val="nil"/>
            </w:tcBorders>
            <w:shd w:val="clear" w:color="auto" w:fill="auto"/>
            <w:noWrap/>
            <w:vAlign w:val="bottom"/>
            <w:hideMark/>
          </w:tcPr>
          <w:p w14:paraId="502471AA"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1296EE9"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D90A68D"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0.2525***</w:t>
            </w:r>
          </w:p>
        </w:tc>
        <w:tc>
          <w:tcPr>
            <w:tcW w:w="1160" w:type="dxa"/>
            <w:tcBorders>
              <w:top w:val="nil"/>
              <w:left w:val="nil"/>
              <w:bottom w:val="nil"/>
              <w:right w:val="nil"/>
            </w:tcBorders>
            <w:shd w:val="clear" w:color="auto" w:fill="auto"/>
            <w:noWrap/>
            <w:vAlign w:val="bottom"/>
            <w:hideMark/>
          </w:tcPr>
          <w:p w14:paraId="41525B1F"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0.2684***</w:t>
            </w:r>
          </w:p>
        </w:tc>
      </w:tr>
      <w:tr w:rsidR="003A4F79" w:rsidRPr="003A4F79" w14:paraId="08B82C6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029A6A17"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8E4A9C7"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75224B0"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5566C59"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(-12.05)</w:t>
            </w:r>
          </w:p>
        </w:tc>
        <w:tc>
          <w:tcPr>
            <w:tcW w:w="1160" w:type="dxa"/>
            <w:tcBorders>
              <w:top w:val="nil"/>
              <w:left w:val="nil"/>
              <w:bottom w:val="nil"/>
              <w:right w:val="nil"/>
            </w:tcBorders>
            <w:shd w:val="clear" w:color="auto" w:fill="auto"/>
            <w:noWrap/>
            <w:vAlign w:val="bottom"/>
            <w:hideMark/>
          </w:tcPr>
          <w:p w14:paraId="7F876845"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(-11.56)</w:t>
            </w:r>
          </w:p>
        </w:tc>
      </w:tr>
      <w:tr w:rsidR="003A4F79" w:rsidRPr="003A4F79" w14:paraId="0E0B06D5"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1C8B7542"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Nokia</w:t>
            </w:r>
          </w:p>
        </w:tc>
        <w:tc>
          <w:tcPr>
            <w:tcW w:w="1160" w:type="dxa"/>
            <w:tcBorders>
              <w:top w:val="nil"/>
              <w:left w:val="nil"/>
              <w:bottom w:val="nil"/>
              <w:right w:val="nil"/>
            </w:tcBorders>
            <w:shd w:val="clear" w:color="auto" w:fill="auto"/>
            <w:noWrap/>
            <w:vAlign w:val="bottom"/>
            <w:hideMark/>
          </w:tcPr>
          <w:p w14:paraId="2D1E2DA9"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9CA6736"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4E67302"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7D6FF3F"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1.9994***</w:t>
            </w:r>
          </w:p>
        </w:tc>
      </w:tr>
      <w:tr w:rsidR="003A4F79" w:rsidRPr="003A4F79" w14:paraId="46A158F7"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5811BF11"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BDBD707"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BD4F7F0"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438AE92"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D8DDE98"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(17.39)</w:t>
            </w:r>
          </w:p>
        </w:tc>
      </w:tr>
      <w:tr w:rsidR="003A4F79" w:rsidRPr="003A4F79" w14:paraId="73461370"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36DEDD5D"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MktRet</w:t>
            </w:r>
          </w:p>
        </w:tc>
        <w:tc>
          <w:tcPr>
            <w:tcW w:w="1160" w:type="dxa"/>
            <w:tcBorders>
              <w:top w:val="nil"/>
              <w:left w:val="nil"/>
              <w:bottom w:val="nil"/>
              <w:right w:val="nil"/>
            </w:tcBorders>
            <w:shd w:val="clear" w:color="auto" w:fill="auto"/>
            <w:noWrap/>
            <w:vAlign w:val="bottom"/>
            <w:hideMark/>
          </w:tcPr>
          <w:p w14:paraId="1EDF0643"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0.4688***</w:t>
            </w:r>
          </w:p>
        </w:tc>
        <w:tc>
          <w:tcPr>
            <w:tcW w:w="1160" w:type="dxa"/>
            <w:tcBorders>
              <w:top w:val="nil"/>
              <w:left w:val="nil"/>
              <w:bottom w:val="nil"/>
              <w:right w:val="nil"/>
            </w:tcBorders>
            <w:shd w:val="clear" w:color="auto" w:fill="auto"/>
            <w:noWrap/>
            <w:vAlign w:val="bottom"/>
            <w:hideMark/>
          </w:tcPr>
          <w:p w14:paraId="6D000B22"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0.4693***</w:t>
            </w:r>
          </w:p>
        </w:tc>
        <w:tc>
          <w:tcPr>
            <w:tcW w:w="1160" w:type="dxa"/>
            <w:tcBorders>
              <w:top w:val="nil"/>
              <w:left w:val="nil"/>
              <w:bottom w:val="nil"/>
              <w:right w:val="nil"/>
            </w:tcBorders>
            <w:shd w:val="clear" w:color="auto" w:fill="auto"/>
            <w:noWrap/>
            <w:vAlign w:val="bottom"/>
            <w:hideMark/>
          </w:tcPr>
          <w:p w14:paraId="35B80C8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0.4326***</w:t>
            </w:r>
          </w:p>
        </w:tc>
        <w:tc>
          <w:tcPr>
            <w:tcW w:w="1160" w:type="dxa"/>
            <w:tcBorders>
              <w:top w:val="nil"/>
              <w:left w:val="nil"/>
              <w:bottom w:val="nil"/>
              <w:right w:val="nil"/>
            </w:tcBorders>
            <w:shd w:val="clear" w:color="auto" w:fill="auto"/>
            <w:noWrap/>
            <w:vAlign w:val="bottom"/>
            <w:hideMark/>
          </w:tcPr>
          <w:p w14:paraId="70C5E744"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0.4193***</w:t>
            </w:r>
          </w:p>
        </w:tc>
      </w:tr>
      <w:tr w:rsidR="003A4F79" w:rsidRPr="003A4F79" w14:paraId="0724CDA2"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626493B7"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783C034"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(-4.47)</w:t>
            </w:r>
          </w:p>
        </w:tc>
        <w:tc>
          <w:tcPr>
            <w:tcW w:w="1160" w:type="dxa"/>
            <w:tcBorders>
              <w:top w:val="nil"/>
              <w:left w:val="nil"/>
              <w:bottom w:val="nil"/>
              <w:right w:val="nil"/>
            </w:tcBorders>
            <w:shd w:val="clear" w:color="auto" w:fill="auto"/>
            <w:noWrap/>
            <w:vAlign w:val="bottom"/>
            <w:hideMark/>
          </w:tcPr>
          <w:p w14:paraId="247153DF"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(-4.47)</w:t>
            </w:r>
          </w:p>
        </w:tc>
        <w:tc>
          <w:tcPr>
            <w:tcW w:w="1160" w:type="dxa"/>
            <w:tcBorders>
              <w:top w:val="nil"/>
              <w:left w:val="nil"/>
              <w:bottom w:val="nil"/>
              <w:right w:val="nil"/>
            </w:tcBorders>
            <w:shd w:val="clear" w:color="auto" w:fill="auto"/>
            <w:noWrap/>
            <w:vAlign w:val="bottom"/>
            <w:hideMark/>
          </w:tcPr>
          <w:p w14:paraId="2AAB68B5"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(-4.85)</w:t>
            </w:r>
          </w:p>
        </w:tc>
        <w:tc>
          <w:tcPr>
            <w:tcW w:w="1160" w:type="dxa"/>
            <w:tcBorders>
              <w:top w:val="nil"/>
              <w:left w:val="nil"/>
              <w:bottom w:val="nil"/>
              <w:right w:val="nil"/>
            </w:tcBorders>
            <w:shd w:val="clear" w:color="auto" w:fill="auto"/>
            <w:noWrap/>
            <w:vAlign w:val="bottom"/>
            <w:hideMark/>
          </w:tcPr>
          <w:p w14:paraId="0CDCA14D"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(-5.03)</w:t>
            </w:r>
          </w:p>
        </w:tc>
      </w:tr>
      <w:tr w:rsidR="003A4F79" w:rsidRPr="003A4F79" w14:paraId="4C65D504"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29F17E58"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MktVol</w:t>
            </w:r>
          </w:p>
        </w:tc>
        <w:tc>
          <w:tcPr>
            <w:tcW w:w="1160" w:type="dxa"/>
            <w:tcBorders>
              <w:top w:val="nil"/>
              <w:left w:val="nil"/>
              <w:bottom w:val="nil"/>
              <w:right w:val="nil"/>
            </w:tcBorders>
            <w:shd w:val="clear" w:color="auto" w:fill="auto"/>
            <w:noWrap/>
            <w:vAlign w:val="bottom"/>
            <w:hideMark/>
          </w:tcPr>
          <w:p w14:paraId="3088BC2E"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0.4673</w:t>
            </w:r>
          </w:p>
        </w:tc>
        <w:tc>
          <w:tcPr>
            <w:tcW w:w="1160" w:type="dxa"/>
            <w:tcBorders>
              <w:top w:val="nil"/>
              <w:left w:val="nil"/>
              <w:bottom w:val="nil"/>
              <w:right w:val="nil"/>
            </w:tcBorders>
            <w:shd w:val="clear" w:color="auto" w:fill="auto"/>
            <w:noWrap/>
            <w:vAlign w:val="bottom"/>
            <w:hideMark/>
          </w:tcPr>
          <w:p w14:paraId="08A7EBC2"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0.4665</w:t>
            </w:r>
          </w:p>
        </w:tc>
        <w:tc>
          <w:tcPr>
            <w:tcW w:w="1160" w:type="dxa"/>
            <w:tcBorders>
              <w:top w:val="nil"/>
              <w:left w:val="nil"/>
              <w:bottom w:val="nil"/>
              <w:right w:val="nil"/>
            </w:tcBorders>
            <w:shd w:val="clear" w:color="auto" w:fill="auto"/>
            <w:noWrap/>
            <w:vAlign w:val="bottom"/>
            <w:hideMark/>
          </w:tcPr>
          <w:p w14:paraId="2D0C2A0D"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0.4077</w:t>
            </w:r>
          </w:p>
        </w:tc>
        <w:tc>
          <w:tcPr>
            <w:tcW w:w="1160" w:type="dxa"/>
            <w:tcBorders>
              <w:top w:val="nil"/>
              <w:left w:val="nil"/>
              <w:bottom w:val="nil"/>
              <w:right w:val="nil"/>
            </w:tcBorders>
            <w:shd w:val="clear" w:color="auto" w:fill="auto"/>
            <w:noWrap/>
            <w:vAlign w:val="bottom"/>
            <w:hideMark/>
          </w:tcPr>
          <w:p w14:paraId="46B5ED85"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0.3960</w:t>
            </w:r>
          </w:p>
        </w:tc>
      </w:tr>
      <w:tr w:rsidR="003A4F79" w:rsidRPr="003A4F79" w14:paraId="62A93C55"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79A9E227"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555DAFF"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(-1.21)</w:t>
            </w:r>
          </w:p>
        </w:tc>
        <w:tc>
          <w:tcPr>
            <w:tcW w:w="1160" w:type="dxa"/>
            <w:tcBorders>
              <w:top w:val="nil"/>
              <w:left w:val="nil"/>
              <w:bottom w:val="nil"/>
              <w:right w:val="nil"/>
            </w:tcBorders>
            <w:shd w:val="clear" w:color="auto" w:fill="auto"/>
            <w:noWrap/>
            <w:vAlign w:val="bottom"/>
            <w:hideMark/>
          </w:tcPr>
          <w:p w14:paraId="49BF209C"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(-1.21)</w:t>
            </w:r>
          </w:p>
        </w:tc>
        <w:tc>
          <w:tcPr>
            <w:tcW w:w="1160" w:type="dxa"/>
            <w:tcBorders>
              <w:top w:val="nil"/>
              <w:left w:val="nil"/>
              <w:bottom w:val="nil"/>
              <w:right w:val="nil"/>
            </w:tcBorders>
            <w:shd w:val="clear" w:color="auto" w:fill="auto"/>
            <w:noWrap/>
            <w:vAlign w:val="bottom"/>
            <w:hideMark/>
          </w:tcPr>
          <w:p w14:paraId="4452CE73"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(-1.38)</w:t>
            </w:r>
          </w:p>
        </w:tc>
        <w:tc>
          <w:tcPr>
            <w:tcW w:w="1160" w:type="dxa"/>
            <w:tcBorders>
              <w:top w:val="nil"/>
              <w:left w:val="nil"/>
              <w:bottom w:val="nil"/>
              <w:right w:val="nil"/>
            </w:tcBorders>
            <w:shd w:val="clear" w:color="auto" w:fill="auto"/>
            <w:noWrap/>
            <w:vAlign w:val="bottom"/>
            <w:hideMark/>
          </w:tcPr>
          <w:p w14:paraId="37C6DA15"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(-1.41)</w:t>
            </w:r>
          </w:p>
        </w:tc>
      </w:tr>
      <w:tr w:rsidR="003A4F79" w:rsidRPr="003A4F79" w14:paraId="3EE99D40"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117C6784"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Female</w:t>
            </w:r>
          </w:p>
        </w:tc>
        <w:tc>
          <w:tcPr>
            <w:tcW w:w="1160" w:type="dxa"/>
            <w:tcBorders>
              <w:top w:val="nil"/>
              <w:left w:val="nil"/>
              <w:bottom w:val="nil"/>
              <w:right w:val="nil"/>
            </w:tcBorders>
            <w:shd w:val="clear" w:color="auto" w:fill="auto"/>
            <w:noWrap/>
            <w:vAlign w:val="bottom"/>
            <w:hideMark/>
          </w:tcPr>
          <w:p w14:paraId="6C9BF63D"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0.7393***</w:t>
            </w:r>
          </w:p>
        </w:tc>
        <w:tc>
          <w:tcPr>
            <w:tcW w:w="1160" w:type="dxa"/>
            <w:tcBorders>
              <w:top w:val="nil"/>
              <w:left w:val="nil"/>
              <w:bottom w:val="nil"/>
              <w:right w:val="nil"/>
            </w:tcBorders>
            <w:shd w:val="clear" w:color="auto" w:fill="auto"/>
            <w:noWrap/>
            <w:vAlign w:val="bottom"/>
            <w:hideMark/>
          </w:tcPr>
          <w:p w14:paraId="36426059"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0.7407***</w:t>
            </w:r>
          </w:p>
        </w:tc>
        <w:tc>
          <w:tcPr>
            <w:tcW w:w="1160" w:type="dxa"/>
            <w:tcBorders>
              <w:top w:val="nil"/>
              <w:left w:val="nil"/>
              <w:bottom w:val="nil"/>
              <w:right w:val="nil"/>
            </w:tcBorders>
            <w:shd w:val="clear" w:color="auto" w:fill="auto"/>
            <w:noWrap/>
            <w:vAlign w:val="bottom"/>
            <w:hideMark/>
          </w:tcPr>
          <w:p w14:paraId="2B76F63F"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0.9235*</w:t>
            </w:r>
          </w:p>
        </w:tc>
        <w:tc>
          <w:tcPr>
            <w:tcW w:w="1160" w:type="dxa"/>
            <w:tcBorders>
              <w:top w:val="nil"/>
              <w:left w:val="nil"/>
              <w:bottom w:val="nil"/>
              <w:right w:val="nil"/>
            </w:tcBorders>
            <w:shd w:val="clear" w:color="auto" w:fill="auto"/>
            <w:noWrap/>
            <w:vAlign w:val="bottom"/>
            <w:hideMark/>
          </w:tcPr>
          <w:p w14:paraId="0DD1A668"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0.9160**</w:t>
            </w:r>
          </w:p>
        </w:tc>
      </w:tr>
      <w:tr w:rsidR="003A4F79" w:rsidRPr="003A4F79" w14:paraId="3F4E7A0C"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2342864E"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A2720F2"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(-7.09)</w:t>
            </w:r>
          </w:p>
        </w:tc>
        <w:tc>
          <w:tcPr>
            <w:tcW w:w="1160" w:type="dxa"/>
            <w:tcBorders>
              <w:top w:val="nil"/>
              <w:left w:val="nil"/>
              <w:bottom w:val="nil"/>
              <w:right w:val="nil"/>
            </w:tcBorders>
            <w:shd w:val="clear" w:color="auto" w:fill="auto"/>
            <w:noWrap/>
            <w:vAlign w:val="bottom"/>
            <w:hideMark/>
          </w:tcPr>
          <w:p w14:paraId="5A27D01C"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(-7.04)</w:t>
            </w:r>
          </w:p>
        </w:tc>
        <w:tc>
          <w:tcPr>
            <w:tcW w:w="1160" w:type="dxa"/>
            <w:tcBorders>
              <w:top w:val="nil"/>
              <w:left w:val="nil"/>
              <w:bottom w:val="nil"/>
              <w:right w:val="nil"/>
            </w:tcBorders>
            <w:shd w:val="clear" w:color="auto" w:fill="auto"/>
            <w:noWrap/>
            <w:vAlign w:val="bottom"/>
            <w:hideMark/>
          </w:tcPr>
          <w:p w14:paraId="4467A71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(-1.83)</w:t>
            </w:r>
          </w:p>
        </w:tc>
        <w:tc>
          <w:tcPr>
            <w:tcW w:w="1160" w:type="dxa"/>
            <w:tcBorders>
              <w:top w:val="nil"/>
              <w:left w:val="nil"/>
              <w:bottom w:val="nil"/>
              <w:right w:val="nil"/>
            </w:tcBorders>
            <w:shd w:val="clear" w:color="auto" w:fill="auto"/>
            <w:noWrap/>
            <w:vAlign w:val="bottom"/>
            <w:hideMark/>
          </w:tcPr>
          <w:p w14:paraId="57825D9F"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(-2.02)</w:t>
            </w:r>
          </w:p>
        </w:tc>
      </w:tr>
      <w:tr w:rsidR="003A4F79" w:rsidRPr="003A4F79" w14:paraId="0E99244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40ACFDAB"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Age</w:t>
            </w:r>
          </w:p>
        </w:tc>
        <w:tc>
          <w:tcPr>
            <w:tcW w:w="1160" w:type="dxa"/>
            <w:tcBorders>
              <w:top w:val="nil"/>
              <w:left w:val="nil"/>
              <w:bottom w:val="nil"/>
              <w:right w:val="nil"/>
            </w:tcBorders>
            <w:shd w:val="clear" w:color="auto" w:fill="auto"/>
            <w:noWrap/>
            <w:vAlign w:val="bottom"/>
            <w:hideMark/>
          </w:tcPr>
          <w:p w14:paraId="478C64C2"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0.9993</w:t>
            </w:r>
          </w:p>
        </w:tc>
        <w:tc>
          <w:tcPr>
            <w:tcW w:w="1160" w:type="dxa"/>
            <w:tcBorders>
              <w:top w:val="nil"/>
              <w:left w:val="nil"/>
              <w:bottom w:val="nil"/>
              <w:right w:val="nil"/>
            </w:tcBorders>
            <w:shd w:val="clear" w:color="auto" w:fill="auto"/>
            <w:noWrap/>
            <w:vAlign w:val="bottom"/>
            <w:hideMark/>
          </w:tcPr>
          <w:p w14:paraId="700245EF"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0.9990</w:t>
            </w:r>
          </w:p>
        </w:tc>
        <w:tc>
          <w:tcPr>
            <w:tcW w:w="1160" w:type="dxa"/>
            <w:tcBorders>
              <w:top w:val="nil"/>
              <w:left w:val="nil"/>
              <w:bottom w:val="nil"/>
              <w:right w:val="nil"/>
            </w:tcBorders>
            <w:shd w:val="clear" w:color="auto" w:fill="auto"/>
            <w:noWrap/>
            <w:vAlign w:val="bottom"/>
            <w:hideMark/>
          </w:tcPr>
          <w:p w14:paraId="2241CB66"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1.0006</w:t>
            </w:r>
          </w:p>
        </w:tc>
        <w:tc>
          <w:tcPr>
            <w:tcW w:w="1160" w:type="dxa"/>
            <w:tcBorders>
              <w:top w:val="nil"/>
              <w:left w:val="nil"/>
              <w:bottom w:val="nil"/>
              <w:right w:val="nil"/>
            </w:tcBorders>
            <w:shd w:val="clear" w:color="auto" w:fill="auto"/>
            <w:noWrap/>
            <w:vAlign w:val="bottom"/>
            <w:hideMark/>
          </w:tcPr>
          <w:p w14:paraId="5124DF58"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r>
      <w:tr w:rsidR="003A4F79" w:rsidRPr="003A4F79" w14:paraId="0B1768CF"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2410EA65"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7FCE62E"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(-0.60)</w:t>
            </w:r>
          </w:p>
        </w:tc>
        <w:tc>
          <w:tcPr>
            <w:tcW w:w="1160" w:type="dxa"/>
            <w:tcBorders>
              <w:top w:val="nil"/>
              <w:left w:val="nil"/>
              <w:bottom w:val="nil"/>
              <w:right w:val="nil"/>
            </w:tcBorders>
            <w:shd w:val="clear" w:color="auto" w:fill="auto"/>
            <w:noWrap/>
            <w:vAlign w:val="bottom"/>
            <w:hideMark/>
          </w:tcPr>
          <w:p w14:paraId="7C17431B"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(-0.86)</w:t>
            </w:r>
          </w:p>
        </w:tc>
        <w:tc>
          <w:tcPr>
            <w:tcW w:w="1160" w:type="dxa"/>
            <w:tcBorders>
              <w:top w:val="nil"/>
              <w:left w:val="nil"/>
              <w:bottom w:val="nil"/>
              <w:right w:val="nil"/>
            </w:tcBorders>
            <w:shd w:val="clear" w:color="auto" w:fill="auto"/>
            <w:noWrap/>
            <w:vAlign w:val="bottom"/>
            <w:hideMark/>
          </w:tcPr>
          <w:p w14:paraId="23765F31"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(0.50)</w:t>
            </w:r>
          </w:p>
        </w:tc>
        <w:tc>
          <w:tcPr>
            <w:tcW w:w="1160" w:type="dxa"/>
            <w:tcBorders>
              <w:top w:val="nil"/>
              <w:left w:val="nil"/>
              <w:bottom w:val="nil"/>
              <w:right w:val="nil"/>
            </w:tcBorders>
            <w:shd w:val="clear" w:color="auto" w:fill="auto"/>
            <w:noWrap/>
            <w:vAlign w:val="bottom"/>
            <w:hideMark/>
          </w:tcPr>
          <w:p w14:paraId="0F2EA25C"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(0.05)</w:t>
            </w:r>
          </w:p>
        </w:tc>
      </w:tr>
      <w:tr w:rsidR="003A4F79" w:rsidRPr="003A4F79" w14:paraId="0D92C9A0"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1C1C8852"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Burst</w:t>
            </w:r>
          </w:p>
        </w:tc>
        <w:tc>
          <w:tcPr>
            <w:tcW w:w="1160" w:type="dxa"/>
            <w:tcBorders>
              <w:top w:val="nil"/>
              <w:left w:val="nil"/>
              <w:bottom w:val="nil"/>
              <w:right w:val="nil"/>
            </w:tcBorders>
            <w:shd w:val="clear" w:color="auto" w:fill="auto"/>
            <w:noWrap/>
            <w:vAlign w:val="bottom"/>
            <w:hideMark/>
          </w:tcPr>
          <w:p w14:paraId="0DA67155"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0.4591***</w:t>
            </w:r>
          </w:p>
        </w:tc>
        <w:tc>
          <w:tcPr>
            <w:tcW w:w="1160" w:type="dxa"/>
            <w:tcBorders>
              <w:top w:val="nil"/>
              <w:left w:val="nil"/>
              <w:bottom w:val="nil"/>
              <w:right w:val="nil"/>
            </w:tcBorders>
            <w:shd w:val="clear" w:color="auto" w:fill="auto"/>
            <w:noWrap/>
            <w:vAlign w:val="bottom"/>
            <w:hideMark/>
          </w:tcPr>
          <w:p w14:paraId="45567E8E"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0.4591***</w:t>
            </w:r>
          </w:p>
        </w:tc>
        <w:tc>
          <w:tcPr>
            <w:tcW w:w="1160" w:type="dxa"/>
            <w:tcBorders>
              <w:top w:val="nil"/>
              <w:left w:val="nil"/>
              <w:bottom w:val="nil"/>
              <w:right w:val="nil"/>
            </w:tcBorders>
            <w:shd w:val="clear" w:color="auto" w:fill="auto"/>
            <w:noWrap/>
            <w:vAlign w:val="bottom"/>
            <w:hideMark/>
          </w:tcPr>
          <w:p w14:paraId="2241DBA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0.5385***</w:t>
            </w:r>
          </w:p>
        </w:tc>
        <w:tc>
          <w:tcPr>
            <w:tcW w:w="1160" w:type="dxa"/>
            <w:tcBorders>
              <w:top w:val="nil"/>
              <w:left w:val="nil"/>
              <w:bottom w:val="nil"/>
              <w:right w:val="nil"/>
            </w:tcBorders>
            <w:shd w:val="clear" w:color="auto" w:fill="auto"/>
            <w:noWrap/>
            <w:vAlign w:val="bottom"/>
            <w:hideMark/>
          </w:tcPr>
          <w:p w14:paraId="5394C693"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0.5514***</w:t>
            </w:r>
          </w:p>
        </w:tc>
      </w:tr>
      <w:tr w:rsidR="003A4F79" w:rsidRPr="003A4F79" w14:paraId="4BAD59B7"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534DB8E5"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7BB04C0"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(-10.94)</w:t>
            </w:r>
          </w:p>
        </w:tc>
        <w:tc>
          <w:tcPr>
            <w:tcW w:w="1160" w:type="dxa"/>
            <w:tcBorders>
              <w:top w:val="nil"/>
              <w:left w:val="nil"/>
              <w:bottom w:val="nil"/>
              <w:right w:val="nil"/>
            </w:tcBorders>
            <w:shd w:val="clear" w:color="auto" w:fill="auto"/>
            <w:noWrap/>
            <w:vAlign w:val="bottom"/>
            <w:hideMark/>
          </w:tcPr>
          <w:p w14:paraId="0CB2389B"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(-10.94)</w:t>
            </w:r>
          </w:p>
        </w:tc>
        <w:tc>
          <w:tcPr>
            <w:tcW w:w="1160" w:type="dxa"/>
            <w:tcBorders>
              <w:top w:val="nil"/>
              <w:left w:val="nil"/>
              <w:bottom w:val="nil"/>
              <w:right w:val="nil"/>
            </w:tcBorders>
            <w:shd w:val="clear" w:color="auto" w:fill="auto"/>
            <w:noWrap/>
            <w:vAlign w:val="bottom"/>
            <w:hideMark/>
          </w:tcPr>
          <w:p w14:paraId="2C3259A4"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(-8.42)</w:t>
            </w:r>
          </w:p>
        </w:tc>
        <w:tc>
          <w:tcPr>
            <w:tcW w:w="1160" w:type="dxa"/>
            <w:tcBorders>
              <w:top w:val="nil"/>
              <w:left w:val="nil"/>
              <w:bottom w:val="nil"/>
              <w:right w:val="nil"/>
            </w:tcBorders>
            <w:shd w:val="clear" w:color="auto" w:fill="auto"/>
            <w:noWrap/>
            <w:vAlign w:val="bottom"/>
            <w:hideMark/>
          </w:tcPr>
          <w:p w14:paraId="22A5BF6C"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(-7.99)</w:t>
            </w:r>
          </w:p>
        </w:tc>
      </w:tr>
      <w:tr w:rsidR="003A4F79" w:rsidRPr="003A4F79" w14:paraId="76952042"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5457A642"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DurAway</w:t>
            </w:r>
          </w:p>
        </w:tc>
        <w:tc>
          <w:tcPr>
            <w:tcW w:w="1160" w:type="dxa"/>
            <w:tcBorders>
              <w:top w:val="nil"/>
              <w:left w:val="nil"/>
              <w:bottom w:val="nil"/>
              <w:right w:val="nil"/>
            </w:tcBorders>
            <w:shd w:val="clear" w:color="auto" w:fill="auto"/>
            <w:noWrap/>
            <w:vAlign w:val="bottom"/>
            <w:hideMark/>
          </w:tcPr>
          <w:p w14:paraId="41921794"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0.9470***</w:t>
            </w:r>
          </w:p>
        </w:tc>
        <w:tc>
          <w:tcPr>
            <w:tcW w:w="1160" w:type="dxa"/>
            <w:tcBorders>
              <w:top w:val="nil"/>
              <w:left w:val="nil"/>
              <w:bottom w:val="nil"/>
              <w:right w:val="nil"/>
            </w:tcBorders>
            <w:shd w:val="clear" w:color="auto" w:fill="auto"/>
            <w:noWrap/>
            <w:vAlign w:val="bottom"/>
            <w:hideMark/>
          </w:tcPr>
          <w:p w14:paraId="1C9F6E4C"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0.9469***</w:t>
            </w:r>
          </w:p>
        </w:tc>
        <w:tc>
          <w:tcPr>
            <w:tcW w:w="1160" w:type="dxa"/>
            <w:tcBorders>
              <w:top w:val="nil"/>
              <w:left w:val="nil"/>
              <w:bottom w:val="nil"/>
              <w:right w:val="nil"/>
            </w:tcBorders>
            <w:shd w:val="clear" w:color="auto" w:fill="auto"/>
            <w:noWrap/>
            <w:vAlign w:val="bottom"/>
            <w:hideMark/>
          </w:tcPr>
          <w:p w14:paraId="2B5711CF"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0.9559***</w:t>
            </w:r>
          </w:p>
        </w:tc>
        <w:tc>
          <w:tcPr>
            <w:tcW w:w="1160" w:type="dxa"/>
            <w:tcBorders>
              <w:top w:val="nil"/>
              <w:left w:val="nil"/>
              <w:bottom w:val="nil"/>
              <w:right w:val="nil"/>
            </w:tcBorders>
            <w:shd w:val="clear" w:color="auto" w:fill="auto"/>
            <w:noWrap/>
            <w:vAlign w:val="bottom"/>
            <w:hideMark/>
          </w:tcPr>
          <w:p w14:paraId="4652EE84"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0.9568***</w:t>
            </w:r>
          </w:p>
        </w:tc>
      </w:tr>
      <w:tr w:rsidR="003A4F79" w:rsidRPr="003A4F79" w14:paraId="5EF7F3E4"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520369CE"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7FED7F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(-24.96)</w:t>
            </w:r>
          </w:p>
        </w:tc>
        <w:tc>
          <w:tcPr>
            <w:tcW w:w="1160" w:type="dxa"/>
            <w:tcBorders>
              <w:top w:val="nil"/>
              <w:left w:val="nil"/>
              <w:bottom w:val="nil"/>
              <w:right w:val="nil"/>
            </w:tcBorders>
            <w:shd w:val="clear" w:color="auto" w:fill="auto"/>
            <w:noWrap/>
            <w:vAlign w:val="bottom"/>
            <w:hideMark/>
          </w:tcPr>
          <w:p w14:paraId="36B09159"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(-25.01)</w:t>
            </w:r>
          </w:p>
        </w:tc>
        <w:tc>
          <w:tcPr>
            <w:tcW w:w="1160" w:type="dxa"/>
            <w:tcBorders>
              <w:top w:val="nil"/>
              <w:left w:val="nil"/>
              <w:bottom w:val="nil"/>
              <w:right w:val="nil"/>
            </w:tcBorders>
            <w:shd w:val="clear" w:color="auto" w:fill="auto"/>
            <w:noWrap/>
            <w:vAlign w:val="bottom"/>
            <w:hideMark/>
          </w:tcPr>
          <w:p w14:paraId="2EC4E304"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(-23.14)</w:t>
            </w:r>
          </w:p>
        </w:tc>
        <w:tc>
          <w:tcPr>
            <w:tcW w:w="1160" w:type="dxa"/>
            <w:tcBorders>
              <w:top w:val="nil"/>
              <w:left w:val="nil"/>
              <w:bottom w:val="nil"/>
              <w:right w:val="nil"/>
            </w:tcBorders>
            <w:shd w:val="clear" w:color="auto" w:fill="auto"/>
            <w:noWrap/>
            <w:vAlign w:val="bottom"/>
            <w:hideMark/>
          </w:tcPr>
          <w:p w14:paraId="5245E891"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(-23.20)</w:t>
            </w:r>
          </w:p>
        </w:tc>
      </w:tr>
      <w:tr w:rsidR="003A4F79" w:rsidRPr="003A4F79" w14:paraId="17110154"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69545D46"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48B3266"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B196971"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8EEED98"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11D9604"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3AAE68F7"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026CC052"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Investment size quintile dummies</w:t>
            </w:r>
          </w:p>
        </w:tc>
        <w:tc>
          <w:tcPr>
            <w:tcW w:w="1160" w:type="dxa"/>
            <w:tcBorders>
              <w:top w:val="nil"/>
              <w:left w:val="nil"/>
              <w:bottom w:val="nil"/>
              <w:right w:val="nil"/>
            </w:tcBorders>
            <w:shd w:val="clear" w:color="auto" w:fill="auto"/>
            <w:noWrap/>
            <w:vAlign w:val="bottom"/>
            <w:hideMark/>
          </w:tcPr>
          <w:p w14:paraId="211AC43C"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AE6FF5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2ADEEA1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4C7A915"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43B4411A"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4FFD9981"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Zip code dummies</w:t>
            </w:r>
          </w:p>
        </w:tc>
        <w:tc>
          <w:tcPr>
            <w:tcW w:w="1160" w:type="dxa"/>
            <w:tcBorders>
              <w:top w:val="nil"/>
              <w:left w:val="nil"/>
              <w:bottom w:val="nil"/>
              <w:right w:val="nil"/>
            </w:tcBorders>
            <w:shd w:val="clear" w:color="auto" w:fill="auto"/>
            <w:noWrap/>
            <w:vAlign w:val="bottom"/>
            <w:hideMark/>
          </w:tcPr>
          <w:p w14:paraId="4EF6D888"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6EDDBE1B"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BD316CE"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7C1EC68E"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4EB4E68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753264AC"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Exit time dummies</w:t>
            </w:r>
          </w:p>
        </w:tc>
        <w:tc>
          <w:tcPr>
            <w:tcW w:w="1160" w:type="dxa"/>
            <w:tcBorders>
              <w:top w:val="nil"/>
              <w:left w:val="nil"/>
              <w:bottom w:val="nil"/>
              <w:right w:val="nil"/>
            </w:tcBorders>
            <w:shd w:val="clear" w:color="auto" w:fill="auto"/>
            <w:noWrap/>
            <w:vAlign w:val="bottom"/>
            <w:hideMark/>
          </w:tcPr>
          <w:p w14:paraId="294D1FB5"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EC63B19"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65D5E77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5A1E1267"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30403163"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0CFC1B6A"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Year dummies</w:t>
            </w:r>
          </w:p>
        </w:tc>
        <w:tc>
          <w:tcPr>
            <w:tcW w:w="1160" w:type="dxa"/>
            <w:tcBorders>
              <w:top w:val="nil"/>
              <w:left w:val="nil"/>
              <w:bottom w:val="nil"/>
              <w:right w:val="nil"/>
            </w:tcBorders>
            <w:shd w:val="clear" w:color="auto" w:fill="auto"/>
            <w:noWrap/>
            <w:vAlign w:val="bottom"/>
            <w:hideMark/>
          </w:tcPr>
          <w:p w14:paraId="3EB47398"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2BC37000"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3AC8B6B"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D6D2C11"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4638B665"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29B3790F"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53802F9"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0D6F216"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111F17C"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86A046D"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58D7E556"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08BA10A5"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Robust SE clustered at investor level</w:t>
            </w:r>
          </w:p>
        </w:tc>
        <w:tc>
          <w:tcPr>
            <w:tcW w:w="1160" w:type="dxa"/>
            <w:tcBorders>
              <w:top w:val="nil"/>
              <w:left w:val="nil"/>
              <w:bottom w:val="nil"/>
              <w:right w:val="nil"/>
            </w:tcBorders>
            <w:shd w:val="clear" w:color="auto" w:fill="auto"/>
            <w:noWrap/>
            <w:vAlign w:val="bottom"/>
            <w:hideMark/>
          </w:tcPr>
          <w:p w14:paraId="651D3626"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2CB33017"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7148A57D"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B01A306"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2F62637C" w14:textId="77777777" w:rsidTr="006B0F0D">
        <w:trPr>
          <w:trHeight w:val="255"/>
          <w:jc w:val="center"/>
        </w:trPr>
        <w:tc>
          <w:tcPr>
            <w:tcW w:w="3060" w:type="dxa"/>
            <w:tcBorders>
              <w:top w:val="nil"/>
              <w:left w:val="nil"/>
              <w:bottom w:val="nil"/>
              <w:right w:val="nil"/>
            </w:tcBorders>
            <w:shd w:val="clear" w:color="auto" w:fill="auto"/>
            <w:noWrap/>
            <w:vAlign w:val="bottom"/>
            <w:hideMark/>
          </w:tcPr>
          <w:p w14:paraId="6D85EB02"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fit</w:t>
            </w:r>
          </w:p>
        </w:tc>
        <w:tc>
          <w:tcPr>
            <w:tcW w:w="1160" w:type="dxa"/>
            <w:tcBorders>
              <w:top w:val="nil"/>
              <w:left w:val="nil"/>
              <w:bottom w:val="nil"/>
              <w:right w:val="nil"/>
            </w:tcBorders>
            <w:shd w:val="clear" w:color="auto" w:fill="auto"/>
            <w:noWrap/>
            <w:vAlign w:val="bottom"/>
            <w:hideMark/>
          </w:tcPr>
          <w:p w14:paraId="4595929A"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1,749.49***</w:t>
            </w:r>
          </w:p>
        </w:tc>
        <w:tc>
          <w:tcPr>
            <w:tcW w:w="1160" w:type="dxa"/>
            <w:tcBorders>
              <w:top w:val="nil"/>
              <w:left w:val="nil"/>
              <w:bottom w:val="nil"/>
              <w:right w:val="nil"/>
            </w:tcBorders>
            <w:shd w:val="clear" w:color="auto" w:fill="auto"/>
            <w:noWrap/>
            <w:vAlign w:val="bottom"/>
            <w:hideMark/>
          </w:tcPr>
          <w:p w14:paraId="162606EC"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1,771.12***</w:t>
            </w:r>
          </w:p>
        </w:tc>
        <w:tc>
          <w:tcPr>
            <w:tcW w:w="1160" w:type="dxa"/>
            <w:tcBorders>
              <w:top w:val="nil"/>
              <w:left w:val="nil"/>
              <w:bottom w:val="nil"/>
              <w:right w:val="nil"/>
            </w:tcBorders>
            <w:shd w:val="clear" w:color="auto" w:fill="auto"/>
            <w:noWrap/>
            <w:vAlign w:val="bottom"/>
            <w:hideMark/>
          </w:tcPr>
          <w:p w14:paraId="4BE45191"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5,224.11***</w:t>
            </w:r>
          </w:p>
        </w:tc>
        <w:tc>
          <w:tcPr>
            <w:tcW w:w="1160" w:type="dxa"/>
            <w:tcBorders>
              <w:top w:val="nil"/>
              <w:left w:val="nil"/>
              <w:bottom w:val="nil"/>
              <w:right w:val="nil"/>
            </w:tcBorders>
            <w:shd w:val="clear" w:color="auto" w:fill="auto"/>
            <w:noWrap/>
            <w:vAlign w:val="bottom"/>
            <w:hideMark/>
          </w:tcPr>
          <w:p w14:paraId="111A0C9B"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5,720.54***</w:t>
            </w:r>
          </w:p>
        </w:tc>
      </w:tr>
      <w:tr w:rsidR="003A4F79" w:rsidRPr="003A4F79" w14:paraId="129A01DB" w14:textId="77777777" w:rsidTr="006B0F0D">
        <w:trPr>
          <w:trHeight w:val="315"/>
          <w:jc w:val="center"/>
        </w:trPr>
        <w:tc>
          <w:tcPr>
            <w:tcW w:w="3060" w:type="dxa"/>
            <w:tcBorders>
              <w:top w:val="nil"/>
              <w:left w:val="nil"/>
              <w:bottom w:val="single" w:sz="4" w:space="0" w:color="auto"/>
              <w:right w:val="nil"/>
            </w:tcBorders>
            <w:shd w:val="clear" w:color="auto" w:fill="auto"/>
            <w:noWrap/>
            <w:vAlign w:val="bottom"/>
            <w:hideMark/>
          </w:tcPr>
          <w:p w14:paraId="6C8F6955" w14:textId="77777777" w:rsidR="006B0F0D" w:rsidRPr="003A4F79" w:rsidRDefault="006B0F0D" w:rsidP="006B0F0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Pseudo R</w:t>
            </w:r>
            <w:r w:rsidRPr="003A4F79">
              <w:rPr>
                <w:rFonts w:ascii="Times New Roman" w:eastAsia="Times New Roman" w:hAnsi="Times New Roman" w:cs="Times New Roman"/>
                <w:sz w:val="20"/>
                <w:szCs w:val="20"/>
                <w:vertAlign w:val="superscript"/>
                <w:lang w:val="en-GB" w:eastAsia="ko-KR"/>
              </w:rPr>
              <w:t>2</w:t>
            </w:r>
          </w:p>
        </w:tc>
        <w:tc>
          <w:tcPr>
            <w:tcW w:w="1160" w:type="dxa"/>
            <w:tcBorders>
              <w:top w:val="nil"/>
              <w:left w:val="nil"/>
              <w:bottom w:val="single" w:sz="4" w:space="0" w:color="auto"/>
              <w:right w:val="nil"/>
            </w:tcBorders>
            <w:shd w:val="clear" w:color="auto" w:fill="auto"/>
            <w:noWrap/>
            <w:vAlign w:val="bottom"/>
            <w:hideMark/>
          </w:tcPr>
          <w:p w14:paraId="54C8C130"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0.0749</w:t>
            </w:r>
          </w:p>
        </w:tc>
        <w:tc>
          <w:tcPr>
            <w:tcW w:w="1160" w:type="dxa"/>
            <w:tcBorders>
              <w:top w:val="nil"/>
              <w:left w:val="nil"/>
              <w:bottom w:val="single" w:sz="4" w:space="0" w:color="auto"/>
              <w:right w:val="nil"/>
            </w:tcBorders>
            <w:shd w:val="clear" w:color="auto" w:fill="auto"/>
            <w:noWrap/>
            <w:vAlign w:val="bottom"/>
            <w:hideMark/>
          </w:tcPr>
          <w:p w14:paraId="34A82A13"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0.0757</w:t>
            </w:r>
          </w:p>
        </w:tc>
        <w:tc>
          <w:tcPr>
            <w:tcW w:w="1160" w:type="dxa"/>
            <w:tcBorders>
              <w:top w:val="nil"/>
              <w:left w:val="nil"/>
              <w:bottom w:val="single" w:sz="4" w:space="0" w:color="auto"/>
              <w:right w:val="nil"/>
            </w:tcBorders>
            <w:shd w:val="clear" w:color="auto" w:fill="auto"/>
            <w:noWrap/>
            <w:vAlign w:val="bottom"/>
            <w:hideMark/>
          </w:tcPr>
          <w:p w14:paraId="3262FA5D"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0.1698</w:t>
            </w:r>
          </w:p>
        </w:tc>
        <w:tc>
          <w:tcPr>
            <w:tcW w:w="1160" w:type="dxa"/>
            <w:tcBorders>
              <w:top w:val="nil"/>
              <w:left w:val="nil"/>
              <w:bottom w:val="single" w:sz="4" w:space="0" w:color="auto"/>
              <w:right w:val="nil"/>
            </w:tcBorders>
            <w:shd w:val="clear" w:color="auto" w:fill="auto"/>
            <w:noWrap/>
            <w:vAlign w:val="bottom"/>
            <w:hideMark/>
          </w:tcPr>
          <w:p w14:paraId="1A2B8500" w14:textId="77777777" w:rsidR="006B0F0D" w:rsidRPr="003A4F79" w:rsidRDefault="006B0F0D" w:rsidP="006B0F0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0.1782</w:t>
            </w:r>
          </w:p>
        </w:tc>
      </w:tr>
    </w:tbl>
    <w:p w14:paraId="62BC18DB" w14:textId="14A8E1E1" w:rsidR="00AD12C6" w:rsidRPr="003A4F79" w:rsidRDefault="00AD12C6">
      <w:pPr>
        <w:spacing w:line="240" w:lineRule="auto"/>
        <w:ind w:firstLine="0"/>
        <w:jc w:val="left"/>
        <w:rPr>
          <w:szCs w:val="28"/>
        </w:rPr>
      </w:pPr>
      <w:r w:rsidRPr="003A4F79">
        <w:br w:type="page"/>
      </w:r>
    </w:p>
    <w:p w14:paraId="46BF39F0" w14:textId="090BED5E" w:rsidR="00A72CB5" w:rsidRPr="003A4F79" w:rsidRDefault="00762E3A" w:rsidP="00290F9F">
      <w:pPr>
        <w:pStyle w:val="FigureCaption"/>
        <w:jc w:val="left"/>
      </w:pPr>
      <w:r w:rsidRPr="003A4F79">
        <w:lastRenderedPageBreak/>
        <w:t xml:space="preserve">Table </w:t>
      </w:r>
      <w:r w:rsidR="00914169" w:rsidRPr="003A4F79">
        <w:t>7</w:t>
      </w:r>
    </w:p>
    <w:p w14:paraId="5E0E5619" w14:textId="7883F8F8" w:rsidR="00762E3A" w:rsidRPr="003A4F79" w:rsidRDefault="00AF7998" w:rsidP="00290F9F">
      <w:pPr>
        <w:pStyle w:val="FigureCaption"/>
        <w:jc w:val="left"/>
        <w:rPr>
          <w:b/>
        </w:rPr>
      </w:pPr>
      <w:r w:rsidRPr="003A4F79">
        <w:rPr>
          <w:b/>
        </w:rPr>
        <w:t xml:space="preserve">Sensitivity of </w:t>
      </w:r>
      <w:r w:rsidR="00572EEF" w:rsidRPr="003A4F79">
        <w:rPr>
          <w:b/>
        </w:rPr>
        <w:t>re-e</w:t>
      </w:r>
      <w:r w:rsidRPr="003A4F79">
        <w:rPr>
          <w:b/>
        </w:rPr>
        <w:t>ntry</w:t>
      </w:r>
      <w:r w:rsidR="005A1353" w:rsidRPr="003A4F79">
        <w:rPr>
          <w:b/>
        </w:rPr>
        <w:t xml:space="preserve">: Losses </w:t>
      </w:r>
      <w:r w:rsidR="00572EEF" w:rsidRPr="003A4F79">
        <w:rPr>
          <w:b/>
        </w:rPr>
        <w:t>versus g</w:t>
      </w:r>
      <w:r w:rsidR="005A1353" w:rsidRPr="003A4F79">
        <w:rPr>
          <w:b/>
        </w:rPr>
        <w:t>ains</w:t>
      </w:r>
    </w:p>
    <w:p w14:paraId="35589548" w14:textId="1A6D72DA" w:rsidR="00E526FB" w:rsidRPr="003A4F79" w:rsidRDefault="00572EEF" w:rsidP="00290F9F">
      <w:pPr>
        <w:pStyle w:val="FigureNotes"/>
        <w:spacing w:after="120"/>
        <w:rPr>
          <w:noProof/>
          <w:lang w:eastAsia="en-GB"/>
        </w:rPr>
      </w:pPr>
      <w:r w:rsidRPr="003A4F79">
        <w:t>E</w:t>
      </w:r>
      <w:r w:rsidR="00E526FB" w:rsidRPr="003A4F79">
        <w:t>stimated coefficients</w:t>
      </w:r>
      <w:r w:rsidRPr="003A4F79">
        <w:t xml:space="preserve"> are reported</w:t>
      </w:r>
      <w:r w:rsidR="00E526FB" w:rsidRPr="003A4F79">
        <w:t xml:space="preserve"> from the following multi-period </w:t>
      </w:r>
      <w:r w:rsidR="00E526FB" w:rsidRPr="003A4F79">
        <w:rPr>
          <w:noProof/>
          <w:lang w:eastAsia="en-GB"/>
        </w:rPr>
        <w:t>(monthly) logit regression:</w:t>
      </w:r>
    </w:p>
    <w:p w14:paraId="425F9919" w14:textId="77777777" w:rsidR="008974B2" w:rsidRPr="003A4F79" w:rsidRDefault="00E526FB" w:rsidP="00290F9F">
      <w:pPr>
        <w:pStyle w:val="FigureNotes"/>
        <w:spacing w:after="120"/>
        <w:jc w:val="center"/>
        <w:rPr>
          <w:i/>
        </w:rPr>
      </w:pPr>
      <w:r w:rsidRPr="003A4F79">
        <w:rPr>
          <w:i/>
        </w:rPr>
        <w:t>Logit(Re-entry</w:t>
      </w:r>
      <w:r w:rsidRPr="003A4F79">
        <w:rPr>
          <w:i/>
          <w:vertAlign w:val="subscript"/>
        </w:rPr>
        <w:t>i,t</w:t>
      </w:r>
      <w:r w:rsidRPr="003A4F79">
        <w:rPr>
          <w:i/>
        </w:rPr>
        <w:t>)</w:t>
      </w:r>
      <w:r w:rsidRPr="003A4F79">
        <w:rPr>
          <w:i/>
          <w:vertAlign w:val="subscript"/>
        </w:rPr>
        <w:t xml:space="preserve"> </w:t>
      </w:r>
      <w:r w:rsidRPr="003A4F79">
        <w:rPr>
          <w:i/>
        </w:rPr>
        <w:t>=  β</w:t>
      </w:r>
      <w:r w:rsidRPr="003A4F79">
        <w:rPr>
          <w:i/>
          <w:vertAlign w:val="subscript"/>
        </w:rPr>
        <w:t>0</w:t>
      </w:r>
      <w:r w:rsidRPr="003A4F79">
        <w:rPr>
          <w:i/>
        </w:rPr>
        <w:t xml:space="preserve"> + </w:t>
      </w:r>
      <w:r w:rsidR="007129EB" w:rsidRPr="003A4F79">
        <w:rPr>
          <w:i/>
        </w:rPr>
        <w:t>β</w:t>
      </w:r>
      <w:r w:rsidR="007129EB" w:rsidRPr="003A4F79">
        <w:rPr>
          <w:i/>
          <w:vertAlign w:val="subscript"/>
        </w:rPr>
        <w:t>1</w:t>
      </w:r>
      <w:r w:rsidR="007129EB" w:rsidRPr="003A4F79">
        <w:rPr>
          <w:rFonts w:hint="eastAsia"/>
          <w:i/>
        </w:rPr>
        <w:t>IniRet</w:t>
      </w:r>
      <w:r w:rsidR="007129EB" w:rsidRPr="003A4F79">
        <w:rPr>
          <w:rFonts w:hint="eastAsia"/>
          <w:i/>
          <w:vertAlign w:val="subscript"/>
        </w:rPr>
        <w:t>i</w:t>
      </w:r>
      <w:r w:rsidR="007129EB" w:rsidRPr="003A4F79">
        <w:rPr>
          <w:rFonts w:hint="eastAsia"/>
          <w:i/>
        </w:rPr>
        <w:t>×</w:t>
      </w:r>
      <w:r w:rsidR="007129EB" w:rsidRPr="003A4F79">
        <w:rPr>
          <w:rFonts w:hint="eastAsia"/>
          <w:i/>
        </w:rPr>
        <w:t>I(IniRet</w:t>
      </w:r>
      <w:r w:rsidR="007129EB" w:rsidRPr="003A4F79">
        <w:rPr>
          <w:rFonts w:hint="eastAsia"/>
          <w:i/>
          <w:vertAlign w:val="subscript"/>
        </w:rPr>
        <w:t>i</w:t>
      </w:r>
      <w:r w:rsidR="007129EB" w:rsidRPr="003A4F79">
        <w:rPr>
          <w:rFonts w:hint="eastAsia"/>
          <w:i/>
        </w:rPr>
        <w:t xml:space="preserve"> </w:t>
      </w:r>
      <w:r w:rsidR="007129EB" w:rsidRPr="003A4F79">
        <w:rPr>
          <w:rFonts w:hint="eastAsia"/>
          <w:i/>
        </w:rPr>
        <w:t>≥</w:t>
      </w:r>
      <w:r w:rsidR="007129EB" w:rsidRPr="003A4F79">
        <w:rPr>
          <w:rFonts w:hint="eastAsia"/>
          <w:i/>
        </w:rPr>
        <w:t xml:space="preserve"> 0) + </w:t>
      </w:r>
      <w:r w:rsidR="007129EB" w:rsidRPr="003A4F79">
        <w:rPr>
          <w:i/>
        </w:rPr>
        <w:t>β</w:t>
      </w:r>
      <w:r w:rsidR="007129EB" w:rsidRPr="003A4F79">
        <w:rPr>
          <w:i/>
          <w:vertAlign w:val="subscript"/>
        </w:rPr>
        <w:t>2</w:t>
      </w:r>
      <w:r w:rsidR="007129EB" w:rsidRPr="003A4F79">
        <w:rPr>
          <w:rFonts w:hint="eastAsia"/>
          <w:i/>
        </w:rPr>
        <w:t>IniRet</w:t>
      </w:r>
      <w:r w:rsidR="007129EB" w:rsidRPr="003A4F79">
        <w:rPr>
          <w:rFonts w:hint="eastAsia"/>
          <w:i/>
          <w:vertAlign w:val="subscript"/>
        </w:rPr>
        <w:t>i</w:t>
      </w:r>
      <w:r w:rsidR="007129EB" w:rsidRPr="003A4F79">
        <w:rPr>
          <w:rFonts w:hint="eastAsia"/>
          <w:i/>
        </w:rPr>
        <w:t>×</w:t>
      </w:r>
      <w:r w:rsidR="007129EB" w:rsidRPr="003A4F79">
        <w:rPr>
          <w:rFonts w:hint="eastAsia"/>
          <w:i/>
        </w:rPr>
        <w:t>I(IniRet</w:t>
      </w:r>
      <w:r w:rsidR="007129EB" w:rsidRPr="003A4F79">
        <w:rPr>
          <w:rFonts w:hint="eastAsia"/>
          <w:i/>
          <w:vertAlign w:val="subscript"/>
        </w:rPr>
        <w:t xml:space="preserve">i </w:t>
      </w:r>
      <w:r w:rsidR="007129EB" w:rsidRPr="003A4F79">
        <w:rPr>
          <w:rFonts w:hint="eastAsia"/>
          <w:i/>
        </w:rPr>
        <w:t xml:space="preserve">&lt;0) </w:t>
      </w:r>
      <w:r w:rsidRPr="003A4F79">
        <w:rPr>
          <w:i/>
        </w:rPr>
        <w:t xml:space="preserve"> </w:t>
      </w:r>
    </w:p>
    <w:p w14:paraId="65394275" w14:textId="5B535DC1" w:rsidR="00E526FB" w:rsidRPr="003A4F79" w:rsidRDefault="00E526FB" w:rsidP="00290F9F">
      <w:pPr>
        <w:pStyle w:val="FigureNotes"/>
        <w:spacing w:after="120"/>
        <w:jc w:val="center"/>
        <w:rPr>
          <w:i/>
        </w:rPr>
      </w:pPr>
      <w:r w:rsidRPr="003A4F79">
        <w:rPr>
          <w:i/>
        </w:rPr>
        <w:t>+ β</w:t>
      </w:r>
      <w:r w:rsidR="007129EB" w:rsidRPr="003A4F79">
        <w:rPr>
          <w:i/>
          <w:vertAlign w:val="subscript"/>
        </w:rPr>
        <w:t>3</w:t>
      </w:r>
      <w:r w:rsidRPr="003A4F79">
        <w:rPr>
          <w:i/>
        </w:rPr>
        <w:t>AllRet</w:t>
      </w:r>
      <w:r w:rsidRPr="003A4F79">
        <w:rPr>
          <w:i/>
          <w:vertAlign w:val="subscript"/>
        </w:rPr>
        <w:t>i</w:t>
      </w:r>
      <w:r w:rsidRPr="003A4F79">
        <w:rPr>
          <w:i/>
        </w:rPr>
        <w:t xml:space="preserve"> </w:t>
      </w:r>
      <w:r w:rsidR="008974B2" w:rsidRPr="003A4F79">
        <w:rPr>
          <w:i/>
        </w:rPr>
        <w:t>+ β</w:t>
      </w:r>
      <w:r w:rsidR="008974B2" w:rsidRPr="003A4F79">
        <w:rPr>
          <w:i/>
          <w:vertAlign w:val="subscript"/>
        </w:rPr>
        <w:t>4</w:t>
      </w:r>
      <w:r w:rsidR="008974B2" w:rsidRPr="003A4F79">
        <w:rPr>
          <w:i/>
        </w:rPr>
        <w:t>RecRet</w:t>
      </w:r>
      <w:r w:rsidR="008974B2" w:rsidRPr="003A4F79">
        <w:rPr>
          <w:i/>
          <w:vertAlign w:val="subscript"/>
        </w:rPr>
        <w:t>i</w:t>
      </w:r>
      <w:r w:rsidR="008974B2" w:rsidRPr="003A4F79">
        <w:rPr>
          <w:i/>
        </w:rPr>
        <w:t xml:space="preserve"> + β</w:t>
      </w:r>
      <w:r w:rsidR="008974B2" w:rsidRPr="003A4F79">
        <w:rPr>
          <w:i/>
          <w:vertAlign w:val="subscript"/>
        </w:rPr>
        <w:t>5</w:t>
      </w:r>
      <w:r w:rsidR="008974B2" w:rsidRPr="003A4F79">
        <w:rPr>
          <w:i/>
        </w:rPr>
        <w:t>RealRet</w:t>
      </w:r>
      <w:r w:rsidR="008974B2" w:rsidRPr="003A4F79">
        <w:rPr>
          <w:i/>
          <w:vertAlign w:val="subscript"/>
        </w:rPr>
        <w:t>i</w:t>
      </w:r>
      <w:r w:rsidR="008974B2" w:rsidRPr="003A4F79">
        <w:rPr>
          <w:i/>
        </w:rPr>
        <w:t xml:space="preserve"> + β</w:t>
      </w:r>
      <w:r w:rsidR="008974B2" w:rsidRPr="003A4F79">
        <w:rPr>
          <w:i/>
          <w:vertAlign w:val="subscript"/>
        </w:rPr>
        <w:t>6</w:t>
      </w:r>
      <w:r w:rsidR="008974B2" w:rsidRPr="003A4F79">
        <w:rPr>
          <w:i/>
        </w:rPr>
        <w:t>Saliency</w:t>
      </w:r>
      <w:r w:rsidR="008974B2" w:rsidRPr="003A4F79">
        <w:rPr>
          <w:i/>
          <w:vertAlign w:val="subscript"/>
        </w:rPr>
        <w:t>i</w:t>
      </w:r>
      <w:r w:rsidRPr="003A4F79">
        <w:rPr>
          <w:i/>
        </w:rPr>
        <w:t xml:space="preserve"> + β</w:t>
      </w:r>
      <w:r w:rsidR="008974B2" w:rsidRPr="003A4F79">
        <w:rPr>
          <w:i/>
          <w:vertAlign w:val="subscript"/>
        </w:rPr>
        <w:t>7</w:t>
      </w:r>
      <w:r w:rsidRPr="003A4F79">
        <w:rPr>
          <w:i/>
        </w:rPr>
        <w:t>DurAway</w:t>
      </w:r>
      <w:r w:rsidRPr="003A4F79">
        <w:rPr>
          <w:i/>
          <w:vertAlign w:val="subscript"/>
        </w:rPr>
        <w:t>i,t</w:t>
      </w:r>
      <w:r w:rsidRPr="003A4F79">
        <w:rPr>
          <w:i/>
        </w:rPr>
        <w:t xml:space="preserve"> +</w:t>
      </w:r>
      <w:r w:rsidRPr="003A4F79">
        <w:rPr>
          <w:b/>
          <w:i/>
        </w:rPr>
        <w:t xml:space="preserve"> </w:t>
      </w:r>
      <w:r w:rsidRPr="003A4F79">
        <w:rPr>
          <w:i/>
        </w:rPr>
        <w:t>β</w:t>
      </w:r>
      <w:r w:rsidR="008974B2" w:rsidRPr="003A4F79">
        <w:rPr>
          <w:i/>
          <w:vertAlign w:val="subscript"/>
        </w:rPr>
        <w:t>8</w:t>
      </w:r>
      <w:r w:rsidRPr="003A4F79">
        <w:rPr>
          <w:i/>
        </w:rPr>
        <w:t>Controls</w:t>
      </w:r>
      <w:r w:rsidRPr="003A4F79">
        <w:rPr>
          <w:i/>
          <w:vertAlign w:val="subscript"/>
        </w:rPr>
        <w:t>i,t</w:t>
      </w:r>
    </w:p>
    <w:p w14:paraId="60B77657" w14:textId="4FA1EC56" w:rsidR="00E526FB" w:rsidRPr="003A4F79" w:rsidRDefault="00E526FB" w:rsidP="00290F9F">
      <w:pPr>
        <w:pStyle w:val="FigureNotes"/>
        <w:spacing w:after="120"/>
        <w:jc w:val="center"/>
        <w:rPr>
          <w:i/>
        </w:rPr>
      </w:pPr>
      <w:r w:rsidRPr="003A4F79">
        <w:rPr>
          <w:i/>
        </w:rPr>
        <w:t>+ (investment size fixed effect)+(zip-code fixed effect) +(exit month fixed effect)</w:t>
      </w:r>
      <w:r w:rsidR="008974B2" w:rsidRPr="003A4F79">
        <w:rPr>
          <w:i/>
        </w:rPr>
        <w:t xml:space="preserve"> +(year fixed effect) </w:t>
      </w:r>
      <w:r w:rsidRPr="003A4F79">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793D3E39" w14:textId="3917EF7C" w:rsidR="007F79DF" w:rsidRPr="003A4F79" w:rsidRDefault="00E526FB" w:rsidP="007F79DF">
      <w:pPr>
        <w:pStyle w:val="FigureNotes"/>
      </w:pPr>
      <w:r w:rsidRPr="003A4F79">
        <w:rPr>
          <w:i/>
        </w:rPr>
        <w:t>Re-entry</w:t>
      </w:r>
      <w:r w:rsidRPr="003A4F79">
        <w:rPr>
          <w:noProof/>
          <w:lang w:eastAsia="en-GB"/>
        </w:rPr>
        <w:t xml:space="preserve"> equal</w:t>
      </w:r>
      <w:r w:rsidR="00572EEF" w:rsidRPr="003A4F79">
        <w:rPr>
          <w:noProof/>
          <w:lang w:eastAsia="en-GB"/>
        </w:rPr>
        <w:t xml:space="preserve">s </w:t>
      </w:r>
      <w:r w:rsidRPr="003A4F79">
        <w:rPr>
          <w:noProof/>
          <w:lang w:eastAsia="en-GB"/>
        </w:rPr>
        <w:t xml:space="preserve">1 if investor </w:t>
      </w:r>
      <w:r w:rsidRPr="003A4F79">
        <w:rPr>
          <w:i/>
          <w:noProof/>
          <w:lang w:eastAsia="en-GB"/>
        </w:rPr>
        <w:t>i</w:t>
      </w:r>
      <w:r w:rsidRPr="003A4F79">
        <w:rPr>
          <w:noProof/>
          <w:lang w:eastAsia="en-GB"/>
        </w:rPr>
        <w:t xml:space="preserve"> re-enters the market in month </w:t>
      </w:r>
      <w:r w:rsidRPr="003A4F79">
        <w:rPr>
          <w:i/>
          <w:noProof/>
          <w:lang w:eastAsia="en-GB"/>
        </w:rPr>
        <w:t>t</w:t>
      </w:r>
      <w:r w:rsidRPr="003A4F79">
        <w:rPr>
          <w:noProof/>
          <w:lang w:eastAsia="en-GB"/>
        </w:rPr>
        <w:t xml:space="preserve"> by purchasing any stock at any time after one calendar month of exit, and otherwise is 0. </w:t>
      </w:r>
      <w:r w:rsidRPr="003A4F79">
        <w:rPr>
          <w:i/>
          <w:noProof/>
          <w:lang w:eastAsia="en-GB"/>
        </w:rPr>
        <w:t>IniRet</w:t>
      </w:r>
      <w:r w:rsidRPr="003A4F79">
        <w:rPr>
          <w:noProof/>
          <w:lang w:eastAsia="en-GB"/>
        </w:rPr>
        <w:t xml:space="preserve">, </w:t>
      </w:r>
      <w:r w:rsidR="00572EEF" w:rsidRPr="003A4F79">
        <w:rPr>
          <w:noProof/>
          <w:lang w:eastAsia="en-GB"/>
        </w:rPr>
        <w:t xml:space="preserve">the </w:t>
      </w:r>
      <w:r w:rsidRPr="003A4F79">
        <w:rPr>
          <w:noProof/>
          <w:lang w:eastAsia="en-GB"/>
        </w:rPr>
        <w:t>main explanatory variable of interest, is the return in the first month of investing.</w:t>
      </w:r>
      <w:r w:rsidR="002A324A" w:rsidRPr="003A4F79">
        <w:rPr>
          <w:noProof/>
          <w:lang w:eastAsia="en-GB"/>
        </w:rPr>
        <w:t xml:space="preserve"> </w:t>
      </w:r>
      <w:r w:rsidR="002A324A" w:rsidRPr="003A4F79">
        <w:t>I(</w:t>
      </w:r>
      <w:r w:rsidR="002A324A" w:rsidRPr="003A4F79">
        <w:rPr>
          <w:i/>
        </w:rPr>
        <w:t>IniRet</w:t>
      </w:r>
      <w:r w:rsidR="002A324A" w:rsidRPr="003A4F79">
        <w:t xml:space="preserve"> &lt; 0) is a dummy variable that equals 1 if </w:t>
      </w:r>
      <w:r w:rsidR="002A324A" w:rsidRPr="003A4F79">
        <w:rPr>
          <w:i/>
        </w:rPr>
        <w:t>IniRet</w:t>
      </w:r>
      <w:r w:rsidR="002A324A" w:rsidRPr="003A4F79">
        <w:t xml:space="preserve"> &lt; 0</w:t>
      </w:r>
      <w:r w:rsidR="00572EEF" w:rsidRPr="003A4F79">
        <w:t>,</w:t>
      </w:r>
      <w:r w:rsidR="002A324A" w:rsidRPr="003A4F79">
        <w:t xml:space="preserve"> and 0 otherwise.</w:t>
      </w:r>
      <w:r w:rsidR="004E3B76" w:rsidRPr="003A4F79">
        <w:t xml:space="preserve"> Likewise, I(</w:t>
      </w:r>
      <w:r w:rsidR="004E3B76" w:rsidRPr="003A4F79">
        <w:rPr>
          <w:i/>
        </w:rPr>
        <w:t>IniRet</w:t>
      </w:r>
      <w:r w:rsidR="004E3B76" w:rsidRPr="003A4F79">
        <w:t xml:space="preserve"> </w:t>
      </w:r>
      <w:r w:rsidR="004E3B76" w:rsidRPr="003A4F79">
        <w:rPr>
          <w:rFonts w:hint="eastAsia"/>
          <w:i/>
        </w:rPr>
        <w:t>≥</w:t>
      </w:r>
      <w:r w:rsidR="004E3B76" w:rsidRPr="003A4F79">
        <w:t xml:space="preserve"> 0) is a dummy variable that equals 1 if </w:t>
      </w:r>
      <w:r w:rsidR="004E3B76" w:rsidRPr="003A4F79">
        <w:rPr>
          <w:i/>
        </w:rPr>
        <w:t>IniRet</w:t>
      </w:r>
      <w:r w:rsidR="004E3B76" w:rsidRPr="003A4F79">
        <w:t xml:space="preserve"> </w:t>
      </w:r>
      <w:r w:rsidR="004E3B76" w:rsidRPr="003A4F79">
        <w:rPr>
          <w:rFonts w:hint="eastAsia"/>
          <w:i/>
        </w:rPr>
        <w:t>≥</w:t>
      </w:r>
      <w:r w:rsidR="004E3B76" w:rsidRPr="003A4F79">
        <w:t xml:space="preserve"> 0, and 0 otherwise.</w:t>
      </w:r>
      <w:r w:rsidR="002A324A" w:rsidRPr="003A4F79">
        <w:t xml:space="preserve"> </w:t>
      </w:r>
      <w:r w:rsidR="00DB1345" w:rsidRPr="003A4F79">
        <w:rPr>
          <w:i/>
          <w:noProof/>
          <w:lang w:eastAsia="en-GB"/>
        </w:rPr>
        <w:t xml:space="preserve">AllRet </w:t>
      </w:r>
      <w:r w:rsidR="00DB1345" w:rsidRPr="003A4F79">
        <w:rPr>
          <w:noProof/>
          <w:lang w:eastAsia="en-GB"/>
        </w:rPr>
        <w:t>is the value-weighted average of monthly returns during the entire period of investing between entry and exit</w:t>
      </w:r>
      <w:r w:rsidRPr="003A4F79">
        <w:rPr>
          <w:noProof/>
          <w:lang w:eastAsia="en-GB"/>
        </w:rPr>
        <w:t xml:space="preserve">, </w:t>
      </w:r>
      <w:r w:rsidRPr="003A4F79">
        <w:rPr>
          <w:i/>
        </w:rPr>
        <w:t>RecRet</w:t>
      </w:r>
      <w:r w:rsidRPr="003A4F79">
        <w:t xml:space="preserve"> is the return in the last month of investing</w:t>
      </w:r>
      <w:r w:rsidR="000C0B1D" w:rsidRPr="003A4F79">
        <w:t xml:space="preserve">, and </w:t>
      </w:r>
      <w:r w:rsidR="000C0B1D" w:rsidRPr="003A4F79">
        <w:rPr>
          <w:i/>
        </w:rPr>
        <w:t>RealRet</w:t>
      </w:r>
      <w:r w:rsidR="000C0B1D" w:rsidRPr="003A4F79">
        <w:t xml:space="preserve"> is the </w:t>
      </w:r>
      <w:r w:rsidR="00771277" w:rsidRPr="003A4F79">
        <w:t>reali</w:t>
      </w:r>
      <w:r w:rsidR="00C95B94" w:rsidRPr="003A4F79">
        <w:t>s</w:t>
      </w:r>
      <w:r w:rsidR="00771277" w:rsidRPr="003A4F79">
        <w:t xml:space="preserve">ed </w:t>
      </w:r>
      <w:r w:rsidR="000C0B1D" w:rsidRPr="003A4F79">
        <w:t>return during the actual period of investing</w:t>
      </w:r>
      <w:r w:rsidR="000C0B1D" w:rsidRPr="003A4F79">
        <w:rPr>
          <w:noProof/>
          <w:lang w:eastAsia="en-GB"/>
        </w:rPr>
        <w:t xml:space="preserve">. </w:t>
      </w:r>
      <w:r w:rsidR="000C0B1D" w:rsidRPr="003A4F79">
        <w:rPr>
          <w:i/>
          <w:noProof/>
          <w:lang w:eastAsia="en-GB"/>
        </w:rPr>
        <w:t>Saliency</w:t>
      </w:r>
      <w:r w:rsidR="000C0B1D" w:rsidRPr="003A4F79">
        <w:rPr>
          <w:noProof/>
          <w:lang w:eastAsia="en-GB"/>
        </w:rPr>
        <w:t xml:space="preserve"> is an absolute difference between the initial return and the average return for the duration of investing, d</w:t>
      </w:r>
      <w:r w:rsidR="0073716E" w:rsidRPr="003A4F79">
        <w:rPr>
          <w:noProof/>
          <w:lang w:eastAsia="en-GB"/>
        </w:rPr>
        <w:t>i</w:t>
      </w:r>
      <w:r w:rsidR="000C0B1D" w:rsidRPr="003A4F79">
        <w:rPr>
          <w:noProof/>
          <w:lang w:eastAsia="en-GB"/>
        </w:rPr>
        <w:t>vided by the abso</w:t>
      </w:r>
      <w:r w:rsidR="0073716E" w:rsidRPr="003A4F79">
        <w:rPr>
          <w:noProof/>
          <w:lang w:eastAsia="en-GB"/>
        </w:rPr>
        <w:t>l</w:t>
      </w:r>
      <w:r w:rsidR="000C0B1D" w:rsidRPr="003A4F79">
        <w:rPr>
          <w:noProof/>
          <w:lang w:eastAsia="en-GB"/>
        </w:rPr>
        <w:t>ute value of average returns.</w:t>
      </w:r>
      <w:r w:rsidRPr="003A4F79">
        <w:rPr>
          <w:noProof/>
          <w:lang w:eastAsia="en-GB"/>
        </w:rPr>
        <w:t xml:space="preserve"> </w:t>
      </w:r>
      <w:r w:rsidRPr="003A4F79">
        <w:rPr>
          <w:i/>
        </w:rPr>
        <w:t xml:space="preserve">DurAway </w:t>
      </w:r>
      <w:r w:rsidR="00572EEF" w:rsidRPr="003A4F79">
        <w:t xml:space="preserve">is </w:t>
      </w:r>
      <w:r w:rsidRPr="003A4F79">
        <w:t xml:space="preserve">the length of time (in unit of months) for which an investor is away from the stock market, i.e., time between exit month and month </w:t>
      </w:r>
      <w:r w:rsidRPr="003A4F79">
        <w:rPr>
          <w:i/>
        </w:rPr>
        <w:t>t</w:t>
      </w:r>
      <w:r w:rsidRPr="003A4F79">
        <w:t xml:space="preserve">. We account for </w:t>
      </w:r>
      <w:r w:rsidR="00572EEF" w:rsidRPr="003A4F79">
        <w:t xml:space="preserve">the </w:t>
      </w:r>
      <w:r w:rsidRPr="003A4F79">
        <w:t xml:space="preserve">fixed effects </w:t>
      </w:r>
      <w:r w:rsidR="00572EEF" w:rsidRPr="003A4F79">
        <w:t>of</w:t>
      </w:r>
      <w:r w:rsidRPr="003A4F79">
        <w:t xml:space="preserve"> investment size, location of residency, and exit time by including dummies for portfolio holding quintiles, 100 different zip codes, and 105 different exit months, respectively</w:t>
      </w:r>
      <w:r w:rsidR="00EE3D7C" w:rsidRPr="003A4F79">
        <w:t xml:space="preserve">: </w:t>
      </w:r>
      <w:r w:rsidRPr="003A4F79">
        <w:rPr>
          <w:i/>
        </w:rPr>
        <w:t xml:space="preserve">Investment size fixed effect </w:t>
      </w:r>
      <w:r w:rsidRPr="003A4F79">
        <w:t>us</w:t>
      </w:r>
      <w:r w:rsidR="00572EEF" w:rsidRPr="003A4F79">
        <w:t>es</w:t>
      </w:r>
      <w:r w:rsidRPr="003A4F79">
        <w:t xml:space="preserve"> five dummy variables indicat</w:t>
      </w:r>
      <w:r w:rsidR="00572EEF" w:rsidRPr="003A4F79">
        <w:t>ing</w:t>
      </w:r>
      <w:r w:rsidRPr="003A4F79">
        <w:t xml:space="preserve"> quintile</w:t>
      </w:r>
      <w:r w:rsidR="00572EEF" w:rsidRPr="003A4F79">
        <w:t>s</w:t>
      </w:r>
      <w:r w:rsidRPr="003A4F79">
        <w:t xml:space="preserve"> of average portfolio holdings</w:t>
      </w:r>
      <w:r w:rsidR="00EE3D7C" w:rsidRPr="003A4F79">
        <w:t xml:space="preserve">; </w:t>
      </w:r>
      <w:r w:rsidRPr="003A4F79">
        <w:rPr>
          <w:i/>
        </w:rPr>
        <w:t xml:space="preserve">Zip-code fixed effect </w:t>
      </w:r>
      <w:r w:rsidRPr="003A4F79">
        <w:t>is based on 100 dummy variables</w:t>
      </w:r>
      <w:r w:rsidR="00572EEF" w:rsidRPr="003A4F79">
        <w:t xml:space="preserve"> for</w:t>
      </w:r>
      <w:r w:rsidRPr="003A4F79">
        <w:t xml:space="preserve"> district</w:t>
      </w:r>
      <w:r w:rsidR="00572EEF" w:rsidRPr="003A4F79">
        <w:t>s</w:t>
      </w:r>
      <w:r w:rsidRPr="003A4F79">
        <w:t xml:space="preserve"> in Finland</w:t>
      </w:r>
      <w:r w:rsidR="00EE3D7C" w:rsidRPr="003A4F79">
        <w:t xml:space="preserve">; and </w:t>
      </w:r>
      <w:r w:rsidRPr="003A4F79">
        <w:rPr>
          <w:i/>
        </w:rPr>
        <w:t xml:space="preserve">Exit month fixed effect </w:t>
      </w:r>
      <w:r w:rsidRPr="003A4F79">
        <w:t>control</w:t>
      </w:r>
      <w:r w:rsidR="00572EEF" w:rsidRPr="003A4F79">
        <w:t>s</w:t>
      </w:r>
      <w:r w:rsidRPr="003A4F79">
        <w:t xml:space="preserve"> for 105 dummy variables </w:t>
      </w:r>
      <w:r w:rsidR="00572EEF" w:rsidRPr="003A4F79">
        <w:t xml:space="preserve">for </w:t>
      </w:r>
      <w:r w:rsidRPr="003A4F79">
        <w:t>the calendar month of exit</w:t>
      </w:r>
      <w:r w:rsidR="00795233" w:rsidRPr="003A4F79">
        <w:t xml:space="preserve">; </w:t>
      </w:r>
      <w:r w:rsidR="00795233" w:rsidRPr="003A4F79">
        <w:rPr>
          <w:i/>
        </w:rPr>
        <w:t xml:space="preserve">Year fixed effect </w:t>
      </w:r>
      <w:r w:rsidR="00795233" w:rsidRPr="003A4F79">
        <w:t>is accounted for by controlling for 8 year dummy variables indicating the calendar year.</w:t>
      </w:r>
      <w:r w:rsidRPr="003A4F79">
        <w:t xml:space="preserve"> </w:t>
      </w:r>
      <w:r w:rsidRPr="003A4F79">
        <w:rPr>
          <w:i/>
        </w:rPr>
        <w:t xml:space="preserve">Controls </w:t>
      </w:r>
      <w:r w:rsidRPr="003A4F79">
        <w:t>include the following variables</w:t>
      </w:r>
      <w:r w:rsidR="00EE3D7C" w:rsidRPr="003A4F79">
        <w:t xml:space="preserve">. </w:t>
      </w:r>
      <w:r w:rsidRPr="003A4F79">
        <w:rPr>
          <w:i/>
        </w:rPr>
        <w:t>InvSiz</w:t>
      </w:r>
      <w:r w:rsidRPr="003A4F79">
        <w:t xml:space="preserve"> is investment size</w:t>
      </w:r>
      <w:r w:rsidR="00572EEF" w:rsidRPr="003A4F79">
        <w:t>,</w:t>
      </w:r>
      <w:r w:rsidRPr="003A4F79">
        <w:t xml:space="preserve"> defined as the log of average portfolio holdings</w:t>
      </w:r>
      <w:r w:rsidR="00EE3D7C" w:rsidRPr="003A4F79">
        <w:t>.</w:t>
      </w:r>
      <w:r w:rsidR="00572EEF" w:rsidRPr="003A4F79">
        <w:rPr>
          <w:i/>
        </w:rPr>
        <w:t xml:space="preserve"> </w:t>
      </w:r>
      <w:r w:rsidRPr="003A4F79">
        <w:rPr>
          <w:i/>
        </w:rPr>
        <w:t>ZeroTrd</w:t>
      </w:r>
      <w:r w:rsidRPr="003A4F79">
        <w:t xml:space="preserve"> is a dummy variable that equals 1 if the investor do</w:t>
      </w:r>
      <w:r w:rsidR="00572EEF" w:rsidRPr="003A4F79">
        <w:t>es</w:t>
      </w:r>
      <w:r w:rsidRPr="003A4F79">
        <w:t xml:space="preserve"> not trade between initial purchase and </w:t>
      </w:r>
      <w:r w:rsidR="00572EEF" w:rsidRPr="003A4F79">
        <w:t xml:space="preserve">market </w:t>
      </w:r>
      <w:r w:rsidRPr="003A4F79">
        <w:t xml:space="preserve">exit, and 0 otherwise. </w:t>
      </w:r>
      <w:r w:rsidRPr="003A4F79">
        <w:rPr>
          <w:i/>
        </w:rPr>
        <w:t>SglStock</w:t>
      </w:r>
      <w:r w:rsidRPr="003A4F79">
        <w:t xml:space="preserve"> is a dummy variable that equals 1 if the investor only owns one stock</w:t>
      </w:r>
      <w:r w:rsidR="00572EEF" w:rsidRPr="003A4F79">
        <w:t>.</w:t>
      </w:r>
      <w:r w:rsidRPr="003A4F79">
        <w:t xml:space="preserve"> </w:t>
      </w:r>
      <w:r w:rsidRPr="003A4F79">
        <w:rPr>
          <w:i/>
        </w:rPr>
        <w:t>Nokia</w:t>
      </w:r>
      <w:r w:rsidRPr="003A4F79">
        <w:t xml:space="preserve"> is a dummy variable equal to 1 if an investor initiate</w:t>
      </w:r>
      <w:r w:rsidR="00572EEF" w:rsidRPr="003A4F79">
        <w:t>s</w:t>
      </w:r>
      <w:r w:rsidRPr="003A4F79">
        <w:t xml:space="preserve"> </w:t>
      </w:r>
      <w:r w:rsidR="00572EEF" w:rsidRPr="003A4F79">
        <w:t xml:space="preserve">investment </w:t>
      </w:r>
      <w:r w:rsidRPr="003A4F79">
        <w:t>by purchasing Nokia stock</w:t>
      </w:r>
      <w:r w:rsidRPr="003A4F79">
        <w:rPr>
          <w:i/>
        </w:rPr>
        <w:t xml:space="preserve">. MktRet </w:t>
      </w:r>
      <w:r w:rsidRPr="003A4F79">
        <w:t>and</w:t>
      </w:r>
      <w:r w:rsidRPr="003A4F79">
        <w:rPr>
          <w:i/>
        </w:rPr>
        <w:t xml:space="preserve"> MktVol</w:t>
      </w:r>
      <w:r w:rsidRPr="003A4F79">
        <w:t xml:space="preserve"> </w:t>
      </w:r>
      <w:r w:rsidR="00572EEF" w:rsidRPr="003A4F79">
        <w:t xml:space="preserve">are </w:t>
      </w:r>
      <w:r w:rsidRPr="003A4F79">
        <w:t>the monthly return and volatility</w:t>
      </w:r>
      <w:r w:rsidR="009D51CF" w:rsidRPr="003A4F79">
        <w:t xml:space="preserve"> volatility (standard deviation of daily returns)</w:t>
      </w:r>
      <w:r w:rsidRPr="003A4F79">
        <w:t xml:space="preserve"> on the Finnish stock market (OMX Helsinki Index). </w:t>
      </w:r>
      <w:r w:rsidRPr="003A4F79">
        <w:rPr>
          <w:i/>
        </w:rPr>
        <w:t>Age</w:t>
      </w:r>
      <w:r w:rsidRPr="003A4F79">
        <w:t xml:space="preserve"> is investor age (in years) at the beginning of sample</w:t>
      </w:r>
      <w:r w:rsidR="00572EEF" w:rsidRPr="003A4F79">
        <w:t>.</w:t>
      </w:r>
      <w:r w:rsidRPr="003A4F79">
        <w:t xml:space="preserve"> </w:t>
      </w:r>
      <w:r w:rsidRPr="003A4F79">
        <w:rPr>
          <w:i/>
        </w:rPr>
        <w:t>Female</w:t>
      </w:r>
      <w:r w:rsidRPr="003A4F79">
        <w:t xml:space="preserve"> is a dummy variable that equals 1 if investor gender is female. </w:t>
      </w:r>
      <w:r w:rsidRPr="003A4F79">
        <w:rPr>
          <w:i/>
        </w:rPr>
        <w:t>Minor</w:t>
      </w:r>
      <w:r w:rsidRPr="003A4F79">
        <w:t xml:space="preserve"> is a dummy variable that equals 1 </w:t>
      </w:r>
      <w:r w:rsidR="00EE3D7C" w:rsidRPr="003A4F79">
        <w:rPr>
          <w:lang w:eastAsia="en-GB"/>
        </w:rPr>
        <w:t>if the account holder is below 16 years of age</w:t>
      </w:r>
      <w:r w:rsidRPr="003A4F79">
        <w:t xml:space="preserve">. </w:t>
      </w:r>
      <w:r w:rsidRPr="003A4F79">
        <w:rPr>
          <w:i/>
        </w:rPr>
        <w:t xml:space="preserve">Burst </w:t>
      </w:r>
      <w:r w:rsidRPr="003A4F79">
        <w:t xml:space="preserve">is a dummy variable, defined </w:t>
      </w:r>
      <w:r w:rsidR="00572EEF" w:rsidRPr="003A4F79">
        <w:t>as</w:t>
      </w:r>
      <w:r w:rsidRPr="003A4F79">
        <w:t xml:space="preserve"> 1 if the time is </w:t>
      </w:r>
      <w:r w:rsidR="00572EEF" w:rsidRPr="003A4F79">
        <w:t>after the</w:t>
      </w:r>
      <w:r w:rsidRPr="003A4F79">
        <w:t xml:space="preserve"> dotcom bubble</w:t>
      </w:r>
      <w:r w:rsidR="00572EEF" w:rsidRPr="003A4F79">
        <w:t xml:space="preserve"> burst</w:t>
      </w:r>
      <w:r w:rsidRPr="003A4F79">
        <w:t xml:space="preserve"> (April 2000). </w:t>
      </w:r>
      <w:r w:rsidR="0025726D" w:rsidRPr="003A4F79">
        <w:t xml:space="preserve">The Wald chi-square of the Wald test for the model fit is reported in the model fit column. </w:t>
      </w:r>
      <w:r w:rsidR="0045658C" w:rsidRPr="003A4F79">
        <w:t>Robust s</w:t>
      </w:r>
      <w:r w:rsidRPr="003A4F79">
        <w:t>tandard error</w:t>
      </w:r>
      <w:r w:rsidR="00572EEF" w:rsidRPr="003A4F79">
        <w:t>s,</w:t>
      </w:r>
      <w:r w:rsidRPr="003A4F79">
        <w:t xml:space="preserve"> presented in </w:t>
      </w:r>
      <w:r w:rsidR="00572EEF" w:rsidRPr="003A4F79">
        <w:t>parentheses, are</w:t>
      </w:r>
      <w:r w:rsidRPr="003A4F79">
        <w:t xml:space="preserve"> clustered at </w:t>
      </w:r>
      <w:r w:rsidR="00DD608A" w:rsidRPr="003A4F79">
        <w:t xml:space="preserve">the </w:t>
      </w:r>
      <w:r w:rsidRPr="003A4F79">
        <w:t>investor level</w:t>
      </w:r>
      <w:r w:rsidR="00572EEF" w:rsidRPr="003A4F79">
        <w:t xml:space="preserve">: </w:t>
      </w:r>
      <w:r w:rsidRPr="003A4F79">
        <w:rPr>
          <w:rFonts w:ascii="Cambria Math" w:hAnsi="Cambria Math" w:cs="Cambria Math"/>
        </w:rPr>
        <w:t>∗∗∗</w:t>
      </w:r>
      <w:r w:rsidRPr="003A4F79">
        <w:t xml:space="preserve">, </w:t>
      </w:r>
      <w:r w:rsidRPr="003A4F79">
        <w:rPr>
          <w:rFonts w:ascii="Cambria Math" w:hAnsi="Cambria Math" w:cs="Cambria Math"/>
        </w:rPr>
        <w:t>∗∗</w:t>
      </w:r>
      <w:r w:rsidRPr="003A4F79">
        <w:t xml:space="preserve">, and </w:t>
      </w:r>
      <w:r w:rsidRPr="003A4F79">
        <w:rPr>
          <w:rFonts w:ascii="Cambria Math" w:hAnsi="Cambria Math" w:cs="Cambria Math"/>
        </w:rPr>
        <w:t>∗</w:t>
      </w:r>
      <w:r w:rsidRPr="003A4F79">
        <w:t xml:space="preserve"> denote statistical significance at </w:t>
      </w:r>
      <w:r w:rsidR="00DD608A" w:rsidRPr="003A4F79">
        <w:t xml:space="preserve">the </w:t>
      </w:r>
      <w:r w:rsidRPr="003A4F79">
        <w:t>1%, 5%, and 10%</w:t>
      </w:r>
      <w:r w:rsidR="00572EEF" w:rsidRPr="003A4F79">
        <w:t xml:space="preserve"> levels</w:t>
      </w:r>
      <w:r w:rsidRPr="003A4F79">
        <w:t>.</w:t>
      </w:r>
      <w:r w:rsidR="007F79DF" w:rsidRPr="003A4F79">
        <w:t xml:space="preserve"> There are 276,470 investor-months (9,435 investors) in the sample.</w:t>
      </w:r>
    </w:p>
    <w:p w14:paraId="7943E0C3" w14:textId="3E5760CF" w:rsidR="00914169" w:rsidRPr="003A4F79" w:rsidRDefault="00914169">
      <w:pPr>
        <w:spacing w:line="240" w:lineRule="auto"/>
        <w:ind w:firstLine="0"/>
        <w:jc w:val="left"/>
        <w:rPr>
          <w:rFonts w:ascii="Times New Roman" w:hAnsi="Times New Roman" w:cs="Times New Roman"/>
          <w:noProof/>
          <w:sz w:val="20"/>
          <w:szCs w:val="20"/>
          <w:lang w:val="en-GB" w:eastAsia="ko-KR"/>
        </w:rPr>
      </w:pPr>
      <w:r w:rsidRPr="003A4F79">
        <w:rPr>
          <w:noProof/>
          <w:lang w:val="en-GB" w:eastAsia="ko-KR"/>
        </w:rPr>
        <w:br w:type="page"/>
      </w:r>
    </w:p>
    <w:tbl>
      <w:tblPr>
        <w:tblW w:w="7700" w:type="dxa"/>
        <w:jc w:val="center"/>
        <w:tblLook w:val="04A0" w:firstRow="1" w:lastRow="0" w:firstColumn="1" w:lastColumn="0" w:noHBand="0" w:noVBand="1"/>
      </w:tblPr>
      <w:tblGrid>
        <w:gridCol w:w="3060"/>
        <w:gridCol w:w="1216"/>
        <w:gridCol w:w="1216"/>
        <w:gridCol w:w="1216"/>
        <w:gridCol w:w="1216"/>
      </w:tblGrid>
      <w:tr w:rsidR="003A4F79" w:rsidRPr="003A4F79" w14:paraId="2D1AC9DD" w14:textId="77777777" w:rsidTr="0059351D">
        <w:trPr>
          <w:trHeight w:val="255"/>
          <w:jc w:val="center"/>
        </w:trPr>
        <w:tc>
          <w:tcPr>
            <w:tcW w:w="3060" w:type="dxa"/>
            <w:tcBorders>
              <w:top w:val="single" w:sz="4" w:space="0" w:color="auto"/>
              <w:left w:val="nil"/>
              <w:bottom w:val="nil"/>
              <w:right w:val="nil"/>
            </w:tcBorders>
            <w:shd w:val="clear" w:color="auto" w:fill="auto"/>
            <w:noWrap/>
            <w:vAlign w:val="bottom"/>
            <w:hideMark/>
          </w:tcPr>
          <w:p w14:paraId="5226755C"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lastRenderedPageBreak/>
              <w:t> </w:t>
            </w:r>
          </w:p>
        </w:tc>
        <w:tc>
          <w:tcPr>
            <w:tcW w:w="1160" w:type="dxa"/>
            <w:tcBorders>
              <w:top w:val="single" w:sz="4" w:space="0" w:color="auto"/>
              <w:left w:val="nil"/>
              <w:bottom w:val="single" w:sz="4" w:space="0" w:color="auto"/>
              <w:right w:val="nil"/>
            </w:tcBorders>
            <w:shd w:val="clear" w:color="auto" w:fill="auto"/>
            <w:noWrap/>
            <w:vAlign w:val="bottom"/>
            <w:hideMark/>
          </w:tcPr>
          <w:p w14:paraId="28711D3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167ABC2C"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7D919AC1"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55EAD5D9"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4</w:t>
            </w:r>
          </w:p>
        </w:tc>
      </w:tr>
      <w:tr w:rsidR="003A4F79" w:rsidRPr="003A4F79" w14:paraId="68BFF59C"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77BEE991"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VARIABLES</w:t>
            </w:r>
          </w:p>
        </w:tc>
        <w:tc>
          <w:tcPr>
            <w:tcW w:w="4640" w:type="dxa"/>
            <w:gridSpan w:val="4"/>
            <w:tcBorders>
              <w:top w:val="nil"/>
              <w:left w:val="nil"/>
              <w:bottom w:val="single" w:sz="4" w:space="0" w:color="auto"/>
              <w:right w:val="nil"/>
            </w:tcBorders>
            <w:shd w:val="clear" w:color="auto" w:fill="auto"/>
            <w:noWrap/>
            <w:vAlign w:val="bottom"/>
            <w:hideMark/>
          </w:tcPr>
          <w:p w14:paraId="7213480C"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Re-entry</w:t>
            </w:r>
          </w:p>
        </w:tc>
      </w:tr>
      <w:tr w:rsidR="003A4F79" w:rsidRPr="003A4F79" w14:paraId="2F9FAF61" w14:textId="77777777" w:rsidTr="0059351D">
        <w:trPr>
          <w:trHeight w:val="255"/>
          <w:jc w:val="center"/>
        </w:trPr>
        <w:tc>
          <w:tcPr>
            <w:tcW w:w="3060" w:type="dxa"/>
            <w:tcBorders>
              <w:top w:val="single" w:sz="4" w:space="0" w:color="auto"/>
              <w:left w:val="nil"/>
              <w:bottom w:val="nil"/>
              <w:right w:val="nil"/>
            </w:tcBorders>
            <w:shd w:val="clear" w:color="auto" w:fill="auto"/>
            <w:noWrap/>
            <w:vAlign w:val="bottom"/>
            <w:hideMark/>
          </w:tcPr>
          <w:p w14:paraId="273E4840"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1B668C47"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48204F2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1A88FFA2"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14C39E61"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r>
      <w:tr w:rsidR="003A4F79" w:rsidRPr="003A4F79" w14:paraId="2464764C"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1C17E24C"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xml:space="preserve">IniRet × </w:t>
            </w:r>
            <w:r w:rsidRPr="003A4F79">
              <w:rPr>
                <w:rFonts w:ascii="Times New Roman" w:eastAsia="Times New Roman" w:hAnsi="Times New Roman" w:cs="Times New Roman"/>
                <w:b/>
                <w:bCs/>
                <w:sz w:val="20"/>
                <w:szCs w:val="20"/>
                <w:lang w:val="en-GB" w:eastAsia="ko-KR"/>
              </w:rPr>
              <w:t>I</w:t>
            </w:r>
            <w:r w:rsidRPr="003A4F79">
              <w:rPr>
                <w:rFonts w:ascii="Times New Roman" w:eastAsia="Times New Roman" w:hAnsi="Times New Roman" w:cs="Times New Roman"/>
                <w:sz w:val="20"/>
                <w:szCs w:val="20"/>
                <w:lang w:val="en-GB" w:eastAsia="ko-KR"/>
              </w:rPr>
              <w:t xml:space="preserve">(IniRet ≥ 0) </w:t>
            </w:r>
          </w:p>
        </w:tc>
        <w:tc>
          <w:tcPr>
            <w:tcW w:w="1160" w:type="dxa"/>
            <w:tcBorders>
              <w:top w:val="nil"/>
              <w:left w:val="nil"/>
              <w:bottom w:val="nil"/>
              <w:right w:val="nil"/>
            </w:tcBorders>
            <w:shd w:val="clear" w:color="auto" w:fill="auto"/>
            <w:noWrap/>
            <w:vAlign w:val="bottom"/>
            <w:hideMark/>
          </w:tcPr>
          <w:p w14:paraId="5B51511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1.6068**</w:t>
            </w:r>
          </w:p>
        </w:tc>
        <w:tc>
          <w:tcPr>
            <w:tcW w:w="1160" w:type="dxa"/>
            <w:tcBorders>
              <w:top w:val="nil"/>
              <w:left w:val="nil"/>
              <w:bottom w:val="nil"/>
              <w:right w:val="nil"/>
            </w:tcBorders>
            <w:shd w:val="clear" w:color="auto" w:fill="auto"/>
            <w:noWrap/>
            <w:vAlign w:val="bottom"/>
            <w:hideMark/>
          </w:tcPr>
          <w:p w14:paraId="59A05371"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1.5832**</w:t>
            </w:r>
          </w:p>
        </w:tc>
        <w:tc>
          <w:tcPr>
            <w:tcW w:w="1160" w:type="dxa"/>
            <w:tcBorders>
              <w:top w:val="nil"/>
              <w:left w:val="nil"/>
              <w:bottom w:val="nil"/>
              <w:right w:val="nil"/>
            </w:tcBorders>
            <w:shd w:val="clear" w:color="auto" w:fill="auto"/>
            <w:noWrap/>
            <w:vAlign w:val="bottom"/>
            <w:hideMark/>
          </w:tcPr>
          <w:p w14:paraId="76ADF475"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1.9149***</w:t>
            </w:r>
          </w:p>
        </w:tc>
        <w:tc>
          <w:tcPr>
            <w:tcW w:w="1160" w:type="dxa"/>
            <w:tcBorders>
              <w:top w:val="nil"/>
              <w:left w:val="nil"/>
              <w:bottom w:val="nil"/>
              <w:right w:val="nil"/>
            </w:tcBorders>
            <w:shd w:val="clear" w:color="auto" w:fill="auto"/>
            <w:noWrap/>
            <w:vAlign w:val="bottom"/>
            <w:hideMark/>
          </w:tcPr>
          <w:p w14:paraId="0A88279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1.8187***</w:t>
            </w:r>
          </w:p>
        </w:tc>
      </w:tr>
      <w:tr w:rsidR="003A4F79" w:rsidRPr="003A4F79" w14:paraId="1F5284A4"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3D1B074B"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0F39F3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(2.32)</w:t>
            </w:r>
          </w:p>
        </w:tc>
        <w:tc>
          <w:tcPr>
            <w:tcW w:w="1160" w:type="dxa"/>
            <w:tcBorders>
              <w:top w:val="nil"/>
              <w:left w:val="nil"/>
              <w:bottom w:val="nil"/>
              <w:right w:val="nil"/>
            </w:tcBorders>
            <w:shd w:val="clear" w:color="auto" w:fill="auto"/>
            <w:noWrap/>
            <w:vAlign w:val="bottom"/>
            <w:hideMark/>
          </w:tcPr>
          <w:p w14:paraId="2D30BC9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(2.24)</w:t>
            </w:r>
          </w:p>
        </w:tc>
        <w:tc>
          <w:tcPr>
            <w:tcW w:w="1160" w:type="dxa"/>
            <w:tcBorders>
              <w:top w:val="nil"/>
              <w:left w:val="nil"/>
              <w:bottom w:val="nil"/>
              <w:right w:val="nil"/>
            </w:tcBorders>
            <w:shd w:val="clear" w:color="auto" w:fill="auto"/>
            <w:noWrap/>
            <w:vAlign w:val="bottom"/>
            <w:hideMark/>
          </w:tcPr>
          <w:p w14:paraId="41BF564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(3.36)</w:t>
            </w:r>
          </w:p>
        </w:tc>
        <w:tc>
          <w:tcPr>
            <w:tcW w:w="1160" w:type="dxa"/>
            <w:tcBorders>
              <w:top w:val="nil"/>
              <w:left w:val="nil"/>
              <w:bottom w:val="nil"/>
              <w:right w:val="nil"/>
            </w:tcBorders>
            <w:shd w:val="clear" w:color="auto" w:fill="auto"/>
            <w:noWrap/>
            <w:vAlign w:val="bottom"/>
            <w:hideMark/>
          </w:tcPr>
          <w:p w14:paraId="645EAE53"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(2.92)</w:t>
            </w:r>
          </w:p>
        </w:tc>
      </w:tr>
      <w:tr w:rsidR="003A4F79" w:rsidRPr="003A4F79" w14:paraId="55694568"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3BB73CED"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xml:space="preserve">IniRet × </w:t>
            </w:r>
            <w:r w:rsidRPr="003A4F79">
              <w:rPr>
                <w:rFonts w:ascii="Times New Roman" w:eastAsia="Times New Roman" w:hAnsi="Times New Roman" w:cs="Times New Roman"/>
                <w:b/>
                <w:bCs/>
                <w:sz w:val="20"/>
                <w:szCs w:val="20"/>
                <w:lang w:val="en-GB" w:eastAsia="ko-KR"/>
              </w:rPr>
              <w:t>I</w:t>
            </w:r>
            <w:r w:rsidRPr="003A4F79">
              <w:rPr>
                <w:rFonts w:ascii="Times New Roman" w:eastAsia="Times New Roman" w:hAnsi="Times New Roman" w:cs="Times New Roman"/>
                <w:sz w:val="20"/>
                <w:szCs w:val="20"/>
                <w:lang w:val="en-GB" w:eastAsia="ko-KR"/>
              </w:rPr>
              <w:t xml:space="preserve">(IniRet &lt; 0) </w:t>
            </w:r>
          </w:p>
        </w:tc>
        <w:tc>
          <w:tcPr>
            <w:tcW w:w="1160" w:type="dxa"/>
            <w:tcBorders>
              <w:top w:val="nil"/>
              <w:left w:val="nil"/>
              <w:bottom w:val="nil"/>
              <w:right w:val="nil"/>
            </w:tcBorders>
            <w:shd w:val="clear" w:color="auto" w:fill="auto"/>
            <w:noWrap/>
            <w:vAlign w:val="bottom"/>
            <w:hideMark/>
          </w:tcPr>
          <w:p w14:paraId="7FA93685"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1.6653*</w:t>
            </w:r>
          </w:p>
        </w:tc>
        <w:tc>
          <w:tcPr>
            <w:tcW w:w="1160" w:type="dxa"/>
            <w:tcBorders>
              <w:top w:val="nil"/>
              <w:left w:val="nil"/>
              <w:bottom w:val="nil"/>
              <w:right w:val="nil"/>
            </w:tcBorders>
            <w:shd w:val="clear" w:color="auto" w:fill="auto"/>
            <w:noWrap/>
            <w:vAlign w:val="bottom"/>
            <w:hideMark/>
          </w:tcPr>
          <w:p w14:paraId="199D9823"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1.6530</w:t>
            </w:r>
          </w:p>
        </w:tc>
        <w:tc>
          <w:tcPr>
            <w:tcW w:w="1160" w:type="dxa"/>
            <w:tcBorders>
              <w:top w:val="nil"/>
              <w:left w:val="nil"/>
              <w:bottom w:val="nil"/>
              <w:right w:val="nil"/>
            </w:tcBorders>
            <w:shd w:val="clear" w:color="auto" w:fill="auto"/>
            <w:noWrap/>
            <w:vAlign w:val="bottom"/>
            <w:hideMark/>
          </w:tcPr>
          <w:p w14:paraId="4DE2281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1.2334</w:t>
            </w:r>
          </w:p>
        </w:tc>
        <w:tc>
          <w:tcPr>
            <w:tcW w:w="1160" w:type="dxa"/>
            <w:tcBorders>
              <w:top w:val="nil"/>
              <w:left w:val="nil"/>
              <w:bottom w:val="nil"/>
              <w:right w:val="nil"/>
            </w:tcBorders>
            <w:shd w:val="clear" w:color="auto" w:fill="auto"/>
            <w:noWrap/>
            <w:vAlign w:val="bottom"/>
            <w:hideMark/>
          </w:tcPr>
          <w:p w14:paraId="7828EF17"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0.9036</w:t>
            </w:r>
          </w:p>
        </w:tc>
      </w:tr>
      <w:tr w:rsidR="003A4F79" w:rsidRPr="003A4F79" w14:paraId="636D2FB2"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429890F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1FDC93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(1.65)</w:t>
            </w:r>
          </w:p>
        </w:tc>
        <w:tc>
          <w:tcPr>
            <w:tcW w:w="1160" w:type="dxa"/>
            <w:tcBorders>
              <w:top w:val="nil"/>
              <w:left w:val="nil"/>
              <w:bottom w:val="nil"/>
              <w:right w:val="nil"/>
            </w:tcBorders>
            <w:shd w:val="clear" w:color="auto" w:fill="auto"/>
            <w:noWrap/>
            <w:vAlign w:val="bottom"/>
            <w:hideMark/>
          </w:tcPr>
          <w:p w14:paraId="301E18E1"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(1.62)</w:t>
            </w:r>
          </w:p>
        </w:tc>
        <w:tc>
          <w:tcPr>
            <w:tcW w:w="1160" w:type="dxa"/>
            <w:tcBorders>
              <w:top w:val="nil"/>
              <w:left w:val="nil"/>
              <w:bottom w:val="nil"/>
              <w:right w:val="nil"/>
            </w:tcBorders>
            <w:shd w:val="clear" w:color="auto" w:fill="auto"/>
            <w:noWrap/>
            <w:vAlign w:val="bottom"/>
            <w:hideMark/>
          </w:tcPr>
          <w:p w14:paraId="0DAD42F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(0.71)</w:t>
            </w:r>
          </w:p>
        </w:tc>
        <w:tc>
          <w:tcPr>
            <w:tcW w:w="1160" w:type="dxa"/>
            <w:tcBorders>
              <w:top w:val="nil"/>
              <w:left w:val="nil"/>
              <w:bottom w:val="nil"/>
              <w:right w:val="nil"/>
            </w:tcBorders>
            <w:shd w:val="clear" w:color="auto" w:fill="auto"/>
            <w:noWrap/>
            <w:vAlign w:val="bottom"/>
            <w:hideMark/>
          </w:tcPr>
          <w:p w14:paraId="4AEF8FD1"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(-0.34)</w:t>
            </w:r>
          </w:p>
        </w:tc>
      </w:tr>
      <w:tr w:rsidR="003A4F79" w:rsidRPr="003A4F79" w14:paraId="61F1FC3C"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ECBB9A5"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AllRet</w:t>
            </w:r>
          </w:p>
        </w:tc>
        <w:tc>
          <w:tcPr>
            <w:tcW w:w="1160" w:type="dxa"/>
            <w:tcBorders>
              <w:top w:val="nil"/>
              <w:left w:val="nil"/>
              <w:bottom w:val="nil"/>
              <w:right w:val="nil"/>
            </w:tcBorders>
            <w:shd w:val="clear" w:color="auto" w:fill="auto"/>
            <w:noWrap/>
            <w:vAlign w:val="bottom"/>
            <w:hideMark/>
          </w:tcPr>
          <w:p w14:paraId="189DE40F"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1.0287</w:t>
            </w:r>
          </w:p>
        </w:tc>
        <w:tc>
          <w:tcPr>
            <w:tcW w:w="1160" w:type="dxa"/>
            <w:tcBorders>
              <w:top w:val="nil"/>
              <w:left w:val="nil"/>
              <w:bottom w:val="nil"/>
              <w:right w:val="nil"/>
            </w:tcBorders>
            <w:shd w:val="clear" w:color="auto" w:fill="auto"/>
            <w:noWrap/>
            <w:vAlign w:val="bottom"/>
            <w:hideMark/>
          </w:tcPr>
          <w:p w14:paraId="7C42C353"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0.9858</w:t>
            </w:r>
          </w:p>
        </w:tc>
        <w:tc>
          <w:tcPr>
            <w:tcW w:w="1160" w:type="dxa"/>
            <w:tcBorders>
              <w:top w:val="nil"/>
              <w:left w:val="nil"/>
              <w:bottom w:val="nil"/>
              <w:right w:val="nil"/>
            </w:tcBorders>
            <w:shd w:val="clear" w:color="auto" w:fill="auto"/>
            <w:noWrap/>
            <w:vAlign w:val="bottom"/>
            <w:hideMark/>
          </w:tcPr>
          <w:p w14:paraId="284C49FB"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0.8856</w:t>
            </w:r>
          </w:p>
        </w:tc>
        <w:tc>
          <w:tcPr>
            <w:tcW w:w="1160" w:type="dxa"/>
            <w:tcBorders>
              <w:top w:val="nil"/>
              <w:left w:val="nil"/>
              <w:bottom w:val="nil"/>
              <w:right w:val="nil"/>
            </w:tcBorders>
            <w:shd w:val="clear" w:color="auto" w:fill="auto"/>
            <w:noWrap/>
            <w:vAlign w:val="bottom"/>
            <w:hideMark/>
          </w:tcPr>
          <w:p w14:paraId="11BEDB5B"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0.8562</w:t>
            </w:r>
          </w:p>
        </w:tc>
      </w:tr>
      <w:tr w:rsidR="003A4F79" w:rsidRPr="003A4F79" w14:paraId="60AE316C"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1B668342"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6C63F50"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(0.10)</w:t>
            </w:r>
          </w:p>
        </w:tc>
        <w:tc>
          <w:tcPr>
            <w:tcW w:w="1160" w:type="dxa"/>
            <w:tcBorders>
              <w:top w:val="nil"/>
              <w:left w:val="nil"/>
              <w:bottom w:val="nil"/>
              <w:right w:val="nil"/>
            </w:tcBorders>
            <w:shd w:val="clear" w:color="auto" w:fill="auto"/>
            <w:noWrap/>
            <w:vAlign w:val="bottom"/>
            <w:hideMark/>
          </w:tcPr>
          <w:p w14:paraId="3E77ACB7"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(-0.05)</w:t>
            </w:r>
          </w:p>
        </w:tc>
        <w:tc>
          <w:tcPr>
            <w:tcW w:w="1160" w:type="dxa"/>
            <w:tcBorders>
              <w:top w:val="nil"/>
              <w:left w:val="nil"/>
              <w:bottom w:val="nil"/>
              <w:right w:val="nil"/>
            </w:tcBorders>
            <w:shd w:val="clear" w:color="auto" w:fill="auto"/>
            <w:noWrap/>
            <w:vAlign w:val="bottom"/>
            <w:hideMark/>
          </w:tcPr>
          <w:p w14:paraId="1029BB5B"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(-0.69)</w:t>
            </w:r>
          </w:p>
        </w:tc>
        <w:tc>
          <w:tcPr>
            <w:tcW w:w="1160" w:type="dxa"/>
            <w:tcBorders>
              <w:top w:val="nil"/>
              <w:left w:val="nil"/>
              <w:bottom w:val="nil"/>
              <w:right w:val="nil"/>
            </w:tcBorders>
            <w:shd w:val="clear" w:color="auto" w:fill="auto"/>
            <w:noWrap/>
            <w:vAlign w:val="bottom"/>
            <w:hideMark/>
          </w:tcPr>
          <w:p w14:paraId="2C05417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(-0.69)</w:t>
            </w:r>
          </w:p>
        </w:tc>
      </w:tr>
      <w:tr w:rsidR="003A4F79" w:rsidRPr="003A4F79" w14:paraId="7705AECB"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15AAF459"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RecRet</w:t>
            </w:r>
          </w:p>
        </w:tc>
        <w:tc>
          <w:tcPr>
            <w:tcW w:w="1160" w:type="dxa"/>
            <w:tcBorders>
              <w:top w:val="nil"/>
              <w:left w:val="nil"/>
              <w:bottom w:val="nil"/>
              <w:right w:val="nil"/>
            </w:tcBorders>
            <w:shd w:val="clear" w:color="auto" w:fill="auto"/>
            <w:noWrap/>
            <w:vAlign w:val="bottom"/>
            <w:hideMark/>
          </w:tcPr>
          <w:p w14:paraId="5A6CB453"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0.9878</w:t>
            </w:r>
          </w:p>
        </w:tc>
        <w:tc>
          <w:tcPr>
            <w:tcW w:w="1160" w:type="dxa"/>
            <w:tcBorders>
              <w:top w:val="nil"/>
              <w:left w:val="nil"/>
              <w:bottom w:val="nil"/>
              <w:right w:val="nil"/>
            </w:tcBorders>
            <w:shd w:val="clear" w:color="auto" w:fill="auto"/>
            <w:noWrap/>
            <w:vAlign w:val="bottom"/>
            <w:hideMark/>
          </w:tcPr>
          <w:p w14:paraId="174EC49F"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1.0087</w:t>
            </w:r>
          </w:p>
        </w:tc>
        <w:tc>
          <w:tcPr>
            <w:tcW w:w="1160" w:type="dxa"/>
            <w:tcBorders>
              <w:top w:val="nil"/>
              <w:left w:val="nil"/>
              <w:bottom w:val="nil"/>
              <w:right w:val="nil"/>
            </w:tcBorders>
            <w:shd w:val="clear" w:color="auto" w:fill="auto"/>
            <w:noWrap/>
            <w:vAlign w:val="bottom"/>
            <w:hideMark/>
          </w:tcPr>
          <w:p w14:paraId="43D9D3E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1.0739</w:t>
            </w:r>
          </w:p>
        </w:tc>
        <w:tc>
          <w:tcPr>
            <w:tcW w:w="1160" w:type="dxa"/>
            <w:tcBorders>
              <w:top w:val="nil"/>
              <w:left w:val="nil"/>
              <w:bottom w:val="nil"/>
              <w:right w:val="nil"/>
            </w:tcBorders>
            <w:shd w:val="clear" w:color="auto" w:fill="auto"/>
            <w:noWrap/>
            <w:vAlign w:val="bottom"/>
            <w:hideMark/>
          </w:tcPr>
          <w:p w14:paraId="16A29A49"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1.0878</w:t>
            </w:r>
          </w:p>
        </w:tc>
      </w:tr>
      <w:tr w:rsidR="003A4F79" w:rsidRPr="003A4F79" w14:paraId="212E28A5"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300F9E81"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2407EF9"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(-0.09)</w:t>
            </w:r>
          </w:p>
        </w:tc>
        <w:tc>
          <w:tcPr>
            <w:tcW w:w="1160" w:type="dxa"/>
            <w:tcBorders>
              <w:top w:val="nil"/>
              <w:left w:val="nil"/>
              <w:bottom w:val="nil"/>
              <w:right w:val="nil"/>
            </w:tcBorders>
            <w:shd w:val="clear" w:color="auto" w:fill="auto"/>
            <w:noWrap/>
            <w:vAlign w:val="bottom"/>
            <w:hideMark/>
          </w:tcPr>
          <w:p w14:paraId="5F53F491"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(0.06)</w:t>
            </w:r>
          </w:p>
        </w:tc>
        <w:tc>
          <w:tcPr>
            <w:tcW w:w="1160" w:type="dxa"/>
            <w:tcBorders>
              <w:top w:val="nil"/>
              <w:left w:val="nil"/>
              <w:bottom w:val="nil"/>
              <w:right w:val="nil"/>
            </w:tcBorders>
            <w:shd w:val="clear" w:color="auto" w:fill="auto"/>
            <w:noWrap/>
            <w:vAlign w:val="bottom"/>
            <w:hideMark/>
          </w:tcPr>
          <w:p w14:paraId="32DA3DE9"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(0.80)</w:t>
            </w:r>
          </w:p>
        </w:tc>
        <w:tc>
          <w:tcPr>
            <w:tcW w:w="1160" w:type="dxa"/>
            <w:tcBorders>
              <w:top w:val="nil"/>
              <w:left w:val="nil"/>
              <w:bottom w:val="nil"/>
              <w:right w:val="nil"/>
            </w:tcBorders>
            <w:shd w:val="clear" w:color="auto" w:fill="auto"/>
            <w:noWrap/>
            <w:vAlign w:val="bottom"/>
            <w:hideMark/>
          </w:tcPr>
          <w:p w14:paraId="7985E84F"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(0.74)</w:t>
            </w:r>
          </w:p>
        </w:tc>
      </w:tr>
      <w:tr w:rsidR="003A4F79" w:rsidRPr="003A4F79" w14:paraId="0336D36C"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2DA04DB"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RealRet</w:t>
            </w:r>
          </w:p>
        </w:tc>
        <w:tc>
          <w:tcPr>
            <w:tcW w:w="1160" w:type="dxa"/>
            <w:tcBorders>
              <w:top w:val="nil"/>
              <w:left w:val="nil"/>
              <w:bottom w:val="nil"/>
              <w:right w:val="nil"/>
            </w:tcBorders>
            <w:shd w:val="clear" w:color="auto" w:fill="auto"/>
            <w:noWrap/>
            <w:vAlign w:val="bottom"/>
            <w:hideMark/>
          </w:tcPr>
          <w:p w14:paraId="00F900E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1.0436*</w:t>
            </w:r>
          </w:p>
        </w:tc>
        <w:tc>
          <w:tcPr>
            <w:tcW w:w="1160" w:type="dxa"/>
            <w:tcBorders>
              <w:top w:val="nil"/>
              <w:left w:val="nil"/>
              <w:bottom w:val="nil"/>
              <w:right w:val="nil"/>
            </w:tcBorders>
            <w:shd w:val="clear" w:color="auto" w:fill="auto"/>
            <w:noWrap/>
            <w:vAlign w:val="bottom"/>
            <w:hideMark/>
          </w:tcPr>
          <w:p w14:paraId="6BA4725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1.0452*</w:t>
            </w:r>
          </w:p>
        </w:tc>
        <w:tc>
          <w:tcPr>
            <w:tcW w:w="1160" w:type="dxa"/>
            <w:tcBorders>
              <w:top w:val="nil"/>
              <w:left w:val="nil"/>
              <w:bottom w:val="nil"/>
              <w:right w:val="nil"/>
            </w:tcBorders>
            <w:shd w:val="clear" w:color="auto" w:fill="auto"/>
            <w:noWrap/>
            <w:vAlign w:val="bottom"/>
            <w:hideMark/>
          </w:tcPr>
          <w:p w14:paraId="1EC43F76"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1.0754***</w:t>
            </w:r>
          </w:p>
        </w:tc>
        <w:tc>
          <w:tcPr>
            <w:tcW w:w="1160" w:type="dxa"/>
            <w:tcBorders>
              <w:top w:val="nil"/>
              <w:left w:val="nil"/>
              <w:bottom w:val="nil"/>
              <w:right w:val="nil"/>
            </w:tcBorders>
            <w:shd w:val="clear" w:color="auto" w:fill="auto"/>
            <w:noWrap/>
            <w:vAlign w:val="bottom"/>
            <w:hideMark/>
          </w:tcPr>
          <w:p w14:paraId="69C344E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1.0675***</w:t>
            </w:r>
          </w:p>
        </w:tc>
      </w:tr>
      <w:tr w:rsidR="003A4F79" w:rsidRPr="003A4F79" w14:paraId="3F840648"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9597B9F"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8E8751B"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(1.74)</w:t>
            </w:r>
          </w:p>
        </w:tc>
        <w:tc>
          <w:tcPr>
            <w:tcW w:w="1160" w:type="dxa"/>
            <w:tcBorders>
              <w:top w:val="nil"/>
              <w:left w:val="nil"/>
              <w:bottom w:val="nil"/>
              <w:right w:val="nil"/>
            </w:tcBorders>
            <w:shd w:val="clear" w:color="auto" w:fill="auto"/>
            <w:noWrap/>
            <w:vAlign w:val="bottom"/>
            <w:hideMark/>
          </w:tcPr>
          <w:p w14:paraId="78E15E5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(1.80)</w:t>
            </w:r>
          </w:p>
        </w:tc>
        <w:tc>
          <w:tcPr>
            <w:tcW w:w="1160" w:type="dxa"/>
            <w:tcBorders>
              <w:top w:val="nil"/>
              <w:left w:val="nil"/>
              <w:bottom w:val="nil"/>
              <w:right w:val="nil"/>
            </w:tcBorders>
            <w:shd w:val="clear" w:color="auto" w:fill="auto"/>
            <w:noWrap/>
            <w:vAlign w:val="bottom"/>
            <w:hideMark/>
          </w:tcPr>
          <w:p w14:paraId="78ECAE5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(3.18)</w:t>
            </w:r>
          </w:p>
        </w:tc>
        <w:tc>
          <w:tcPr>
            <w:tcW w:w="1160" w:type="dxa"/>
            <w:tcBorders>
              <w:top w:val="nil"/>
              <w:left w:val="nil"/>
              <w:bottom w:val="nil"/>
              <w:right w:val="nil"/>
            </w:tcBorders>
            <w:shd w:val="clear" w:color="auto" w:fill="auto"/>
            <w:noWrap/>
            <w:vAlign w:val="bottom"/>
            <w:hideMark/>
          </w:tcPr>
          <w:p w14:paraId="2AE8C96C"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(2.78)</w:t>
            </w:r>
          </w:p>
        </w:tc>
      </w:tr>
      <w:tr w:rsidR="003A4F79" w:rsidRPr="003A4F79" w14:paraId="1E98C831"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46F1CE06"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Saliency</w:t>
            </w:r>
          </w:p>
        </w:tc>
        <w:tc>
          <w:tcPr>
            <w:tcW w:w="1160" w:type="dxa"/>
            <w:tcBorders>
              <w:top w:val="nil"/>
              <w:left w:val="nil"/>
              <w:bottom w:val="nil"/>
              <w:right w:val="nil"/>
            </w:tcBorders>
            <w:shd w:val="clear" w:color="auto" w:fill="auto"/>
            <w:noWrap/>
            <w:vAlign w:val="bottom"/>
            <w:hideMark/>
          </w:tcPr>
          <w:p w14:paraId="45799C2A"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c>
          <w:tcPr>
            <w:tcW w:w="1160" w:type="dxa"/>
            <w:tcBorders>
              <w:top w:val="nil"/>
              <w:left w:val="nil"/>
              <w:bottom w:val="nil"/>
              <w:right w:val="nil"/>
            </w:tcBorders>
            <w:shd w:val="clear" w:color="auto" w:fill="auto"/>
            <w:noWrap/>
            <w:vAlign w:val="bottom"/>
            <w:hideMark/>
          </w:tcPr>
          <w:p w14:paraId="6568C4E2"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c>
          <w:tcPr>
            <w:tcW w:w="1160" w:type="dxa"/>
            <w:tcBorders>
              <w:top w:val="nil"/>
              <w:left w:val="nil"/>
              <w:bottom w:val="nil"/>
              <w:right w:val="nil"/>
            </w:tcBorders>
            <w:shd w:val="clear" w:color="auto" w:fill="auto"/>
            <w:noWrap/>
            <w:vAlign w:val="bottom"/>
            <w:hideMark/>
          </w:tcPr>
          <w:p w14:paraId="7F55F2D5"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c>
          <w:tcPr>
            <w:tcW w:w="1160" w:type="dxa"/>
            <w:tcBorders>
              <w:top w:val="nil"/>
              <w:left w:val="nil"/>
              <w:bottom w:val="nil"/>
              <w:right w:val="nil"/>
            </w:tcBorders>
            <w:shd w:val="clear" w:color="auto" w:fill="auto"/>
            <w:noWrap/>
            <w:vAlign w:val="bottom"/>
            <w:hideMark/>
          </w:tcPr>
          <w:p w14:paraId="1F51C25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r>
      <w:tr w:rsidR="003A4F79" w:rsidRPr="003A4F79" w14:paraId="6F7F7491"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644B1B3"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4621F2E"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(3.87)</w:t>
            </w:r>
          </w:p>
        </w:tc>
        <w:tc>
          <w:tcPr>
            <w:tcW w:w="1160" w:type="dxa"/>
            <w:tcBorders>
              <w:top w:val="nil"/>
              <w:left w:val="nil"/>
              <w:bottom w:val="nil"/>
              <w:right w:val="nil"/>
            </w:tcBorders>
            <w:shd w:val="clear" w:color="auto" w:fill="auto"/>
            <w:noWrap/>
            <w:vAlign w:val="bottom"/>
            <w:hideMark/>
          </w:tcPr>
          <w:p w14:paraId="73530AEA"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(3.72)</w:t>
            </w:r>
          </w:p>
        </w:tc>
        <w:tc>
          <w:tcPr>
            <w:tcW w:w="1160" w:type="dxa"/>
            <w:tcBorders>
              <w:top w:val="nil"/>
              <w:left w:val="nil"/>
              <w:bottom w:val="nil"/>
              <w:right w:val="nil"/>
            </w:tcBorders>
            <w:shd w:val="clear" w:color="auto" w:fill="auto"/>
            <w:noWrap/>
            <w:vAlign w:val="bottom"/>
            <w:hideMark/>
          </w:tcPr>
          <w:p w14:paraId="53D69FBA"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(3.49)</w:t>
            </w:r>
          </w:p>
        </w:tc>
        <w:tc>
          <w:tcPr>
            <w:tcW w:w="1160" w:type="dxa"/>
            <w:tcBorders>
              <w:top w:val="nil"/>
              <w:left w:val="nil"/>
              <w:bottom w:val="nil"/>
              <w:right w:val="nil"/>
            </w:tcBorders>
            <w:shd w:val="clear" w:color="auto" w:fill="auto"/>
            <w:noWrap/>
            <w:vAlign w:val="bottom"/>
            <w:hideMark/>
          </w:tcPr>
          <w:p w14:paraId="6BBA91F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(4.98)</w:t>
            </w:r>
          </w:p>
        </w:tc>
      </w:tr>
      <w:tr w:rsidR="003A4F79" w:rsidRPr="003A4F79" w14:paraId="4B30B00E"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7A7E0FB"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InvSiz</w:t>
            </w:r>
          </w:p>
        </w:tc>
        <w:tc>
          <w:tcPr>
            <w:tcW w:w="1160" w:type="dxa"/>
            <w:tcBorders>
              <w:top w:val="nil"/>
              <w:left w:val="nil"/>
              <w:bottom w:val="nil"/>
              <w:right w:val="nil"/>
            </w:tcBorders>
            <w:shd w:val="clear" w:color="auto" w:fill="auto"/>
            <w:noWrap/>
            <w:vAlign w:val="bottom"/>
            <w:hideMark/>
          </w:tcPr>
          <w:p w14:paraId="4E6EABDD"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6C41D59"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1.2328***</w:t>
            </w:r>
          </w:p>
        </w:tc>
        <w:tc>
          <w:tcPr>
            <w:tcW w:w="1160" w:type="dxa"/>
            <w:tcBorders>
              <w:top w:val="nil"/>
              <w:left w:val="nil"/>
              <w:bottom w:val="nil"/>
              <w:right w:val="nil"/>
            </w:tcBorders>
            <w:shd w:val="clear" w:color="auto" w:fill="auto"/>
            <w:noWrap/>
            <w:vAlign w:val="bottom"/>
            <w:hideMark/>
          </w:tcPr>
          <w:p w14:paraId="2CA68D90"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1.2166***</w:t>
            </w:r>
          </w:p>
        </w:tc>
        <w:tc>
          <w:tcPr>
            <w:tcW w:w="1160" w:type="dxa"/>
            <w:tcBorders>
              <w:top w:val="nil"/>
              <w:left w:val="nil"/>
              <w:bottom w:val="nil"/>
              <w:right w:val="nil"/>
            </w:tcBorders>
            <w:shd w:val="clear" w:color="auto" w:fill="auto"/>
            <w:noWrap/>
            <w:vAlign w:val="bottom"/>
            <w:hideMark/>
          </w:tcPr>
          <w:p w14:paraId="0C91A9E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1.1756***</w:t>
            </w:r>
          </w:p>
        </w:tc>
      </w:tr>
      <w:tr w:rsidR="003A4F79" w:rsidRPr="003A4F79" w14:paraId="003BEAEA"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5DEE37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2C88EDD"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31D9732"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(5.28)</w:t>
            </w:r>
          </w:p>
        </w:tc>
        <w:tc>
          <w:tcPr>
            <w:tcW w:w="1160" w:type="dxa"/>
            <w:tcBorders>
              <w:top w:val="nil"/>
              <w:left w:val="nil"/>
              <w:bottom w:val="nil"/>
              <w:right w:val="nil"/>
            </w:tcBorders>
            <w:shd w:val="clear" w:color="auto" w:fill="auto"/>
            <w:noWrap/>
            <w:vAlign w:val="bottom"/>
            <w:hideMark/>
          </w:tcPr>
          <w:p w14:paraId="713E03A5"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(4.54)</w:t>
            </w:r>
          </w:p>
        </w:tc>
        <w:tc>
          <w:tcPr>
            <w:tcW w:w="1160" w:type="dxa"/>
            <w:tcBorders>
              <w:top w:val="nil"/>
              <w:left w:val="nil"/>
              <w:bottom w:val="nil"/>
              <w:right w:val="nil"/>
            </w:tcBorders>
            <w:shd w:val="clear" w:color="auto" w:fill="auto"/>
            <w:noWrap/>
            <w:vAlign w:val="bottom"/>
            <w:hideMark/>
          </w:tcPr>
          <w:p w14:paraId="731ED0C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(3.76)</w:t>
            </w:r>
          </w:p>
        </w:tc>
      </w:tr>
      <w:tr w:rsidR="003A4F79" w:rsidRPr="003A4F79" w14:paraId="6D2C35F0"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15AFC24A"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w:t>
            </w:r>
          </w:p>
        </w:tc>
        <w:tc>
          <w:tcPr>
            <w:tcW w:w="1160" w:type="dxa"/>
            <w:tcBorders>
              <w:top w:val="nil"/>
              <w:left w:val="nil"/>
              <w:bottom w:val="nil"/>
              <w:right w:val="nil"/>
            </w:tcBorders>
            <w:shd w:val="clear" w:color="auto" w:fill="auto"/>
            <w:noWrap/>
            <w:vAlign w:val="bottom"/>
            <w:hideMark/>
          </w:tcPr>
          <w:p w14:paraId="12BD5BF7"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57DD4BA"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7569FDE"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0.2865***</w:t>
            </w:r>
          </w:p>
        </w:tc>
        <w:tc>
          <w:tcPr>
            <w:tcW w:w="1160" w:type="dxa"/>
            <w:tcBorders>
              <w:top w:val="nil"/>
              <w:left w:val="nil"/>
              <w:bottom w:val="nil"/>
              <w:right w:val="nil"/>
            </w:tcBorders>
            <w:shd w:val="clear" w:color="auto" w:fill="auto"/>
            <w:noWrap/>
            <w:vAlign w:val="bottom"/>
            <w:hideMark/>
          </w:tcPr>
          <w:p w14:paraId="613FF1C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0.3068***</w:t>
            </w:r>
          </w:p>
        </w:tc>
      </w:tr>
      <w:tr w:rsidR="003A4F79" w:rsidRPr="003A4F79" w14:paraId="659DC5B4"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541E2AA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4581DAB"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376F565"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5B12072"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(-12.25)</w:t>
            </w:r>
          </w:p>
        </w:tc>
        <w:tc>
          <w:tcPr>
            <w:tcW w:w="1160" w:type="dxa"/>
            <w:tcBorders>
              <w:top w:val="nil"/>
              <w:left w:val="nil"/>
              <w:bottom w:val="nil"/>
              <w:right w:val="nil"/>
            </w:tcBorders>
            <w:shd w:val="clear" w:color="auto" w:fill="auto"/>
            <w:noWrap/>
            <w:vAlign w:val="bottom"/>
            <w:hideMark/>
          </w:tcPr>
          <w:p w14:paraId="57369FD0"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(-11.62)</w:t>
            </w:r>
          </w:p>
        </w:tc>
      </w:tr>
      <w:tr w:rsidR="003A4F79" w:rsidRPr="003A4F79" w14:paraId="30F394F3"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70B66DBE"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ZeroTrd</w:t>
            </w:r>
          </w:p>
        </w:tc>
        <w:tc>
          <w:tcPr>
            <w:tcW w:w="1160" w:type="dxa"/>
            <w:tcBorders>
              <w:top w:val="nil"/>
              <w:left w:val="nil"/>
              <w:bottom w:val="nil"/>
              <w:right w:val="nil"/>
            </w:tcBorders>
            <w:shd w:val="clear" w:color="auto" w:fill="auto"/>
            <w:noWrap/>
            <w:vAlign w:val="bottom"/>
            <w:hideMark/>
          </w:tcPr>
          <w:p w14:paraId="219D0CAF"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0FC566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B8AF261"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2.8426***</w:t>
            </w:r>
          </w:p>
        </w:tc>
        <w:tc>
          <w:tcPr>
            <w:tcW w:w="1160" w:type="dxa"/>
            <w:tcBorders>
              <w:top w:val="nil"/>
              <w:left w:val="nil"/>
              <w:bottom w:val="nil"/>
              <w:right w:val="nil"/>
            </w:tcBorders>
            <w:shd w:val="clear" w:color="auto" w:fill="auto"/>
            <w:noWrap/>
            <w:vAlign w:val="bottom"/>
            <w:hideMark/>
          </w:tcPr>
          <w:p w14:paraId="6C81219E"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2.7313***</w:t>
            </w:r>
          </w:p>
        </w:tc>
      </w:tr>
      <w:tr w:rsidR="003A4F79" w:rsidRPr="003A4F79" w14:paraId="54E3D459"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BA5ED25"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7876720"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08C29CB"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C2C0B4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(21.54)</w:t>
            </w:r>
          </w:p>
        </w:tc>
        <w:tc>
          <w:tcPr>
            <w:tcW w:w="1160" w:type="dxa"/>
            <w:tcBorders>
              <w:top w:val="nil"/>
              <w:left w:val="nil"/>
              <w:bottom w:val="nil"/>
              <w:right w:val="nil"/>
            </w:tcBorders>
            <w:shd w:val="clear" w:color="auto" w:fill="auto"/>
            <w:noWrap/>
            <w:vAlign w:val="bottom"/>
            <w:hideMark/>
          </w:tcPr>
          <w:p w14:paraId="00B9043A"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(20.60)</w:t>
            </w:r>
          </w:p>
        </w:tc>
      </w:tr>
      <w:tr w:rsidR="003A4F79" w:rsidRPr="003A4F79" w14:paraId="30579CBA"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43564BC6"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 × ZeroTrd</w:t>
            </w:r>
          </w:p>
        </w:tc>
        <w:tc>
          <w:tcPr>
            <w:tcW w:w="1160" w:type="dxa"/>
            <w:tcBorders>
              <w:top w:val="nil"/>
              <w:left w:val="nil"/>
              <w:bottom w:val="nil"/>
              <w:right w:val="nil"/>
            </w:tcBorders>
            <w:shd w:val="clear" w:color="auto" w:fill="auto"/>
            <w:noWrap/>
            <w:vAlign w:val="bottom"/>
            <w:hideMark/>
          </w:tcPr>
          <w:p w14:paraId="60A5D062"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4381731"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6DE999B"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0.2526***</w:t>
            </w:r>
          </w:p>
        </w:tc>
        <w:tc>
          <w:tcPr>
            <w:tcW w:w="1160" w:type="dxa"/>
            <w:tcBorders>
              <w:top w:val="nil"/>
              <w:left w:val="nil"/>
              <w:bottom w:val="nil"/>
              <w:right w:val="nil"/>
            </w:tcBorders>
            <w:shd w:val="clear" w:color="auto" w:fill="auto"/>
            <w:noWrap/>
            <w:vAlign w:val="bottom"/>
            <w:hideMark/>
          </w:tcPr>
          <w:p w14:paraId="24B78AE1"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0.2684***</w:t>
            </w:r>
          </w:p>
        </w:tc>
      </w:tr>
      <w:tr w:rsidR="003A4F79" w:rsidRPr="003A4F79" w14:paraId="3E76E297"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C244DE2"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7CCA76E"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13FCFA5"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80DDEFC"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(-12.04)</w:t>
            </w:r>
          </w:p>
        </w:tc>
        <w:tc>
          <w:tcPr>
            <w:tcW w:w="1160" w:type="dxa"/>
            <w:tcBorders>
              <w:top w:val="nil"/>
              <w:left w:val="nil"/>
              <w:bottom w:val="nil"/>
              <w:right w:val="nil"/>
            </w:tcBorders>
            <w:shd w:val="clear" w:color="auto" w:fill="auto"/>
            <w:noWrap/>
            <w:vAlign w:val="bottom"/>
            <w:hideMark/>
          </w:tcPr>
          <w:p w14:paraId="67302E8E"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(-11.56)</w:t>
            </w:r>
          </w:p>
        </w:tc>
      </w:tr>
      <w:tr w:rsidR="003A4F79" w:rsidRPr="003A4F79" w14:paraId="45C9D90D"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71DF8EFF"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Nokia</w:t>
            </w:r>
          </w:p>
        </w:tc>
        <w:tc>
          <w:tcPr>
            <w:tcW w:w="1160" w:type="dxa"/>
            <w:tcBorders>
              <w:top w:val="nil"/>
              <w:left w:val="nil"/>
              <w:bottom w:val="nil"/>
              <w:right w:val="nil"/>
            </w:tcBorders>
            <w:shd w:val="clear" w:color="auto" w:fill="auto"/>
            <w:noWrap/>
            <w:vAlign w:val="bottom"/>
            <w:hideMark/>
          </w:tcPr>
          <w:p w14:paraId="287DCC2B"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D0E4716"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7CA2369"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0BD35E9"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2.0040***</w:t>
            </w:r>
          </w:p>
        </w:tc>
      </w:tr>
      <w:tr w:rsidR="003A4F79" w:rsidRPr="003A4F79" w14:paraId="2F5D35C3"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B98A46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9E81E12"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8D66EC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564CB1F"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6D11D4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(17.43)</w:t>
            </w:r>
          </w:p>
        </w:tc>
      </w:tr>
      <w:tr w:rsidR="003A4F79" w:rsidRPr="003A4F79" w14:paraId="55726F38"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5E4552E"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MktRet</w:t>
            </w:r>
          </w:p>
        </w:tc>
        <w:tc>
          <w:tcPr>
            <w:tcW w:w="1160" w:type="dxa"/>
            <w:tcBorders>
              <w:top w:val="nil"/>
              <w:left w:val="nil"/>
              <w:bottom w:val="nil"/>
              <w:right w:val="nil"/>
            </w:tcBorders>
            <w:shd w:val="clear" w:color="auto" w:fill="auto"/>
            <w:noWrap/>
            <w:vAlign w:val="bottom"/>
            <w:hideMark/>
          </w:tcPr>
          <w:p w14:paraId="43A4894C"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0.4688***</w:t>
            </w:r>
          </w:p>
        </w:tc>
        <w:tc>
          <w:tcPr>
            <w:tcW w:w="1160" w:type="dxa"/>
            <w:tcBorders>
              <w:top w:val="nil"/>
              <w:left w:val="nil"/>
              <w:bottom w:val="nil"/>
              <w:right w:val="nil"/>
            </w:tcBorders>
            <w:shd w:val="clear" w:color="auto" w:fill="auto"/>
            <w:noWrap/>
            <w:vAlign w:val="bottom"/>
            <w:hideMark/>
          </w:tcPr>
          <w:p w14:paraId="1A33FC4F"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0.4693***</w:t>
            </w:r>
          </w:p>
        </w:tc>
        <w:tc>
          <w:tcPr>
            <w:tcW w:w="1160" w:type="dxa"/>
            <w:tcBorders>
              <w:top w:val="nil"/>
              <w:left w:val="nil"/>
              <w:bottom w:val="nil"/>
              <w:right w:val="nil"/>
            </w:tcBorders>
            <w:shd w:val="clear" w:color="auto" w:fill="auto"/>
            <w:noWrap/>
            <w:vAlign w:val="bottom"/>
            <w:hideMark/>
          </w:tcPr>
          <w:p w14:paraId="5763120E"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0.4326***</w:t>
            </w:r>
          </w:p>
        </w:tc>
        <w:tc>
          <w:tcPr>
            <w:tcW w:w="1160" w:type="dxa"/>
            <w:tcBorders>
              <w:top w:val="nil"/>
              <w:left w:val="nil"/>
              <w:bottom w:val="nil"/>
              <w:right w:val="nil"/>
            </w:tcBorders>
            <w:shd w:val="clear" w:color="auto" w:fill="auto"/>
            <w:noWrap/>
            <w:vAlign w:val="bottom"/>
            <w:hideMark/>
          </w:tcPr>
          <w:p w14:paraId="0EB87523"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0.4193***</w:t>
            </w:r>
          </w:p>
        </w:tc>
      </w:tr>
      <w:tr w:rsidR="003A4F79" w:rsidRPr="003A4F79" w14:paraId="590A999B"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221975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DB73F23"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(-4.47)</w:t>
            </w:r>
          </w:p>
        </w:tc>
        <w:tc>
          <w:tcPr>
            <w:tcW w:w="1160" w:type="dxa"/>
            <w:tcBorders>
              <w:top w:val="nil"/>
              <w:left w:val="nil"/>
              <w:bottom w:val="nil"/>
              <w:right w:val="nil"/>
            </w:tcBorders>
            <w:shd w:val="clear" w:color="auto" w:fill="auto"/>
            <w:noWrap/>
            <w:vAlign w:val="bottom"/>
            <w:hideMark/>
          </w:tcPr>
          <w:p w14:paraId="79FE28CF"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(-4.47)</w:t>
            </w:r>
          </w:p>
        </w:tc>
        <w:tc>
          <w:tcPr>
            <w:tcW w:w="1160" w:type="dxa"/>
            <w:tcBorders>
              <w:top w:val="nil"/>
              <w:left w:val="nil"/>
              <w:bottom w:val="nil"/>
              <w:right w:val="nil"/>
            </w:tcBorders>
            <w:shd w:val="clear" w:color="auto" w:fill="auto"/>
            <w:noWrap/>
            <w:vAlign w:val="bottom"/>
            <w:hideMark/>
          </w:tcPr>
          <w:p w14:paraId="26707A39"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(-4.85)</w:t>
            </w:r>
          </w:p>
        </w:tc>
        <w:tc>
          <w:tcPr>
            <w:tcW w:w="1160" w:type="dxa"/>
            <w:tcBorders>
              <w:top w:val="nil"/>
              <w:left w:val="nil"/>
              <w:bottom w:val="nil"/>
              <w:right w:val="nil"/>
            </w:tcBorders>
            <w:shd w:val="clear" w:color="auto" w:fill="auto"/>
            <w:noWrap/>
            <w:vAlign w:val="bottom"/>
            <w:hideMark/>
          </w:tcPr>
          <w:p w14:paraId="440D9B46"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(-5.03)</w:t>
            </w:r>
          </w:p>
        </w:tc>
      </w:tr>
      <w:tr w:rsidR="003A4F79" w:rsidRPr="003A4F79" w14:paraId="22213AA0"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6B3AC99"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MktVol</w:t>
            </w:r>
          </w:p>
        </w:tc>
        <w:tc>
          <w:tcPr>
            <w:tcW w:w="1160" w:type="dxa"/>
            <w:tcBorders>
              <w:top w:val="nil"/>
              <w:left w:val="nil"/>
              <w:bottom w:val="nil"/>
              <w:right w:val="nil"/>
            </w:tcBorders>
            <w:shd w:val="clear" w:color="auto" w:fill="auto"/>
            <w:noWrap/>
            <w:vAlign w:val="bottom"/>
            <w:hideMark/>
          </w:tcPr>
          <w:p w14:paraId="35F12287"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0.4671</w:t>
            </w:r>
          </w:p>
        </w:tc>
        <w:tc>
          <w:tcPr>
            <w:tcW w:w="1160" w:type="dxa"/>
            <w:tcBorders>
              <w:top w:val="nil"/>
              <w:left w:val="nil"/>
              <w:bottom w:val="nil"/>
              <w:right w:val="nil"/>
            </w:tcBorders>
            <w:shd w:val="clear" w:color="auto" w:fill="auto"/>
            <w:noWrap/>
            <w:vAlign w:val="bottom"/>
            <w:hideMark/>
          </w:tcPr>
          <w:p w14:paraId="7EC670A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0.4662</w:t>
            </w:r>
          </w:p>
        </w:tc>
        <w:tc>
          <w:tcPr>
            <w:tcW w:w="1160" w:type="dxa"/>
            <w:tcBorders>
              <w:top w:val="nil"/>
              <w:left w:val="nil"/>
              <w:bottom w:val="nil"/>
              <w:right w:val="nil"/>
            </w:tcBorders>
            <w:shd w:val="clear" w:color="auto" w:fill="auto"/>
            <w:noWrap/>
            <w:vAlign w:val="bottom"/>
            <w:hideMark/>
          </w:tcPr>
          <w:p w14:paraId="1DDDA2AC"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0.4107</w:t>
            </w:r>
          </w:p>
        </w:tc>
        <w:tc>
          <w:tcPr>
            <w:tcW w:w="1160" w:type="dxa"/>
            <w:tcBorders>
              <w:top w:val="nil"/>
              <w:left w:val="nil"/>
              <w:bottom w:val="nil"/>
              <w:right w:val="nil"/>
            </w:tcBorders>
            <w:shd w:val="clear" w:color="auto" w:fill="auto"/>
            <w:noWrap/>
            <w:vAlign w:val="bottom"/>
            <w:hideMark/>
          </w:tcPr>
          <w:p w14:paraId="5AB663D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0.4010</w:t>
            </w:r>
          </w:p>
        </w:tc>
      </w:tr>
      <w:tr w:rsidR="003A4F79" w:rsidRPr="003A4F79" w14:paraId="18C92E49"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FD2C7D7"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4497A65"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(-1.21)</w:t>
            </w:r>
          </w:p>
        </w:tc>
        <w:tc>
          <w:tcPr>
            <w:tcW w:w="1160" w:type="dxa"/>
            <w:tcBorders>
              <w:top w:val="nil"/>
              <w:left w:val="nil"/>
              <w:bottom w:val="nil"/>
              <w:right w:val="nil"/>
            </w:tcBorders>
            <w:shd w:val="clear" w:color="auto" w:fill="auto"/>
            <w:noWrap/>
            <w:vAlign w:val="bottom"/>
            <w:hideMark/>
          </w:tcPr>
          <w:p w14:paraId="11E92EC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(-1.21)</w:t>
            </w:r>
          </w:p>
        </w:tc>
        <w:tc>
          <w:tcPr>
            <w:tcW w:w="1160" w:type="dxa"/>
            <w:tcBorders>
              <w:top w:val="nil"/>
              <w:left w:val="nil"/>
              <w:bottom w:val="nil"/>
              <w:right w:val="nil"/>
            </w:tcBorders>
            <w:shd w:val="clear" w:color="auto" w:fill="auto"/>
            <w:noWrap/>
            <w:vAlign w:val="bottom"/>
            <w:hideMark/>
          </w:tcPr>
          <w:p w14:paraId="39B3BFEA"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(-1.37)</w:t>
            </w:r>
          </w:p>
        </w:tc>
        <w:tc>
          <w:tcPr>
            <w:tcW w:w="1160" w:type="dxa"/>
            <w:tcBorders>
              <w:top w:val="nil"/>
              <w:left w:val="nil"/>
              <w:bottom w:val="nil"/>
              <w:right w:val="nil"/>
            </w:tcBorders>
            <w:shd w:val="clear" w:color="auto" w:fill="auto"/>
            <w:noWrap/>
            <w:vAlign w:val="bottom"/>
            <w:hideMark/>
          </w:tcPr>
          <w:p w14:paraId="3FD63C0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(-1.39)</w:t>
            </w:r>
          </w:p>
        </w:tc>
      </w:tr>
      <w:tr w:rsidR="003A4F79" w:rsidRPr="003A4F79" w14:paraId="241063EA"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79016F46"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Female</w:t>
            </w:r>
          </w:p>
        </w:tc>
        <w:tc>
          <w:tcPr>
            <w:tcW w:w="1160" w:type="dxa"/>
            <w:tcBorders>
              <w:top w:val="nil"/>
              <w:left w:val="nil"/>
              <w:bottom w:val="nil"/>
              <w:right w:val="nil"/>
            </w:tcBorders>
            <w:shd w:val="clear" w:color="auto" w:fill="auto"/>
            <w:noWrap/>
            <w:vAlign w:val="bottom"/>
            <w:hideMark/>
          </w:tcPr>
          <w:p w14:paraId="4716B89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0.7392***</w:t>
            </w:r>
          </w:p>
        </w:tc>
        <w:tc>
          <w:tcPr>
            <w:tcW w:w="1160" w:type="dxa"/>
            <w:tcBorders>
              <w:top w:val="nil"/>
              <w:left w:val="nil"/>
              <w:bottom w:val="nil"/>
              <w:right w:val="nil"/>
            </w:tcBorders>
            <w:shd w:val="clear" w:color="auto" w:fill="auto"/>
            <w:noWrap/>
            <w:vAlign w:val="bottom"/>
            <w:hideMark/>
          </w:tcPr>
          <w:p w14:paraId="4DB3F230"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0.7406***</w:t>
            </w:r>
          </w:p>
        </w:tc>
        <w:tc>
          <w:tcPr>
            <w:tcW w:w="1160" w:type="dxa"/>
            <w:tcBorders>
              <w:top w:val="nil"/>
              <w:left w:val="nil"/>
              <w:bottom w:val="nil"/>
              <w:right w:val="nil"/>
            </w:tcBorders>
            <w:shd w:val="clear" w:color="auto" w:fill="auto"/>
            <w:noWrap/>
            <w:vAlign w:val="bottom"/>
            <w:hideMark/>
          </w:tcPr>
          <w:p w14:paraId="0B5EEEE9"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0.9243*</w:t>
            </w:r>
          </w:p>
        </w:tc>
        <w:tc>
          <w:tcPr>
            <w:tcW w:w="1160" w:type="dxa"/>
            <w:tcBorders>
              <w:top w:val="nil"/>
              <w:left w:val="nil"/>
              <w:bottom w:val="nil"/>
              <w:right w:val="nil"/>
            </w:tcBorders>
            <w:shd w:val="clear" w:color="auto" w:fill="auto"/>
            <w:noWrap/>
            <w:vAlign w:val="bottom"/>
            <w:hideMark/>
          </w:tcPr>
          <w:p w14:paraId="54002175"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0.9170**</w:t>
            </w:r>
          </w:p>
        </w:tc>
      </w:tr>
      <w:tr w:rsidR="003A4F79" w:rsidRPr="003A4F79" w14:paraId="7B8DA142"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3D5DCC1"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E829C4C"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(-7.09)</w:t>
            </w:r>
          </w:p>
        </w:tc>
        <w:tc>
          <w:tcPr>
            <w:tcW w:w="1160" w:type="dxa"/>
            <w:tcBorders>
              <w:top w:val="nil"/>
              <w:left w:val="nil"/>
              <w:bottom w:val="nil"/>
              <w:right w:val="nil"/>
            </w:tcBorders>
            <w:shd w:val="clear" w:color="auto" w:fill="auto"/>
            <w:noWrap/>
            <w:vAlign w:val="bottom"/>
            <w:hideMark/>
          </w:tcPr>
          <w:p w14:paraId="53B2F4B0"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(-7.04)</w:t>
            </w:r>
          </w:p>
        </w:tc>
        <w:tc>
          <w:tcPr>
            <w:tcW w:w="1160" w:type="dxa"/>
            <w:tcBorders>
              <w:top w:val="nil"/>
              <w:left w:val="nil"/>
              <w:bottom w:val="nil"/>
              <w:right w:val="nil"/>
            </w:tcBorders>
            <w:shd w:val="clear" w:color="auto" w:fill="auto"/>
            <w:noWrap/>
            <w:vAlign w:val="bottom"/>
            <w:hideMark/>
          </w:tcPr>
          <w:p w14:paraId="1361DF0E"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(-1.81)</w:t>
            </w:r>
          </w:p>
        </w:tc>
        <w:tc>
          <w:tcPr>
            <w:tcW w:w="1160" w:type="dxa"/>
            <w:tcBorders>
              <w:top w:val="nil"/>
              <w:left w:val="nil"/>
              <w:bottom w:val="nil"/>
              <w:right w:val="nil"/>
            </w:tcBorders>
            <w:shd w:val="clear" w:color="auto" w:fill="auto"/>
            <w:noWrap/>
            <w:vAlign w:val="bottom"/>
            <w:hideMark/>
          </w:tcPr>
          <w:p w14:paraId="2CB6CAC5"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(-1.99)</w:t>
            </w:r>
          </w:p>
        </w:tc>
      </w:tr>
      <w:tr w:rsidR="003A4F79" w:rsidRPr="003A4F79" w14:paraId="09B240AA"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3705BF0"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Age</w:t>
            </w:r>
          </w:p>
        </w:tc>
        <w:tc>
          <w:tcPr>
            <w:tcW w:w="1160" w:type="dxa"/>
            <w:tcBorders>
              <w:top w:val="nil"/>
              <w:left w:val="nil"/>
              <w:bottom w:val="nil"/>
              <w:right w:val="nil"/>
            </w:tcBorders>
            <w:shd w:val="clear" w:color="auto" w:fill="auto"/>
            <w:noWrap/>
            <w:vAlign w:val="bottom"/>
            <w:hideMark/>
          </w:tcPr>
          <w:p w14:paraId="0883BC8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0.9993</w:t>
            </w:r>
          </w:p>
        </w:tc>
        <w:tc>
          <w:tcPr>
            <w:tcW w:w="1160" w:type="dxa"/>
            <w:tcBorders>
              <w:top w:val="nil"/>
              <w:left w:val="nil"/>
              <w:bottom w:val="nil"/>
              <w:right w:val="nil"/>
            </w:tcBorders>
            <w:shd w:val="clear" w:color="auto" w:fill="auto"/>
            <w:noWrap/>
            <w:vAlign w:val="bottom"/>
            <w:hideMark/>
          </w:tcPr>
          <w:p w14:paraId="40E3BB8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0.9990</w:t>
            </w:r>
          </w:p>
        </w:tc>
        <w:tc>
          <w:tcPr>
            <w:tcW w:w="1160" w:type="dxa"/>
            <w:tcBorders>
              <w:top w:val="nil"/>
              <w:left w:val="nil"/>
              <w:bottom w:val="nil"/>
              <w:right w:val="nil"/>
            </w:tcBorders>
            <w:shd w:val="clear" w:color="auto" w:fill="auto"/>
            <w:noWrap/>
            <w:vAlign w:val="bottom"/>
            <w:hideMark/>
          </w:tcPr>
          <w:p w14:paraId="7B9D8D31"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1.0007</w:t>
            </w:r>
          </w:p>
        </w:tc>
        <w:tc>
          <w:tcPr>
            <w:tcW w:w="1160" w:type="dxa"/>
            <w:tcBorders>
              <w:top w:val="nil"/>
              <w:left w:val="nil"/>
              <w:bottom w:val="nil"/>
              <w:right w:val="nil"/>
            </w:tcBorders>
            <w:shd w:val="clear" w:color="auto" w:fill="auto"/>
            <w:noWrap/>
            <w:vAlign w:val="bottom"/>
            <w:hideMark/>
          </w:tcPr>
          <w:p w14:paraId="663E93A0"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r>
      <w:tr w:rsidR="003A4F79" w:rsidRPr="003A4F79" w14:paraId="6EA265F9"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16675D9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67DA380"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(-0.60)</w:t>
            </w:r>
          </w:p>
        </w:tc>
        <w:tc>
          <w:tcPr>
            <w:tcW w:w="1160" w:type="dxa"/>
            <w:tcBorders>
              <w:top w:val="nil"/>
              <w:left w:val="nil"/>
              <w:bottom w:val="nil"/>
              <w:right w:val="nil"/>
            </w:tcBorders>
            <w:shd w:val="clear" w:color="auto" w:fill="auto"/>
            <w:noWrap/>
            <w:vAlign w:val="bottom"/>
            <w:hideMark/>
          </w:tcPr>
          <w:p w14:paraId="6CF629D5"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(-0.86)</w:t>
            </w:r>
          </w:p>
        </w:tc>
        <w:tc>
          <w:tcPr>
            <w:tcW w:w="1160" w:type="dxa"/>
            <w:tcBorders>
              <w:top w:val="nil"/>
              <w:left w:val="nil"/>
              <w:bottom w:val="nil"/>
              <w:right w:val="nil"/>
            </w:tcBorders>
            <w:shd w:val="clear" w:color="auto" w:fill="auto"/>
            <w:noWrap/>
            <w:vAlign w:val="bottom"/>
            <w:hideMark/>
          </w:tcPr>
          <w:p w14:paraId="3AAFC365"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(0.51)</w:t>
            </w:r>
          </w:p>
        </w:tc>
        <w:tc>
          <w:tcPr>
            <w:tcW w:w="1160" w:type="dxa"/>
            <w:tcBorders>
              <w:top w:val="nil"/>
              <w:left w:val="nil"/>
              <w:bottom w:val="nil"/>
              <w:right w:val="nil"/>
            </w:tcBorders>
            <w:shd w:val="clear" w:color="auto" w:fill="auto"/>
            <w:noWrap/>
            <w:vAlign w:val="bottom"/>
            <w:hideMark/>
          </w:tcPr>
          <w:p w14:paraId="03E7CCA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w:t>
            </w:r>
          </w:p>
        </w:tc>
      </w:tr>
      <w:tr w:rsidR="003A4F79" w:rsidRPr="003A4F79" w14:paraId="4F3A3228"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72EFCB6"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Burst</w:t>
            </w:r>
          </w:p>
        </w:tc>
        <w:tc>
          <w:tcPr>
            <w:tcW w:w="1160" w:type="dxa"/>
            <w:tcBorders>
              <w:top w:val="nil"/>
              <w:left w:val="nil"/>
              <w:bottom w:val="nil"/>
              <w:right w:val="nil"/>
            </w:tcBorders>
            <w:shd w:val="clear" w:color="auto" w:fill="auto"/>
            <w:noWrap/>
            <w:vAlign w:val="bottom"/>
            <w:hideMark/>
          </w:tcPr>
          <w:p w14:paraId="10A1CAAE"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0.4592***</w:t>
            </w:r>
          </w:p>
        </w:tc>
        <w:tc>
          <w:tcPr>
            <w:tcW w:w="1160" w:type="dxa"/>
            <w:tcBorders>
              <w:top w:val="nil"/>
              <w:left w:val="nil"/>
              <w:bottom w:val="nil"/>
              <w:right w:val="nil"/>
            </w:tcBorders>
            <w:shd w:val="clear" w:color="auto" w:fill="auto"/>
            <w:noWrap/>
            <w:vAlign w:val="bottom"/>
            <w:hideMark/>
          </w:tcPr>
          <w:p w14:paraId="29E932A7"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0.4592***</w:t>
            </w:r>
          </w:p>
        </w:tc>
        <w:tc>
          <w:tcPr>
            <w:tcW w:w="1160" w:type="dxa"/>
            <w:tcBorders>
              <w:top w:val="nil"/>
              <w:left w:val="nil"/>
              <w:bottom w:val="nil"/>
              <w:right w:val="nil"/>
            </w:tcBorders>
            <w:shd w:val="clear" w:color="auto" w:fill="auto"/>
            <w:noWrap/>
            <w:vAlign w:val="bottom"/>
            <w:hideMark/>
          </w:tcPr>
          <w:p w14:paraId="7249086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0.5371***</w:t>
            </w:r>
          </w:p>
        </w:tc>
        <w:tc>
          <w:tcPr>
            <w:tcW w:w="1160" w:type="dxa"/>
            <w:tcBorders>
              <w:top w:val="nil"/>
              <w:left w:val="nil"/>
              <w:bottom w:val="nil"/>
              <w:right w:val="nil"/>
            </w:tcBorders>
            <w:shd w:val="clear" w:color="auto" w:fill="auto"/>
            <w:noWrap/>
            <w:vAlign w:val="bottom"/>
            <w:hideMark/>
          </w:tcPr>
          <w:p w14:paraId="76D4728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0.5493***</w:t>
            </w:r>
          </w:p>
        </w:tc>
      </w:tr>
      <w:tr w:rsidR="003A4F79" w:rsidRPr="003A4F79" w14:paraId="6870B10E"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6A2FA4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5685627"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(-10.93)</w:t>
            </w:r>
          </w:p>
        </w:tc>
        <w:tc>
          <w:tcPr>
            <w:tcW w:w="1160" w:type="dxa"/>
            <w:tcBorders>
              <w:top w:val="nil"/>
              <w:left w:val="nil"/>
              <w:bottom w:val="nil"/>
              <w:right w:val="nil"/>
            </w:tcBorders>
            <w:shd w:val="clear" w:color="auto" w:fill="auto"/>
            <w:noWrap/>
            <w:vAlign w:val="bottom"/>
            <w:hideMark/>
          </w:tcPr>
          <w:p w14:paraId="7EBDE045"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(-10.92)</w:t>
            </w:r>
          </w:p>
        </w:tc>
        <w:tc>
          <w:tcPr>
            <w:tcW w:w="1160" w:type="dxa"/>
            <w:tcBorders>
              <w:top w:val="nil"/>
              <w:left w:val="nil"/>
              <w:bottom w:val="nil"/>
              <w:right w:val="nil"/>
            </w:tcBorders>
            <w:shd w:val="clear" w:color="auto" w:fill="auto"/>
            <w:noWrap/>
            <w:vAlign w:val="bottom"/>
            <w:hideMark/>
          </w:tcPr>
          <w:p w14:paraId="5551A98E"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(-8.44)</w:t>
            </w:r>
          </w:p>
        </w:tc>
        <w:tc>
          <w:tcPr>
            <w:tcW w:w="1160" w:type="dxa"/>
            <w:tcBorders>
              <w:top w:val="nil"/>
              <w:left w:val="nil"/>
              <w:bottom w:val="nil"/>
              <w:right w:val="nil"/>
            </w:tcBorders>
            <w:shd w:val="clear" w:color="auto" w:fill="auto"/>
            <w:noWrap/>
            <w:vAlign w:val="bottom"/>
            <w:hideMark/>
          </w:tcPr>
          <w:p w14:paraId="38E29B6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(-8.03)</w:t>
            </w:r>
          </w:p>
        </w:tc>
      </w:tr>
      <w:tr w:rsidR="003A4F79" w:rsidRPr="003A4F79" w14:paraId="1EEC63B6"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464562D7"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DurAway</w:t>
            </w:r>
          </w:p>
        </w:tc>
        <w:tc>
          <w:tcPr>
            <w:tcW w:w="1160" w:type="dxa"/>
            <w:tcBorders>
              <w:top w:val="nil"/>
              <w:left w:val="nil"/>
              <w:bottom w:val="nil"/>
              <w:right w:val="nil"/>
            </w:tcBorders>
            <w:shd w:val="clear" w:color="auto" w:fill="auto"/>
            <w:noWrap/>
            <w:vAlign w:val="bottom"/>
            <w:hideMark/>
          </w:tcPr>
          <w:p w14:paraId="6EEDBC80"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0.9470***</w:t>
            </w:r>
          </w:p>
        </w:tc>
        <w:tc>
          <w:tcPr>
            <w:tcW w:w="1160" w:type="dxa"/>
            <w:tcBorders>
              <w:top w:val="nil"/>
              <w:left w:val="nil"/>
              <w:bottom w:val="nil"/>
              <w:right w:val="nil"/>
            </w:tcBorders>
            <w:shd w:val="clear" w:color="auto" w:fill="auto"/>
            <w:noWrap/>
            <w:vAlign w:val="bottom"/>
            <w:hideMark/>
          </w:tcPr>
          <w:p w14:paraId="31657802"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0.9469***</w:t>
            </w:r>
          </w:p>
        </w:tc>
        <w:tc>
          <w:tcPr>
            <w:tcW w:w="1160" w:type="dxa"/>
            <w:tcBorders>
              <w:top w:val="nil"/>
              <w:left w:val="nil"/>
              <w:bottom w:val="nil"/>
              <w:right w:val="nil"/>
            </w:tcBorders>
            <w:shd w:val="clear" w:color="auto" w:fill="auto"/>
            <w:noWrap/>
            <w:vAlign w:val="bottom"/>
            <w:hideMark/>
          </w:tcPr>
          <w:p w14:paraId="1CB9A1CC"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0.9560***</w:t>
            </w:r>
          </w:p>
        </w:tc>
        <w:tc>
          <w:tcPr>
            <w:tcW w:w="1160" w:type="dxa"/>
            <w:tcBorders>
              <w:top w:val="nil"/>
              <w:left w:val="nil"/>
              <w:bottom w:val="nil"/>
              <w:right w:val="nil"/>
            </w:tcBorders>
            <w:shd w:val="clear" w:color="auto" w:fill="auto"/>
            <w:noWrap/>
            <w:vAlign w:val="bottom"/>
            <w:hideMark/>
          </w:tcPr>
          <w:p w14:paraId="1880C403"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0.9570***</w:t>
            </w:r>
          </w:p>
        </w:tc>
      </w:tr>
      <w:tr w:rsidR="003A4F79" w:rsidRPr="003A4F79" w14:paraId="7F029373"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6DB9EE91"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1022C63"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(-24.94)</w:t>
            </w:r>
          </w:p>
        </w:tc>
        <w:tc>
          <w:tcPr>
            <w:tcW w:w="1160" w:type="dxa"/>
            <w:tcBorders>
              <w:top w:val="nil"/>
              <w:left w:val="nil"/>
              <w:bottom w:val="nil"/>
              <w:right w:val="nil"/>
            </w:tcBorders>
            <w:shd w:val="clear" w:color="auto" w:fill="auto"/>
            <w:noWrap/>
            <w:vAlign w:val="bottom"/>
            <w:hideMark/>
          </w:tcPr>
          <w:p w14:paraId="1B6D813F"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(-24.99)</w:t>
            </w:r>
          </w:p>
        </w:tc>
        <w:tc>
          <w:tcPr>
            <w:tcW w:w="1160" w:type="dxa"/>
            <w:tcBorders>
              <w:top w:val="nil"/>
              <w:left w:val="nil"/>
              <w:bottom w:val="nil"/>
              <w:right w:val="nil"/>
            </w:tcBorders>
            <w:shd w:val="clear" w:color="auto" w:fill="auto"/>
            <w:noWrap/>
            <w:vAlign w:val="bottom"/>
            <w:hideMark/>
          </w:tcPr>
          <w:p w14:paraId="530418F7"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(-22.97)</w:t>
            </w:r>
          </w:p>
        </w:tc>
        <w:tc>
          <w:tcPr>
            <w:tcW w:w="1160" w:type="dxa"/>
            <w:tcBorders>
              <w:top w:val="nil"/>
              <w:left w:val="nil"/>
              <w:bottom w:val="nil"/>
              <w:right w:val="nil"/>
            </w:tcBorders>
            <w:shd w:val="clear" w:color="auto" w:fill="auto"/>
            <w:noWrap/>
            <w:vAlign w:val="bottom"/>
            <w:hideMark/>
          </w:tcPr>
          <w:p w14:paraId="5F3E95B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(-22.99)</w:t>
            </w:r>
          </w:p>
        </w:tc>
      </w:tr>
      <w:tr w:rsidR="003A4F79" w:rsidRPr="003A4F79" w14:paraId="41FAB199"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0DF9A4A"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D2ED7EF"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91EB780"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A7294DF"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8C6140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4609D2FB"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497C13BF"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Investment size quintile dummies</w:t>
            </w:r>
          </w:p>
        </w:tc>
        <w:tc>
          <w:tcPr>
            <w:tcW w:w="1160" w:type="dxa"/>
            <w:tcBorders>
              <w:top w:val="nil"/>
              <w:left w:val="nil"/>
              <w:bottom w:val="nil"/>
              <w:right w:val="nil"/>
            </w:tcBorders>
            <w:shd w:val="clear" w:color="auto" w:fill="auto"/>
            <w:noWrap/>
            <w:vAlign w:val="bottom"/>
            <w:hideMark/>
          </w:tcPr>
          <w:p w14:paraId="380E6612"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B6E98A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7CE32FE2"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32B0DC8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3E8F6BD9"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01EFC526"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Zip code dummies</w:t>
            </w:r>
          </w:p>
        </w:tc>
        <w:tc>
          <w:tcPr>
            <w:tcW w:w="1160" w:type="dxa"/>
            <w:tcBorders>
              <w:top w:val="nil"/>
              <w:left w:val="nil"/>
              <w:bottom w:val="nil"/>
              <w:right w:val="nil"/>
            </w:tcBorders>
            <w:shd w:val="clear" w:color="auto" w:fill="auto"/>
            <w:noWrap/>
            <w:vAlign w:val="bottom"/>
            <w:hideMark/>
          </w:tcPr>
          <w:p w14:paraId="666AEDB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2F2F4893"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40002DF"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F7B0C30"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5B92979A"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1F293894"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Exit time dummies</w:t>
            </w:r>
          </w:p>
        </w:tc>
        <w:tc>
          <w:tcPr>
            <w:tcW w:w="1160" w:type="dxa"/>
            <w:tcBorders>
              <w:top w:val="nil"/>
              <w:left w:val="nil"/>
              <w:bottom w:val="nil"/>
              <w:right w:val="nil"/>
            </w:tcBorders>
            <w:shd w:val="clear" w:color="auto" w:fill="auto"/>
            <w:noWrap/>
            <w:vAlign w:val="bottom"/>
            <w:hideMark/>
          </w:tcPr>
          <w:p w14:paraId="0B6C49F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545DD45B"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2EA8822C"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196A70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3AE727A3"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1CEC38B"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Year dummies</w:t>
            </w:r>
          </w:p>
        </w:tc>
        <w:tc>
          <w:tcPr>
            <w:tcW w:w="1160" w:type="dxa"/>
            <w:tcBorders>
              <w:top w:val="nil"/>
              <w:left w:val="nil"/>
              <w:bottom w:val="nil"/>
              <w:right w:val="nil"/>
            </w:tcBorders>
            <w:shd w:val="clear" w:color="auto" w:fill="auto"/>
            <w:noWrap/>
            <w:vAlign w:val="bottom"/>
            <w:hideMark/>
          </w:tcPr>
          <w:p w14:paraId="143061BF"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F22A359"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EE14156"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729435F7"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0A2AE116"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50E86910"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F136446"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5FACCF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196CD9E"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15AF9B8"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5CA64140"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2A09C948"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Robust SE clustered at investor level</w:t>
            </w:r>
          </w:p>
        </w:tc>
        <w:tc>
          <w:tcPr>
            <w:tcW w:w="1160" w:type="dxa"/>
            <w:tcBorders>
              <w:top w:val="nil"/>
              <w:left w:val="nil"/>
              <w:bottom w:val="nil"/>
              <w:right w:val="nil"/>
            </w:tcBorders>
            <w:shd w:val="clear" w:color="auto" w:fill="auto"/>
            <w:noWrap/>
            <w:vAlign w:val="bottom"/>
            <w:hideMark/>
          </w:tcPr>
          <w:p w14:paraId="547BA326"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262EDA66"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6E7D3C9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558B50C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0CFE5A76" w14:textId="77777777" w:rsidTr="0059351D">
        <w:trPr>
          <w:trHeight w:val="255"/>
          <w:jc w:val="center"/>
        </w:trPr>
        <w:tc>
          <w:tcPr>
            <w:tcW w:w="3060" w:type="dxa"/>
            <w:tcBorders>
              <w:top w:val="nil"/>
              <w:left w:val="nil"/>
              <w:bottom w:val="nil"/>
              <w:right w:val="nil"/>
            </w:tcBorders>
            <w:shd w:val="clear" w:color="auto" w:fill="auto"/>
            <w:noWrap/>
            <w:vAlign w:val="bottom"/>
            <w:hideMark/>
          </w:tcPr>
          <w:p w14:paraId="71220A1D"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fit</w:t>
            </w:r>
          </w:p>
        </w:tc>
        <w:tc>
          <w:tcPr>
            <w:tcW w:w="1160" w:type="dxa"/>
            <w:tcBorders>
              <w:top w:val="nil"/>
              <w:left w:val="nil"/>
              <w:bottom w:val="nil"/>
              <w:right w:val="nil"/>
            </w:tcBorders>
            <w:shd w:val="clear" w:color="auto" w:fill="auto"/>
            <w:noWrap/>
            <w:vAlign w:val="bottom"/>
            <w:hideMark/>
          </w:tcPr>
          <w:p w14:paraId="41EB00E2"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1,747.95***</w:t>
            </w:r>
          </w:p>
        </w:tc>
        <w:tc>
          <w:tcPr>
            <w:tcW w:w="1160" w:type="dxa"/>
            <w:tcBorders>
              <w:top w:val="nil"/>
              <w:left w:val="nil"/>
              <w:bottom w:val="nil"/>
              <w:right w:val="nil"/>
            </w:tcBorders>
            <w:shd w:val="clear" w:color="auto" w:fill="auto"/>
            <w:noWrap/>
            <w:vAlign w:val="bottom"/>
            <w:hideMark/>
          </w:tcPr>
          <w:p w14:paraId="6F8DABC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1,770.08***</w:t>
            </w:r>
          </w:p>
        </w:tc>
        <w:tc>
          <w:tcPr>
            <w:tcW w:w="1160" w:type="dxa"/>
            <w:tcBorders>
              <w:top w:val="nil"/>
              <w:left w:val="nil"/>
              <w:bottom w:val="nil"/>
              <w:right w:val="nil"/>
            </w:tcBorders>
            <w:shd w:val="clear" w:color="auto" w:fill="auto"/>
            <w:noWrap/>
            <w:vAlign w:val="bottom"/>
            <w:hideMark/>
          </w:tcPr>
          <w:p w14:paraId="2904BF2D"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5,238.49***</w:t>
            </w:r>
          </w:p>
        </w:tc>
        <w:tc>
          <w:tcPr>
            <w:tcW w:w="1160" w:type="dxa"/>
            <w:tcBorders>
              <w:top w:val="nil"/>
              <w:left w:val="nil"/>
              <w:bottom w:val="nil"/>
              <w:right w:val="nil"/>
            </w:tcBorders>
            <w:shd w:val="clear" w:color="auto" w:fill="auto"/>
            <w:noWrap/>
            <w:vAlign w:val="bottom"/>
            <w:hideMark/>
          </w:tcPr>
          <w:p w14:paraId="3626E3CF"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5,743.82***</w:t>
            </w:r>
          </w:p>
        </w:tc>
      </w:tr>
      <w:tr w:rsidR="0059351D" w:rsidRPr="003A4F79" w14:paraId="1F919814" w14:textId="77777777" w:rsidTr="0059351D">
        <w:trPr>
          <w:trHeight w:val="315"/>
          <w:jc w:val="center"/>
        </w:trPr>
        <w:tc>
          <w:tcPr>
            <w:tcW w:w="3060" w:type="dxa"/>
            <w:tcBorders>
              <w:top w:val="nil"/>
              <w:left w:val="nil"/>
              <w:bottom w:val="single" w:sz="4" w:space="0" w:color="auto"/>
              <w:right w:val="nil"/>
            </w:tcBorders>
            <w:shd w:val="clear" w:color="auto" w:fill="auto"/>
            <w:noWrap/>
            <w:vAlign w:val="bottom"/>
            <w:hideMark/>
          </w:tcPr>
          <w:p w14:paraId="14E127AD" w14:textId="77777777" w:rsidR="0059351D" w:rsidRPr="003A4F79" w:rsidRDefault="0059351D" w:rsidP="0059351D">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Pseudo R</w:t>
            </w:r>
            <w:r w:rsidRPr="003A4F79">
              <w:rPr>
                <w:rFonts w:ascii="Times New Roman" w:eastAsia="Times New Roman" w:hAnsi="Times New Roman" w:cs="Times New Roman"/>
                <w:sz w:val="20"/>
                <w:szCs w:val="20"/>
                <w:vertAlign w:val="superscript"/>
                <w:lang w:val="en-GB" w:eastAsia="ko-KR"/>
              </w:rPr>
              <w:t>2</w:t>
            </w:r>
          </w:p>
        </w:tc>
        <w:tc>
          <w:tcPr>
            <w:tcW w:w="1160" w:type="dxa"/>
            <w:tcBorders>
              <w:top w:val="nil"/>
              <w:left w:val="nil"/>
              <w:bottom w:val="single" w:sz="4" w:space="0" w:color="auto"/>
              <w:right w:val="nil"/>
            </w:tcBorders>
            <w:shd w:val="clear" w:color="auto" w:fill="auto"/>
            <w:noWrap/>
            <w:vAlign w:val="bottom"/>
            <w:hideMark/>
          </w:tcPr>
          <w:p w14:paraId="1CBBE447"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0.0749</w:t>
            </w:r>
          </w:p>
        </w:tc>
        <w:tc>
          <w:tcPr>
            <w:tcW w:w="1160" w:type="dxa"/>
            <w:tcBorders>
              <w:top w:val="nil"/>
              <w:left w:val="nil"/>
              <w:bottom w:val="single" w:sz="4" w:space="0" w:color="auto"/>
              <w:right w:val="nil"/>
            </w:tcBorders>
            <w:shd w:val="clear" w:color="auto" w:fill="auto"/>
            <w:noWrap/>
            <w:vAlign w:val="bottom"/>
            <w:hideMark/>
          </w:tcPr>
          <w:p w14:paraId="6F3135C2"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0.0757</w:t>
            </w:r>
          </w:p>
        </w:tc>
        <w:tc>
          <w:tcPr>
            <w:tcW w:w="1160" w:type="dxa"/>
            <w:tcBorders>
              <w:top w:val="nil"/>
              <w:left w:val="nil"/>
              <w:bottom w:val="single" w:sz="4" w:space="0" w:color="auto"/>
              <w:right w:val="nil"/>
            </w:tcBorders>
            <w:shd w:val="clear" w:color="auto" w:fill="auto"/>
            <w:noWrap/>
            <w:vAlign w:val="bottom"/>
            <w:hideMark/>
          </w:tcPr>
          <w:p w14:paraId="4DE835A2"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0.1698</w:t>
            </w:r>
          </w:p>
        </w:tc>
        <w:tc>
          <w:tcPr>
            <w:tcW w:w="1160" w:type="dxa"/>
            <w:tcBorders>
              <w:top w:val="nil"/>
              <w:left w:val="nil"/>
              <w:bottom w:val="single" w:sz="4" w:space="0" w:color="auto"/>
              <w:right w:val="nil"/>
            </w:tcBorders>
            <w:shd w:val="clear" w:color="auto" w:fill="auto"/>
            <w:noWrap/>
            <w:vAlign w:val="bottom"/>
            <w:hideMark/>
          </w:tcPr>
          <w:p w14:paraId="605E5FE4" w14:textId="77777777" w:rsidR="0059351D" w:rsidRPr="003A4F79" w:rsidRDefault="0059351D" w:rsidP="0059351D">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0.1783</w:t>
            </w:r>
          </w:p>
        </w:tc>
      </w:tr>
    </w:tbl>
    <w:p w14:paraId="3929B214" w14:textId="77777777" w:rsidR="00E526FB" w:rsidRPr="003A4F79" w:rsidRDefault="00E526FB" w:rsidP="00EC148C">
      <w:pPr>
        <w:pStyle w:val="FigureNotes"/>
        <w:spacing w:after="120"/>
        <w:jc w:val="center"/>
      </w:pPr>
    </w:p>
    <w:p w14:paraId="41CB0BAC" w14:textId="4250BB0C" w:rsidR="00762E3A" w:rsidRPr="003A4F79" w:rsidRDefault="00762E3A" w:rsidP="005C0BAA">
      <w:pPr>
        <w:ind w:firstLine="0"/>
        <w:jc w:val="center"/>
        <w:rPr>
          <w:sz w:val="20"/>
        </w:rPr>
      </w:pPr>
    </w:p>
    <w:p w14:paraId="0311DE40" w14:textId="77777777" w:rsidR="00B22EFE" w:rsidRPr="003A4F79" w:rsidRDefault="00B22EFE">
      <w:r w:rsidRPr="003A4F79">
        <w:br w:type="page"/>
      </w:r>
    </w:p>
    <w:p w14:paraId="224EC290" w14:textId="3DD9153C" w:rsidR="00A72CB5" w:rsidRPr="003A4F79" w:rsidRDefault="006D197D" w:rsidP="00290F9F">
      <w:pPr>
        <w:pStyle w:val="FigureCaption"/>
        <w:jc w:val="left"/>
      </w:pPr>
      <w:r w:rsidRPr="003A4F79">
        <w:lastRenderedPageBreak/>
        <w:t xml:space="preserve">Table </w:t>
      </w:r>
      <w:r w:rsidR="00837708" w:rsidRPr="003A4F79">
        <w:t>8</w:t>
      </w:r>
    </w:p>
    <w:p w14:paraId="6FDA4AAE" w14:textId="0ED08437" w:rsidR="00B54BA7" w:rsidRPr="003A4F79" w:rsidRDefault="00AF7998" w:rsidP="00290F9F">
      <w:pPr>
        <w:pStyle w:val="FigureCaption"/>
        <w:jc w:val="left"/>
        <w:rPr>
          <w:b/>
        </w:rPr>
      </w:pPr>
      <w:r w:rsidRPr="003A4F79">
        <w:rPr>
          <w:b/>
        </w:rPr>
        <w:t xml:space="preserve">Initial </w:t>
      </w:r>
      <w:r w:rsidR="00572EEF" w:rsidRPr="003A4F79">
        <w:rPr>
          <w:b/>
        </w:rPr>
        <w:t>returns</w:t>
      </w:r>
      <w:r w:rsidR="005B4A1D" w:rsidRPr="003A4F79">
        <w:rPr>
          <w:b/>
        </w:rPr>
        <w:t xml:space="preserve"> and re-entry</w:t>
      </w:r>
      <w:r w:rsidR="00572EEF" w:rsidRPr="003A4F79">
        <w:rPr>
          <w:b/>
        </w:rPr>
        <w:t xml:space="preserve"> by investor ty</w:t>
      </w:r>
      <w:r w:rsidRPr="003A4F79">
        <w:rPr>
          <w:b/>
        </w:rPr>
        <w:t>pe</w:t>
      </w:r>
    </w:p>
    <w:p w14:paraId="4503BE03" w14:textId="766BF8B2" w:rsidR="000055BA" w:rsidRPr="003A4F79" w:rsidRDefault="00572EEF" w:rsidP="00290F9F">
      <w:pPr>
        <w:pStyle w:val="FigureNotes"/>
        <w:spacing w:after="120"/>
      </w:pPr>
      <w:r w:rsidRPr="003A4F79">
        <w:t>E</w:t>
      </w:r>
      <w:r w:rsidR="000055BA" w:rsidRPr="003A4F79">
        <w:t>stimated coefficients</w:t>
      </w:r>
      <w:r w:rsidRPr="003A4F79">
        <w:t xml:space="preserve"> are reported</w:t>
      </w:r>
      <w:r w:rsidR="000055BA" w:rsidRPr="003A4F79">
        <w:t xml:space="preserve"> from the following multi-period (monthly) logit regression:</w:t>
      </w:r>
    </w:p>
    <w:p w14:paraId="14F15B21" w14:textId="575BEE4D" w:rsidR="00826E61" w:rsidRPr="003A4F79" w:rsidRDefault="003F48D0" w:rsidP="00826E61">
      <w:pPr>
        <w:pStyle w:val="FigureNotes"/>
        <w:spacing w:after="120"/>
        <w:rPr>
          <w:i/>
        </w:rPr>
      </w:pPr>
      <w:r w:rsidRPr="003A4F79">
        <w:rPr>
          <w:i/>
        </w:rPr>
        <w:t>Logit(Re-entry</w:t>
      </w:r>
      <w:r w:rsidRPr="003A4F79">
        <w:rPr>
          <w:i/>
          <w:vertAlign w:val="subscript"/>
        </w:rPr>
        <w:t>i,t</w:t>
      </w:r>
      <w:r w:rsidRPr="003A4F79">
        <w:rPr>
          <w:i/>
        </w:rPr>
        <w:t>) =  β</w:t>
      </w:r>
      <w:r w:rsidRPr="003A4F79">
        <w:rPr>
          <w:i/>
          <w:vertAlign w:val="subscript"/>
        </w:rPr>
        <w:t>0</w:t>
      </w:r>
      <w:r w:rsidRPr="003A4F79">
        <w:rPr>
          <w:i/>
        </w:rPr>
        <w:t xml:space="preserve"> + β</w:t>
      </w:r>
      <w:r w:rsidRPr="003A4F79">
        <w:rPr>
          <w:i/>
          <w:vertAlign w:val="subscript"/>
        </w:rPr>
        <w:t>1</w:t>
      </w:r>
      <w:r w:rsidRPr="003A4F79">
        <w:rPr>
          <w:i/>
        </w:rPr>
        <w:t>IniRet</w:t>
      </w:r>
      <w:r w:rsidRPr="003A4F79">
        <w:rPr>
          <w:i/>
          <w:vertAlign w:val="subscript"/>
        </w:rPr>
        <w:t>i</w:t>
      </w:r>
      <w:r w:rsidRPr="003A4F79">
        <w:rPr>
          <w:i/>
        </w:rPr>
        <w:t xml:space="preserve"> + β</w:t>
      </w:r>
      <w:r w:rsidRPr="003A4F79">
        <w:rPr>
          <w:i/>
          <w:vertAlign w:val="subscript"/>
        </w:rPr>
        <w:t>2</w:t>
      </w:r>
      <w:r w:rsidRPr="003A4F79">
        <w:rPr>
          <w:i/>
        </w:rPr>
        <w:t>IniRet</w:t>
      </w:r>
      <w:r w:rsidRPr="003A4F79">
        <w:rPr>
          <w:i/>
          <w:vertAlign w:val="subscript"/>
        </w:rPr>
        <w:t>i</w:t>
      </w:r>
      <w:r w:rsidRPr="003A4F79">
        <w:rPr>
          <w:rFonts w:hint="eastAsia"/>
        </w:rPr>
        <w:t>×</w:t>
      </w:r>
      <w:r w:rsidRPr="003A4F79">
        <w:rPr>
          <w:i/>
        </w:rPr>
        <w:t>InvTyp</w:t>
      </w:r>
      <w:r w:rsidR="00826E61" w:rsidRPr="003A4F79">
        <w:rPr>
          <w:i/>
          <w:vertAlign w:val="subscript"/>
        </w:rPr>
        <w:t>i</w:t>
      </w:r>
      <w:r w:rsidRPr="003A4F79">
        <w:rPr>
          <w:i/>
        </w:rPr>
        <w:t xml:space="preserve"> + β</w:t>
      </w:r>
      <w:r w:rsidRPr="003A4F79">
        <w:rPr>
          <w:i/>
          <w:vertAlign w:val="subscript"/>
        </w:rPr>
        <w:t>3</w:t>
      </w:r>
      <w:r w:rsidRPr="003A4F79">
        <w:rPr>
          <w:i/>
        </w:rPr>
        <w:t>InvTyp</w:t>
      </w:r>
      <w:r w:rsidR="00826E61" w:rsidRPr="003A4F79">
        <w:rPr>
          <w:i/>
          <w:vertAlign w:val="subscript"/>
        </w:rPr>
        <w:t>i</w:t>
      </w:r>
      <w:r w:rsidRPr="003A4F79">
        <w:rPr>
          <w:i/>
        </w:rPr>
        <w:t>+ β</w:t>
      </w:r>
      <w:r w:rsidR="00826E61" w:rsidRPr="003A4F79">
        <w:rPr>
          <w:i/>
          <w:vertAlign w:val="subscript"/>
        </w:rPr>
        <w:t>5</w:t>
      </w:r>
      <w:r w:rsidR="00826E61" w:rsidRPr="003A4F79">
        <w:rPr>
          <w:i/>
        </w:rPr>
        <w:t>AllRet</w:t>
      </w:r>
      <w:r w:rsidR="00826E61" w:rsidRPr="003A4F79">
        <w:rPr>
          <w:i/>
          <w:vertAlign w:val="subscript"/>
        </w:rPr>
        <w:t xml:space="preserve">i </w:t>
      </w:r>
      <w:r w:rsidR="00826E61" w:rsidRPr="003A4F79">
        <w:rPr>
          <w:i/>
        </w:rPr>
        <w:t>+ β</w:t>
      </w:r>
      <w:r w:rsidR="00826E61" w:rsidRPr="003A4F79">
        <w:rPr>
          <w:i/>
          <w:vertAlign w:val="subscript"/>
        </w:rPr>
        <w:t>6</w:t>
      </w:r>
      <w:r w:rsidR="00826E61" w:rsidRPr="003A4F79">
        <w:rPr>
          <w:i/>
        </w:rPr>
        <w:t>RecRet</w:t>
      </w:r>
      <w:r w:rsidR="00826E61" w:rsidRPr="003A4F79">
        <w:rPr>
          <w:i/>
          <w:vertAlign w:val="subscript"/>
        </w:rPr>
        <w:t>i</w:t>
      </w:r>
      <w:r w:rsidR="00826E61" w:rsidRPr="003A4F79">
        <w:rPr>
          <w:i/>
        </w:rPr>
        <w:t xml:space="preserve"> </w:t>
      </w:r>
    </w:p>
    <w:p w14:paraId="3D55B5D4" w14:textId="13ACD3C7" w:rsidR="00826E61" w:rsidRPr="003A4F79" w:rsidRDefault="00826E61" w:rsidP="00826E61">
      <w:pPr>
        <w:pStyle w:val="FigureNotes"/>
        <w:spacing w:after="120"/>
        <w:ind w:left="720" w:firstLine="720"/>
        <w:rPr>
          <w:i/>
        </w:rPr>
      </w:pPr>
      <w:r w:rsidRPr="003A4F79">
        <w:rPr>
          <w:i/>
        </w:rPr>
        <w:t>+ β</w:t>
      </w:r>
      <w:r w:rsidRPr="003A4F79">
        <w:rPr>
          <w:i/>
          <w:vertAlign w:val="subscript"/>
        </w:rPr>
        <w:t>7</w:t>
      </w:r>
      <w:r w:rsidRPr="003A4F79">
        <w:rPr>
          <w:i/>
        </w:rPr>
        <w:t>RealRet</w:t>
      </w:r>
      <w:r w:rsidRPr="003A4F79">
        <w:rPr>
          <w:i/>
          <w:vertAlign w:val="subscript"/>
        </w:rPr>
        <w:t>i</w:t>
      </w:r>
      <w:r w:rsidRPr="003A4F79">
        <w:rPr>
          <w:i/>
        </w:rPr>
        <w:t xml:space="preserve"> + β</w:t>
      </w:r>
      <w:r w:rsidRPr="003A4F79">
        <w:rPr>
          <w:i/>
          <w:vertAlign w:val="subscript"/>
        </w:rPr>
        <w:t>8</w:t>
      </w:r>
      <w:r w:rsidRPr="003A4F79">
        <w:rPr>
          <w:i/>
        </w:rPr>
        <w:t>Saliency</w:t>
      </w:r>
      <w:r w:rsidRPr="003A4F79">
        <w:rPr>
          <w:i/>
          <w:vertAlign w:val="subscript"/>
        </w:rPr>
        <w:t>i</w:t>
      </w:r>
      <w:r w:rsidRPr="003A4F79">
        <w:rPr>
          <w:i/>
        </w:rPr>
        <w:t xml:space="preserve"> </w:t>
      </w:r>
      <w:r w:rsidR="003F48D0" w:rsidRPr="003A4F79">
        <w:rPr>
          <w:i/>
        </w:rPr>
        <w:t>+ β</w:t>
      </w:r>
      <w:r w:rsidRPr="003A4F79">
        <w:rPr>
          <w:i/>
          <w:vertAlign w:val="subscript"/>
        </w:rPr>
        <w:t>9</w:t>
      </w:r>
      <w:r w:rsidR="003F48D0" w:rsidRPr="003A4F79">
        <w:rPr>
          <w:i/>
        </w:rPr>
        <w:t>DurAway</w:t>
      </w:r>
      <w:r w:rsidR="003F48D0" w:rsidRPr="003A4F79">
        <w:rPr>
          <w:i/>
          <w:vertAlign w:val="subscript"/>
        </w:rPr>
        <w:t xml:space="preserve">i,t </w:t>
      </w:r>
      <w:r w:rsidR="003F48D0" w:rsidRPr="003A4F79">
        <w:rPr>
          <w:i/>
        </w:rPr>
        <w:t>+ β</w:t>
      </w:r>
      <w:r w:rsidRPr="003A4F79">
        <w:rPr>
          <w:i/>
          <w:vertAlign w:val="subscript"/>
        </w:rPr>
        <w:t>10</w:t>
      </w:r>
      <w:r w:rsidR="003F48D0" w:rsidRPr="003A4F79">
        <w:rPr>
          <w:i/>
        </w:rPr>
        <w:t>Controls</w:t>
      </w:r>
      <w:r w:rsidR="003F48D0" w:rsidRPr="003A4F79">
        <w:rPr>
          <w:i/>
          <w:vertAlign w:val="subscript"/>
        </w:rPr>
        <w:t>i,t</w:t>
      </w:r>
      <w:r w:rsidRPr="003A4F79">
        <w:rPr>
          <w:i/>
          <w:vertAlign w:val="subscript"/>
        </w:rPr>
        <w:t xml:space="preserve"> </w:t>
      </w:r>
      <w:r w:rsidR="003F48D0" w:rsidRPr="003A4F79">
        <w:rPr>
          <w:i/>
        </w:rPr>
        <w:t>+ (investment size fixed effect)</w:t>
      </w:r>
    </w:p>
    <w:p w14:paraId="1F88021E" w14:textId="018DCB52" w:rsidR="00B63406" w:rsidRPr="003A4F79" w:rsidRDefault="003F48D0" w:rsidP="00826E61">
      <w:pPr>
        <w:pStyle w:val="FigureNotes"/>
        <w:spacing w:after="120"/>
        <w:ind w:left="720" w:firstLine="720"/>
        <w:rPr>
          <w:i/>
        </w:rPr>
      </w:pPr>
      <w:r w:rsidRPr="003A4F79">
        <w:rPr>
          <w:i/>
        </w:rPr>
        <w:t>+</w:t>
      </w:r>
      <w:r w:rsidR="00826E61" w:rsidRPr="003A4F79">
        <w:rPr>
          <w:i/>
        </w:rPr>
        <w:t xml:space="preserve"> </w:t>
      </w:r>
      <w:r w:rsidRPr="003A4F79">
        <w:rPr>
          <w:i/>
        </w:rPr>
        <w:t>(zip-code fixed effect) +(exit month fixed effect)</w:t>
      </w:r>
      <w:r w:rsidR="008A0BDC" w:rsidRPr="003A4F79">
        <w:rPr>
          <w:i/>
        </w:rPr>
        <w:t xml:space="preserve"> +</w:t>
      </w:r>
      <w:r w:rsidR="00826E61" w:rsidRPr="003A4F79">
        <w:rPr>
          <w:i/>
        </w:rPr>
        <w:t xml:space="preserve"> </w:t>
      </w:r>
      <w:r w:rsidR="008A0BDC" w:rsidRPr="003A4F79">
        <w:rPr>
          <w:i/>
        </w:rPr>
        <w:t xml:space="preserve">(year fixed effect) </w:t>
      </w:r>
      <w:r w:rsidRPr="003A4F79">
        <w:rPr>
          <w:i/>
        </w:rPr>
        <w:t>+</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4290D6D9" w14:textId="664B4854" w:rsidR="00E5462A" w:rsidRPr="003A4F79" w:rsidRDefault="000055BA" w:rsidP="00E5462A">
      <w:pPr>
        <w:pStyle w:val="FigureNotes"/>
      </w:pPr>
      <w:r w:rsidRPr="003A4F79">
        <w:rPr>
          <w:i/>
        </w:rPr>
        <w:t>Re-entry</w:t>
      </w:r>
      <w:r w:rsidRPr="003A4F79">
        <w:rPr>
          <w:noProof/>
          <w:lang w:eastAsia="en-GB"/>
        </w:rPr>
        <w:t xml:space="preserve"> equal</w:t>
      </w:r>
      <w:r w:rsidR="00611B75" w:rsidRPr="003A4F79">
        <w:rPr>
          <w:noProof/>
          <w:lang w:eastAsia="en-GB"/>
        </w:rPr>
        <w:t xml:space="preserve">s </w:t>
      </w:r>
      <w:r w:rsidRPr="003A4F79">
        <w:rPr>
          <w:noProof/>
          <w:lang w:eastAsia="en-GB"/>
        </w:rPr>
        <w:t xml:space="preserve">1 if investor </w:t>
      </w:r>
      <w:r w:rsidRPr="003A4F79">
        <w:rPr>
          <w:i/>
          <w:noProof/>
          <w:lang w:eastAsia="en-GB"/>
        </w:rPr>
        <w:t>i</w:t>
      </w:r>
      <w:r w:rsidRPr="003A4F79">
        <w:rPr>
          <w:noProof/>
          <w:lang w:eastAsia="en-GB"/>
        </w:rPr>
        <w:t xml:space="preserve"> re-enters the market in month </w:t>
      </w:r>
      <w:r w:rsidRPr="003A4F79">
        <w:rPr>
          <w:i/>
          <w:noProof/>
          <w:lang w:eastAsia="en-GB"/>
        </w:rPr>
        <w:t>t</w:t>
      </w:r>
      <w:r w:rsidRPr="003A4F79">
        <w:rPr>
          <w:noProof/>
          <w:lang w:eastAsia="en-GB"/>
        </w:rPr>
        <w:t xml:space="preserve"> by purchasing any stock at any time after one calendar month of exit, and otherwise is 0. </w:t>
      </w:r>
      <w:r w:rsidRPr="003A4F79">
        <w:rPr>
          <w:i/>
          <w:noProof/>
          <w:lang w:eastAsia="en-GB"/>
        </w:rPr>
        <w:t>IniRet</w:t>
      </w:r>
      <w:r w:rsidRPr="003A4F79">
        <w:rPr>
          <w:noProof/>
          <w:lang w:eastAsia="en-GB"/>
        </w:rPr>
        <w:t xml:space="preserve">, </w:t>
      </w:r>
      <w:r w:rsidR="00611B75" w:rsidRPr="003A4F79">
        <w:rPr>
          <w:noProof/>
          <w:lang w:eastAsia="en-GB"/>
        </w:rPr>
        <w:t xml:space="preserve">the </w:t>
      </w:r>
      <w:r w:rsidRPr="003A4F79">
        <w:rPr>
          <w:noProof/>
          <w:lang w:eastAsia="en-GB"/>
        </w:rPr>
        <w:t>main explanatory variable of interest, is the return in the first month of investing.</w:t>
      </w:r>
      <w:r w:rsidRPr="003A4F79">
        <w:t xml:space="preserve"> </w:t>
      </w:r>
      <w:r w:rsidR="00E84F52" w:rsidRPr="003A4F79">
        <w:rPr>
          <w:rFonts w:hint="eastAsia"/>
          <w:i/>
          <w:lang w:eastAsia="ko-KR"/>
        </w:rPr>
        <w:t>InvTyp</w:t>
      </w:r>
      <w:r w:rsidR="00E84F52" w:rsidRPr="003A4F79">
        <w:rPr>
          <w:i/>
          <w:noProof/>
          <w:lang w:eastAsia="en-GB"/>
        </w:rPr>
        <w:t xml:space="preserve"> </w:t>
      </w:r>
      <w:r w:rsidR="00E84F52" w:rsidRPr="003A4F79">
        <w:rPr>
          <w:noProof/>
          <w:lang w:eastAsia="en-GB"/>
        </w:rPr>
        <w:t>include</w:t>
      </w:r>
      <w:r w:rsidR="00611B75" w:rsidRPr="003A4F79">
        <w:rPr>
          <w:noProof/>
          <w:lang w:eastAsia="en-GB"/>
        </w:rPr>
        <w:t>s</w:t>
      </w:r>
      <w:r w:rsidR="00E84F52" w:rsidRPr="003A4F79">
        <w:rPr>
          <w:noProof/>
          <w:lang w:eastAsia="en-GB"/>
        </w:rPr>
        <w:t xml:space="preserve"> three variables</w:t>
      </w:r>
      <w:r w:rsidR="00E84F52" w:rsidRPr="003A4F79">
        <w:rPr>
          <w:i/>
          <w:noProof/>
          <w:lang w:eastAsia="en-GB"/>
        </w:rPr>
        <w:t xml:space="preserve">: SglStock, Nokia, </w:t>
      </w:r>
      <w:r w:rsidR="00E84F52" w:rsidRPr="003A4F79">
        <w:rPr>
          <w:noProof/>
          <w:lang w:eastAsia="en-GB"/>
        </w:rPr>
        <w:t>and</w:t>
      </w:r>
      <w:r w:rsidR="00E84F52" w:rsidRPr="003A4F79">
        <w:rPr>
          <w:i/>
          <w:noProof/>
          <w:lang w:eastAsia="en-GB"/>
        </w:rPr>
        <w:t xml:space="preserve"> Minor</w:t>
      </w:r>
      <w:r w:rsidR="00E84F52" w:rsidRPr="003A4F79">
        <w:rPr>
          <w:noProof/>
          <w:lang w:eastAsia="en-GB"/>
        </w:rPr>
        <w:t xml:space="preserve">. </w:t>
      </w:r>
      <w:r w:rsidR="00DE637E" w:rsidRPr="003A4F79">
        <w:rPr>
          <w:i/>
          <w:noProof/>
          <w:lang w:eastAsia="en-GB"/>
        </w:rPr>
        <w:t xml:space="preserve">AllRet </w:t>
      </w:r>
      <w:r w:rsidR="00DE637E" w:rsidRPr="003A4F79">
        <w:rPr>
          <w:noProof/>
          <w:lang w:eastAsia="en-GB"/>
        </w:rPr>
        <w:t>is the value-weighted average of monthly returns during the entire period of investing between entry and exit</w:t>
      </w:r>
      <w:r w:rsidR="00B847C7" w:rsidRPr="003A4F79">
        <w:rPr>
          <w:noProof/>
          <w:lang w:eastAsia="en-GB"/>
        </w:rPr>
        <w:t xml:space="preserve">, </w:t>
      </w:r>
      <w:r w:rsidR="00B847C7" w:rsidRPr="003A4F79">
        <w:rPr>
          <w:i/>
        </w:rPr>
        <w:t>RecRet</w:t>
      </w:r>
      <w:r w:rsidR="00B847C7" w:rsidRPr="003A4F79">
        <w:t xml:space="preserve"> is the return in the last month of investing, and </w:t>
      </w:r>
      <w:r w:rsidR="00B847C7" w:rsidRPr="003A4F79">
        <w:rPr>
          <w:i/>
        </w:rPr>
        <w:t>RealRet</w:t>
      </w:r>
      <w:r w:rsidR="00B847C7" w:rsidRPr="003A4F79">
        <w:t xml:space="preserve"> is the </w:t>
      </w:r>
      <w:r w:rsidR="00DE637E" w:rsidRPr="003A4F79">
        <w:t>reali</w:t>
      </w:r>
      <w:r w:rsidR="00C95B94" w:rsidRPr="003A4F79">
        <w:t>s</w:t>
      </w:r>
      <w:r w:rsidR="00DE637E" w:rsidRPr="003A4F79">
        <w:t xml:space="preserve">ed </w:t>
      </w:r>
      <w:r w:rsidR="00B847C7" w:rsidRPr="003A4F79">
        <w:t>return during the actual period of investing</w:t>
      </w:r>
      <w:r w:rsidR="00B847C7" w:rsidRPr="003A4F79">
        <w:rPr>
          <w:noProof/>
          <w:lang w:eastAsia="en-GB"/>
        </w:rPr>
        <w:t xml:space="preserve">. </w:t>
      </w:r>
      <w:r w:rsidR="00B847C7" w:rsidRPr="003A4F79">
        <w:rPr>
          <w:i/>
          <w:noProof/>
          <w:lang w:eastAsia="en-GB"/>
        </w:rPr>
        <w:t>Saliency</w:t>
      </w:r>
      <w:r w:rsidR="00B847C7" w:rsidRPr="003A4F79">
        <w:rPr>
          <w:noProof/>
          <w:lang w:eastAsia="en-GB"/>
        </w:rPr>
        <w:t xml:space="preserve"> is an absolute difference between the initial return and the average return for the duration of investing, d</w:t>
      </w:r>
      <w:r w:rsidR="0073716E" w:rsidRPr="003A4F79">
        <w:rPr>
          <w:noProof/>
          <w:lang w:eastAsia="en-GB"/>
        </w:rPr>
        <w:t>i</w:t>
      </w:r>
      <w:r w:rsidR="00B847C7" w:rsidRPr="003A4F79">
        <w:rPr>
          <w:noProof/>
          <w:lang w:eastAsia="en-GB"/>
        </w:rPr>
        <w:t>vided by the abso</w:t>
      </w:r>
      <w:r w:rsidR="0073716E" w:rsidRPr="003A4F79">
        <w:rPr>
          <w:noProof/>
          <w:lang w:eastAsia="en-GB"/>
        </w:rPr>
        <w:t>l</w:t>
      </w:r>
      <w:r w:rsidR="00B847C7" w:rsidRPr="003A4F79">
        <w:rPr>
          <w:noProof/>
          <w:lang w:eastAsia="en-GB"/>
        </w:rPr>
        <w:t>ute value of average returns.</w:t>
      </w:r>
      <w:r w:rsidRPr="003A4F79">
        <w:rPr>
          <w:noProof/>
          <w:lang w:eastAsia="en-GB"/>
        </w:rPr>
        <w:t xml:space="preserve"> </w:t>
      </w:r>
      <w:r w:rsidRPr="003A4F79">
        <w:rPr>
          <w:i/>
        </w:rPr>
        <w:t>DurAway</w:t>
      </w:r>
      <w:r w:rsidR="00611B75" w:rsidRPr="003A4F79">
        <w:rPr>
          <w:i/>
        </w:rPr>
        <w:t xml:space="preserve"> </w:t>
      </w:r>
      <w:r w:rsidR="00611B75" w:rsidRPr="003A4F79">
        <w:t>is</w:t>
      </w:r>
      <w:r w:rsidRPr="003A4F79">
        <w:t xml:space="preserve"> the length of time (in unit of months) for which an investor is away from the stock market, i.e., time between exit month and month </w:t>
      </w:r>
      <w:r w:rsidRPr="003A4F79">
        <w:rPr>
          <w:i/>
        </w:rPr>
        <w:t>t</w:t>
      </w:r>
      <w:r w:rsidRPr="003A4F79">
        <w:t xml:space="preserve">. We account for </w:t>
      </w:r>
      <w:r w:rsidR="00611B75" w:rsidRPr="003A4F79">
        <w:t xml:space="preserve">the </w:t>
      </w:r>
      <w:r w:rsidRPr="003A4F79">
        <w:t xml:space="preserve">fixed effects </w:t>
      </w:r>
      <w:r w:rsidR="00611B75" w:rsidRPr="003A4F79">
        <w:t>of</w:t>
      </w:r>
      <w:r w:rsidRPr="003A4F79">
        <w:t xml:space="preserve"> investment size, location of residency, and exit time by including dummies for portfolio holding quintiles, 100 different zip codes, and 105 different exit months, respectively</w:t>
      </w:r>
      <w:r w:rsidR="00EE3D7C" w:rsidRPr="003A4F79">
        <w:t xml:space="preserve">: </w:t>
      </w:r>
      <w:r w:rsidRPr="003A4F79">
        <w:rPr>
          <w:i/>
        </w:rPr>
        <w:t xml:space="preserve">Investment size fixed effect </w:t>
      </w:r>
      <w:r w:rsidRPr="003A4F79">
        <w:t>us</w:t>
      </w:r>
      <w:r w:rsidR="00611B75" w:rsidRPr="003A4F79">
        <w:t>es</w:t>
      </w:r>
      <w:r w:rsidRPr="003A4F79">
        <w:t xml:space="preserve"> five dummy variables indicat</w:t>
      </w:r>
      <w:r w:rsidR="00611B75" w:rsidRPr="003A4F79">
        <w:t>ing</w:t>
      </w:r>
      <w:r w:rsidRPr="003A4F79">
        <w:t xml:space="preserve"> quintile</w:t>
      </w:r>
      <w:r w:rsidR="00611B75" w:rsidRPr="003A4F79">
        <w:t>s</w:t>
      </w:r>
      <w:r w:rsidRPr="003A4F79">
        <w:t xml:space="preserve"> of average portfolio holdings</w:t>
      </w:r>
      <w:r w:rsidR="00EE3D7C" w:rsidRPr="003A4F79">
        <w:t xml:space="preserve">; </w:t>
      </w:r>
      <w:r w:rsidRPr="003A4F79">
        <w:rPr>
          <w:i/>
        </w:rPr>
        <w:t xml:space="preserve">Zip-code fixed effect </w:t>
      </w:r>
      <w:r w:rsidRPr="003A4F79">
        <w:t>is based on 100 dummy variables</w:t>
      </w:r>
      <w:r w:rsidR="00611B75" w:rsidRPr="003A4F79">
        <w:t xml:space="preserve"> for</w:t>
      </w:r>
      <w:r w:rsidRPr="003A4F79">
        <w:t xml:space="preserve"> district</w:t>
      </w:r>
      <w:r w:rsidR="00611B75" w:rsidRPr="003A4F79">
        <w:t>s</w:t>
      </w:r>
      <w:r w:rsidRPr="003A4F79">
        <w:t xml:space="preserve"> in Finland</w:t>
      </w:r>
      <w:r w:rsidR="00EE3D7C" w:rsidRPr="003A4F79">
        <w:t xml:space="preserve">; and </w:t>
      </w:r>
      <w:r w:rsidRPr="003A4F79">
        <w:rPr>
          <w:i/>
        </w:rPr>
        <w:t xml:space="preserve">Exit month fixed effect </w:t>
      </w:r>
      <w:r w:rsidRPr="003A4F79">
        <w:t>control</w:t>
      </w:r>
      <w:r w:rsidR="00611B75" w:rsidRPr="003A4F79">
        <w:t>s</w:t>
      </w:r>
      <w:r w:rsidRPr="003A4F79">
        <w:t xml:space="preserve"> for 105 dummy variables indicating the calendar month of exit</w:t>
      </w:r>
      <w:r w:rsidR="008A0BDC" w:rsidRPr="003A4F79">
        <w:t xml:space="preserve">; </w:t>
      </w:r>
      <w:r w:rsidR="008A0BDC" w:rsidRPr="003A4F79">
        <w:rPr>
          <w:i/>
        </w:rPr>
        <w:t xml:space="preserve">Year fixed effect </w:t>
      </w:r>
      <w:r w:rsidR="008A0BDC" w:rsidRPr="003A4F79">
        <w:t>is accounted for by controlling for 8 year dummy variables indicating the calendar year.</w:t>
      </w:r>
      <w:r w:rsidRPr="003A4F79">
        <w:t xml:space="preserve"> </w:t>
      </w:r>
      <w:r w:rsidRPr="003A4F79">
        <w:rPr>
          <w:i/>
        </w:rPr>
        <w:t xml:space="preserve">Controls </w:t>
      </w:r>
      <w:r w:rsidRPr="003A4F79">
        <w:t>include the following variables</w:t>
      </w:r>
      <w:r w:rsidR="00EE3D7C" w:rsidRPr="003A4F79">
        <w:t xml:space="preserve">. </w:t>
      </w:r>
      <w:r w:rsidRPr="003A4F79">
        <w:rPr>
          <w:i/>
        </w:rPr>
        <w:t>InvSiz</w:t>
      </w:r>
      <w:r w:rsidRPr="003A4F79">
        <w:t xml:space="preserve"> is investment size</w:t>
      </w:r>
      <w:r w:rsidR="00611B75" w:rsidRPr="003A4F79">
        <w:t>,</w:t>
      </w:r>
      <w:r w:rsidRPr="003A4F79">
        <w:t xml:space="preserve"> defined as the log of average portfolio holdings</w:t>
      </w:r>
      <w:r w:rsidR="00EE3D7C" w:rsidRPr="003A4F79">
        <w:t>.</w:t>
      </w:r>
      <w:r w:rsidR="00611B75" w:rsidRPr="003A4F79">
        <w:rPr>
          <w:i/>
        </w:rPr>
        <w:t xml:space="preserve"> </w:t>
      </w:r>
      <w:r w:rsidRPr="003A4F79">
        <w:rPr>
          <w:i/>
        </w:rPr>
        <w:t>ZeroTrd</w:t>
      </w:r>
      <w:r w:rsidRPr="003A4F79">
        <w:t xml:space="preserve"> is a dummy variable that equals 1 if the investor do</w:t>
      </w:r>
      <w:r w:rsidR="00611B75" w:rsidRPr="003A4F79">
        <w:t>es</w:t>
      </w:r>
      <w:r w:rsidRPr="003A4F79">
        <w:t xml:space="preserve"> not trade between initial purchase and </w:t>
      </w:r>
      <w:r w:rsidR="00611B75" w:rsidRPr="003A4F79">
        <w:t xml:space="preserve">market </w:t>
      </w:r>
      <w:r w:rsidRPr="003A4F79">
        <w:t xml:space="preserve">exit, and 0 otherwise. </w:t>
      </w:r>
      <w:r w:rsidRPr="003A4F79">
        <w:rPr>
          <w:i/>
        </w:rPr>
        <w:t>SglStock</w:t>
      </w:r>
      <w:r w:rsidRPr="003A4F79">
        <w:t xml:space="preserve"> is a dummy variable that equals 1 if the investor only owns one stock</w:t>
      </w:r>
      <w:r w:rsidR="00611B75" w:rsidRPr="003A4F79">
        <w:t>.</w:t>
      </w:r>
      <w:r w:rsidRPr="003A4F79">
        <w:t xml:space="preserve"> </w:t>
      </w:r>
      <w:r w:rsidRPr="003A4F79">
        <w:rPr>
          <w:i/>
        </w:rPr>
        <w:t>Nokia</w:t>
      </w:r>
      <w:r w:rsidRPr="003A4F79">
        <w:t xml:space="preserve"> is a dummy variable </w:t>
      </w:r>
      <w:r w:rsidR="00611B75" w:rsidRPr="003A4F79">
        <w:t>that</w:t>
      </w:r>
      <w:r w:rsidRPr="003A4F79">
        <w:t xml:space="preserve"> equal</w:t>
      </w:r>
      <w:r w:rsidR="00611B75" w:rsidRPr="003A4F79">
        <w:t>s</w:t>
      </w:r>
      <w:r w:rsidRPr="003A4F79">
        <w:t xml:space="preserve"> 1 if an investor initiate</w:t>
      </w:r>
      <w:r w:rsidR="00611B75" w:rsidRPr="003A4F79">
        <w:t>s</w:t>
      </w:r>
      <w:r w:rsidRPr="003A4F79">
        <w:t xml:space="preserve"> </w:t>
      </w:r>
      <w:r w:rsidR="00611B75" w:rsidRPr="003A4F79">
        <w:t xml:space="preserve">investment </w:t>
      </w:r>
      <w:r w:rsidRPr="003A4F79">
        <w:t>by purchasing Nokia stock</w:t>
      </w:r>
      <w:r w:rsidRPr="003A4F79">
        <w:rPr>
          <w:i/>
        </w:rPr>
        <w:t xml:space="preserve">. MktRet </w:t>
      </w:r>
      <w:r w:rsidRPr="003A4F79">
        <w:t>and</w:t>
      </w:r>
      <w:r w:rsidRPr="003A4F79">
        <w:rPr>
          <w:i/>
        </w:rPr>
        <w:t xml:space="preserve"> MktVol</w:t>
      </w:r>
      <w:r w:rsidRPr="003A4F79">
        <w:t xml:space="preserve"> </w:t>
      </w:r>
      <w:r w:rsidR="00611B75" w:rsidRPr="003A4F79">
        <w:t xml:space="preserve">are </w:t>
      </w:r>
      <w:r w:rsidRPr="003A4F79">
        <w:t>the monthly return and volatility</w:t>
      </w:r>
      <w:r w:rsidR="009D51CF" w:rsidRPr="003A4F79">
        <w:t xml:space="preserve"> volatility (standard deviation of daily returns)</w:t>
      </w:r>
      <w:r w:rsidRPr="003A4F79">
        <w:t xml:space="preserve"> </w:t>
      </w:r>
      <w:r w:rsidR="005F21E9" w:rsidRPr="003A4F79">
        <w:t xml:space="preserve">of </w:t>
      </w:r>
      <w:r w:rsidRPr="003A4F79">
        <w:t xml:space="preserve">the Finnish stock market (OMX Helsinki Index). </w:t>
      </w:r>
      <w:r w:rsidRPr="003A4F79">
        <w:rPr>
          <w:i/>
        </w:rPr>
        <w:t>Age</w:t>
      </w:r>
      <w:r w:rsidRPr="003A4F79">
        <w:t xml:space="preserve"> is investor age (in years) at the beginning of</w:t>
      </w:r>
      <w:r w:rsidR="00611B75" w:rsidRPr="003A4F79">
        <w:t xml:space="preserve"> the</w:t>
      </w:r>
      <w:r w:rsidRPr="003A4F79">
        <w:t xml:space="preserve"> sample</w:t>
      </w:r>
      <w:r w:rsidR="00611B75" w:rsidRPr="003A4F79">
        <w:t>.</w:t>
      </w:r>
      <w:r w:rsidRPr="003A4F79">
        <w:t xml:space="preserve"> </w:t>
      </w:r>
      <w:r w:rsidRPr="003A4F79">
        <w:rPr>
          <w:i/>
        </w:rPr>
        <w:t>Female</w:t>
      </w:r>
      <w:r w:rsidRPr="003A4F79">
        <w:t xml:space="preserve"> is a dummy variable that equals 1 if investor gender is female. </w:t>
      </w:r>
      <w:r w:rsidRPr="003A4F79">
        <w:rPr>
          <w:i/>
        </w:rPr>
        <w:t>Minor</w:t>
      </w:r>
      <w:r w:rsidRPr="003A4F79">
        <w:t xml:space="preserve"> is a dummy variable that equals 1 </w:t>
      </w:r>
      <w:r w:rsidR="00EE3D7C" w:rsidRPr="003A4F79">
        <w:rPr>
          <w:lang w:eastAsia="en-GB"/>
        </w:rPr>
        <w:t>if the account holder is below 16 years of age</w:t>
      </w:r>
      <w:r w:rsidRPr="003A4F79">
        <w:t xml:space="preserve">. </w:t>
      </w:r>
      <w:r w:rsidR="002B27F0" w:rsidRPr="003A4F79">
        <w:rPr>
          <w:i/>
        </w:rPr>
        <w:t>Old</w:t>
      </w:r>
      <w:r w:rsidR="002B27F0" w:rsidRPr="003A4F79">
        <w:t xml:space="preserve"> is a dummy variable that equals 1 if investor is older than 50. </w:t>
      </w:r>
      <w:r w:rsidR="002B27F0" w:rsidRPr="003A4F79">
        <w:rPr>
          <w:i/>
        </w:rPr>
        <w:t>InvSiz_H</w:t>
      </w:r>
      <w:r w:rsidR="002B27F0" w:rsidRPr="003A4F79">
        <w:t xml:space="preserve"> is a dummy variable that equals 1 if </w:t>
      </w:r>
      <w:r w:rsidR="002B27F0" w:rsidRPr="003A4F79">
        <w:rPr>
          <w:i/>
        </w:rPr>
        <w:t>InvSiz</w:t>
      </w:r>
      <w:r w:rsidR="002B27F0" w:rsidRPr="003A4F79">
        <w:t xml:space="preserve"> is greater than </w:t>
      </w:r>
      <w:r w:rsidR="00C07465" w:rsidRPr="003A4F79">
        <w:t>the</w:t>
      </w:r>
      <w:r w:rsidR="002B27F0" w:rsidRPr="003A4F79">
        <w:t xml:space="preserve"> sample median.</w:t>
      </w:r>
      <w:r w:rsidR="005F7554" w:rsidRPr="003A4F79">
        <w:t xml:space="preserve"> </w:t>
      </w:r>
      <w:r w:rsidR="005F7554" w:rsidRPr="003A4F79">
        <w:rPr>
          <w:i/>
        </w:rPr>
        <w:t>Helsinki</w:t>
      </w:r>
      <w:r w:rsidR="005F7554" w:rsidRPr="003A4F79">
        <w:t xml:space="preserve"> is a dummy variable that equals 1 if an investor resides in Helsinki.</w:t>
      </w:r>
      <w:r w:rsidR="002B27F0" w:rsidRPr="003A4F79">
        <w:t xml:space="preserve"> </w:t>
      </w:r>
      <w:r w:rsidRPr="003A4F79">
        <w:rPr>
          <w:i/>
        </w:rPr>
        <w:t xml:space="preserve">Burst </w:t>
      </w:r>
      <w:r w:rsidRPr="003A4F79">
        <w:t xml:space="preserve">is a dummy variable, defined </w:t>
      </w:r>
      <w:r w:rsidR="00611B75" w:rsidRPr="003A4F79">
        <w:t>as</w:t>
      </w:r>
      <w:r w:rsidRPr="003A4F79">
        <w:t xml:space="preserve"> 1 if the time is </w:t>
      </w:r>
      <w:r w:rsidR="00611B75" w:rsidRPr="003A4F79">
        <w:t>after the</w:t>
      </w:r>
      <w:r w:rsidRPr="003A4F79">
        <w:t xml:space="preserve"> dotcom bubble</w:t>
      </w:r>
      <w:r w:rsidR="00611B75" w:rsidRPr="003A4F79">
        <w:t xml:space="preserve"> burst</w:t>
      </w:r>
      <w:r w:rsidRPr="003A4F79">
        <w:t xml:space="preserve"> (April 2000). </w:t>
      </w:r>
      <w:r w:rsidR="00D84F09" w:rsidRPr="003A4F79">
        <w:t xml:space="preserve">The Wald chi-square of the Wald test for the model fit is reported in the model fit column. </w:t>
      </w:r>
      <w:r w:rsidR="008D1039" w:rsidRPr="003A4F79">
        <w:t>Robust s</w:t>
      </w:r>
      <w:r w:rsidRPr="003A4F79">
        <w:t>tandard error</w:t>
      </w:r>
      <w:r w:rsidR="00611B75" w:rsidRPr="003A4F79">
        <w:t>s,</w:t>
      </w:r>
      <w:r w:rsidRPr="003A4F79">
        <w:t xml:space="preserve"> presented in </w:t>
      </w:r>
      <w:r w:rsidR="00611B75" w:rsidRPr="003A4F79">
        <w:t>parentheses, are</w:t>
      </w:r>
      <w:r w:rsidRPr="003A4F79">
        <w:t xml:space="preserve"> clustered at </w:t>
      </w:r>
      <w:r w:rsidR="00DD608A" w:rsidRPr="003A4F79">
        <w:t xml:space="preserve">the </w:t>
      </w:r>
      <w:r w:rsidRPr="003A4F79">
        <w:t>investor leve</w:t>
      </w:r>
      <w:r w:rsidR="00611B75" w:rsidRPr="003A4F79">
        <w:t>l:</w:t>
      </w:r>
      <w:r w:rsidRPr="003A4F79">
        <w:t xml:space="preserve"> </w:t>
      </w:r>
      <w:r w:rsidRPr="003A4F79">
        <w:rPr>
          <w:rFonts w:ascii="Cambria Math" w:hAnsi="Cambria Math" w:cs="Cambria Math"/>
        </w:rPr>
        <w:t>∗∗∗</w:t>
      </w:r>
      <w:r w:rsidRPr="003A4F79">
        <w:t xml:space="preserve">, </w:t>
      </w:r>
      <w:r w:rsidRPr="003A4F79">
        <w:rPr>
          <w:rFonts w:ascii="Cambria Math" w:hAnsi="Cambria Math" w:cs="Cambria Math"/>
        </w:rPr>
        <w:t>∗∗</w:t>
      </w:r>
      <w:r w:rsidRPr="003A4F79">
        <w:t xml:space="preserve">, and </w:t>
      </w:r>
      <w:r w:rsidRPr="003A4F79">
        <w:rPr>
          <w:rFonts w:ascii="Cambria Math" w:hAnsi="Cambria Math" w:cs="Cambria Math"/>
        </w:rPr>
        <w:t>∗</w:t>
      </w:r>
      <w:r w:rsidRPr="003A4F79">
        <w:t xml:space="preserve"> denote statistical significance at </w:t>
      </w:r>
      <w:r w:rsidR="00DD608A" w:rsidRPr="003A4F79">
        <w:t xml:space="preserve">the </w:t>
      </w:r>
      <w:r w:rsidRPr="003A4F79">
        <w:t>1%, 5%, and 10%</w:t>
      </w:r>
      <w:r w:rsidR="00611B75" w:rsidRPr="003A4F79">
        <w:t xml:space="preserve"> levels</w:t>
      </w:r>
      <w:r w:rsidRPr="003A4F79">
        <w:t>.</w:t>
      </w:r>
      <w:r w:rsidR="00E5462A" w:rsidRPr="003A4F79">
        <w:t xml:space="preserve"> There are 276,470 investor-months (9,435 investors) in the sample.</w:t>
      </w:r>
    </w:p>
    <w:p w14:paraId="7E07EE15" w14:textId="77777777" w:rsidR="00164E93" w:rsidRPr="003A4F79" w:rsidRDefault="00164E93">
      <w:pPr>
        <w:spacing w:line="240" w:lineRule="auto"/>
        <w:ind w:firstLine="0"/>
        <w:jc w:val="left"/>
        <w:rPr>
          <w:noProof/>
          <w:lang w:val="en-GB" w:eastAsia="ko-KR"/>
        </w:rPr>
        <w:sectPr w:rsidR="00164E93" w:rsidRPr="003A4F79" w:rsidSect="00935223">
          <w:pgSz w:w="12240" w:h="15840" w:code="1"/>
          <w:pgMar w:top="1412" w:right="1412" w:bottom="1140" w:left="1412" w:header="720" w:footer="431" w:gutter="0"/>
          <w:cols w:space="720"/>
          <w:docGrid w:linePitch="360"/>
        </w:sectPr>
      </w:pPr>
    </w:p>
    <w:tbl>
      <w:tblPr>
        <w:tblW w:w="9416" w:type="dxa"/>
        <w:tblLook w:val="04A0" w:firstRow="1" w:lastRow="0" w:firstColumn="1" w:lastColumn="0" w:noHBand="0" w:noVBand="1"/>
      </w:tblPr>
      <w:tblGrid>
        <w:gridCol w:w="1838"/>
        <w:gridCol w:w="1082"/>
        <w:gridCol w:w="1082"/>
        <w:gridCol w:w="1082"/>
        <w:gridCol w:w="1082"/>
        <w:gridCol w:w="1082"/>
        <w:gridCol w:w="1082"/>
        <w:gridCol w:w="1086"/>
      </w:tblGrid>
      <w:tr w:rsidR="003A4F79" w:rsidRPr="003A4F79" w14:paraId="5506DA11" w14:textId="77777777" w:rsidTr="00D45E9B">
        <w:trPr>
          <w:trHeight w:val="292"/>
        </w:trPr>
        <w:tc>
          <w:tcPr>
            <w:tcW w:w="1838" w:type="dxa"/>
            <w:tcBorders>
              <w:top w:val="single" w:sz="4" w:space="0" w:color="auto"/>
              <w:left w:val="nil"/>
              <w:bottom w:val="nil"/>
              <w:right w:val="nil"/>
            </w:tcBorders>
            <w:shd w:val="clear" w:color="auto" w:fill="auto"/>
            <w:noWrap/>
            <w:vAlign w:val="bottom"/>
            <w:hideMark/>
          </w:tcPr>
          <w:p w14:paraId="098910B5"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lastRenderedPageBreak/>
              <w:t> </w:t>
            </w:r>
          </w:p>
        </w:tc>
        <w:tc>
          <w:tcPr>
            <w:tcW w:w="1082" w:type="dxa"/>
            <w:tcBorders>
              <w:top w:val="single" w:sz="4" w:space="0" w:color="auto"/>
              <w:left w:val="nil"/>
              <w:bottom w:val="single" w:sz="4" w:space="0" w:color="auto"/>
              <w:right w:val="nil"/>
            </w:tcBorders>
            <w:shd w:val="clear" w:color="auto" w:fill="auto"/>
            <w:noWrap/>
            <w:vAlign w:val="bottom"/>
            <w:hideMark/>
          </w:tcPr>
          <w:p w14:paraId="6A52AE04"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1</w:t>
            </w:r>
          </w:p>
        </w:tc>
        <w:tc>
          <w:tcPr>
            <w:tcW w:w="1082" w:type="dxa"/>
            <w:tcBorders>
              <w:top w:val="single" w:sz="4" w:space="0" w:color="auto"/>
              <w:left w:val="nil"/>
              <w:bottom w:val="single" w:sz="4" w:space="0" w:color="auto"/>
              <w:right w:val="nil"/>
            </w:tcBorders>
            <w:shd w:val="clear" w:color="auto" w:fill="auto"/>
            <w:noWrap/>
            <w:vAlign w:val="bottom"/>
            <w:hideMark/>
          </w:tcPr>
          <w:p w14:paraId="00EACD7D"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2</w:t>
            </w:r>
          </w:p>
        </w:tc>
        <w:tc>
          <w:tcPr>
            <w:tcW w:w="1082" w:type="dxa"/>
            <w:tcBorders>
              <w:top w:val="single" w:sz="4" w:space="0" w:color="auto"/>
              <w:left w:val="nil"/>
              <w:bottom w:val="single" w:sz="4" w:space="0" w:color="auto"/>
              <w:right w:val="nil"/>
            </w:tcBorders>
            <w:shd w:val="clear" w:color="auto" w:fill="auto"/>
            <w:noWrap/>
            <w:vAlign w:val="bottom"/>
            <w:hideMark/>
          </w:tcPr>
          <w:p w14:paraId="4AD9D574"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3</w:t>
            </w:r>
          </w:p>
        </w:tc>
        <w:tc>
          <w:tcPr>
            <w:tcW w:w="1082" w:type="dxa"/>
            <w:tcBorders>
              <w:top w:val="single" w:sz="4" w:space="0" w:color="auto"/>
              <w:left w:val="nil"/>
              <w:bottom w:val="single" w:sz="4" w:space="0" w:color="auto"/>
              <w:right w:val="nil"/>
            </w:tcBorders>
            <w:shd w:val="clear" w:color="auto" w:fill="auto"/>
            <w:noWrap/>
            <w:vAlign w:val="bottom"/>
            <w:hideMark/>
          </w:tcPr>
          <w:p w14:paraId="21DEA0F4"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4</w:t>
            </w:r>
          </w:p>
        </w:tc>
        <w:tc>
          <w:tcPr>
            <w:tcW w:w="1082" w:type="dxa"/>
            <w:tcBorders>
              <w:top w:val="single" w:sz="4" w:space="0" w:color="auto"/>
              <w:left w:val="nil"/>
              <w:bottom w:val="single" w:sz="4" w:space="0" w:color="auto"/>
              <w:right w:val="nil"/>
            </w:tcBorders>
            <w:shd w:val="clear" w:color="auto" w:fill="auto"/>
            <w:noWrap/>
            <w:vAlign w:val="bottom"/>
            <w:hideMark/>
          </w:tcPr>
          <w:p w14:paraId="74D17F7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5</w:t>
            </w:r>
          </w:p>
        </w:tc>
        <w:tc>
          <w:tcPr>
            <w:tcW w:w="1082" w:type="dxa"/>
            <w:tcBorders>
              <w:top w:val="single" w:sz="4" w:space="0" w:color="auto"/>
              <w:left w:val="nil"/>
              <w:bottom w:val="single" w:sz="4" w:space="0" w:color="auto"/>
              <w:right w:val="nil"/>
            </w:tcBorders>
            <w:shd w:val="clear" w:color="auto" w:fill="auto"/>
            <w:noWrap/>
            <w:vAlign w:val="bottom"/>
            <w:hideMark/>
          </w:tcPr>
          <w:p w14:paraId="2413D55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6</w:t>
            </w:r>
          </w:p>
        </w:tc>
        <w:tc>
          <w:tcPr>
            <w:tcW w:w="1082" w:type="dxa"/>
            <w:tcBorders>
              <w:top w:val="single" w:sz="4" w:space="0" w:color="auto"/>
              <w:left w:val="nil"/>
              <w:bottom w:val="single" w:sz="4" w:space="0" w:color="auto"/>
              <w:right w:val="nil"/>
            </w:tcBorders>
            <w:shd w:val="clear" w:color="auto" w:fill="auto"/>
            <w:noWrap/>
            <w:vAlign w:val="bottom"/>
            <w:hideMark/>
          </w:tcPr>
          <w:p w14:paraId="27ED4899" w14:textId="2698B007" w:rsidR="00D45E9B" w:rsidRPr="003A4F79" w:rsidRDefault="00EF2089"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7</w:t>
            </w:r>
          </w:p>
        </w:tc>
      </w:tr>
      <w:tr w:rsidR="003A4F79" w:rsidRPr="003A4F79" w14:paraId="246AFEED" w14:textId="77777777" w:rsidTr="00D45E9B">
        <w:trPr>
          <w:trHeight w:val="292"/>
        </w:trPr>
        <w:tc>
          <w:tcPr>
            <w:tcW w:w="1838" w:type="dxa"/>
            <w:tcBorders>
              <w:top w:val="nil"/>
              <w:left w:val="nil"/>
              <w:bottom w:val="nil"/>
              <w:right w:val="nil"/>
            </w:tcBorders>
            <w:shd w:val="clear" w:color="auto" w:fill="auto"/>
            <w:noWrap/>
            <w:vAlign w:val="bottom"/>
            <w:hideMark/>
          </w:tcPr>
          <w:p w14:paraId="02E898C5"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VARIABLES</w:t>
            </w:r>
          </w:p>
        </w:tc>
        <w:tc>
          <w:tcPr>
            <w:tcW w:w="7578" w:type="dxa"/>
            <w:gridSpan w:val="7"/>
            <w:tcBorders>
              <w:top w:val="single" w:sz="4" w:space="0" w:color="auto"/>
              <w:left w:val="nil"/>
              <w:bottom w:val="single" w:sz="4" w:space="0" w:color="auto"/>
              <w:right w:val="nil"/>
            </w:tcBorders>
            <w:shd w:val="clear" w:color="auto" w:fill="auto"/>
            <w:noWrap/>
            <w:vAlign w:val="bottom"/>
            <w:hideMark/>
          </w:tcPr>
          <w:p w14:paraId="303961D5"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Re-entry</w:t>
            </w:r>
          </w:p>
        </w:tc>
      </w:tr>
      <w:tr w:rsidR="003A4F79" w:rsidRPr="003A4F79" w14:paraId="47B81909" w14:textId="77777777" w:rsidTr="00D45E9B">
        <w:trPr>
          <w:trHeight w:val="292"/>
        </w:trPr>
        <w:tc>
          <w:tcPr>
            <w:tcW w:w="1838" w:type="dxa"/>
            <w:tcBorders>
              <w:top w:val="single" w:sz="4" w:space="0" w:color="auto"/>
              <w:left w:val="nil"/>
              <w:bottom w:val="nil"/>
              <w:right w:val="nil"/>
            </w:tcBorders>
            <w:shd w:val="clear" w:color="auto" w:fill="auto"/>
            <w:noWrap/>
            <w:vAlign w:val="bottom"/>
            <w:hideMark/>
          </w:tcPr>
          <w:p w14:paraId="37C28CB6"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082" w:type="dxa"/>
            <w:tcBorders>
              <w:top w:val="nil"/>
              <w:left w:val="nil"/>
              <w:bottom w:val="nil"/>
              <w:right w:val="nil"/>
            </w:tcBorders>
            <w:shd w:val="clear" w:color="auto" w:fill="auto"/>
            <w:noWrap/>
            <w:vAlign w:val="bottom"/>
            <w:hideMark/>
          </w:tcPr>
          <w:p w14:paraId="3D9CE7F3"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477B3A35"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5D74D06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656CE93F"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1E3CF533"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23975ACE"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008349EF"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r>
      <w:tr w:rsidR="003A4F79" w:rsidRPr="003A4F79" w14:paraId="46E29671" w14:textId="77777777" w:rsidTr="00D45E9B">
        <w:trPr>
          <w:trHeight w:val="292"/>
        </w:trPr>
        <w:tc>
          <w:tcPr>
            <w:tcW w:w="1838" w:type="dxa"/>
            <w:tcBorders>
              <w:top w:val="nil"/>
              <w:left w:val="nil"/>
              <w:bottom w:val="nil"/>
              <w:right w:val="nil"/>
            </w:tcBorders>
            <w:shd w:val="clear" w:color="auto" w:fill="auto"/>
            <w:noWrap/>
            <w:vAlign w:val="bottom"/>
            <w:hideMark/>
          </w:tcPr>
          <w:p w14:paraId="7CA5457C"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w:t>
            </w:r>
          </w:p>
        </w:tc>
        <w:tc>
          <w:tcPr>
            <w:tcW w:w="1082" w:type="dxa"/>
            <w:tcBorders>
              <w:top w:val="nil"/>
              <w:left w:val="nil"/>
              <w:bottom w:val="nil"/>
              <w:right w:val="nil"/>
            </w:tcBorders>
            <w:shd w:val="clear" w:color="auto" w:fill="auto"/>
            <w:noWrap/>
            <w:vAlign w:val="center"/>
            <w:hideMark/>
          </w:tcPr>
          <w:p w14:paraId="6B679BD5"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1.2197</w:t>
            </w:r>
          </w:p>
        </w:tc>
        <w:tc>
          <w:tcPr>
            <w:tcW w:w="1082" w:type="dxa"/>
            <w:tcBorders>
              <w:top w:val="nil"/>
              <w:left w:val="nil"/>
              <w:bottom w:val="nil"/>
              <w:right w:val="nil"/>
            </w:tcBorders>
            <w:shd w:val="clear" w:color="auto" w:fill="auto"/>
            <w:noWrap/>
            <w:vAlign w:val="center"/>
            <w:hideMark/>
          </w:tcPr>
          <w:p w14:paraId="00D228E7"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2.5190***</w:t>
            </w:r>
          </w:p>
        </w:tc>
        <w:tc>
          <w:tcPr>
            <w:tcW w:w="1082" w:type="dxa"/>
            <w:tcBorders>
              <w:top w:val="nil"/>
              <w:left w:val="nil"/>
              <w:bottom w:val="nil"/>
              <w:right w:val="nil"/>
            </w:tcBorders>
            <w:shd w:val="clear" w:color="auto" w:fill="auto"/>
            <w:noWrap/>
            <w:vAlign w:val="center"/>
            <w:hideMark/>
          </w:tcPr>
          <w:p w14:paraId="1977D666"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1.5455***</w:t>
            </w:r>
          </w:p>
        </w:tc>
        <w:tc>
          <w:tcPr>
            <w:tcW w:w="1082" w:type="dxa"/>
            <w:tcBorders>
              <w:top w:val="nil"/>
              <w:left w:val="nil"/>
              <w:bottom w:val="nil"/>
              <w:right w:val="nil"/>
            </w:tcBorders>
            <w:shd w:val="clear" w:color="auto" w:fill="auto"/>
            <w:noWrap/>
            <w:vAlign w:val="center"/>
            <w:hideMark/>
          </w:tcPr>
          <w:p w14:paraId="2568CE8A"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1.4654*</w:t>
            </w:r>
          </w:p>
        </w:tc>
        <w:tc>
          <w:tcPr>
            <w:tcW w:w="1082" w:type="dxa"/>
            <w:tcBorders>
              <w:top w:val="nil"/>
              <w:left w:val="nil"/>
              <w:bottom w:val="nil"/>
              <w:right w:val="nil"/>
            </w:tcBorders>
            <w:shd w:val="clear" w:color="auto" w:fill="auto"/>
            <w:noWrap/>
            <w:vAlign w:val="center"/>
            <w:hideMark/>
          </w:tcPr>
          <w:p w14:paraId="40C84E0D"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1.3552*</w:t>
            </w:r>
          </w:p>
        </w:tc>
        <w:tc>
          <w:tcPr>
            <w:tcW w:w="1082" w:type="dxa"/>
            <w:tcBorders>
              <w:top w:val="nil"/>
              <w:left w:val="nil"/>
              <w:bottom w:val="nil"/>
              <w:right w:val="nil"/>
            </w:tcBorders>
            <w:shd w:val="clear" w:color="auto" w:fill="auto"/>
            <w:noWrap/>
            <w:vAlign w:val="center"/>
            <w:hideMark/>
          </w:tcPr>
          <w:p w14:paraId="5F67169C"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1.4243**</w:t>
            </w:r>
          </w:p>
        </w:tc>
        <w:tc>
          <w:tcPr>
            <w:tcW w:w="1082" w:type="dxa"/>
            <w:tcBorders>
              <w:top w:val="nil"/>
              <w:left w:val="nil"/>
              <w:bottom w:val="nil"/>
              <w:right w:val="nil"/>
            </w:tcBorders>
            <w:shd w:val="clear" w:color="auto" w:fill="auto"/>
            <w:noWrap/>
            <w:vAlign w:val="center"/>
            <w:hideMark/>
          </w:tcPr>
          <w:p w14:paraId="10DB4494"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1.5591**</w:t>
            </w:r>
          </w:p>
        </w:tc>
      </w:tr>
      <w:tr w:rsidR="003A4F79" w:rsidRPr="003A4F79" w14:paraId="32598BB6" w14:textId="77777777" w:rsidTr="00D45E9B">
        <w:trPr>
          <w:trHeight w:val="292"/>
        </w:trPr>
        <w:tc>
          <w:tcPr>
            <w:tcW w:w="1838" w:type="dxa"/>
            <w:tcBorders>
              <w:top w:val="nil"/>
              <w:left w:val="nil"/>
              <w:bottom w:val="nil"/>
              <w:right w:val="nil"/>
            </w:tcBorders>
            <w:shd w:val="clear" w:color="auto" w:fill="auto"/>
            <w:noWrap/>
            <w:vAlign w:val="bottom"/>
            <w:hideMark/>
          </w:tcPr>
          <w:p w14:paraId="7DB23B1F"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39931ECE"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(1.12)</w:t>
            </w:r>
          </w:p>
        </w:tc>
        <w:tc>
          <w:tcPr>
            <w:tcW w:w="1082" w:type="dxa"/>
            <w:tcBorders>
              <w:top w:val="nil"/>
              <w:left w:val="nil"/>
              <w:bottom w:val="nil"/>
              <w:right w:val="nil"/>
            </w:tcBorders>
            <w:shd w:val="clear" w:color="auto" w:fill="auto"/>
            <w:noWrap/>
            <w:vAlign w:val="center"/>
            <w:hideMark/>
          </w:tcPr>
          <w:p w14:paraId="5C119921"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(4.56)</w:t>
            </w:r>
          </w:p>
        </w:tc>
        <w:tc>
          <w:tcPr>
            <w:tcW w:w="1082" w:type="dxa"/>
            <w:tcBorders>
              <w:top w:val="nil"/>
              <w:left w:val="nil"/>
              <w:bottom w:val="nil"/>
              <w:right w:val="nil"/>
            </w:tcBorders>
            <w:shd w:val="clear" w:color="auto" w:fill="auto"/>
            <w:noWrap/>
            <w:vAlign w:val="center"/>
            <w:hideMark/>
          </w:tcPr>
          <w:p w14:paraId="2A2C6E17"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(2.73)</w:t>
            </w:r>
          </w:p>
        </w:tc>
        <w:tc>
          <w:tcPr>
            <w:tcW w:w="1082" w:type="dxa"/>
            <w:tcBorders>
              <w:top w:val="nil"/>
              <w:left w:val="nil"/>
              <w:bottom w:val="nil"/>
              <w:right w:val="nil"/>
            </w:tcBorders>
            <w:shd w:val="clear" w:color="auto" w:fill="auto"/>
            <w:noWrap/>
            <w:vAlign w:val="center"/>
            <w:hideMark/>
          </w:tcPr>
          <w:p w14:paraId="05883FCD"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(1.90)</w:t>
            </w:r>
          </w:p>
        </w:tc>
        <w:tc>
          <w:tcPr>
            <w:tcW w:w="1082" w:type="dxa"/>
            <w:tcBorders>
              <w:top w:val="nil"/>
              <w:left w:val="nil"/>
              <w:bottom w:val="nil"/>
              <w:right w:val="nil"/>
            </w:tcBorders>
            <w:shd w:val="clear" w:color="auto" w:fill="auto"/>
            <w:noWrap/>
            <w:vAlign w:val="center"/>
            <w:hideMark/>
          </w:tcPr>
          <w:p w14:paraId="57044DF9"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(1.77)</w:t>
            </w:r>
          </w:p>
        </w:tc>
        <w:tc>
          <w:tcPr>
            <w:tcW w:w="1082" w:type="dxa"/>
            <w:tcBorders>
              <w:top w:val="nil"/>
              <w:left w:val="nil"/>
              <w:bottom w:val="nil"/>
              <w:right w:val="nil"/>
            </w:tcBorders>
            <w:shd w:val="clear" w:color="auto" w:fill="auto"/>
            <w:noWrap/>
            <w:vAlign w:val="center"/>
            <w:hideMark/>
          </w:tcPr>
          <w:p w14:paraId="5B3033A1"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(2.22)</w:t>
            </w:r>
          </w:p>
        </w:tc>
        <w:tc>
          <w:tcPr>
            <w:tcW w:w="1082" w:type="dxa"/>
            <w:tcBorders>
              <w:top w:val="nil"/>
              <w:left w:val="nil"/>
              <w:bottom w:val="nil"/>
              <w:right w:val="nil"/>
            </w:tcBorders>
            <w:shd w:val="clear" w:color="auto" w:fill="auto"/>
            <w:noWrap/>
            <w:vAlign w:val="center"/>
            <w:hideMark/>
          </w:tcPr>
          <w:p w14:paraId="63399016"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(2.48)</w:t>
            </w:r>
          </w:p>
        </w:tc>
      </w:tr>
      <w:tr w:rsidR="003A4F79" w:rsidRPr="003A4F79" w14:paraId="13A5FA65" w14:textId="77777777" w:rsidTr="00D45E9B">
        <w:trPr>
          <w:trHeight w:val="292"/>
        </w:trPr>
        <w:tc>
          <w:tcPr>
            <w:tcW w:w="1838" w:type="dxa"/>
            <w:tcBorders>
              <w:top w:val="nil"/>
              <w:left w:val="nil"/>
              <w:bottom w:val="nil"/>
              <w:right w:val="nil"/>
            </w:tcBorders>
            <w:shd w:val="clear" w:color="auto" w:fill="auto"/>
            <w:noWrap/>
            <w:vAlign w:val="bottom"/>
            <w:hideMark/>
          </w:tcPr>
          <w:p w14:paraId="3051984A"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 × SglStock</w:t>
            </w:r>
          </w:p>
        </w:tc>
        <w:tc>
          <w:tcPr>
            <w:tcW w:w="1082" w:type="dxa"/>
            <w:tcBorders>
              <w:top w:val="nil"/>
              <w:left w:val="nil"/>
              <w:bottom w:val="nil"/>
              <w:right w:val="nil"/>
            </w:tcBorders>
            <w:shd w:val="clear" w:color="auto" w:fill="auto"/>
            <w:noWrap/>
            <w:vAlign w:val="center"/>
            <w:hideMark/>
          </w:tcPr>
          <w:p w14:paraId="454C1A30"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1.8943*</w:t>
            </w:r>
          </w:p>
        </w:tc>
        <w:tc>
          <w:tcPr>
            <w:tcW w:w="1082" w:type="dxa"/>
            <w:tcBorders>
              <w:top w:val="nil"/>
              <w:left w:val="nil"/>
              <w:bottom w:val="nil"/>
              <w:right w:val="nil"/>
            </w:tcBorders>
            <w:shd w:val="clear" w:color="auto" w:fill="auto"/>
            <w:noWrap/>
            <w:vAlign w:val="center"/>
            <w:hideMark/>
          </w:tcPr>
          <w:p w14:paraId="13956BF9"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665BDC5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D20C7E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DA0C72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C04D08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FBF943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66B9A612" w14:textId="77777777" w:rsidTr="00D45E9B">
        <w:trPr>
          <w:trHeight w:val="292"/>
        </w:trPr>
        <w:tc>
          <w:tcPr>
            <w:tcW w:w="1838" w:type="dxa"/>
            <w:tcBorders>
              <w:top w:val="nil"/>
              <w:left w:val="nil"/>
              <w:bottom w:val="nil"/>
              <w:right w:val="nil"/>
            </w:tcBorders>
            <w:shd w:val="clear" w:color="auto" w:fill="auto"/>
            <w:noWrap/>
            <w:vAlign w:val="bottom"/>
            <w:hideMark/>
          </w:tcPr>
          <w:p w14:paraId="6183A432"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23EF226"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(1.92)</w:t>
            </w:r>
          </w:p>
        </w:tc>
        <w:tc>
          <w:tcPr>
            <w:tcW w:w="1082" w:type="dxa"/>
            <w:tcBorders>
              <w:top w:val="nil"/>
              <w:left w:val="nil"/>
              <w:bottom w:val="nil"/>
              <w:right w:val="nil"/>
            </w:tcBorders>
            <w:shd w:val="clear" w:color="auto" w:fill="auto"/>
            <w:noWrap/>
            <w:vAlign w:val="center"/>
            <w:hideMark/>
          </w:tcPr>
          <w:p w14:paraId="13DC696F"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09C581B2"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90D503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ECC5EC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515C9C55"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8E650E1"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3FBE6147" w14:textId="77777777" w:rsidTr="00D45E9B">
        <w:trPr>
          <w:trHeight w:val="292"/>
        </w:trPr>
        <w:tc>
          <w:tcPr>
            <w:tcW w:w="2920" w:type="dxa"/>
            <w:gridSpan w:val="2"/>
            <w:tcBorders>
              <w:top w:val="nil"/>
              <w:left w:val="nil"/>
              <w:bottom w:val="nil"/>
              <w:right w:val="nil"/>
            </w:tcBorders>
            <w:shd w:val="clear" w:color="auto" w:fill="auto"/>
            <w:noWrap/>
            <w:vAlign w:val="bottom"/>
            <w:hideMark/>
          </w:tcPr>
          <w:p w14:paraId="7B24F4AD"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 × Nokia</w:t>
            </w:r>
          </w:p>
        </w:tc>
        <w:tc>
          <w:tcPr>
            <w:tcW w:w="1082" w:type="dxa"/>
            <w:tcBorders>
              <w:top w:val="nil"/>
              <w:left w:val="nil"/>
              <w:bottom w:val="nil"/>
              <w:right w:val="nil"/>
            </w:tcBorders>
            <w:shd w:val="clear" w:color="auto" w:fill="auto"/>
            <w:noWrap/>
            <w:vAlign w:val="center"/>
            <w:hideMark/>
          </w:tcPr>
          <w:p w14:paraId="53CB7F84"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0.3736***</w:t>
            </w:r>
          </w:p>
        </w:tc>
        <w:tc>
          <w:tcPr>
            <w:tcW w:w="1082" w:type="dxa"/>
            <w:tcBorders>
              <w:top w:val="nil"/>
              <w:left w:val="nil"/>
              <w:bottom w:val="nil"/>
              <w:right w:val="nil"/>
            </w:tcBorders>
            <w:shd w:val="clear" w:color="auto" w:fill="auto"/>
            <w:noWrap/>
            <w:vAlign w:val="center"/>
            <w:hideMark/>
          </w:tcPr>
          <w:p w14:paraId="40E7CFBB"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18191E8A"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6B5534D"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549692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C54794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63C073F5" w14:textId="77777777" w:rsidTr="00D45E9B">
        <w:trPr>
          <w:trHeight w:val="292"/>
        </w:trPr>
        <w:tc>
          <w:tcPr>
            <w:tcW w:w="1838" w:type="dxa"/>
            <w:tcBorders>
              <w:top w:val="nil"/>
              <w:left w:val="nil"/>
              <w:bottom w:val="nil"/>
              <w:right w:val="nil"/>
            </w:tcBorders>
            <w:shd w:val="clear" w:color="auto" w:fill="auto"/>
            <w:noWrap/>
            <w:vAlign w:val="bottom"/>
            <w:hideMark/>
          </w:tcPr>
          <w:p w14:paraId="05A6C6A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A1E95D4"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266DE94"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(-3.52)</w:t>
            </w:r>
          </w:p>
        </w:tc>
        <w:tc>
          <w:tcPr>
            <w:tcW w:w="1082" w:type="dxa"/>
            <w:tcBorders>
              <w:top w:val="nil"/>
              <w:left w:val="nil"/>
              <w:bottom w:val="nil"/>
              <w:right w:val="nil"/>
            </w:tcBorders>
            <w:shd w:val="clear" w:color="auto" w:fill="auto"/>
            <w:noWrap/>
            <w:vAlign w:val="center"/>
            <w:hideMark/>
          </w:tcPr>
          <w:p w14:paraId="2F759135"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4C5075FF"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5CB860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BE0FAC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1018E64"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06131B5F" w14:textId="77777777" w:rsidTr="00D45E9B">
        <w:trPr>
          <w:trHeight w:val="292"/>
        </w:trPr>
        <w:tc>
          <w:tcPr>
            <w:tcW w:w="2920" w:type="dxa"/>
            <w:gridSpan w:val="2"/>
            <w:tcBorders>
              <w:top w:val="nil"/>
              <w:left w:val="nil"/>
              <w:bottom w:val="nil"/>
              <w:right w:val="nil"/>
            </w:tcBorders>
            <w:shd w:val="clear" w:color="auto" w:fill="auto"/>
            <w:noWrap/>
            <w:vAlign w:val="bottom"/>
            <w:hideMark/>
          </w:tcPr>
          <w:p w14:paraId="692D71EA"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 × Minor</w:t>
            </w:r>
          </w:p>
        </w:tc>
        <w:tc>
          <w:tcPr>
            <w:tcW w:w="1082" w:type="dxa"/>
            <w:tcBorders>
              <w:top w:val="nil"/>
              <w:left w:val="nil"/>
              <w:bottom w:val="nil"/>
              <w:right w:val="nil"/>
            </w:tcBorders>
            <w:shd w:val="clear" w:color="auto" w:fill="auto"/>
            <w:noWrap/>
            <w:vAlign w:val="center"/>
            <w:hideMark/>
          </w:tcPr>
          <w:p w14:paraId="0F781E23"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E28EF6C"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0.1756**</w:t>
            </w:r>
          </w:p>
        </w:tc>
        <w:tc>
          <w:tcPr>
            <w:tcW w:w="1082" w:type="dxa"/>
            <w:tcBorders>
              <w:top w:val="nil"/>
              <w:left w:val="nil"/>
              <w:bottom w:val="nil"/>
              <w:right w:val="nil"/>
            </w:tcBorders>
            <w:shd w:val="clear" w:color="auto" w:fill="auto"/>
            <w:noWrap/>
            <w:vAlign w:val="center"/>
            <w:hideMark/>
          </w:tcPr>
          <w:p w14:paraId="5375B961"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6655B27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0ABDB6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5C0D5217"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00D3D4C7" w14:textId="77777777" w:rsidTr="00D45E9B">
        <w:trPr>
          <w:trHeight w:val="292"/>
        </w:trPr>
        <w:tc>
          <w:tcPr>
            <w:tcW w:w="1838" w:type="dxa"/>
            <w:tcBorders>
              <w:top w:val="nil"/>
              <w:left w:val="nil"/>
              <w:bottom w:val="nil"/>
              <w:right w:val="nil"/>
            </w:tcBorders>
            <w:shd w:val="clear" w:color="auto" w:fill="auto"/>
            <w:noWrap/>
            <w:vAlign w:val="bottom"/>
            <w:hideMark/>
          </w:tcPr>
          <w:p w14:paraId="260DB061"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6343ACC"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CC0A1D7"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50D8728"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(-2.42)</w:t>
            </w:r>
          </w:p>
        </w:tc>
        <w:tc>
          <w:tcPr>
            <w:tcW w:w="1082" w:type="dxa"/>
            <w:tcBorders>
              <w:top w:val="nil"/>
              <w:left w:val="nil"/>
              <w:bottom w:val="nil"/>
              <w:right w:val="nil"/>
            </w:tcBorders>
            <w:shd w:val="clear" w:color="auto" w:fill="auto"/>
            <w:noWrap/>
            <w:vAlign w:val="center"/>
            <w:hideMark/>
          </w:tcPr>
          <w:p w14:paraId="4306B909"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73F56E4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993813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AD1E1E5"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31B9BC1A" w14:textId="77777777" w:rsidTr="00D45E9B">
        <w:trPr>
          <w:trHeight w:val="292"/>
        </w:trPr>
        <w:tc>
          <w:tcPr>
            <w:tcW w:w="2920" w:type="dxa"/>
            <w:gridSpan w:val="2"/>
            <w:tcBorders>
              <w:top w:val="nil"/>
              <w:left w:val="nil"/>
              <w:bottom w:val="nil"/>
              <w:right w:val="nil"/>
            </w:tcBorders>
            <w:shd w:val="clear" w:color="auto" w:fill="auto"/>
            <w:noWrap/>
            <w:vAlign w:val="bottom"/>
            <w:hideMark/>
          </w:tcPr>
          <w:p w14:paraId="59968DD0"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 × InvSize_H</w:t>
            </w:r>
          </w:p>
        </w:tc>
        <w:tc>
          <w:tcPr>
            <w:tcW w:w="1082" w:type="dxa"/>
            <w:tcBorders>
              <w:top w:val="nil"/>
              <w:left w:val="nil"/>
              <w:bottom w:val="nil"/>
              <w:right w:val="nil"/>
            </w:tcBorders>
            <w:shd w:val="clear" w:color="auto" w:fill="auto"/>
            <w:noWrap/>
            <w:vAlign w:val="center"/>
            <w:hideMark/>
          </w:tcPr>
          <w:p w14:paraId="7FCB5541"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6928B1C"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EEF8B9D"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0.9647</w:t>
            </w:r>
          </w:p>
        </w:tc>
        <w:tc>
          <w:tcPr>
            <w:tcW w:w="1082" w:type="dxa"/>
            <w:tcBorders>
              <w:top w:val="nil"/>
              <w:left w:val="nil"/>
              <w:bottom w:val="nil"/>
              <w:right w:val="nil"/>
            </w:tcBorders>
            <w:shd w:val="clear" w:color="auto" w:fill="auto"/>
            <w:noWrap/>
            <w:vAlign w:val="center"/>
            <w:hideMark/>
          </w:tcPr>
          <w:p w14:paraId="36CBC2BA"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41FA385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750CC4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0400CAD7" w14:textId="77777777" w:rsidTr="00D45E9B">
        <w:trPr>
          <w:trHeight w:val="292"/>
        </w:trPr>
        <w:tc>
          <w:tcPr>
            <w:tcW w:w="1838" w:type="dxa"/>
            <w:tcBorders>
              <w:top w:val="nil"/>
              <w:left w:val="nil"/>
              <w:bottom w:val="nil"/>
              <w:right w:val="nil"/>
            </w:tcBorders>
            <w:shd w:val="clear" w:color="auto" w:fill="auto"/>
            <w:noWrap/>
            <w:vAlign w:val="bottom"/>
            <w:hideMark/>
          </w:tcPr>
          <w:p w14:paraId="3D71F209"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575F0CC6"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479E909"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3EDE7B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58DE6105"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(-0.13)</w:t>
            </w:r>
          </w:p>
        </w:tc>
        <w:tc>
          <w:tcPr>
            <w:tcW w:w="1082" w:type="dxa"/>
            <w:tcBorders>
              <w:top w:val="nil"/>
              <w:left w:val="nil"/>
              <w:bottom w:val="nil"/>
              <w:right w:val="nil"/>
            </w:tcBorders>
            <w:shd w:val="clear" w:color="auto" w:fill="auto"/>
            <w:noWrap/>
            <w:vAlign w:val="center"/>
            <w:hideMark/>
          </w:tcPr>
          <w:p w14:paraId="663CCFFC"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4603E837"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EF04E8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64924C65" w14:textId="77777777" w:rsidTr="00D45E9B">
        <w:trPr>
          <w:trHeight w:val="292"/>
        </w:trPr>
        <w:tc>
          <w:tcPr>
            <w:tcW w:w="2920" w:type="dxa"/>
            <w:gridSpan w:val="2"/>
            <w:tcBorders>
              <w:top w:val="nil"/>
              <w:left w:val="nil"/>
              <w:bottom w:val="nil"/>
              <w:right w:val="nil"/>
            </w:tcBorders>
            <w:shd w:val="clear" w:color="auto" w:fill="auto"/>
            <w:noWrap/>
            <w:vAlign w:val="bottom"/>
            <w:hideMark/>
          </w:tcPr>
          <w:p w14:paraId="2D724604"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 × Female</w:t>
            </w:r>
          </w:p>
        </w:tc>
        <w:tc>
          <w:tcPr>
            <w:tcW w:w="1082" w:type="dxa"/>
            <w:tcBorders>
              <w:top w:val="nil"/>
              <w:left w:val="nil"/>
              <w:bottom w:val="nil"/>
              <w:right w:val="nil"/>
            </w:tcBorders>
            <w:shd w:val="clear" w:color="auto" w:fill="auto"/>
            <w:noWrap/>
            <w:vAlign w:val="center"/>
            <w:hideMark/>
          </w:tcPr>
          <w:p w14:paraId="13F4CBDE"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13DB0E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6B8830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0F87A014"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1.3131</w:t>
            </w:r>
          </w:p>
        </w:tc>
        <w:tc>
          <w:tcPr>
            <w:tcW w:w="1082" w:type="dxa"/>
            <w:tcBorders>
              <w:top w:val="nil"/>
              <w:left w:val="nil"/>
              <w:bottom w:val="nil"/>
              <w:right w:val="nil"/>
            </w:tcBorders>
            <w:shd w:val="clear" w:color="auto" w:fill="auto"/>
            <w:noWrap/>
            <w:vAlign w:val="center"/>
            <w:hideMark/>
          </w:tcPr>
          <w:p w14:paraId="6114CE65"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763EDC31"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103B7C36" w14:textId="77777777" w:rsidTr="00D45E9B">
        <w:trPr>
          <w:trHeight w:val="292"/>
        </w:trPr>
        <w:tc>
          <w:tcPr>
            <w:tcW w:w="1838" w:type="dxa"/>
            <w:tcBorders>
              <w:top w:val="nil"/>
              <w:left w:val="nil"/>
              <w:bottom w:val="nil"/>
              <w:right w:val="nil"/>
            </w:tcBorders>
            <w:shd w:val="clear" w:color="auto" w:fill="auto"/>
            <w:noWrap/>
            <w:vAlign w:val="bottom"/>
            <w:hideMark/>
          </w:tcPr>
          <w:p w14:paraId="5B899DA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970E249"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AA5D839"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764C40C"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FC1C2D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175BD08D"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(0.77)</w:t>
            </w:r>
          </w:p>
        </w:tc>
        <w:tc>
          <w:tcPr>
            <w:tcW w:w="1082" w:type="dxa"/>
            <w:tcBorders>
              <w:top w:val="nil"/>
              <w:left w:val="nil"/>
              <w:bottom w:val="nil"/>
              <w:right w:val="nil"/>
            </w:tcBorders>
            <w:shd w:val="clear" w:color="auto" w:fill="auto"/>
            <w:noWrap/>
            <w:vAlign w:val="center"/>
            <w:hideMark/>
          </w:tcPr>
          <w:p w14:paraId="385C7808"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4E759755"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6F2634D6" w14:textId="77777777" w:rsidTr="00D45E9B">
        <w:trPr>
          <w:trHeight w:val="292"/>
        </w:trPr>
        <w:tc>
          <w:tcPr>
            <w:tcW w:w="2920" w:type="dxa"/>
            <w:gridSpan w:val="2"/>
            <w:tcBorders>
              <w:top w:val="nil"/>
              <w:left w:val="nil"/>
              <w:bottom w:val="nil"/>
              <w:right w:val="nil"/>
            </w:tcBorders>
            <w:shd w:val="clear" w:color="auto" w:fill="auto"/>
            <w:noWrap/>
            <w:vAlign w:val="bottom"/>
            <w:hideMark/>
          </w:tcPr>
          <w:p w14:paraId="5518DF69"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 × Old</w:t>
            </w:r>
          </w:p>
        </w:tc>
        <w:tc>
          <w:tcPr>
            <w:tcW w:w="1082" w:type="dxa"/>
            <w:tcBorders>
              <w:top w:val="nil"/>
              <w:left w:val="nil"/>
              <w:bottom w:val="nil"/>
              <w:right w:val="nil"/>
            </w:tcBorders>
            <w:shd w:val="clear" w:color="auto" w:fill="auto"/>
            <w:noWrap/>
            <w:vAlign w:val="center"/>
            <w:hideMark/>
          </w:tcPr>
          <w:p w14:paraId="363F9709"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0921095"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E92F594"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6E3F34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11F7B8D7"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1.1210</w:t>
            </w:r>
          </w:p>
        </w:tc>
        <w:tc>
          <w:tcPr>
            <w:tcW w:w="1082" w:type="dxa"/>
            <w:tcBorders>
              <w:top w:val="nil"/>
              <w:left w:val="nil"/>
              <w:bottom w:val="nil"/>
              <w:right w:val="nil"/>
            </w:tcBorders>
            <w:shd w:val="clear" w:color="auto" w:fill="auto"/>
            <w:noWrap/>
            <w:vAlign w:val="center"/>
            <w:hideMark/>
          </w:tcPr>
          <w:p w14:paraId="677ADABB"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r>
      <w:tr w:rsidR="003A4F79" w:rsidRPr="003A4F79" w14:paraId="5F48AA65" w14:textId="77777777" w:rsidTr="00D45E9B">
        <w:trPr>
          <w:trHeight w:val="292"/>
        </w:trPr>
        <w:tc>
          <w:tcPr>
            <w:tcW w:w="1838" w:type="dxa"/>
            <w:tcBorders>
              <w:top w:val="nil"/>
              <w:left w:val="nil"/>
              <w:bottom w:val="nil"/>
              <w:right w:val="nil"/>
            </w:tcBorders>
            <w:shd w:val="clear" w:color="auto" w:fill="auto"/>
            <w:noWrap/>
            <w:vAlign w:val="bottom"/>
            <w:hideMark/>
          </w:tcPr>
          <w:p w14:paraId="27C5EE14"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F4B4450"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588A31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55E607F7"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4CC81A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4976F6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209902F5"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(0.18)</w:t>
            </w:r>
          </w:p>
        </w:tc>
        <w:tc>
          <w:tcPr>
            <w:tcW w:w="1082" w:type="dxa"/>
            <w:tcBorders>
              <w:top w:val="nil"/>
              <w:left w:val="nil"/>
              <w:bottom w:val="nil"/>
              <w:right w:val="nil"/>
            </w:tcBorders>
            <w:shd w:val="clear" w:color="auto" w:fill="auto"/>
            <w:noWrap/>
            <w:vAlign w:val="center"/>
            <w:hideMark/>
          </w:tcPr>
          <w:p w14:paraId="29132A40"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r>
      <w:tr w:rsidR="003A4F79" w:rsidRPr="003A4F79" w14:paraId="2D48CAFE" w14:textId="77777777" w:rsidTr="00D45E9B">
        <w:trPr>
          <w:trHeight w:val="292"/>
        </w:trPr>
        <w:tc>
          <w:tcPr>
            <w:tcW w:w="2920" w:type="dxa"/>
            <w:gridSpan w:val="2"/>
            <w:tcBorders>
              <w:top w:val="nil"/>
              <w:left w:val="nil"/>
              <w:bottom w:val="nil"/>
              <w:right w:val="nil"/>
            </w:tcBorders>
            <w:shd w:val="clear" w:color="auto" w:fill="auto"/>
            <w:noWrap/>
            <w:vAlign w:val="bottom"/>
            <w:hideMark/>
          </w:tcPr>
          <w:p w14:paraId="01BDDA09"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 × Helsinki</w:t>
            </w:r>
          </w:p>
        </w:tc>
        <w:tc>
          <w:tcPr>
            <w:tcW w:w="1082" w:type="dxa"/>
            <w:tcBorders>
              <w:top w:val="nil"/>
              <w:left w:val="nil"/>
              <w:bottom w:val="nil"/>
              <w:right w:val="nil"/>
            </w:tcBorders>
            <w:shd w:val="clear" w:color="auto" w:fill="auto"/>
            <w:noWrap/>
            <w:vAlign w:val="center"/>
            <w:hideMark/>
          </w:tcPr>
          <w:p w14:paraId="6B62299D"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FE35B8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03B45C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CEFAC52"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51B289E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9611AAA"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0.7291</w:t>
            </w:r>
          </w:p>
        </w:tc>
      </w:tr>
      <w:tr w:rsidR="003A4F79" w:rsidRPr="003A4F79" w14:paraId="571E2AB0" w14:textId="77777777" w:rsidTr="00D45E9B">
        <w:trPr>
          <w:trHeight w:val="292"/>
        </w:trPr>
        <w:tc>
          <w:tcPr>
            <w:tcW w:w="1838" w:type="dxa"/>
            <w:tcBorders>
              <w:top w:val="nil"/>
              <w:left w:val="nil"/>
              <w:bottom w:val="nil"/>
              <w:right w:val="nil"/>
            </w:tcBorders>
            <w:shd w:val="clear" w:color="auto" w:fill="auto"/>
            <w:noWrap/>
            <w:vAlign w:val="bottom"/>
            <w:hideMark/>
          </w:tcPr>
          <w:p w14:paraId="5CA046F1"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0BCE6F22"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98A2E31"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51AC22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E9810EA"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ACDAF4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FCB3C6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2D9C317"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(-0.98)</w:t>
            </w:r>
          </w:p>
        </w:tc>
      </w:tr>
      <w:tr w:rsidR="003A4F79" w:rsidRPr="003A4F79" w14:paraId="293D13A2" w14:textId="77777777" w:rsidTr="00D45E9B">
        <w:trPr>
          <w:trHeight w:val="292"/>
        </w:trPr>
        <w:tc>
          <w:tcPr>
            <w:tcW w:w="1838" w:type="dxa"/>
            <w:tcBorders>
              <w:top w:val="nil"/>
              <w:left w:val="nil"/>
              <w:bottom w:val="nil"/>
              <w:right w:val="nil"/>
            </w:tcBorders>
            <w:shd w:val="clear" w:color="auto" w:fill="auto"/>
            <w:noWrap/>
            <w:vAlign w:val="bottom"/>
            <w:hideMark/>
          </w:tcPr>
          <w:p w14:paraId="3B5879E7"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w:t>
            </w:r>
          </w:p>
        </w:tc>
        <w:tc>
          <w:tcPr>
            <w:tcW w:w="1082" w:type="dxa"/>
            <w:tcBorders>
              <w:top w:val="nil"/>
              <w:left w:val="nil"/>
              <w:bottom w:val="nil"/>
              <w:right w:val="nil"/>
            </w:tcBorders>
            <w:shd w:val="clear" w:color="auto" w:fill="auto"/>
            <w:noWrap/>
            <w:vAlign w:val="center"/>
            <w:hideMark/>
          </w:tcPr>
          <w:p w14:paraId="4C497633"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0.3025***</w:t>
            </w:r>
          </w:p>
        </w:tc>
        <w:tc>
          <w:tcPr>
            <w:tcW w:w="1082" w:type="dxa"/>
            <w:tcBorders>
              <w:top w:val="nil"/>
              <w:left w:val="nil"/>
              <w:bottom w:val="nil"/>
              <w:right w:val="nil"/>
            </w:tcBorders>
            <w:shd w:val="clear" w:color="auto" w:fill="auto"/>
            <w:noWrap/>
            <w:vAlign w:val="center"/>
            <w:hideMark/>
          </w:tcPr>
          <w:p w14:paraId="39484FDB"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262C496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C0964F1"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5F72279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9650AD2"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45CDAA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7D9E54E0" w14:textId="77777777" w:rsidTr="00D45E9B">
        <w:trPr>
          <w:trHeight w:val="292"/>
        </w:trPr>
        <w:tc>
          <w:tcPr>
            <w:tcW w:w="1838" w:type="dxa"/>
            <w:tcBorders>
              <w:top w:val="nil"/>
              <w:left w:val="nil"/>
              <w:bottom w:val="nil"/>
              <w:right w:val="nil"/>
            </w:tcBorders>
            <w:shd w:val="clear" w:color="auto" w:fill="auto"/>
            <w:noWrap/>
            <w:vAlign w:val="bottom"/>
            <w:hideMark/>
          </w:tcPr>
          <w:p w14:paraId="2726F51C"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C96030C"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(-11.69)</w:t>
            </w:r>
          </w:p>
        </w:tc>
        <w:tc>
          <w:tcPr>
            <w:tcW w:w="1082" w:type="dxa"/>
            <w:tcBorders>
              <w:top w:val="nil"/>
              <w:left w:val="nil"/>
              <w:bottom w:val="nil"/>
              <w:right w:val="nil"/>
            </w:tcBorders>
            <w:shd w:val="clear" w:color="auto" w:fill="auto"/>
            <w:noWrap/>
            <w:vAlign w:val="center"/>
            <w:hideMark/>
          </w:tcPr>
          <w:p w14:paraId="41FFAEF6"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08E7F7C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61929B1"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E613F12"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3BD723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5D3E90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3C117392" w14:textId="77777777" w:rsidTr="00D45E9B">
        <w:trPr>
          <w:trHeight w:val="292"/>
        </w:trPr>
        <w:tc>
          <w:tcPr>
            <w:tcW w:w="1838" w:type="dxa"/>
            <w:tcBorders>
              <w:top w:val="nil"/>
              <w:left w:val="nil"/>
              <w:bottom w:val="nil"/>
              <w:right w:val="nil"/>
            </w:tcBorders>
            <w:shd w:val="clear" w:color="auto" w:fill="auto"/>
            <w:noWrap/>
            <w:vAlign w:val="bottom"/>
            <w:hideMark/>
          </w:tcPr>
          <w:p w14:paraId="3E2B1833"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Nokia</w:t>
            </w:r>
          </w:p>
        </w:tc>
        <w:tc>
          <w:tcPr>
            <w:tcW w:w="1082" w:type="dxa"/>
            <w:tcBorders>
              <w:top w:val="nil"/>
              <w:left w:val="nil"/>
              <w:bottom w:val="nil"/>
              <w:right w:val="nil"/>
            </w:tcBorders>
            <w:shd w:val="clear" w:color="auto" w:fill="auto"/>
            <w:noWrap/>
            <w:vAlign w:val="center"/>
            <w:hideMark/>
          </w:tcPr>
          <w:p w14:paraId="164C3C10"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5A8FBFF"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2.0407***</w:t>
            </w:r>
          </w:p>
        </w:tc>
        <w:tc>
          <w:tcPr>
            <w:tcW w:w="1082" w:type="dxa"/>
            <w:tcBorders>
              <w:top w:val="nil"/>
              <w:left w:val="nil"/>
              <w:bottom w:val="nil"/>
              <w:right w:val="nil"/>
            </w:tcBorders>
            <w:shd w:val="clear" w:color="auto" w:fill="auto"/>
            <w:noWrap/>
            <w:vAlign w:val="center"/>
            <w:hideMark/>
          </w:tcPr>
          <w:p w14:paraId="3ED8125F"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02458ADA"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0EC737C"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A172EE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66FDA2A"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0B26613F" w14:textId="77777777" w:rsidTr="00D45E9B">
        <w:trPr>
          <w:trHeight w:val="292"/>
        </w:trPr>
        <w:tc>
          <w:tcPr>
            <w:tcW w:w="1838" w:type="dxa"/>
            <w:tcBorders>
              <w:top w:val="nil"/>
              <w:left w:val="nil"/>
              <w:bottom w:val="nil"/>
              <w:right w:val="nil"/>
            </w:tcBorders>
            <w:shd w:val="clear" w:color="auto" w:fill="auto"/>
            <w:noWrap/>
            <w:vAlign w:val="bottom"/>
            <w:hideMark/>
          </w:tcPr>
          <w:p w14:paraId="048B7AB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5EE72D3"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57B7EE07"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(17.74)</w:t>
            </w:r>
          </w:p>
        </w:tc>
        <w:tc>
          <w:tcPr>
            <w:tcW w:w="1082" w:type="dxa"/>
            <w:tcBorders>
              <w:top w:val="nil"/>
              <w:left w:val="nil"/>
              <w:bottom w:val="nil"/>
              <w:right w:val="nil"/>
            </w:tcBorders>
            <w:shd w:val="clear" w:color="auto" w:fill="auto"/>
            <w:noWrap/>
            <w:vAlign w:val="center"/>
            <w:hideMark/>
          </w:tcPr>
          <w:p w14:paraId="4633799B"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3FCCFAD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5BFC12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862C899"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0B6429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3D68A3ED" w14:textId="77777777" w:rsidTr="00D45E9B">
        <w:trPr>
          <w:trHeight w:val="292"/>
        </w:trPr>
        <w:tc>
          <w:tcPr>
            <w:tcW w:w="1838" w:type="dxa"/>
            <w:tcBorders>
              <w:top w:val="nil"/>
              <w:left w:val="nil"/>
              <w:bottom w:val="nil"/>
              <w:right w:val="nil"/>
            </w:tcBorders>
            <w:shd w:val="clear" w:color="auto" w:fill="auto"/>
            <w:noWrap/>
            <w:vAlign w:val="bottom"/>
            <w:hideMark/>
          </w:tcPr>
          <w:p w14:paraId="5A6D6A0E"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Minor</w:t>
            </w:r>
          </w:p>
        </w:tc>
        <w:tc>
          <w:tcPr>
            <w:tcW w:w="1082" w:type="dxa"/>
            <w:tcBorders>
              <w:top w:val="nil"/>
              <w:left w:val="nil"/>
              <w:bottom w:val="nil"/>
              <w:right w:val="nil"/>
            </w:tcBorders>
            <w:shd w:val="clear" w:color="auto" w:fill="auto"/>
            <w:noWrap/>
            <w:vAlign w:val="center"/>
            <w:hideMark/>
          </w:tcPr>
          <w:p w14:paraId="328A6F75"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3E2A337"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89C21F0"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1.4466***</w:t>
            </w:r>
          </w:p>
        </w:tc>
        <w:tc>
          <w:tcPr>
            <w:tcW w:w="1082" w:type="dxa"/>
            <w:tcBorders>
              <w:top w:val="nil"/>
              <w:left w:val="nil"/>
              <w:bottom w:val="nil"/>
              <w:right w:val="nil"/>
            </w:tcBorders>
            <w:shd w:val="clear" w:color="auto" w:fill="auto"/>
            <w:noWrap/>
            <w:vAlign w:val="center"/>
            <w:hideMark/>
          </w:tcPr>
          <w:p w14:paraId="08CECD6E"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00ABB541"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56552C3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C8F381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1066A3D9" w14:textId="77777777" w:rsidTr="00D45E9B">
        <w:trPr>
          <w:trHeight w:val="292"/>
        </w:trPr>
        <w:tc>
          <w:tcPr>
            <w:tcW w:w="1838" w:type="dxa"/>
            <w:tcBorders>
              <w:top w:val="nil"/>
              <w:left w:val="nil"/>
              <w:bottom w:val="nil"/>
              <w:right w:val="nil"/>
            </w:tcBorders>
            <w:shd w:val="clear" w:color="auto" w:fill="auto"/>
            <w:noWrap/>
            <w:vAlign w:val="bottom"/>
            <w:hideMark/>
          </w:tcPr>
          <w:p w14:paraId="72658A72"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C7D1EF7"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719C4C5"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29E87A5"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(3.93)</w:t>
            </w:r>
          </w:p>
        </w:tc>
        <w:tc>
          <w:tcPr>
            <w:tcW w:w="1082" w:type="dxa"/>
            <w:tcBorders>
              <w:top w:val="nil"/>
              <w:left w:val="nil"/>
              <w:bottom w:val="nil"/>
              <w:right w:val="nil"/>
            </w:tcBorders>
            <w:shd w:val="clear" w:color="auto" w:fill="auto"/>
            <w:noWrap/>
            <w:vAlign w:val="center"/>
            <w:hideMark/>
          </w:tcPr>
          <w:p w14:paraId="36C682C2"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789320B1"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F5A2CCC"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17569C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1D581B75" w14:textId="77777777" w:rsidTr="00D45E9B">
        <w:trPr>
          <w:trHeight w:val="292"/>
        </w:trPr>
        <w:tc>
          <w:tcPr>
            <w:tcW w:w="1838" w:type="dxa"/>
            <w:tcBorders>
              <w:top w:val="nil"/>
              <w:left w:val="nil"/>
              <w:bottom w:val="nil"/>
              <w:right w:val="nil"/>
            </w:tcBorders>
            <w:shd w:val="clear" w:color="auto" w:fill="auto"/>
            <w:noWrap/>
            <w:vAlign w:val="bottom"/>
            <w:hideMark/>
          </w:tcPr>
          <w:p w14:paraId="4CA87F0B"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InvSize_H</w:t>
            </w:r>
          </w:p>
        </w:tc>
        <w:tc>
          <w:tcPr>
            <w:tcW w:w="1082" w:type="dxa"/>
            <w:tcBorders>
              <w:top w:val="nil"/>
              <w:left w:val="nil"/>
              <w:bottom w:val="nil"/>
              <w:right w:val="nil"/>
            </w:tcBorders>
            <w:shd w:val="clear" w:color="auto" w:fill="auto"/>
            <w:noWrap/>
            <w:vAlign w:val="center"/>
            <w:hideMark/>
          </w:tcPr>
          <w:p w14:paraId="771EABB6"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EAE5E0D"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25AF92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71544AD"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0.9708</w:t>
            </w:r>
          </w:p>
        </w:tc>
        <w:tc>
          <w:tcPr>
            <w:tcW w:w="1082" w:type="dxa"/>
            <w:tcBorders>
              <w:top w:val="nil"/>
              <w:left w:val="nil"/>
              <w:bottom w:val="nil"/>
              <w:right w:val="nil"/>
            </w:tcBorders>
            <w:shd w:val="clear" w:color="auto" w:fill="auto"/>
            <w:noWrap/>
            <w:vAlign w:val="center"/>
            <w:hideMark/>
          </w:tcPr>
          <w:p w14:paraId="35F89630"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1CA6742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8C29EEF"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76BDB5E7" w14:textId="77777777" w:rsidTr="00D45E9B">
        <w:trPr>
          <w:trHeight w:val="292"/>
        </w:trPr>
        <w:tc>
          <w:tcPr>
            <w:tcW w:w="1838" w:type="dxa"/>
            <w:tcBorders>
              <w:top w:val="nil"/>
              <w:left w:val="nil"/>
              <w:bottom w:val="nil"/>
              <w:right w:val="nil"/>
            </w:tcBorders>
            <w:shd w:val="clear" w:color="auto" w:fill="auto"/>
            <w:noWrap/>
            <w:vAlign w:val="bottom"/>
            <w:hideMark/>
          </w:tcPr>
          <w:p w14:paraId="582208C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CB8B49B"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4F57C1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8A774A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B31DCEA"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(-0.34)</w:t>
            </w:r>
          </w:p>
        </w:tc>
        <w:tc>
          <w:tcPr>
            <w:tcW w:w="1082" w:type="dxa"/>
            <w:tcBorders>
              <w:top w:val="nil"/>
              <w:left w:val="nil"/>
              <w:bottom w:val="nil"/>
              <w:right w:val="nil"/>
            </w:tcBorders>
            <w:shd w:val="clear" w:color="auto" w:fill="auto"/>
            <w:noWrap/>
            <w:vAlign w:val="center"/>
            <w:hideMark/>
          </w:tcPr>
          <w:p w14:paraId="72F4DF16"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371F465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5DAD22C"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75D4E624" w14:textId="77777777" w:rsidTr="00D45E9B">
        <w:trPr>
          <w:trHeight w:val="292"/>
        </w:trPr>
        <w:tc>
          <w:tcPr>
            <w:tcW w:w="1838" w:type="dxa"/>
            <w:tcBorders>
              <w:top w:val="nil"/>
              <w:left w:val="nil"/>
              <w:bottom w:val="nil"/>
              <w:right w:val="nil"/>
            </w:tcBorders>
            <w:shd w:val="clear" w:color="auto" w:fill="auto"/>
            <w:noWrap/>
            <w:vAlign w:val="bottom"/>
            <w:hideMark/>
          </w:tcPr>
          <w:p w14:paraId="66F8498A"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lastRenderedPageBreak/>
              <w:t>Female</w:t>
            </w:r>
          </w:p>
        </w:tc>
        <w:tc>
          <w:tcPr>
            <w:tcW w:w="1082" w:type="dxa"/>
            <w:tcBorders>
              <w:top w:val="nil"/>
              <w:left w:val="nil"/>
              <w:bottom w:val="nil"/>
              <w:right w:val="nil"/>
            </w:tcBorders>
            <w:shd w:val="clear" w:color="auto" w:fill="auto"/>
            <w:noWrap/>
            <w:vAlign w:val="center"/>
            <w:hideMark/>
          </w:tcPr>
          <w:p w14:paraId="5E2A1F41"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0FDDE94"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6507EB2"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91975F1"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0CE5B05"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0.9103**</w:t>
            </w:r>
          </w:p>
        </w:tc>
        <w:tc>
          <w:tcPr>
            <w:tcW w:w="1082" w:type="dxa"/>
            <w:tcBorders>
              <w:top w:val="nil"/>
              <w:left w:val="nil"/>
              <w:bottom w:val="nil"/>
              <w:right w:val="nil"/>
            </w:tcBorders>
            <w:shd w:val="clear" w:color="auto" w:fill="auto"/>
            <w:noWrap/>
            <w:vAlign w:val="center"/>
            <w:hideMark/>
          </w:tcPr>
          <w:p w14:paraId="778698B1"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019CC241"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1C4BED0F" w14:textId="77777777" w:rsidTr="00D45E9B">
        <w:trPr>
          <w:trHeight w:val="292"/>
        </w:trPr>
        <w:tc>
          <w:tcPr>
            <w:tcW w:w="1838" w:type="dxa"/>
            <w:tcBorders>
              <w:top w:val="nil"/>
              <w:left w:val="nil"/>
              <w:bottom w:val="nil"/>
              <w:right w:val="nil"/>
            </w:tcBorders>
            <w:shd w:val="clear" w:color="auto" w:fill="auto"/>
            <w:noWrap/>
            <w:vAlign w:val="bottom"/>
            <w:hideMark/>
          </w:tcPr>
          <w:p w14:paraId="038DEB91"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692DBAF"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B02C9BF"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502AA49"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24B7CC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4FE91FE"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(-2.13)</w:t>
            </w:r>
          </w:p>
        </w:tc>
        <w:tc>
          <w:tcPr>
            <w:tcW w:w="1082" w:type="dxa"/>
            <w:tcBorders>
              <w:top w:val="nil"/>
              <w:left w:val="nil"/>
              <w:bottom w:val="nil"/>
              <w:right w:val="nil"/>
            </w:tcBorders>
            <w:shd w:val="clear" w:color="auto" w:fill="auto"/>
            <w:noWrap/>
            <w:vAlign w:val="center"/>
            <w:hideMark/>
          </w:tcPr>
          <w:p w14:paraId="1533A3DA"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7921AF3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0E5E6747" w14:textId="77777777" w:rsidTr="00D45E9B">
        <w:trPr>
          <w:trHeight w:val="292"/>
        </w:trPr>
        <w:tc>
          <w:tcPr>
            <w:tcW w:w="1838" w:type="dxa"/>
            <w:tcBorders>
              <w:top w:val="nil"/>
              <w:left w:val="nil"/>
              <w:bottom w:val="nil"/>
              <w:right w:val="nil"/>
            </w:tcBorders>
            <w:shd w:val="clear" w:color="auto" w:fill="auto"/>
            <w:noWrap/>
            <w:vAlign w:val="bottom"/>
            <w:hideMark/>
          </w:tcPr>
          <w:p w14:paraId="27D219B7"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Old</w:t>
            </w:r>
          </w:p>
        </w:tc>
        <w:tc>
          <w:tcPr>
            <w:tcW w:w="1082" w:type="dxa"/>
            <w:tcBorders>
              <w:top w:val="nil"/>
              <w:left w:val="nil"/>
              <w:bottom w:val="nil"/>
              <w:right w:val="nil"/>
            </w:tcBorders>
            <w:shd w:val="clear" w:color="auto" w:fill="auto"/>
            <w:noWrap/>
            <w:vAlign w:val="center"/>
            <w:hideMark/>
          </w:tcPr>
          <w:p w14:paraId="42313CF9"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5FCFED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05C9448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557321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D29223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E11DED0"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1.0229</w:t>
            </w:r>
          </w:p>
        </w:tc>
        <w:tc>
          <w:tcPr>
            <w:tcW w:w="1082" w:type="dxa"/>
            <w:tcBorders>
              <w:top w:val="nil"/>
              <w:left w:val="nil"/>
              <w:bottom w:val="nil"/>
              <w:right w:val="nil"/>
            </w:tcBorders>
            <w:shd w:val="clear" w:color="auto" w:fill="auto"/>
            <w:noWrap/>
            <w:vAlign w:val="center"/>
            <w:hideMark/>
          </w:tcPr>
          <w:p w14:paraId="4E9D94B3"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r>
      <w:tr w:rsidR="003A4F79" w:rsidRPr="003A4F79" w14:paraId="45630439" w14:textId="77777777" w:rsidTr="00D45E9B">
        <w:trPr>
          <w:trHeight w:val="292"/>
        </w:trPr>
        <w:tc>
          <w:tcPr>
            <w:tcW w:w="1838" w:type="dxa"/>
            <w:tcBorders>
              <w:top w:val="nil"/>
              <w:left w:val="nil"/>
              <w:bottom w:val="nil"/>
              <w:right w:val="nil"/>
            </w:tcBorders>
            <w:shd w:val="clear" w:color="auto" w:fill="auto"/>
            <w:noWrap/>
            <w:vAlign w:val="bottom"/>
            <w:hideMark/>
          </w:tcPr>
          <w:p w14:paraId="56ACD6DF"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FBC1F2D"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F04C5FC"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52C16B5"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770068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FB65A27"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1AD7B76"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(0.27)</w:t>
            </w:r>
          </w:p>
        </w:tc>
        <w:tc>
          <w:tcPr>
            <w:tcW w:w="1082" w:type="dxa"/>
            <w:tcBorders>
              <w:top w:val="nil"/>
              <w:left w:val="nil"/>
              <w:bottom w:val="nil"/>
              <w:right w:val="nil"/>
            </w:tcBorders>
            <w:shd w:val="clear" w:color="auto" w:fill="auto"/>
            <w:noWrap/>
            <w:vAlign w:val="center"/>
            <w:hideMark/>
          </w:tcPr>
          <w:p w14:paraId="176629EC"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r>
      <w:tr w:rsidR="003A4F79" w:rsidRPr="003A4F79" w14:paraId="18A8F5F7" w14:textId="77777777" w:rsidTr="00D45E9B">
        <w:trPr>
          <w:trHeight w:val="292"/>
        </w:trPr>
        <w:tc>
          <w:tcPr>
            <w:tcW w:w="1838" w:type="dxa"/>
            <w:tcBorders>
              <w:top w:val="nil"/>
              <w:left w:val="nil"/>
              <w:bottom w:val="nil"/>
              <w:right w:val="nil"/>
            </w:tcBorders>
            <w:shd w:val="clear" w:color="auto" w:fill="auto"/>
            <w:noWrap/>
            <w:vAlign w:val="bottom"/>
            <w:hideMark/>
          </w:tcPr>
          <w:p w14:paraId="02A5CF1C"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Helsinki</w:t>
            </w:r>
          </w:p>
        </w:tc>
        <w:tc>
          <w:tcPr>
            <w:tcW w:w="1082" w:type="dxa"/>
            <w:tcBorders>
              <w:top w:val="nil"/>
              <w:left w:val="nil"/>
              <w:bottom w:val="nil"/>
              <w:right w:val="nil"/>
            </w:tcBorders>
            <w:shd w:val="clear" w:color="auto" w:fill="auto"/>
            <w:noWrap/>
            <w:vAlign w:val="center"/>
            <w:hideMark/>
          </w:tcPr>
          <w:p w14:paraId="2E0714D4"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0B6D09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606C73CA"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3BA2E4CC"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3304CD5"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F0088B5"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72894F02"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1.0205</w:t>
            </w:r>
          </w:p>
        </w:tc>
      </w:tr>
      <w:tr w:rsidR="003A4F79" w:rsidRPr="003A4F79" w14:paraId="0FDB2C42" w14:textId="77777777" w:rsidTr="00D45E9B">
        <w:trPr>
          <w:trHeight w:val="292"/>
        </w:trPr>
        <w:tc>
          <w:tcPr>
            <w:tcW w:w="1838" w:type="dxa"/>
            <w:tcBorders>
              <w:top w:val="nil"/>
              <w:left w:val="nil"/>
              <w:bottom w:val="nil"/>
              <w:right w:val="nil"/>
            </w:tcBorders>
            <w:shd w:val="clear" w:color="auto" w:fill="auto"/>
            <w:noWrap/>
            <w:vAlign w:val="bottom"/>
            <w:hideMark/>
          </w:tcPr>
          <w:p w14:paraId="24F0D07C"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p>
        </w:tc>
        <w:tc>
          <w:tcPr>
            <w:tcW w:w="1082" w:type="dxa"/>
            <w:tcBorders>
              <w:top w:val="nil"/>
              <w:left w:val="nil"/>
              <w:bottom w:val="nil"/>
              <w:right w:val="nil"/>
            </w:tcBorders>
            <w:shd w:val="clear" w:color="auto" w:fill="auto"/>
            <w:noWrap/>
            <w:vAlign w:val="center"/>
            <w:hideMark/>
          </w:tcPr>
          <w:p w14:paraId="457AF106"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87D5411"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B0EBE5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FA8988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21F017C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12CC477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center"/>
            <w:hideMark/>
          </w:tcPr>
          <w:p w14:paraId="41DE7FD7" w14:textId="77777777" w:rsidR="00D45E9B" w:rsidRPr="003A4F79" w:rsidRDefault="00D45E9B" w:rsidP="00D45E9B">
            <w:pPr>
              <w:spacing w:line="240" w:lineRule="auto"/>
              <w:ind w:firstLine="0"/>
              <w:jc w:val="center"/>
              <w:rPr>
                <w:rFonts w:ascii="Times" w:eastAsia="Times New Roman" w:hAnsi="Times" w:cs="Times"/>
                <w:sz w:val="20"/>
                <w:szCs w:val="20"/>
                <w:lang w:val="en-GB" w:eastAsia="ko-KR"/>
              </w:rPr>
            </w:pPr>
            <w:r w:rsidRPr="003A4F79">
              <w:rPr>
                <w:rFonts w:ascii="Times" w:eastAsia="Times New Roman" w:hAnsi="Times" w:cs="Times"/>
                <w:sz w:val="20"/>
                <w:szCs w:val="20"/>
                <w:lang w:val="en-GB" w:eastAsia="ko-KR"/>
              </w:rPr>
              <w:t>(0.06)</w:t>
            </w:r>
          </w:p>
        </w:tc>
      </w:tr>
      <w:tr w:rsidR="003A4F79" w:rsidRPr="003A4F79" w14:paraId="31E437B2" w14:textId="77777777" w:rsidTr="00D45E9B">
        <w:trPr>
          <w:trHeight w:val="292"/>
        </w:trPr>
        <w:tc>
          <w:tcPr>
            <w:tcW w:w="1838" w:type="dxa"/>
            <w:tcBorders>
              <w:top w:val="nil"/>
              <w:left w:val="nil"/>
              <w:bottom w:val="nil"/>
              <w:right w:val="nil"/>
            </w:tcBorders>
            <w:shd w:val="clear" w:color="auto" w:fill="auto"/>
            <w:noWrap/>
            <w:vAlign w:val="bottom"/>
            <w:hideMark/>
          </w:tcPr>
          <w:p w14:paraId="663D8896"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Investment size quintile dummies</w:t>
            </w:r>
          </w:p>
        </w:tc>
        <w:tc>
          <w:tcPr>
            <w:tcW w:w="1082" w:type="dxa"/>
            <w:tcBorders>
              <w:top w:val="nil"/>
              <w:left w:val="nil"/>
              <w:bottom w:val="nil"/>
              <w:right w:val="nil"/>
            </w:tcBorders>
            <w:shd w:val="clear" w:color="auto" w:fill="auto"/>
            <w:noWrap/>
            <w:vAlign w:val="bottom"/>
            <w:hideMark/>
          </w:tcPr>
          <w:p w14:paraId="61ADCD9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63B3FCC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0AF64F7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26535FE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6792C1F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0427D82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079D201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757233D3" w14:textId="77777777" w:rsidTr="00D45E9B">
        <w:trPr>
          <w:trHeight w:val="292"/>
        </w:trPr>
        <w:tc>
          <w:tcPr>
            <w:tcW w:w="1838" w:type="dxa"/>
            <w:tcBorders>
              <w:top w:val="nil"/>
              <w:left w:val="nil"/>
              <w:bottom w:val="nil"/>
              <w:right w:val="nil"/>
            </w:tcBorders>
            <w:shd w:val="clear" w:color="auto" w:fill="auto"/>
            <w:noWrap/>
            <w:vAlign w:val="bottom"/>
            <w:hideMark/>
          </w:tcPr>
          <w:p w14:paraId="1B396362"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Zip code dummies</w:t>
            </w:r>
          </w:p>
        </w:tc>
        <w:tc>
          <w:tcPr>
            <w:tcW w:w="1082" w:type="dxa"/>
            <w:tcBorders>
              <w:top w:val="nil"/>
              <w:left w:val="nil"/>
              <w:bottom w:val="nil"/>
              <w:right w:val="nil"/>
            </w:tcBorders>
            <w:shd w:val="clear" w:color="auto" w:fill="auto"/>
            <w:noWrap/>
            <w:vAlign w:val="bottom"/>
            <w:hideMark/>
          </w:tcPr>
          <w:p w14:paraId="03A67787"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2444301D"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66F6999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1D6FBDA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62CC850A"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5B18BFC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5F8110E6"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37FFD7AF" w14:textId="77777777" w:rsidTr="00D45E9B">
        <w:trPr>
          <w:trHeight w:val="292"/>
        </w:trPr>
        <w:tc>
          <w:tcPr>
            <w:tcW w:w="1838" w:type="dxa"/>
            <w:tcBorders>
              <w:top w:val="nil"/>
              <w:left w:val="nil"/>
              <w:bottom w:val="nil"/>
              <w:right w:val="nil"/>
            </w:tcBorders>
            <w:shd w:val="clear" w:color="auto" w:fill="auto"/>
            <w:noWrap/>
            <w:vAlign w:val="bottom"/>
            <w:hideMark/>
          </w:tcPr>
          <w:p w14:paraId="393B118D"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Exit time dummies</w:t>
            </w:r>
          </w:p>
        </w:tc>
        <w:tc>
          <w:tcPr>
            <w:tcW w:w="1082" w:type="dxa"/>
            <w:tcBorders>
              <w:top w:val="nil"/>
              <w:left w:val="nil"/>
              <w:bottom w:val="nil"/>
              <w:right w:val="nil"/>
            </w:tcBorders>
            <w:shd w:val="clear" w:color="auto" w:fill="auto"/>
            <w:noWrap/>
            <w:vAlign w:val="bottom"/>
            <w:hideMark/>
          </w:tcPr>
          <w:p w14:paraId="2A1D174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3912DC74"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23A029E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5275567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7A84011A"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352B40C7"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5760CF5C"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6BFF38A0" w14:textId="77777777" w:rsidTr="00D45E9B">
        <w:trPr>
          <w:trHeight w:val="292"/>
        </w:trPr>
        <w:tc>
          <w:tcPr>
            <w:tcW w:w="1838" w:type="dxa"/>
            <w:tcBorders>
              <w:top w:val="nil"/>
              <w:left w:val="nil"/>
              <w:bottom w:val="nil"/>
              <w:right w:val="nil"/>
            </w:tcBorders>
            <w:shd w:val="clear" w:color="auto" w:fill="auto"/>
            <w:noWrap/>
            <w:vAlign w:val="bottom"/>
            <w:hideMark/>
          </w:tcPr>
          <w:p w14:paraId="6D02378D"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Year dummies</w:t>
            </w:r>
          </w:p>
        </w:tc>
        <w:tc>
          <w:tcPr>
            <w:tcW w:w="1082" w:type="dxa"/>
            <w:tcBorders>
              <w:top w:val="nil"/>
              <w:left w:val="nil"/>
              <w:bottom w:val="nil"/>
              <w:right w:val="nil"/>
            </w:tcBorders>
            <w:shd w:val="clear" w:color="auto" w:fill="auto"/>
            <w:noWrap/>
            <w:vAlign w:val="bottom"/>
            <w:hideMark/>
          </w:tcPr>
          <w:p w14:paraId="091A1A6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4973B6C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77372C6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1AAF7C42"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593EA7CC"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53B8235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5A2F849C"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2E2F53BF" w14:textId="77777777" w:rsidTr="00D45E9B">
        <w:trPr>
          <w:trHeight w:val="292"/>
        </w:trPr>
        <w:tc>
          <w:tcPr>
            <w:tcW w:w="1838" w:type="dxa"/>
            <w:tcBorders>
              <w:top w:val="nil"/>
              <w:left w:val="nil"/>
              <w:bottom w:val="nil"/>
              <w:right w:val="nil"/>
            </w:tcBorders>
            <w:shd w:val="clear" w:color="auto" w:fill="auto"/>
            <w:noWrap/>
            <w:vAlign w:val="bottom"/>
            <w:hideMark/>
          </w:tcPr>
          <w:p w14:paraId="392C37C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7065A00B"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05B9A768"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3E57F95A"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5005D0D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0A2A2F4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0F63DEAE"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p>
        </w:tc>
        <w:tc>
          <w:tcPr>
            <w:tcW w:w="1082" w:type="dxa"/>
            <w:tcBorders>
              <w:top w:val="nil"/>
              <w:left w:val="nil"/>
              <w:bottom w:val="nil"/>
              <w:right w:val="nil"/>
            </w:tcBorders>
            <w:shd w:val="clear" w:color="auto" w:fill="auto"/>
            <w:noWrap/>
            <w:vAlign w:val="bottom"/>
            <w:hideMark/>
          </w:tcPr>
          <w:p w14:paraId="05627BAD"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p>
        </w:tc>
      </w:tr>
      <w:tr w:rsidR="003A4F79" w:rsidRPr="003A4F79" w14:paraId="77CA7866" w14:textId="77777777" w:rsidTr="00D45E9B">
        <w:trPr>
          <w:trHeight w:val="292"/>
        </w:trPr>
        <w:tc>
          <w:tcPr>
            <w:tcW w:w="1838" w:type="dxa"/>
            <w:tcBorders>
              <w:top w:val="nil"/>
              <w:left w:val="nil"/>
              <w:bottom w:val="nil"/>
              <w:right w:val="nil"/>
            </w:tcBorders>
            <w:shd w:val="clear" w:color="auto" w:fill="auto"/>
            <w:noWrap/>
            <w:vAlign w:val="bottom"/>
            <w:hideMark/>
          </w:tcPr>
          <w:p w14:paraId="68AC8D31"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Robust SE</w:t>
            </w:r>
          </w:p>
        </w:tc>
        <w:tc>
          <w:tcPr>
            <w:tcW w:w="1082" w:type="dxa"/>
            <w:tcBorders>
              <w:top w:val="nil"/>
              <w:left w:val="nil"/>
              <w:bottom w:val="nil"/>
              <w:right w:val="nil"/>
            </w:tcBorders>
            <w:shd w:val="clear" w:color="auto" w:fill="auto"/>
            <w:noWrap/>
            <w:vAlign w:val="bottom"/>
            <w:hideMark/>
          </w:tcPr>
          <w:p w14:paraId="3EB18397"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3B121C2F"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40D0193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0A64C454"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56CC8077"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7E6926AD"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082" w:type="dxa"/>
            <w:tcBorders>
              <w:top w:val="nil"/>
              <w:left w:val="nil"/>
              <w:bottom w:val="nil"/>
              <w:right w:val="nil"/>
            </w:tcBorders>
            <w:shd w:val="clear" w:color="auto" w:fill="auto"/>
            <w:noWrap/>
            <w:vAlign w:val="bottom"/>
            <w:hideMark/>
          </w:tcPr>
          <w:p w14:paraId="22FDA5B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23A73638" w14:textId="77777777" w:rsidTr="00D45E9B">
        <w:trPr>
          <w:trHeight w:val="292"/>
        </w:trPr>
        <w:tc>
          <w:tcPr>
            <w:tcW w:w="1838" w:type="dxa"/>
            <w:tcBorders>
              <w:top w:val="nil"/>
              <w:left w:val="nil"/>
              <w:bottom w:val="nil"/>
              <w:right w:val="nil"/>
            </w:tcBorders>
            <w:shd w:val="clear" w:color="auto" w:fill="auto"/>
            <w:noWrap/>
            <w:vAlign w:val="bottom"/>
            <w:hideMark/>
          </w:tcPr>
          <w:p w14:paraId="2D79DFFC"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fit</w:t>
            </w:r>
          </w:p>
        </w:tc>
        <w:tc>
          <w:tcPr>
            <w:tcW w:w="1082" w:type="dxa"/>
            <w:tcBorders>
              <w:top w:val="nil"/>
              <w:left w:val="nil"/>
              <w:bottom w:val="nil"/>
              <w:right w:val="nil"/>
            </w:tcBorders>
            <w:shd w:val="clear" w:color="auto" w:fill="auto"/>
            <w:noWrap/>
            <w:vAlign w:val="bottom"/>
            <w:hideMark/>
          </w:tcPr>
          <w:p w14:paraId="379294FF" w14:textId="77777777" w:rsidR="00D45E9B" w:rsidRPr="003A4F79" w:rsidRDefault="00D45E9B" w:rsidP="00D45E9B">
            <w:pPr>
              <w:spacing w:line="240" w:lineRule="auto"/>
              <w:ind w:firstLine="0"/>
              <w:jc w:val="center"/>
              <w:rPr>
                <w:rFonts w:ascii="Times New Roman" w:eastAsia="Times New Roman" w:hAnsi="Times New Roman" w:cs="Times New Roman"/>
                <w:sz w:val="16"/>
                <w:szCs w:val="16"/>
                <w:lang w:val="en-GB" w:eastAsia="ko-KR"/>
              </w:rPr>
            </w:pPr>
            <w:r w:rsidRPr="003A4F79">
              <w:rPr>
                <w:rFonts w:ascii="Times New Roman" w:eastAsia="Times New Roman" w:hAnsi="Times New Roman" w:cs="Times New Roman"/>
                <w:sz w:val="16"/>
                <w:szCs w:val="16"/>
                <w:lang w:val="en-GB" w:eastAsia="ko-KR"/>
              </w:rPr>
              <w:t>5,705.27***</w:t>
            </w:r>
          </w:p>
        </w:tc>
        <w:tc>
          <w:tcPr>
            <w:tcW w:w="1082" w:type="dxa"/>
            <w:tcBorders>
              <w:top w:val="nil"/>
              <w:left w:val="nil"/>
              <w:bottom w:val="nil"/>
              <w:right w:val="nil"/>
            </w:tcBorders>
            <w:shd w:val="clear" w:color="auto" w:fill="auto"/>
            <w:noWrap/>
            <w:vAlign w:val="bottom"/>
            <w:hideMark/>
          </w:tcPr>
          <w:p w14:paraId="0D6ADB4C" w14:textId="77777777" w:rsidR="00D45E9B" w:rsidRPr="003A4F79" w:rsidRDefault="00D45E9B" w:rsidP="00D45E9B">
            <w:pPr>
              <w:spacing w:line="240" w:lineRule="auto"/>
              <w:ind w:firstLine="0"/>
              <w:jc w:val="center"/>
              <w:rPr>
                <w:rFonts w:ascii="Times New Roman" w:eastAsia="Times New Roman" w:hAnsi="Times New Roman" w:cs="Times New Roman"/>
                <w:sz w:val="16"/>
                <w:szCs w:val="16"/>
                <w:lang w:val="en-GB" w:eastAsia="ko-KR"/>
              </w:rPr>
            </w:pPr>
            <w:r w:rsidRPr="003A4F79">
              <w:rPr>
                <w:rFonts w:ascii="Times New Roman" w:eastAsia="Times New Roman" w:hAnsi="Times New Roman" w:cs="Times New Roman"/>
                <w:sz w:val="16"/>
                <w:szCs w:val="16"/>
                <w:lang w:val="en-GB" w:eastAsia="ko-KR"/>
              </w:rPr>
              <w:t>5,756.70***</w:t>
            </w:r>
          </w:p>
        </w:tc>
        <w:tc>
          <w:tcPr>
            <w:tcW w:w="1082" w:type="dxa"/>
            <w:tcBorders>
              <w:top w:val="nil"/>
              <w:left w:val="nil"/>
              <w:bottom w:val="nil"/>
              <w:right w:val="nil"/>
            </w:tcBorders>
            <w:shd w:val="clear" w:color="auto" w:fill="auto"/>
            <w:noWrap/>
            <w:vAlign w:val="bottom"/>
            <w:hideMark/>
          </w:tcPr>
          <w:p w14:paraId="576BB239" w14:textId="77777777" w:rsidR="00D45E9B" w:rsidRPr="003A4F79" w:rsidRDefault="00D45E9B" w:rsidP="00D45E9B">
            <w:pPr>
              <w:spacing w:line="240" w:lineRule="auto"/>
              <w:ind w:firstLine="0"/>
              <w:jc w:val="center"/>
              <w:rPr>
                <w:rFonts w:ascii="Times New Roman" w:eastAsia="Times New Roman" w:hAnsi="Times New Roman" w:cs="Times New Roman"/>
                <w:sz w:val="16"/>
                <w:szCs w:val="16"/>
                <w:lang w:val="en-GB" w:eastAsia="ko-KR"/>
              </w:rPr>
            </w:pPr>
            <w:r w:rsidRPr="003A4F79">
              <w:rPr>
                <w:rFonts w:ascii="Times New Roman" w:eastAsia="Times New Roman" w:hAnsi="Times New Roman" w:cs="Times New Roman"/>
                <w:sz w:val="16"/>
                <w:szCs w:val="16"/>
                <w:lang w:val="en-GB" w:eastAsia="ko-KR"/>
              </w:rPr>
              <w:t>5,736.72***</w:t>
            </w:r>
          </w:p>
        </w:tc>
        <w:tc>
          <w:tcPr>
            <w:tcW w:w="1082" w:type="dxa"/>
            <w:tcBorders>
              <w:top w:val="nil"/>
              <w:left w:val="nil"/>
              <w:bottom w:val="nil"/>
              <w:right w:val="nil"/>
            </w:tcBorders>
            <w:shd w:val="clear" w:color="auto" w:fill="auto"/>
            <w:noWrap/>
            <w:vAlign w:val="bottom"/>
            <w:hideMark/>
          </w:tcPr>
          <w:p w14:paraId="59A116B6" w14:textId="77777777" w:rsidR="00D45E9B" w:rsidRPr="003A4F79" w:rsidRDefault="00D45E9B" w:rsidP="00D45E9B">
            <w:pPr>
              <w:spacing w:line="240" w:lineRule="auto"/>
              <w:ind w:firstLine="0"/>
              <w:jc w:val="center"/>
              <w:rPr>
                <w:rFonts w:ascii="Times New Roman" w:eastAsia="Times New Roman" w:hAnsi="Times New Roman" w:cs="Times New Roman"/>
                <w:sz w:val="16"/>
                <w:szCs w:val="16"/>
                <w:lang w:val="en-GB" w:eastAsia="ko-KR"/>
              </w:rPr>
            </w:pPr>
            <w:r w:rsidRPr="003A4F79">
              <w:rPr>
                <w:rFonts w:ascii="Times New Roman" w:eastAsia="Times New Roman" w:hAnsi="Times New Roman" w:cs="Times New Roman"/>
                <w:sz w:val="16"/>
                <w:szCs w:val="16"/>
                <w:lang w:val="en-GB" w:eastAsia="ko-KR"/>
              </w:rPr>
              <w:t>6,283.31***</w:t>
            </w:r>
          </w:p>
        </w:tc>
        <w:tc>
          <w:tcPr>
            <w:tcW w:w="1082" w:type="dxa"/>
            <w:tcBorders>
              <w:top w:val="nil"/>
              <w:left w:val="nil"/>
              <w:bottom w:val="nil"/>
              <w:right w:val="nil"/>
            </w:tcBorders>
            <w:shd w:val="clear" w:color="auto" w:fill="auto"/>
            <w:noWrap/>
            <w:vAlign w:val="bottom"/>
            <w:hideMark/>
          </w:tcPr>
          <w:p w14:paraId="13F13470" w14:textId="77777777" w:rsidR="00D45E9B" w:rsidRPr="003A4F79" w:rsidRDefault="00D45E9B" w:rsidP="00D45E9B">
            <w:pPr>
              <w:spacing w:line="240" w:lineRule="auto"/>
              <w:ind w:firstLine="0"/>
              <w:jc w:val="center"/>
              <w:rPr>
                <w:rFonts w:ascii="Times New Roman" w:eastAsia="Times New Roman" w:hAnsi="Times New Roman" w:cs="Times New Roman"/>
                <w:sz w:val="16"/>
                <w:szCs w:val="16"/>
                <w:lang w:val="en-GB" w:eastAsia="ko-KR"/>
              </w:rPr>
            </w:pPr>
            <w:r w:rsidRPr="003A4F79">
              <w:rPr>
                <w:rFonts w:ascii="Times New Roman" w:eastAsia="Times New Roman" w:hAnsi="Times New Roman" w:cs="Times New Roman"/>
                <w:sz w:val="16"/>
                <w:szCs w:val="16"/>
                <w:lang w:val="en-GB" w:eastAsia="ko-KR"/>
              </w:rPr>
              <w:t>6,236.26***</w:t>
            </w:r>
          </w:p>
        </w:tc>
        <w:tc>
          <w:tcPr>
            <w:tcW w:w="1082" w:type="dxa"/>
            <w:tcBorders>
              <w:top w:val="nil"/>
              <w:left w:val="nil"/>
              <w:bottom w:val="nil"/>
              <w:right w:val="nil"/>
            </w:tcBorders>
            <w:shd w:val="clear" w:color="auto" w:fill="auto"/>
            <w:noWrap/>
            <w:vAlign w:val="bottom"/>
            <w:hideMark/>
          </w:tcPr>
          <w:p w14:paraId="27756AE1" w14:textId="77777777" w:rsidR="00D45E9B" w:rsidRPr="003A4F79" w:rsidRDefault="00D45E9B" w:rsidP="00D45E9B">
            <w:pPr>
              <w:spacing w:line="240" w:lineRule="auto"/>
              <w:ind w:firstLine="0"/>
              <w:jc w:val="center"/>
              <w:rPr>
                <w:rFonts w:ascii="Times New Roman" w:eastAsia="Times New Roman" w:hAnsi="Times New Roman" w:cs="Times New Roman"/>
                <w:sz w:val="16"/>
                <w:szCs w:val="16"/>
                <w:lang w:val="en-GB" w:eastAsia="ko-KR"/>
              </w:rPr>
            </w:pPr>
            <w:r w:rsidRPr="003A4F79">
              <w:rPr>
                <w:rFonts w:ascii="Times New Roman" w:eastAsia="Times New Roman" w:hAnsi="Times New Roman" w:cs="Times New Roman"/>
                <w:sz w:val="16"/>
                <w:szCs w:val="16"/>
                <w:lang w:val="en-GB" w:eastAsia="ko-KR"/>
              </w:rPr>
              <w:t>6,236.39***</w:t>
            </w:r>
          </w:p>
        </w:tc>
        <w:tc>
          <w:tcPr>
            <w:tcW w:w="1082" w:type="dxa"/>
            <w:tcBorders>
              <w:top w:val="nil"/>
              <w:left w:val="nil"/>
              <w:bottom w:val="nil"/>
              <w:right w:val="nil"/>
            </w:tcBorders>
            <w:shd w:val="clear" w:color="auto" w:fill="auto"/>
            <w:noWrap/>
            <w:vAlign w:val="bottom"/>
            <w:hideMark/>
          </w:tcPr>
          <w:p w14:paraId="5E920A6F" w14:textId="77777777" w:rsidR="00D45E9B" w:rsidRPr="003A4F79" w:rsidRDefault="00D45E9B" w:rsidP="00D45E9B">
            <w:pPr>
              <w:spacing w:line="240" w:lineRule="auto"/>
              <w:ind w:firstLine="0"/>
              <w:jc w:val="center"/>
              <w:rPr>
                <w:rFonts w:ascii="Times New Roman" w:eastAsia="Times New Roman" w:hAnsi="Times New Roman" w:cs="Times New Roman"/>
                <w:sz w:val="16"/>
                <w:szCs w:val="16"/>
                <w:lang w:val="en-GB" w:eastAsia="ko-KR"/>
              </w:rPr>
            </w:pPr>
            <w:r w:rsidRPr="003A4F79">
              <w:rPr>
                <w:rFonts w:ascii="Times New Roman" w:eastAsia="Times New Roman" w:hAnsi="Times New Roman" w:cs="Times New Roman"/>
                <w:sz w:val="16"/>
                <w:szCs w:val="16"/>
                <w:lang w:val="en-GB" w:eastAsia="ko-KR"/>
              </w:rPr>
              <w:t>6,245.06***</w:t>
            </w:r>
          </w:p>
        </w:tc>
      </w:tr>
      <w:tr w:rsidR="00D45E9B" w:rsidRPr="003A4F79" w14:paraId="0C8A63CB" w14:textId="77777777" w:rsidTr="00D45E9B">
        <w:trPr>
          <w:trHeight w:val="321"/>
        </w:trPr>
        <w:tc>
          <w:tcPr>
            <w:tcW w:w="1838" w:type="dxa"/>
            <w:tcBorders>
              <w:top w:val="nil"/>
              <w:left w:val="nil"/>
              <w:bottom w:val="single" w:sz="4" w:space="0" w:color="auto"/>
              <w:right w:val="nil"/>
            </w:tcBorders>
            <w:shd w:val="clear" w:color="auto" w:fill="auto"/>
            <w:noWrap/>
            <w:vAlign w:val="bottom"/>
            <w:hideMark/>
          </w:tcPr>
          <w:p w14:paraId="60D7B96A" w14:textId="77777777" w:rsidR="00D45E9B" w:rsidRPr="003A4F79" w:rsidRDefault="00D45E9B" w:rsidP="00D45E9B">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Pseudo R</w:t>
            </w:r>
            <w:r w:rsidRPr="003A4F79">
              <w:rPr>
                <w:rFonts w:ascii="Times New Roman" w:eastAsia="Times New Roman" w:hAnsi="Times New Roman" w:cs="Times New Roman"/>
                <w:sz w:val="20"/>
                <w:szCs w:val="20"/>
                <w:vertAlign w:val="superscript"/>
                <w:lang w:val="en-GB" w:eastAsia="ko-KR"/>
              </w:rPr>
              <w:t>2</w:t>
            </w:r>
          </w:p>
        </w:tc>
        <w:tc>
          <w:tcPr>
            <w:tcW w:w="1082" w:type="dxa"/>
            <w:tcBorders>
              <w:top w:val="nil"/>
              <w:left w:val="nil"/>
              <w:bottom w:val="single" w:sz="4" w:space="0" w:color="auto"/>
              <w:right w:val="nil"/>
            </w:tcBorders>
            <w:shd w:val="clear" w:color="auto" w:fill="auto"/>
            <w:noWrap/>
            <w:vAlign w:val="bottom"/>
            <w:hideMark/>
          </w:tcPr>
          <w:p w14:paraId="4EF104C1"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0.1783</w:t>
            </w:r>
          </w:p>
        </w:tc>
        <w:tc>
          <w:tcPr>
            <w:tcW w:w="1082" w:type="dxa"/>
            <w:tcBorders>
              <w:top w:val="nil"/>
              <w:left w:val="nil"/>
              <w:bottom w:val="single" w:sz="4" w:space="0" w:color="auto"/>
              <w:right w:val="nil"/>
            </w:tcBorders>
            <w:shd w:val="clear" w:color="auto" w:fill="auto"/>
            <w:noWrap/>
            <w:vAlign w:val="bottom"/>
            <w:hideMark/>
          </w:tcPr>
          <w:p w14:paraId="0F503383"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0.1786</w:t>
            </w:r>
          </w:p>
        </w:tc>
        <w:tc>
          <w:tcPr>
            <w:tcW w:w="1082" w:type="dxa"/>
            <w:tcBorders>
              <w:top w:val="nil"/>
              <w:left w:val="nil"/>
              <w:bottom w:val="single" w:sz="4" w:space="0" w:color="auto"/>
              <w:right w:val="nil"/>
            </w:tcBorders>
            <w:shd w:val="clear" w:color="auto" w:fill="auto"/>
            <w:noWrap/>
            <w:vAlign w:val="bottom"/>
            <w:hideMark/>
          </w:tcPr>
          <w:p w14:paraId="12D4E27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0.1787</w:t>
            </w:r>
          </w:p>
        </w:tc>
        <w:tc>
          <w:tcPr>
            <w:tcW w:w="1082" w:type="dxa"/>
            <w:tcBorders>
              <w:top w:val="nil"/>
              <w:left w:val="nil"/>
              <w:bottom w:val="single" w:sz="4" w:space="0" w:color="auto"/>
              <w:right w:val="nil"/>
            </w:tcBorders>
            <w:shd w:val="clear" w:color="auto" w:fill="auto"/>
            <w:noWrap/>
            <w:vAlign w:val="bottom"/>
            <w:hideMark/>
          </w:tcPr>
          <w:p w14:paraId="0BFF9EDC"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0.1887</w:t>
            </w:r>
          </w:p>
        </w:tc>
        <w:tc>
          <w:tcPr>
            <w:tcW w:w="1082" w:type="dxa"/>
            <w:tcBorders>
              <w:top w:val="nil"/>
              <w:left w:val="nil"/>
              <w:bottom w:val="single" w:sz="4" w:space="0" w:color="auto"/>
              <w:right w:val="nil"/>
            </w:tcBorders>
            <w:shd w:val="clear" w:color="auto" w:fill="auto"/>
            <w:noWrap/>
            <w:vAlign w:val="bottom"/>
            <w:hideMark/>
          </w:tcPr>
          <w:p w14:paraId="687E0BED"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0.1887</w:t>
            </w:r>
          </w:p>
        </w:tc>
        <w:tc>
          <w:tcPr>
            <w:tcW w:w="1082" w:type="dxa"/>
            <w:tcBorders>
              <w:top w:val="nil"/>
              <w:left w:val="nil"/>
              <w:bottom w:val="single" w:sz="4" w:space="0" w:color="auto"/>
              <w:right w:val="nil"/>
            </w:tcBorders>
            <w:shd w:val="clear" w:color="auto" w:fill="auto"/>
            <w:noWrap/>
            <w:vAlign w:val="bottom"/>
            <w:hideMark/>
          </w:tcPr>
          <w:p w14:paraId="469C712B"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0.1887</w:t>
            </w:r>
          </w:p>
        </w:tc>
        <w:tc>
          <w:tcPr>
            <w:tcW w:w="1082" w:type="dxa"/>
            <w:tcBorders>
              <w:top w:val="nil"/>
              <w:left w:val="nil"/>
              <w:bottom w:val="single" w:sz="4" w:space="0" w:color="auto"/>
              <w:right w:val="nil"/>
            </w:tcBorders>
            <w:shd w:val="clear" w:color="auto" w:fill="auto"/>
            <w:noWrap/>
            <w:vAlign w:val="bottom"/>
            <w:hideMark/>
          </w:tcPr>
          <w:p w14:paraId="7AAE51F0" w14:textId="77777777" w:rsidR="00D45E9B" w:rsidRPr="003A4F79" w:rsidRDefault="00D45E9B" w:rsidP="00D45E9B">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0.1887</w:t>
            </w:r>
          </w:p>
        </w:tc>
      </w:tr>
    </w:tbl>
    <w:p w14:paraId="037E8165" w14:textId="77777777" w:rsidR="000055BA" w:rsidRPr="003A4F79" w:rsidRDefault="000055BA" w:rsidP="003F5009">
      <w:pPr>
        <w:pStyle w:val="FigureNotes"/>
        <w:spacing w:after="120"/>
        <w:jc w:val="center"/>
      </w:pPr>
    </w:p>
    <w:bookmarkEnd w:id="1"/>
    <w:bookmarkEnd w:id="2"/>
    <w:p w14:paraId="3D0DCE03" w14:textId="77777777" w:rsidR="0068576C" w:rsidRPr="003A4F79" w:rsidRDefault="0068576C">
      <w:pPr>
        <w:spacing w:line="240" w:lineRule="auto"/>
        <w:ind w:firstLine="0"/>
        <w:jc w:val="left"/>
        <w:rPr>
          <w:szCs w:val="28"/>
        </w:rPr>
      </w:pPr>
      <w:r w:rsidRPr="003A4F79">
        <w:br w:type="page"/>
      </w:r>
    </w:p>
    <w:p w14:paraId="5F78190C" w14:textId="5F723FFE" w:rsidR="00B40B35" w:rsidRPr="003A4F79" w:rsidRDefault="00B40B35" w:rsidP="00B40B35">
      <w:pPr>
        <w:pStyle w:val="FigureCaption"/>
        <w:jc w:val="left"/>
      </w:pPr>
      <w:r w:rsidRPr="003A4F79">
        <w:lastRenderedPageBreak/>
        <w:t xml:space="preserve">Table </w:t>
      </w:r>
      <w:r w:rsidR="00D01E8B" w:rsidRPr="003A4F79">
        <w:t>9</w:t>
      </w:r>
    </w:p>
    <w:p w14:paraId="1D65C385" w14:textId="5ED43711" w:rsidR="00B40B35" w:rsidRPr="003A4F79" w:rsidRDefault="00D01E8B" w:rsidP="00B40B35">
      <w:pPr>
        <w:pStyle w:val="FigureCaption"/>
        <w:jc w:val="left"/>
        <w:rPr>
          <w:b/>
        </w:rPr>
      </w:pPr>
      <w:r w:rsidRPr="003A4F79">
        <w:rPr>
          <w:b/>
        </w:rPr>
        <w:t>Employee stock</w:t>
      </w:r>
      <w:r w:rsidR="00141D4C" w:rsidRPr="003A4F79">
        <w:rPr>
          <w:b/>
        </w:rPr>
        <w:t>-</w:t>
      </w:r>
      <w:r w:rsidRPr="003A4F79">
        <w:rPr>
          <w:b/>
        </w:rPr>
        <w:t>ownership</w:t>
      </w:r>
      <w:r w:rsidR="00147694" w:rsidRPr="003A4F79">
        <w:rPr>
          <w:b/>
        </w:rPr>
        <w:t xml:space="preserve"> plan</w:t>
      </w:r>
      <w:r w:rsidR="001E2B6A" w:rsidRPr="003A4F79">
        <w:rPr>
          <w:b/>
        </w:rPr>
        <w:t>s</w:t>
      </w:r>
    </w:p>
    <w:p w14:paraId="45610BCB" w14:textId="77777777" w:rsidR="0068576C" w:rsidRPr="003A4F79" w:rsidRDefault="0068576C" w:rsidP="0068576C">
      <w:pPr>
        <w:pStyle w:val="FigureNotes"/>
        <w:spacing w:after="120"/>
      </w:pPr>
      <w:r w:rsidRPr="003A4F79">
        <w:t>Estimated coefficients are reported from the following multi-period (monthly) logit regression:</w:t>
      </w:r>
    </w:p>
    <w:p w14:paraId="3C15FB06" w14:textId="1778E2AB" w:rsidR="001E2B6A" w:rsidRPr="003A4F79" w:rsidRDefault="00147694" w:rsidP="00147694">
      <w:pPr>
        <w:pStyle w:val="FigureNotes"/>
        <w:spacing w:after="120"/>
        <w:jc w:val="center"/>
        <w:rPr>
          <w:i/>
        </w:rPr>
      </w:pPr>
      <w:r w:rsidRPr="003A4F79">
        <w:rPr>
          <w:i/>
        </w:rPr>
        <w:t>Logit(Re-entry</w:t>
      </w:r>
      <w:r w:rsidRPr="003A4F79">
        <w:rPr>
          <w:i/>
          <w:vertAlign w:val="subscript"/>
        </w:rPr>
        <w:t>i,t</w:t>
      </w:r>
      <w:r w:rsidRPr="003A4F79">
        <w:rPr>
          <w:i/>
        </w:rPr>
        <w:t>)</w:t>
      </w:r>
      <w:r w:rsidRPr="003A4F79">
        <w:rPr>
          <w:i/>
          <w:vertAlign w:val="subscript"/>
        </w:rPr>
        <w:t xml:space="preserve"> </w:t>
      </w:r>
      <w:r w:rsidRPr="003A4F79">
        <w:rPr>
          <w:i/>
        </w:rPr>
        <w:t>=  β</w:t>
      </w:r>
      <w:r w:rsidRPr="003A4F79">
        <w:rPr>
          <w:i/>
          <w:vertAlign w:val="subscript"/>
        </w:rPr>
        <w:t>0</w:t>
      </w:r>
      <w:r w:rsidRPr="003A4F79">
        <w:rPr>
          <w:i/>
        </w:rPr>
        <w:t xml:space="preserve"> + β</w:t>
      </w:r>
      <w:r w:rsidRPr="003A4F79">
        <w:rPr>
          <w:i/>
          <w:vertAlign w:val="subscript"/>
        </w:rPr>
        <w:t>1</w:t>
      </w:r>
      <w:r w:rsidRPr="003A4F79">
        <w:rPr>
          <w:i/>
        </w:rPr>
        <w:t>IniRet</w:t>
      </w:r>
      <w:r w:rsidRPr="003A4F79">
        <w:rPr>
          <w:i/>
          <w:vertAlign w:val="subscript"/>
        </w:rPr>
        <w:t>i</w:t>
      </w:r>
      <w:r w:rsidRPr="003A4F79">
        <w:rPr>
          <w:i/>
        </w:rPr>
        <w:t xml:space="preserve"> + β</w:t>
      </w:r>
      <w:r w:rsidRPr="003A4F79">
        <w:rPr>
          <w:i/>
          <w:vertAlign w:val="subscript"/>
        </w:rPr>
        <w:t>2</w:t>
      </w:r>
      <w:r w:rsidRPr="003A4F79">
        <w:rPr>
          <w:i/>
        </w:rPr>
        <w:t>AllRet</w:t>
      </w:r>
      <w:r w:rsidRPr="003A4F79">
        <w:rPr>
          <w:i/>
          <w:vertAlign w:val="subscript"/>
        </w:rPr>
        <w:t>i</w:t>
      </w:r>
      <w:r w:rsidRPr="003A4F79">
        <w:rPr>
          <w:i/>
        </w:rPr>
        <w:t xml:space="preserve">  + β</w:t>
      </w:r>
      <w:r w:rsidRPr="003A4F79">
        <w:rPr>
          <w:i/>
          <w:vertAlign w:val="subscript"/>
        </w:rPr>
        <w:t>3</w:t>
      </w:r>
      <w:r w:rsidRPr="003A4F79">
        <w:rPr>
          <w:i/>
        </w:rPr>
        <w:t>RecRet</w:t>
      </w:r>
      <w:r w:rsidRPr="003A4F79">
        <w:rPr>
          <w:i/>
          <w:vertAlign w:val="subscript"/>
        </w:rPr>
        <w:t>i</w:t>
      </w:r>
      <w:r w:rsidRPr="003A4F79">
        <w:rPr>
          <w:i/>
        </w:rPr>
        <w:t xml:space="preserve">  + β</w:t>
      </w:r>
      <w:r w:rsidRPr="003A4F79">
        <w:rPr>
          <w:i/>
          <w:vertAlign w:val="subscript"/>
        </w:rPr>
        <w:t>4</w:t>
      </w:r>
      <w:r w:rsidRPr="003A4F79">
        <w:rPr>
          <w:i/>
        </w:rPr>
        <w:t>RealRet</w:t>
      </w:r>
      <w:r w:rsidRPr="003A4F79">
        <w:rPr>
          <w:i/>
          <w:vertAlign w:val="subscript"/>
        </w:rPr>
        <w:t>i</w:t>
      </w:r>
      <w:r w:rsidRPr="003A4F79">
        <w:rPr>
          <w:i/>
        </w:rPr>
        <w:t xml:space="preserve"> + β</w:t>
      </w:r>
      <w:r w:rsidRPr="003A4F79">
        <w:rPr>
          <w:i/>
          <w:vertAlign w:val="subscript"/>
        </w:rPr>
        <w:t>5</w:t>
      </w:r>
      <w:r w:rsidRPr="003A4F79">
        <w:rPr>
          <w:i/>
        </w:rPr>
        <w:t>Saliency</w:t>
      </w:r>
      <w:r w:rsidRPr="003A4F79">
        <w:rPr>
          <w:i/>
          <w:vertAlign w:val="subscript"/>
        </w:rPr>
        <w:t>i</w:t>
      </w:r>
      <w:r w:rsidRPr="003A4F79">
        <w:rPr>
          <w:i/>
        </w:rPr>
        <w:t xml:space="preserve"> </w:t>
      </w:r>
      <w:r w:rsidR="001E2B6A" w:rsidRPr="003A4F79">
        <w:rPr>
          <w:i/>
        </w:rPr>
        <w:t>+ β</w:t>
      </w:r>
      <w:r w:rsidR="001E2B6A" w:rsidRPr="003A4F79">
        <w:rPr>
          <w:i/>
          <w:vertAlign w:val="subscript"/>
        </w:rPr>
        <w:t>6</w:t>
      </w:r>
      <w:r w:rsidR="001E2B6A" w:rsidRPr="003A4F79">
        <w:rPr>
          <w:i/>
        </w:rPr>
        <w:t>Vicinity</w:t>
      </w:r>
      <w:r w:rsidR="001E2B6A" w:rsidRPr="003A4F79">
        <w:rPr>
          <w:i/>
          <w:vertAlign w:val="subscript"/>
        </w:rPr>
        <w:t>i</w:t>
      </w:r>
      <w:r w:rsidR="001E2B6A" w:rsidRPr="003A4F79">
        <w:rPr>
          <w:i/>
        </w:rPr>
        <w:t xml:space="preserve"> </w:t>
      </w:r>
    </w:p>
    <w:p w14:paraId="04A8AA2F" w14:textId="71CCF890" w:rsidR="001E2B6A" w:rsidRPr="003A4F79" w:rsidRDefault="00147694" w:rsidP="001E2B6A">
      <w:pPr>
        <w:pStyle w:val="FigureNotes"/>
        <w:spacing w:after="120"/>
        <w:jc w:val="center"/>
        <w:rPr>
          <w:i/>
        </w:rPr>
      </w:pPr>
      <w:r w:rsidRPr="003A4F79">
        <w:rPr>
          <w:i/>
        </w:rPr>
        <w:t>+ β</w:t>
      </w:r>
      <w:r w:rsidR="005447A3" w:rsidRPr="003A4F79">
        <w:rPr>
          <w:i/>
          <w:vertAlign w:val="subscript"/>
        </w:rPr>
        <w:t>7</w:t>
      </w:r>
      <w:r w:rsidRPr="003A4F79">
        <w:rPr>
          <w:i/>
        </w:rPr>
        <w:t>DurAway</w:t>
      </w:r>
      <w:r w:rsidRPr="003A4F79">
        <w:rPr>
          <w:i/>
          <w:vertAlign w:val="subscript"/>
        </w:rPr>
        <w:t>i,t</w:t>
      </w:r>
      <w:r w:rsidRPr="003A4F79">
        <w:rPr>
          <w:i/>
        </w:rPr>
        <w:t xml:space="preserve"> +</w:t>
      </w:r>
      <w:r w:rsidRPr="003A4F79">
        <w:rPr>
          <w:b/>
          <w:i/>
        </w:rPr>
        <w:t xml:space="preserve"> </w:t>
      </w:r>
      <w:r w:rsidRPr="003A4F79">
        <w:rPr>
          <w:i/>
        </w:rPr>
        <w:t>β</w:t>
      </w:r>
      <w:r w:rsidR="005447A3" w:rsidRPr="003A4F79">
        <w:rPr>
          <w:i/>
          <w:vertAlign w:val="subscript"/>
        </w:rPr>
        <w:t>8</w:t>
      </w:r>
      <w:r w:rsidRPr="003A4F79">
        <w:rPr>
          <w:i/>
        </w:rPr>
        <w:t>Controls</w:t>
      </w:r>
      <w:r w:rsidRPr="003A4F79">
        <w:rPr>
          <w:i/>
          <w:vertAlign w:val="subscript"/>
        </w:rPr>
        <w:t>i,t</w:t>
      </w:r>
      <w:r w:rsidRPr="003A4F79">
        <w:rPr>
          <w:i/>
        </w:rPr>
        <w:t xml:space="preserve">+ (investment size fixed effect)+(zip-code fixed effect) </w:t>
      </w:r>
    </w:p>
    <w:p w14:paraId="5ACBA73B" w14:textId="5FC20108" w:rsidR="00147694" w:rsidRPr="003A4F79" w:rsidRDefault="00147694" w:rsidP="00147694">
      <w:pPr>
        <w:pStyle w:val="FigureNotes"/>
        <w:spacing w:after="120"/>
        <w:jc w:val="center"/>
        <w:rPr>
          <w:i/>
        </w:rPr>
      </w:pPr>
      <w:r w:rsidRPr="003A4F79">
        <w:rPr>
          <w:i/>
        </w:rPr>
        <w:t>+</w:t>
      </w:r>
      <w:r w:rsidR="005447A3" w:rsidRPr="003A4F79">
        <w:rPr>
          <w:i/>
        </w:rPr>
        <w:t xml:space="preserve"> </w:t>
      </w:r>
      <w:r w:rsidRPr="003A4F79">
        <w:rPr>
          <w:i/>
        </w:rPr>
        <w:t>(exit month fixed effect) +(year fixed effect) +</w:t>
      </w:r>
      <m:oMath>
        <m:sSub>
          <m:sSubPr>
            <m:ctrlPr>
              <w:rPr>
                <w:rFonts w:ascii="Cambria Math" w:hAnsi="Cambria Math"/>
                <w:i/>
              </w:rPr>
            </m:ctrlPr>
          </m:sSubPr>
          <m:e>
            <m:r>
              <w:rPr>
                <w:rFonts w:ascii="Cambria Math" w:hAnsi="Cambria Math"/>
              </w:rPr>
              <m:t>ϵ</m:t>
            </m:r>
          </m:e>
          <m:sub>
            <m:r>
              <w:rPr>
                <w:rFonts w:ascii="Cambria Math" w:hAnsi="Cambria Math"/>
              </w:rPr>
              <m:t>i,t</m:t>
            </m:r>
          </m:sub>
        </m:sSub>
      </m:oMath>
    </w:p>
    <w:p w14:paraId="51DB6ABC" w14:textId="6B340EB0" w:rsidR="00147694" w:rsidRPr="003A4F79" w:rsidRDefault="00147694" w:rsidP="00147694">
      <w:pPr>
        <w:pStyle w:val="FigureNotes"/>
      </w:pPr>
      <w:r w:rsidRPr="003A4F79">
        <w:rPr>
          <w:i/>
        </w:rPr>
        <w:t>Re-entry</w:t>
      </w:r>
      <w:r w:rsidRPr="003A4F79">
        <w:rPr>
          <w:noProof/>
          <w:lang w:eastAsia="en-GB"/>
        </w:rPr>
        <w:t xml:space="preserve"> equals 1 if investor </w:t>
      </w:r>
      <w:r w:rsidRPr="003A4F79">
        <w:rPr>
          <w:i/>
          <w:noProof/>
          <w:lang w:eastAsia="en-GB"/>
        </w:rPr>
        <w:t>i</w:t>
      </w:r>
      <w:r w:rsidRPr="003A4F79">
        <w:rPr>
          <w:noProof/>
          <w:lang w:eastAsia="en-GB"/>
        </w:rPr>
        <w:t xml:space="preserve"> re-enters the market in month </w:t>
      </w:r>
      <w:r w:rsidRPr="003A4F79">
        <w:rPr>
          <w:i/>
          <w:noProof/>
          <w:lang w:eastAsia="en-GB"/>
        </w:rPr>
        <w:t>t</w:t>
      </w:r>
      <w:r w:rsidRPr="003A4F79">
        <w:rPr>
          <w:noProof/>
          <w:lang w:eastAsia="en-GB"/>
        </w:rPr>
        <w:t xml:space="preserve"> by purchasing any stock at any time after one calendar month of exit, and otherwise is 0. </w:t>
      </w:r>
      <w:r w:rsidRPr="003A4F79">
        <w:rPr>
          <w:i/>
          <w:noProof/>
          <w:lang w:eastAsia="en-GB"/>
        </w:rPr>
        <w:t>IniRet</w:t>
      </w:r>
      <w:r w:rsidRPr="003A4F79">
        <w:rPr>
          <w:noProof/>
          <w:lang w:eastAsia="en-GB"/>
        </w:rPr>
        <w:t>, the main explanatory variable of interest, is the return in the first month of investing.</w:t>
      </w:r>
      <w:r w:rsidRPr="003A4F79">
        <w:t xml:space="preserve"> </w:t>
      </w:r>
      <w:r w:rsidR="008E08FA" w:rsidRPr="003A4F79">
        <w:rPr>
          <w:i/>
          <w:noProof/>
          <w:lang w:eastAsia="en-GB"/>
        </w:rPr>
        <w:t xml:space="preserve">AllRet </w:t>
      </w:r>
      <w:r w:rsidR="008E08FA" w:rsidRPr="003A4F79">
        <w:rPr>
          <w:noProof/>
          <w:lang w:eastAsia="en-GB"/>
        </w:rPr>
        <w:t>is the value-weighted average of monthly returns during the entire period of investing between entry and exit</w:t>
      </w:r>
      <w:r w:rsidRPr="003A4F79">
        <w:rPr>
          <w:noProof/>
          <w:lang w:eastAsia="en-GB"/>
        </w:rPr>
        <w:t xml:space="preserve">, </w:t>
      </w:r>
      <w:r w:rsidRPr="003A4F79">
        <w:rPr>
          <w:i/>
        </w:rPr>
        <w:t>RecRet</w:t>
      </w:r>
      <w:r w:rsidRPr="003A4F79">
        <w:t xml:space="preserve"> is the return in the last month of investing, and </w:t>
      </w:r>
      <w:r w:rsidRPr="003A4F79">
        <w:rPr>
          <w:i/>
        </w:rPr>
        <w:t>RealRet</w:t>
      </w:r>
      <w:r w:rsidRPr="003A4F79">
        <w:t xml:space="preserve"> is the </w:t>
      </w:r>
      <w:r w:rsidR="008E08FA" w:rsidRPr="003A4F79">
        <w:t>reali</w:t>
      </w:r>
      <w:r w:rsidR="00C95B94" w:rsidRPr="003A4F79">
        <w:t>s</w:t>
      </w:r>
      <w:r w:rsidR="008E08FA" w:rsidRPr="003A4F79">
        <w:t xml:space="preserve">ed </w:t>
      </w:r>
      <w:r w:rsidRPr="003A4F79">
        <w:t>return during the actual period of investing</w:t>
      </w:r>
      <w:r w:rsidRPr="003A4F79">
        <w:rPr>
          <w:noProof/>
          <w:lang w:eastAsia="en-GB"/>
        </w:rPr>
        <w:t xml:space="preserve">. </w:t>
      </w:r>
      <w:r w:rsidRPr="003A4F79">
        <w:rPr>
          <w:i/>
          <w:noProof/>
          <w:lang w:eastAsia="en-GB"/>
        </w:rPr>
        <w:t>Saliency</w:t>
      </w:r>
      <w:r w:rsidRPr="003A4F79">
        <w:rPr>
          <w:noProof/>
          <w:lang w:eastAsia="en-GB"/>
        </w:rPr>
        <w:t xml:space="preserve"> is an absolute difference between the initial return and the average return for the duration of investing, d</w:t>
      </w:r>
      <w:r w:rsidR="0073716E" w:rsidRPr="003A4F79">
        <w:rPr>
          <w:noProof/>
          <w:lang w:eastAsia="en-GB"/>
        </w:rPr>
        <w:t>i</w:t>
      </w:r>
      <w:r w:rsidRPr="003A4F79">
        <w:rPr>
          <w:noProof/>
          <w:lang w:eastAsia="en-GB"/>
        </w:rPr>
        <w:t>vided by the abso</w:t>
      </w:r>
      <w:r w:rsidR="0073716E" w:rsidRPr="003A4F79">
        <w:rPr>
          <w:noProof/>
          <w:lang w:eastAsia="en-GB"/>
        </w:rPr>
        <w:t>l</w:t>
      </w:r>
      <w:r w:rsidRPr="003A4F79">
        <w:rPr>
          <w:noProof/>
          <w:lang w:eastAsia="en-GB"/>
        </w:rPr>
        <w:t>ute value of average returns.</w:t>
      </w:r>
      <w:r w:rsidRPr="003A4F79">
        <w:rPr>
          <w:i/>
        </w:rPr>
        <w:t xml:space="preserve"> </w:t>
      </w:r>
      <w:r w:rsidR="005447A3" w:rsidRPr="003A4F79">
        <w:rPr>
          <w:i/>
        </w:rPr>
        <w:t xml:space="preserve">Vicinity </w:t>
      </w:r>
      <w:r w:rsidR="005447A3" w:rsidRPr="003A4F79">
        <w:t>is a dummy variable that equals 1 if an investor resides in the same municipality where the</w:t>
      </w:r>
      <w:r w:rsidR="005A210E" w:rsidRPr="003A4F79">
        <w:t xml:space="preserve"> company’s</w:t>
      </w:r>
      <w:r w:rsidR="005447A3" w:rsidRPr="003A4F79">
        <w:t xml:space="preserve"> headquarter</w:t>
      </w:r>
      <w:r w:rsidR="0058657A" w:rsidRPr="003A4F79">
        <w:t>s</w:t>
      </w:r>
      <w:r w:rsidR="005447A3" w:rsidRPr="003A4F79">
        <w:t xml:space="preserve"> is located.</w:t>
      </w:r>
      <w:r w:rsidR="005447A3" w:rsidRPr="003A4F79">
        <w:rPr>
          <w:i/>
        </w:rPr>
        <w:t xml:space="preserve"> </w:t>
      </w:r>
      <w:r w:rsidRPr="003A4F79">
        <w:rPr>
          <w:i/>
        </w:rPr>
        <w:t>DurAway</w:t>
      </w:r>
      <w:r w:rsidRPr="003A4F79">
        <w:t xml:space="preserve"> is length of time (in months) for which an investor is away from the stock market, i.e., time between exit month and month </w:t>
      </w:r>
      <w:r w:rsidRPr="003A4F79">
        <w:rPr>
          <w:i/>
        </w:rPr>
        <w:t>t</w:t>
      </w:r>
      <w:r w:rsidRPr="003A4F79">
        <w:t xml:space="preserve">. We account for the fixed effects of investment size, location of residency, and exit time by including dummies for portfolio holding quintiles, 100 different zip codes, and 105 different exit months, respectively: </w:t>
      </w:r>
      <w:r w:rsidRPr="003A4F79">
        <w:rPr>
          <w:i/>
        </w:rPr>
        <w:t xml:space="preserve">Investment size fixed effect </w:t>
      </w:r>
      <w:r w:rsidRPr="003A4F79">
        <w:t xml:space="preserve">uses five dummy variables indicating quintiles of average portfolio holdings; </w:t>
      </w:r>
      <w:r w:rsidRPr="003A4F79">
        <w:rPr>
          <w:i/>
        </w:rPr>
        <w:t xml:space="preserve">Zip-code fixed effect </w:t>
      </w:r>
      <w:r w:rsidRPr="003A4F79">
        <w:t xml:space="preserve">is based on 100 dummy variables for districts in Finland; and </w:t>
      </w:r>
      <w:r w:rsidRPr="003A4F79">
        <w:rPr>
          <w:i/>
        </w:rPr>
        <w:t>Exit month fixed effect</w:t>
      </w:r>
      <w:r w:rsidRPr="003A4F79">
        <w:t xml:space="preserve"> controls for 105 dummy variables indicating the calendar month of exit; </w:t>
      </w:r>
      <w:r w:rsidRPr="003A4F79">
        <w:rPr>
          <w:i/>
        </w:rPr>
        <w:t xml:space="preserve">Year fixed effect </w:t>
      </w:r>
      <w:r w:rsidRPr="003A4F79">
        <w:t xml:space="preserve">is accounted for by controlling for 8 year dummy variables indicating the calendar year. </w:t>
      </w:r>
      <w:r w:rsidRPr="003A4F79">
        <w:rPr>
          <w:i/>
        </w:rPr>
        <w:t xml:space="preserve">Controls </w:t>
      </w:r>
      <w:r w:rsidRPr="003A4F79">
        <w:t xml:space="preserve">include the following variables. </w:t>
      </w:r>
      <w:r w:rsidRPr="003A4F79">
        <w:rPr>
          <w:i/>
        </w:rPr>
        <w:t>InvSiz</w:t>
      </w:r>
      <w:r w:rsidRPr="003A4F79">
        <w:t xml:space="preserve"> is investment size, defined as the log of average portfolio holdings. </w:t>
      </w:r>
      <w:r w:rsidRPr="003A4F79">
        <w:rPr>
          <w:i/>
        </w:rPr>
        <w:t>ZeroTrd</w:t>
      </w:r>
      <w:r w:rsidRPr="003A4F79">
        <w:t xml:space="preserve"> is a dummy variable that equals 1 if the investor does not trade between initial purchase and market exit, and 0 otherwise. </w:t>
      </w:r>
      <w:r w:rsidRPr="003A4F79">
        <w:rPr>
          <w:i/>
        </w:rPr>
        <w:t>SglStock</w:t>
      </w:r>
      <w:r w:rsidRPr="003A4F79">
        <w:t xml:space="preserve"> is a dummy variable that equals 1 if the investor only owns one stock. </w:t>
      </w:r>
      <w:r w:rsidRPr="003A4F79">
        <w:rPr>
          <w:i/>
        </w:rPr>
        <w:t>Nokia</w:t>
      </w:r>
      <w:r w:rsidRPr="003A4F79">
        <w:t xml:space="preserve"> is a dummy variable equal to 1 if an investor initiates investment by purchasing Nokia stock</w:t>
      </w:r>
      <w:r w:rsidRPr="003A4F79">
        <w:rPr>
          <w:i/>
        </w:rPr>
        <w:t xml:space="preserve">. MktRet </w:t>
      </w:r>
      <w:r w:rsidRPr="003A4F79">
        <w:t>and</w:t>
      </w:r>
      <w:r w:rsidRPr="003A4F79">
        <w:rPr>
          <w:i/>
        </w:rPr>
        <w:t xml:space="preserve"> MktVol</w:t>
      </w:r>
      <w:r w:rsidRPr="003A4F79">
        <w:t xml:space="preserve"> are the monthly return and volatility</w:t>
      </w:r>
      <w:r w:rsidR="009D51CF" w:rsidRPr="003A4F79">
        <w:t xml:space="preserve"> volatility (standard deviation of daily returns)</w:t>
      </w:r>
      <w:r w:rsidRPr="003A4F79">
        <w:t xml:space="preserve"> on the Finnish stock market (OMX Helsinki Index). </w:t>
      </w:r>
      <w:r w:rsidRPr="003A4F79">
        <w:rPr>
          <w:i/>
        </w:rPr>
        <w:t>Age</w:t>
      </w:r>
      <w:r w:rsidRPr="003A4F79">
        <w:t xml:space="preserve"> is investor age (in years) at the beginning of the sample. </w:t>
      </w:r>
      <w:r w:rsidRPr="003A4F79">
        <w:rPr>
          <w:i/>
        </w:rPr>
        <w:t>Female</w:t>
      </w:r>
      <w:r w:rsidRPr="003A4F79">
        <w:t xml:space="preserve"> is a dummy variable that equals 1 if investor gender is female. </w:t>
      </w:r>
      <w:r w:rsidRPr="003A4F79">
        <w:rPr>
          <w:i/>
        </w:rPr>
        <w:t>Minor</w:t>
      </w:r>
      <w:r w:rsidRPr="003A4F79">
        <w:t xml:space="preserve"> is a dummy variable that equals 1 </w:t>
      </w:r>
      <w:r w:rsidRPr="003A4F79">
        <w:rPr>
          <w:lang w:eastAsia="en-GB"/>
        </w:rPr>
        <w:t>if the account holder is below 16 years of age</w:t>
      </w:r>
      <w:r w:rsidRPr="003A4F79">
        <w:t xml:space="preserve">. </w:t>
      </w:r>
      <w:r w:rsidRPr="003A4F79">
        <w:rPr>
          <w:i/>
        </w:rPr>
        <w:t xml:space="preserve">Burst </w:t>
      </w:r>
      <w:r w:rsidRPr="003A4F79">
        <w:t xml:space="preserve">is a dummy variable, defined as 1 if the time is after the dotcom bubble burst (April 2000). The Wald chi-square of the Wald test for the model fit is reported in the model fit column. Robust standard errors, presented in parentheses, are clustered at </w:t>
      </w:r>
      <w:r w:rsidR="00DD608A" w:rsidRPr="003A4F79">
        <w:t xml:space="preserve">the </w:t>
      </w:r>
      <w:r w:rsidRPr="003A4F79">
        <w:t xml:space="preserve">investor level: </w:t>
      </w:r>
      <w:r w:rsidRPr="003A4F79">
        <w:rPr>
          <w:rFonts w:ascii="Cambria Math" w:hAnsi="Cambria Math" w:cs="Cambria Math"/>
        </w:rPr>
        <w:t>∗∗∗</w:t>
      </w:r>
      <w:r w:rsidRPr="003A4F79">
        <w:t xml:space="preserve">, </w:t>
      </w:r>
      <w:r w:rsidRPr="003A4F79">
        <w:rPr>
          <w:rFonts w:ascii="Cambria Math" w:hAnsi="Cambria Math" w:cs="Cambria Math"/>
        </w:rPr>
        <w:t>∗∗</w:t>
      </w:r>
      <w:r w:rsidRPr="003A4F79">
        <w:t xml:space="preserve">, and </w:t>
      </w:r>
      <w:r w:rsidRPr="003A4F79">
        <w:rPr>
          <w:rFonts w:ascii="Cambria Math" w:hAnsi="Cambria Math" w:cs="Cambria Math"/>
        </w:rPr>
        <w:t>∗</w:t>
      </w:r>
      <w:r w:rsidRPr="003A4F79">
        <w:t xml:space="preserve"> denote statistical significance at </w:t>
      </w:r>
      <w:r w:rsidR="00DD608A" w:rsidRPr="003A4F79">
        <w:t xml:space="preserve">the </w:t>
      </w:r>
      <w:r w:rsidRPr="003A4F79">
        <w:t>1%, 5%, and 10% levels. There are 276,470 investor-months (9,435 investors) in the sample.</w:t>
      </w:r>
    </w:p>
    <w:p w14:paraId="1B4E7358" w14:textId="77777777" w:rsidR="00B40B35" w:rsidRPr="003A4F79" w:rsidRDefault="00B40B35">
      <w:pPr>
        <w:spacing w:line="240" w:lineRule="auto"/>
        <w:ind w:firstLine="0"/>
        <w:jc w:val="left"/>
        <w:rPr>
          <w:szCs w:val="28"/>
        </w:rPr>
      </w:pPr>
      <w:r w:rsidRPr="003A4F79">
        <w:br w:type="page"/>
      </w:r>
    </w:p>
    <w:tbl>
      <w:tblPr>
        <w:tblW w:w="7700" w:type="dxa"/>
        <w:jc w:val="center"/>
        <w:tblLook w:val="04A0" w:firstRow="1" w:lastRow="0" w:firstColumn="1" w:lastColumn="0" w:noHBand="0" w:noVBand="1"/>
      </w:tblPr>
      <w:tblGrid>
        <w:gridCol w:w="3060"/>
        <w:gridCol w:w="1216"/>
        <w:gridCol w:w="1216"/>
        <w:gridCol w:w="1216"/>
        <w:gridCol w:w="1216"/>
      </w:tblGrid>
      <w:tr w:rsidR="003A4F79" w:rsidRPr="003A4F79" w14:paraId="6E53A3E3" w14:textId="77777777" w:rsidTr="00AA25E8">
        <w:trPr>
          <w:trHeight w:val="255"/>
          <w:jc w:val="center"/>
        </w:trPr>
        <w:tc>
          <w:tcPr>
            <w:tcW w:w="3060" w:type="dxa"/>
            <w:tcBorders>
              <w:top w:val="single" w:sz="4" w:space="0" w:color="auto"/>
              <w:left w:val="nil"/>
              <w:bottom w:val="nil"/>
              <w:right w:val="nil"/>
            </w:tcBorders>
            <w:shd w:val="clear" w:color="auto" w:fill="auto"/>
            <w:noWrap/>
            <w:vAlign w:val="bottom"/>
            <w:hideMark/>
          </w:tcPr>
          <w:p w14:paraId="67876735"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lastRenderedPageBreak/>
              <w:t> </w:t>
            </w:r>
          </w:p>
        </w:tc>
        <w:tc>
          <w:tcPr>
            <w:tcW w:w="1160" w:type="dxa"/>
            <w:tcBorders>
              <w:top w:val="single" w:sz="4" w:space="0" w:color="auto"/>
              <w:left w:val="nil"/>
              <w:bottom w:val="single" w:sz="4" w:space="0" w:color="auto"/>
              <w:right w:val="nil"/>
            </w:tcBorders>
            <w:shd w:val="clear" w:color="auto" w:fill="auto"/>
            <w:noWrap/>
            <w:vAlign w:val="bottom"/>
            <w:hideMark/>
          </w:tcPr>
          <w:p w14:paraId="508F541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1</w:t>
            </w:r>
          </w:p>
        </w:tc>
        <w:tc>
          <w:tcPr>
            <w:tcW w:w="1160" w:type="dxa"/>
            <w:tcBorders>
              <w:top w:val="single" w:sz="4" w:space="0" w:color="auto"/>
              <w:left w:val="nil"/>
              <w:bottom w:val="single" w:sz="4" w:space="0" w:color="auto"/>
              <w:right w:val="nil"/>
            </w:tcBorders>
            <w:shd w:val="clear" w:color="auto" w:fill="auto"/>
            <w:noWrap/>
            <w:vAlign w:val="bottom"/>
            <w:hideMark/>
          </w:tcPr>
          <w:p w14:paraId="2598D4AA"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2</w:t>
            </w:r>
          </w:p>
        </w:tc>
        <w:tc>
          <w:tcPr>
            <w:tcW w:w="1160" w:type="dxa"/>
            <w:tcBorders>
              <w:top w:val="single" w:sz="4" w:space="0" w:color="auto"/>
              <w:left w:val="nil"/>
              <w:bottom w:val="single" w:sz="4" w:space="0" w:color="auto"/>
              <w:right w:val="nil"/>
            </w:tcBorders>
            <w:shd w:val="clear" w:color="auto" w:fill="auto"/>
            <w:noWrap/>
            <w:vAlign w:val="bottom"/>
            <w:hideMark/>
          </w:tcPr>
          <w:p w14:paraId="732331FB"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3</w:t>
            </w:r>
          </w:p>
        </w:tc>
        <w:tc>
          <w:tcPr>
            <w:tcW w:w="1160" w:type="dxa"/>
            <w:tcBorders>
              <w:top w:val="single" w:sz="4" w:space="0" w:color="auto"/>
              <w:left w:val="nil"/>
              <w:bottom w:val="single" w:sz="4" w:space="0" w:color="auto"/>
              <w:right w:val="nil"/>
            </w:tcBorders>
            <w:shd w:val="clear" w:color="auto" w:fill="auto"/>
            <w:noWrap/>
            <w:vAlign w:val="bottom"/>
            <w:hideMark/>
          </w:tcPr>
          <w:p w14:paraId="28415B2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4</w:t>
            </w:r>
          </w:p>
        </w:tc>
      </w:tr>
      <w:tr w:rsidR="003A4F79" w:rsidRPr="003A4F79" w14:paraId="53E4F65B"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9C333CD"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VARIABLES</w:t>
            </w:r>
          </w:p>
        </w:tc>
        <w:tc>
          <w:tcPr>
            <w:tcW w:w="4640" w:type="dxa"/>
            <w:gridSpan w:val="4"/>
            <w:tcBorders>
              <w:top w:val="nil"/>
              <w:left w:val="nil"/>
              <w:bottom w:val="single" w:sz="4" w:space="0" w:color="auto"/>
              <w:right w:val="nil"/>
            </w:tcBorders>
            <w:shd w:val="clear" w:color="auto" w:fill="auto"/>
            <w:noWrap/>
            <w:vAlign w:val="bottom"/>
            <w:hideMark/>
          </w:tcPr>
          <w:p w14:paraId="70A70E85"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Re-entry</w:t>
            </w:r>
          </w:p>
        </w:tc>
      </w:tr>
      <w:tr w:rsidR="003A4F79" w:rsidRPr="003A4F79" w14:paraId="787031DA" w14:textId="77777777" w:rsidTr="00AA25E8">
        <w:trPr>
          <w:trHeight w:val="255"/>
          <w:jc w:val="center"/>
        </w:trPr>
        <w:tc>
          <w:tcPr>
            <w:tcW w:w="3060" w:type="dxa"/>
            <w:tcBorders>
              <w:top w:val="single" w:sz="4" w:space="0" w:color="auto"/>
              <w:left w:val="nil"/>
              <w:bottom w:val="nil"/>
              <w:right w:val="nil"/>
            </w:tcBorders>
            <w:shd w:val="clear" w:color="auto" w:fill="auto"/>
            <w:noWrap/>
            <w:vAlign w:val="bottom"/>
            <w:hideMark/>
          </w:tcPr>
          <w:p w14:paraId="11CBEC95"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573FDCB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4802D7A8"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301821F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c>
          <w:tcPr>
            <w:tcW w:w="1160" w:type="dxa"/>
            <w:tcBorders>
              <w:top w:val="nil"/>
              <w:left w:val="nil"/>
              <w:bottom w:val="nil"/>
              <w:right w:val="nil"/>
            </w:tcBorders>
            <w:shd w:val="clear" w:color="auto" w:fill="auto"/>
            <w:noWrap/>
            <w:vAlign w:val="bottom"/>
            <w:hideMark/>
          </w:tcPr>
          <w:p w14:paraId="28DB198E"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 </w:t>
            </w:r>
          </w:p>
        </w:tc>
      </w:tr>
      <w:tr w:rsidR="003A4F79" w:rsidRPr="003A4F79" w14:paraId="2EC1F346"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03356D2A"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IniRet</w:t>
            </w:r>
          </w:p>
        </w:tc>
        <w:tc>
          <w:tcPr>
            <w:tcW w:w="1160" w:type="dxa"/>
            <w:tcBorders>
              <w:top w:val="nil"/>
              <w:left w:val="nil"/>
              <w:bottom w:val="nil"/>
              <w:right w:val="nil"/>
            </w:tcBorders>
            <w:shd w:val="clear" w:color="auto" w:fill="auto"/>
            <w:noWrap/>
            <w:vAlign w:val="bottom"/>
            <w:hideMark/>
          </w:tcPr>
          <w:p w14:paraId="33A9863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1.6411***</w:t>
            </w:r>
          </w:p>
        </w:tc>
        <w:tc>
          <w:tcPr>
            <w:tcW w:w="1160" w:type="dxa"/>
            <w:tcBorders>
              <w:top w:val="nil"/>
              <w:left w:val="nil"/>
              <w:bottom w:val="nil"/>
              <w:right w:val="nil"/>
            </w:tcBorders>
            <w:shd w:val="clear" w:color="auto" w:fill="auto"/>
            <w:noWrap/>
            <w:vAlign w:val="bottom"/>
            <w:hideMark/>
          </w:tcPr>
          <w:p w14:paraId="098E373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1.6108***</w:t>
            </w:r>
          </w:p>
        </w:tc>
        <w:tc>
          <w:tcPr>
            <w:tcW w:w="1160" w:type="dxa"/>
            <w:tcBorders>
              <w:top w:val="nil"/>
              <w:left w:val="nil"/>
              <w:bottom w:val="nil"/>
              <w:right w:val="nil"/>
            </w:tcBorders>
            <w:shd w:val="clear" w:color="auto" w:fill="auto"/>
            <w:noWrap/>
            <w:vAlign w:val="bottom"/>
            <w:hideMark/>
          </w:tcPr>
          <w:p w14:paraId="2FE9C81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1.6593***</w:t>
            </w:r>
          </w:p>
        </w:tc>
        <w:tc>
          <w:tcPr>
            <w:tcW w:w="1160" w:type="dxa"/>
            <w:tcBorders>
              <w:top w:val="nil"/>
              <w:left w:val="nil"/>
              <w:bottom w:val="nil"/>
              <w:right w:val="nil"/>
            </w:tcBorders>
            <w:shd w:val="clear" w:color="auto" w:fill="auto"/>
            <w:noWrap/>
            <w:vAlign w:val="bottom"/>
            <w:hideMark/>
          </w:tcPr>
          <w:p w14:paraId="36AD3B1F"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1.4321**</w:t>
            </w:r>
          </w:p>
        </w:tc>
      </w:tr>
      <w:tr w:rsidR="003A4F79" w:rsidRPr="003A4F79" w14:paraId="66523371"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19E8431"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9423BBF"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(3.33)</w:t>
            </w:r>
          </w:p>
        </w:tc>
        <w:tc>
          <w:tcPr>
            <w:tcW w:w="1160" w:type="dxa"/>
            <w:tcBorders>
              <w:top w:val="nil"/>
              <w:left w:val="nil"/>
              <w:bottom w:val="nil"/>
              <w:right w:val="nil"/>
            </w:tcBorders>
            <w:shd w:val="clear" w:color="auto" w:fill="auto"/>
            <w:noWrap/>
            <w:vAlign w:val="bottom"/>
            <w:hideMark/>
          </w:tcPr>
          <w:p w14:paraId="1CFAD01A"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(3.19)</w:t>
            </w:r>
          </w:p>
        </w:tc>
        <w:tc>
          <w:tcPr>
            <w:tcW w:w="1160" w:type="dxa"/>
            <w:tcBorders>
              <w:top w:val="nil"/>
              <w:left w:val="nil"/>
              <w:bottom w:val="nil"/>
              <w:right w:val="nil"/>
            </w:tcBorders>
            <w:shd w:val="clear" w:color="auto" w:fill="auto"/>
            <w:noWrap/>
            <w:vAlign w:val="bottom"/>
            <w:hideMark/>
          </w:tcPr>
          <w:p w14:paraId="5D0E346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(3.44)</w:t>
            </w:r>
          </w:p>
        </w:tc>
        <w:tc>
          <w:tcPr>
            <w:tcW w:w="1160" w:type="dxa"/>
            <w:tcBorders>
              <w:top w:val="nil"/>
              <w:left w:val="nil"/>
              <w:bottom w:val="nil"/>
              <w:right w:val="nil"/>
            </w:tcBorders>
            <w:shd w:val="clear" w:color="auto" w:fill="auto"/>
            <w:noWrap/>
            <w:vAlign w:val="bottom"/>
            <w:hideMark/>
          </w:tcPr>
          <w:p w14:paraId="04FC83A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(2.31)</w:t>
            </w:r>
          </w:p>
        </w:tc>
      </w:tr>
      <w:tr w:rsidR="003A4F79" w:rsidRPr="003A4F79" w14:paraId="325441AD"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7A8C573B"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AllRet</w:t>
            </w:r>
          </w:p>
        </w:tc>
        <w:tc>
          <w:tcPr>
            <w:tcW w:w="1160" w:type="dxa"/>
            <w:tcBorders>
              <w:top w:val="nil"/>
              <w:left w:val="nil"/>
              <w:bottom w:val="nil"/>
              <w:right w:val="nil"/>
            </w:tcBorders>
            <w:shd w:val="clear" w:color="auto" w:fill="auto"/>
            <w:noWrap/>
            <w:vAlign w:val="bottom"/>
            <w:hideMark/>
          </w:tcPr>
          <w:p w14:paraId="74FB62D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1.0704</w:t>
            </w:r>
          </w:p>
        </w:tc>
        <w:tc>
          <w:tcPr>
            <w:tcW w:w="1160" w:type="dxa"/>
            <w:tcBorders>
              <w:top w:val="nil"/>
              <w:left w:val="nil"/>
              <w:bottom w:val="nil"/>
              <w:right w:val="nil"/>
            </w:tcBorders>
            <w:shd w:val="clear" w:color="auto" w:fill="auto"/>
            <w:noWrap/>
            <w:vAlign w:val="bottom"/>
            <w:hideMark/>
          </w:tcPr>
          <w:p w14:paraId="6B0B242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1.0296</w:t>
            </w:r>
          </w:p>
        </w:tc>
        <w:tc>
          <w:tcPr>
            <w:tcW w:w="1160" w:type="dxa"/>
            <w:tcBorders>
              <w:top w:val="nil"/>
              <w:left w:val="nil"/>
              <w:bottom w:val="nil"/>
              <w:right w:val="nil"/>
            </w:tcBorders>
            <w:shd w:val="clear" w:color="auto" w:fill="auto"/>
            <w:noWrap/>
            <w:vAlign w:val="bottom"/>
            <w:hideMark/>
          </w:tcPr>
          <w:p w14:paraId="25779F0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0.9358</w:t>
            </w:r>
          </w:p>
        </w:tc>
        <w:tc>
          <w:tcPr>
            <w:tcW w:w="1160" w:type="dxa"/>
            <w:tcBorders>
              <w:top w:val="nil"/>
              <w:left w:val="nil"/>
              <w:bottom w:val="nil"/>
              <w:right w:val="nil"/>
            </w:tcBorders>
            <w:shd w:val="clear" w:color="auto" w:fill="auto"/>
            <w:noWrap/>
            <w:vAlign w:val="bottom"/>
            <w:hideMark/>
          </w:tcPr>
          <w:p w14:paraId="791B95F1"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0.9302</w:t>
            </w:r>
          </w:p>
        </w:tc>
      </w:tr>
      <w:tr w:rsidR="003A4F79" w:rsidRPr="003A4F79" w14:paraId="2E8B2ED2"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5685EE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00D30E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(0.28)</w:t>
            </w:r>
          </w:p>
        </w:tc>
        <w:tc>
          <w:tcPr>
            <w:tcW w:w="1160" w:type="dxa"/>
            <w:tcBorders>
              <w:top w:val="nil"/>
              <w:left w:val="nil"/>
              <w:bottom w:val="nil"/>
              <w:right w:val="nil"/>
            </w:tcBorders>
            <w:shd w:val="clear" w:color="auto" w:fill="auto"/>
            <w:noWrap/>
            <w:vAlign w:val="bottom"/>
            <w:hideMark/>
          </w:tcPr>
          <w:p w14:paraId="4519490F"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(0.12)</w:t>
            </w:r>
          </w:p>
        </w:tc>
        <w:tc>
          <w:tcPr>
            <w:tcW w:w="1160" w:type="dxa"/>
            <w:tcBorders>
              <w:top w:val="nil"/>
              <w:left w:val="nil"/>
              <w:bottom w:val="nil"/>
              <w:right w:val="nil"/>
            </w:tcBorders>
            <w:shd w:val="clear" w:color="auto" w:fill="auto"/>
            <w:noWrap/>
            <w:vAlign w:val="bottom"/>
            <w:hideMark/>
          </w:tcPr>
          <w:p w14:paraId="7614A12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(-0.40)</w:t>
            </w:r>
          </w:p>
        </w:tc>
        <w:tc>
          <w:tcPr>
            <w:tcW w:w="1160" w:type="dxa"/>
            <w:tcBorders>
              <w:top w:val="nil"/>
              <w:left w:val="nil"/>
              <w:bottom w:val="nil"/>
              <w:right w:val="nil"/>
            </w:tcBorders>
            <w:shd w:val="clear" w:color="auto" w:fill="auto"/>
            <w:noWrap/>
            <w:vAlign w:val="bottom"/>
            <w:hideMark/>
          </w:tcPr>
          <w:p w14:paraId="107689A5"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(-0.35)</w:t>
            </w:r>
          </w:p>
        </w:tc>
      </w:tr>
      <w:tr w:rsidR="003A4F79" w:rsidRPr="003A4F79" w14:paraId="3217BD3A"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C900AC1"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RecRet</w:t>
            </w:r>
          </w:p>
        </w:tc>
        <w:tc>
          <w:tcPr>
            <w:tcW w:w="1160" w:type="dxa"/>
            <w:tcBorders>
              <w:top w:val="nil"/>
              <w:left w:val="nil"/>
              <w:bottom w:val="nil"/>
              <w:right w:val="nil"/>
            </w:tcBorders>
            <w:shd w:val="clear" w:color="auto" w:fill="auto"/>
            <w:noWrap/>
            <w:vAlign w:val="bottom"/>
            <w:hideMark/>
          </w:tcPr>
          <w:p w14:paraId="2CF9472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0.9683</w:t>
            </w:r>
          </w:p>
        </w:tc>
        <w:tc>
          <w:tcPr>
            <w:tcW w:w="1160" w:type="dxa"/>
            <w:tcBorders>
              <w:top w:val="nil"/>
              <w:left w:val="nil"/>
              <w:bottom w:val="nil"/>
              <w:right w:val="nil"/>
            </w:tcBorders>
            <w:shd w:val="clear" w:color="auto" w:fill="auto"/>
            <w:noWrap/>
            <w:vAlign w:val="bottom"/>
            <w:hideMark/>
          </w:tcPr>
          <w:p w14:paraId="722AC5F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0.9870</w:t>
            </w:r>
          </w:p>
        </w:tc>
        <w:tc>
          <w:tcPr>
            <w:tcW w:w="1160" w:type="dxa"/>
            <w:tcBorders>
              <w:top w:val="nil"/>
              <w:left w:val="nil"/>
              <w:bottom w:val="nil"/>
              <w:right w:val="nil"/>
            </w:tcBorders>
            <w:shd w:val="clear" w:color="auto" w:fill="auto"/>
            <w:noWrap/>
            <w:vAlign w:val="bottom"/>
            <w:hideMark/>
          </w:tcPr>
          <w:p w14:paraId="6DF92357"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1.0442</w:t>
            </w:r>
          </w:p>
        </w:tc>
        <w:tc>
          <w:tcPr>
            <w:tcW w:w="1160" w:type="dxa"/>
            <w:tcBorders>
              <w:top w:val="nil"/>
              <w:left w:val="nil"/>
              <w:bottom w:val="nil"/>
              <w:right w:val="nil"/>
            </w:tcBorders>
            <w:shd w:val="clear" w:color="auto" w:fill="auto"/>
            <w:noWrap/>
            <w:vAlign w:val="bottom"/>
            <w:hideMark/>
          </w:tcPr>
          <w:p w14:paraId="09CDAAA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1.0437</w:t>
            </w:r>
          </w:p>
        </w:tc>
      </w:tr>
      <w:tr w:rsidR="003A4F79" w:rsidRPr="003A4F79" w14:paraId="693826AC"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53C332A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27A6585"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(-0.26)</w:t>
            </w:r>
          </w:p>
        </w:tc>
        <w:tc>
          <w:tcPr>
            <w:tcW w:w="1160" w:type="dxa"/>
            <w:tcBorders>
              <w:top w:val="nil"/>
              <w:left w:val="nil"/>
              <w:bottom w:val="nil"/>
              <w:right w:val="nil"/>
            </w:tcBorders>
            <w:shd w:val="clear" w:color="auto" w:fill="auto"/>
            <w:noWrap/>
            <w:vAlign w:val="bottom"/>
            <w:hideMark/>
          </w:tcPr>
          <w:p w14:paraId="2C954BA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(-0.10)</w:t>
            </w:r>
          </w:p>
        </w:tc>
        <w:tc>
          <w:tcPr>
            <w:tcW w:w="1160" w:type="dxa"/>
            <w:tcBorders>
              <w:top w:val="nil"/>
              <w:left w:val="nil"/>
              <w:bottom w:val="nil"/>
              <w:right w:val="nil"/>
            </w:tcBorders>
            <w:shd w:val="clear" w:color="auto" w:fill="auto"/>
            <w:noWrap/>
            <w:vAlign w:val="bottom"/>
            <w:hideMark/>
          </w:tcPr>
          <w:p w14:paraId="7684F3B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(0.52)</w:t>
            </w:r>
          </w:p>
        </w:tc>
        <w:tc>
          <w:tcPr>
            <w:tcW w:w="1160" w:type="dxa"/>
            <w:tcBorders>
              <w:top w:val="nil"/>
              <w:left w:val="nil"/>
              <w:bottom w:val="nil"/>
              <w:right w:val="nil"/>
            </w:tcBorders>
            <w:shd w:val="clear" w:color="auto" w:fill="auto"/>
            <w:noWrap/>
            <w:vAlign w:val="bottom"/>
            <w:hideMark/>
          </w:tcPr>
          <w:p w14:paraId="658638A6"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(0.41)</w:t>
            </w:r>
          </w:p>
        </w:tc>
      </w:tr>
      <w:tr w:rsidR="003A4F79" w:rsidRPr="003A4F79" w14:paraId="2679882F"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A3083AE"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RealRet</w:t>
            </w:r>
          </w:p>
        </w:tc>
        <w:tc>
          <w:tcPr>
            <w:tcW w:w="1160" w:type="dxa"/>
            <w:tcBorders>
              <w:top w:val="nil"/>
              <w:left w:val="nil"/>
              <w:bottom w:val="nil"/>
              <w:right w:val="nil"/>
            </w:tcBorders>
            <w:shd w:val="clear" w:color="auto" w:fill="auto"/>
            <w:noWrap/>
            <w:vAlign w:val="bottom"/>
            <w:hideMark/>
          </w:tcPr>
          <w:p w14:paraId="223872F8"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1.0408</w:t>
            </w:r>
          </w:p>
        </w:tc>
        <w:tc>
          <w:tcPr>
            <w:tcW w:w="1160" w:type="dxa"/>
            <w:tcBorders>
              <w:top w:val="nil"/>
              <w:left w:val="nil"/>
              <w:bottom w:val="nil"/>
              <w:right w:val="nil"/>
            </w:tcBorders>
            <w:shd w:val="clear" w:color="auto" w:fill="auto"/>
            <w:noWrap/>
            <w:vAlign w:val="bottom"/>
            <w:hideMark/>
          </w:tcPr>
          <w:p w14:paraId="6A9F55E1"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1.0423*</w:t>
            </w:r>
          </w:p>
        </w:tc>
        <w:tc>
          <w:tcPr>
            <w:tcW w:w="1160" w:type="dxa"/>
            <w:tcBorders>
              <w:top w:val="nil"/>
              <w:left w:val="nil"/>
              <w:bottom w:val="nil"/>
              <w:right w:val="nil"/>
            </w:tcBorders>
            <w:shd w:val="clear" w:color="auto" w:fill="auto"/>
            <w:noWrap/>
            <w:vAlign w:val="bottom"/>
            <w:hideMark/>
          </w:tcPr>
          <w:p w14:paraId="7DAE850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1.0732***</w:t>
            </w:r>
          </w:p>
        </w:tc>
        <w:tc>
          <w:tcPr>
            <w:tcW w:w="1160" w:type="dxa"/>
            <w:tcBorders>
              <w:top w:val="nil"/>
              <w:left w:val="nil"/>
              <w:bottom w:val="nil"/>
              <w:right w:val="nil"/>
            </w:tcBorders>
            <w:shd w:val="clear" w:color="auto" w:fill="auto"/>
            <w:noWrap/>
            <w:vAlign w:val="bottom"/>
            <w:hideMark/>
          </w:tcPr>
          <w:p w14:paraId="2B3189A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1.0671***</w:t>
            </w:r>
          </w:p>
        </w:tc>
      </w:tr>
      <w:tr w:rsidR="003A4F79" w:rsidRPr="003A4F79" w14:paraId="542685EB"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F6A2A6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6E85A4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(1.64)</w:t>
            </w:r>
          </w:p>
        </w:tc>
        <w:tc>
          <w:tcPr>
            <w:tcW w:w="1160" w:type="dxa"/>
            <w:tcBorders>
              <w:top w:val="nil"/>
              <w:left w:val="nil"/>
              <w:bottom w:val="nil"/>
              <w:right w:val="nil"/>
            </w:tcBorders>
            <w:shd w:val="clear" w:color="auto" w:fill="auto"/>
            <w:noWrap/>
            <w:vAlign w:val="bottom"/>
            <w:hideMark/>
          </w:tcPr>
          <w:p w14:paraId="5ADD0301"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(1.70)</w:t>
            </w:r>
          </w:p>
        </w:tc>
        <w:tc>
          <w:tcPr>
            <w:tcW w:w="1160" w:type="dxa"/>
            <w:tcBorders>
              <w:top w:val="nil"/>
              <w:left w:val="nil"/>
              <w:bottom w:val="nil"/>
              <w:right w:val="nil"/>
            </w:tcBorders>
            <w:shd w:val="clear" w:color="auto" w:fill="auto"/>
            <w:noWrap/>
            <w:vAlign w:val="bottom"/>
            <w:hideMark/>
          </w:tcPr>
          <w:p w14:paraId="6BC91EB1"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(3.08)</w:t>
            </w:r>
          </w:p>
        </w:tc>
        <w:tc>
          <w:tcPr>
            <w:tcW w:w="1160" w:type="dxa"/>
            <w:tcBorders>
              <w:top w:val="nil"/>
              <w:left w:val="nil"/>
              <w:bottom w:val="nil"/>
              <w:right w:val="nil"/>
            </w:tcBorders>
            <w:shd w:val="clear" w:color="auto" w:fill="auto"/>
            <w:noWrap/>
            <w:vAlign w:val="bottom"/>
            <w:hideMark/>
          </w:tcPr>
          <w:p w14:paraId="1DAB6AA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(2.77)</w:t>
            </w:r>
          </w:p>
        </w:tc>
      </w:tr>
      <w:tr w:rsidR="003A4F79" w:rsidRPr="003A4F79" w14:paraId="3A9D8038"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4EC63A2"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Saliency</w:t>
            </w:r>
          </w:p>
        </w:tc>
        <w:tc>
          <w:tcPr>
            <w:tcW w:w="1160" w:type="dxa"/>
            <w:tcBorders>
              <w:top w:val="nil"/>
              <w:left w:val="nil"/>
              <w:bottom w:val="nil"/>
              <w:right w:val="nil"/>
            </w:tcBorders>
            <w:shd w:val="clear" w:color="auto" w:fill="auto"/>
            <w:noWrap/>
            <w:vAlign w:val="bottom"/>
            <w:hideMark/>
          </w:tcPr>
          <w:p w14:paraId="5BB720D5"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c>
          <w:tcPr>
            <w:tcW w:w="1160" w:type="dxa"/>
            <w:tcBorders>
              <w:top w:val="nil"/>
              <w:left w:val="nil"/>
              <w:bottom w:val="nil"/>
              <w:right w:val="nil"/>
            </w:tcBorders>
            <w:shd w:val="clear" w:color="auto" w:fill="auto"/>
            <w:noWrap/>
            <w:vAlign w:val="bottom"/>
            <w:hideMark/>
          </w:tcPr>
          <w:p w14:paraId="1B73633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c>
          <w:tcPr>
            <w:tcW w:w="1160" w:type="dxa"/>
            <w:tcBorders>
              <w:top w:val="nil"/>
              <w:left w:val="nil"/>
              <w:bottom w:val="nil"/>
              <w:right w:val="nil"/>
            </w:tcBorders>
            <w:shd w:val="clear" w:color="auto" w:fill="auto"/>
            <w:noWrap/>
            <w:vAlign w:val="bottom"/>
            <w:hideMark/>
          </w:tcPr>
          <w:p w14:paraId="34B14A8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c>
          <w:tcPr>
            <w:tcW w:w="1160" w:type="dxa"/>
            <w:tcBorders>
              <w:top w:val="nil"/>
              <w:left w:val="nil"/>
              <w:bottom w:val="nil"/>
              <w:right w:val="nil"/>
            </w:tcBorders>
            <w:shd w:val="clear" w:color="auto" w:fill="auto"/>
            <w:noWrap/>
            <w:vAlign w:val="bottom"/>
            <w:hideMark/>
          </w:tcPr>
          <w:p w14:paraId="108432C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r>
      <w:tr w:rsidR="003A4F79" w:rsidRPr="003A4F79" w14:paraId="0CC97030"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474CC27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6CCBB5F"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(6.06)</w:t>
            </w:r>
          </w:p>
        </w:tc>
        <w:tc>
          <w:tcPr>
            <w:tcW w:w="1160" w:type="dxa"/>
            <w:tcBorders>
              <w:top w:val="nil"/>
              <w:left w:val="nil"/>
              <w:bottom w:val="nil"/>
              <w:right w:val="nil"/>
            </w:tcBorders>
            <w:shd w:val="clear" w:color="auto" w:fill="auto"/>
            <w:noWrap/>
            <w:vAlign w:val="bottom"/>
            <w:hideMark/>
          </w:tcPr>
          <w:p w14:paraId="573D268B"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(5.94)</w:t>
            </w:r>
          </w:p>
        </w:tc>
        <w:tc>
          <w:tcPr>
            <w:tcW w:w="1160" w:type="dxa"/>
            <w:tcBorders>
              <w:top w:val="nil"/>
              <w:left w:val="nil"/>
              <w:bottom w:val="nil"/>
              <w:right w:val="nil"/>
            </w:tcBorders>
            <w:shd w:val="clear" w:color="auto" w:fill="auto"/>
            <w:noWrap/>
            <w:vAlign w:val="bottom"/>
            <w:hideMark/>
          </w:tcPr>
          <w:p w14:paraId="5FFC861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(5.46)</w:t>
            </w:r>
          </w:p>
        </w:tc>
        <w:tc>
          <w:tcPr>
            <w:tcW w:w="1160" w:type="dxa"/>
            <w:tcBorders>
              <w:top w:val="nil"/>
              <w:left w:val="nil"/>
              <w:bottom w:val="nil"/>
              <w:right w:val="nil"/>
            </w:tcBorders>
            <w:shd w:val="clear" w:color="auto" w:fill="auto"/>
            <w:noWrap/>
            <w:vAlign w:val="bottom"/>
            <w:hideMark/>
          </w:tcPr>
          <w:p w14:paraId="75B07019"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(8.39)</w:t>
            </w:r>
          </w:p>
        </w:tc>
      </w:tr>
      <w:tr w:rsidR="003A4F79" w:rsidRPr="003A4F79" w14:paraId="20367B23"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6E193B7"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Vicinity</w:t>
            </w:r>
          </w:p>
        </w:tc>
        <w:tc>
          <w:tcPr>
            <w:tcW w:w="1160" w:type="dxa"/>
            <w:tcBorders>
              <w:top w:val="nil"/>
              <w:left w:val="nil"/>
              <w:bottom w:val="nil"/>
              <w:right w:val="nil"/>
            </w:tcBorders>
            <w:shd w:val="clear" w:color="auto" w:fill="auto"/>
            <w:noWrap/>
            <w:vAlign w:val="bottom"/>
            <w:hideMark/>
          </w:tcPr>
          <w:p w14:paraId="36ECA8C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1.2883***</w:t>
            </w:r>
          </w:p>
        </w:tc>
        <w:tc>
          <w:tcPr>
            <w:tcW w:w="1160" w:type="dxa"/>
            <w:tcBorders>
              <w:top w:val="nil"/>
              <w:left w:val="nil"/>
              <w:bottom w:val="nil"/>
              <w:right w:val="nil"/>
            </w:tcBorders>
            <w:shd w:val="clear" w:color="auto" w:fill="auto"/>
            <w:noWrap/>
            <w:vAlign w:val="bottom"/>
            <w:hideMark/>
          </w:tcPr>
          <w:p w14:paraId="30129C5A"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1.2925***</w:t>
            </w:r>
          </w:p>
        </w:tc>
        <w:tc>
          <w:tcPr>
            <w:tcW w:w="1160" w:type="dxa"/>
            <w:tcBorders>
              <w:top w:val="nil"/>
              <w:left w:val="nil"/>
              <w:bottom w:val="nil"/>
              <w:right w:val="nil"/>
            </w:tcBorders>
            <w:shd w:val="clear" w:color="auto" w:fill="auto"/>
            <w:noWrap/>
            <w:vAlign w:val="bottom"/>
            <w:hideMark/>
          </w:tcPr>
          <w:p w14:paraId="5504F0E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1.1640***</w:t>
            </w:r>
          </w:p>
        </w:tc>
        <w:tc>
          <w:tcPr>
            <w:tcW w:w="1160" w:type="dxa"/>
            <w:tcBorders>
              <w:top w:val="nil"/>
              <w:left w:val="nil"/>
              <w:bottom w:val="nil"/>
              <w:right w:val="nil"/>
            </w:tcBorders>
            <w:shd w:val="clear" w:color="auto" w:fill="auto"/>
            <w:noWrap/>
            <w:vAlign w:val="bottom"/>
            <w:hideMark/>
          </w:tcPr>
          <w:p w14:paraId="399B91D5"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1.1512***</w:t>
            </w:r>
          </w:p>
        </w:tc>
      </w:tr>
      <w:tr w:rsidR="003A4F79" w:rsidRPr="003A4F79" w14:paraId="3BAF0218"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51EB0A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56ACBD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(8.65)</w:t>
            </w:r>
          </w:p>
        </w:tc>
        <w:tc>
          <w:tcPr>
            <w:tcW w:w="1160" w:type="dxa"/>
            <w:tcBorders>
              <w:top w:val="nil"/>
              <w:left w:val="nil"/>
              <w:bottom w:val="nil"/>
              <w:right w:val="nil"/>
            </w:tcBorders>
            <w:shd w:val="clear" w:color="auto" w:fill="auto"/>
            <w:noWrap/>
            <w:vAlign w:val="bottom"/>
            <w:hideMark/>
          </w:tcPr>
          <w:p w14:paraId="4D1A7ED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(9.13)</w:t>
            </w:r>
          </w:p>
        </w:tc>
        <w:tc>
          <w:tcPr>
            <w:tcW w:w="1160" w:type="dxa"/>
            <w:tcBorders>
              <w:top w:val="nil"/>
              <w:left w:val="nil"/>
              <w:bottom w:val="nil"/>
              <w:right w:val="nil"/>
            </w:tcBorders>
            <w:shd w:val="clear" w:color="auto" w:fill="auto"/>
            <w:noWrap/>
            <w:vAlign w:val="bottom"/>
            <w:hideMark/>
          </w:tcPr>
          <w:p w14:paraId="0C803355"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(8.83)</w:t>
            </w:r>
          </w:p>
        </w:tc>
        <w:tc>
          <w:tcPr>
            <w:tcW w:w="1160" w:type="dxa"/>
            <w:tcBorders>
              <w:top w:val="nil"/>
              <w:left w:val="nil"/>
              <w:bottom w:val="nil"/>
              <w:right w:val="nil"/>
            </w:tcBorders>
            <w:shd w:val="clear" w:color="auto" w:fill="auto"/>
            <w:noWrap/>
            <w:vAlign w:val="bottom"/>
            <w:hideMark/>
          </w:tcPr>
          <w:p w14:paraId="2D3DECB7"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(8.26)</w:t>
            </w:r>
          </w:p>
        </w:tc>
      </w:tr>
      <w:tr w:rsidR="003A4F79" w:rsidRPr="003A4F79" w14:paraId="3B71EB8D"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43F035D9"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InvSiz</w:t>
            </w:r>
          </w:p>
        </w:tc>
        <w:tc>
          <w:tcPr>
            <w:tcW w:w="1160" w:type="dxa"/>
            <w:tcBorders>
              <w:top w:val="nil"/>
              <w:left w:val="nil"/>
              <w:bottom w:val="nil"/>
              <w:right w:val="nil"/>
            </w:tcBorders>
            <w:shd w:val="clear" w:color="auto" w:fill="auto"/>
            <w:noWrap/>
            <w:vAlign w:val="bottom"/>
            <w:hideMark/>
          </w:tcPr>
          <w:p w14:paraId="714EAB95"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2196697"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1.2359***</w:t>
            </w:r>
          </w:p>
        </w:tc>
        <w:tc>
          <w:tcPr>
            <w:tcW w:w="1160" w:type="dxa"/>
            <w:tcBorders>
              <w:top w:val="nil"/>
              <w:left w:val="nil"/>
              <w:bottom w:val="nil"/>
              <w:right w:val="nil"/>
            </w:tcBorders>
            <w:shd w:val="clear" w:color="auto" w:fill="auto"/>
            <w:noWrap/>
            <w:vAlign w:val="bottom"/>
            <w:hideMark/>
          </w:tcPr>
          <w:p w14:paraId="5381AB9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1.2193***</w:t>
            </w:r>
          </w:p>
        </w:tc>
        <w:tc>
          <w:tcPr>
            <w:tcW w:w="1160" w:type="dxa"/>
            <w:tcBorders>
              <w:top w:val="nil"/>
              <w:left w:val="nil"/>
              <w:bottom w:val="nil"/>
              <w:right w:val="nil"/>
            </w:tcBorders>
            <w:shd w:val="clear" w:color="auto" w:fill="auto"/>
            <w:noWrap/>
            <w:vAlign w:val="bottom"/>
            <w:hideMark/>
          </w:tcPr>
          <w:p w14:paraId="30A16A25"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1.1804***</w:t>
            </w:r>
          </w:p>
        </w:tc>
      </w:tr>
      <w:tr w:rsidR="003A4F79" w:rsidRPr="003A4F79" w14:paraId="75E3E714"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C665F76"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E68E02D"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86CDB91"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(5.30)</w:t>
            </w:r>
          </w:p>
        </w:tc>
        <w:tc>
          <w:tcPr>
            <w:tcW w:w="1160" w:type="dxa"/>
            <w:tcBorders>
              <w:top w:val="nil"/>
              <w:left w:val="nil"/>
              <w:bottom w:val="nil"/>
              <w:right w:val="nil"/>
            </w:tcBorders>
            <w:shd w:val="clear" w:color="auto" w:fill="auto"/>
            <w:noWrap/>
            <w:vAlign w:val="bottom"/>
            <w:hideMark/>
          </w:tcPr>
          <w:p w14:paraId="43300C8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(4.59)</w:t>
            </w:r>
          </w:p>
        </w:tc>
        <w:tc>
          <w:tcPr>
            <w:tcW w:w="1160" w:type="dxa"/>
            <w:tcBorders>
              <w:top w:val="nil"/>
              <w:left w:val="nil"/>
              <w:bottom w:val="nil"/>
              <w:right w:val="nil"/>
            </w:tcBorders>
            <w:shd w:val="clear" w:color="auto" w:fill="auto"/>
            <w:noWrap/>
            <w:vAlign w:val="bottom"/>
            <w:hideMark/>
          </w:tcPr>
          <w:p w14:paraId="255CD85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(3.84)</w:t>
            </w:r>
          </w:p>
        </w:tc>
      </w:tr>
      <w:tr w:rsidR="003A4F79" w:rsidRPr="003A4F79" w14:paraId="7165BDDF"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4324DEEE"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w:t>
            </w:r>
          </w:p>
        </w:tc>
        <w:tc>
          <w:tcPr>
            <w:tcW w:w="1160" w:type="dxa"/>
            <w:tcBorders>
              <w:top w:val="nil"/>
              <w:left w:val="nil"/>
              <w:bottom w:val="nil"/>
              <w:right w:val="nil"/>
            </w:tcBorders>
            <w:shd w:val="clear" w:color="auto" w:fill="auto"/>
            <w:noWrap/>
            <w:vAlign w:val="bottom"/>
            <w:hideMark/>
          </w:tcPr>
          <w:p w14:paraId="78892341"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01A69C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059BA9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0.3114***</w:t>
            </w:r>
          </w:p>
        </w:tc>
        <w:tc>
          <w:tcPr>
            <w:tcW w:w="1160" w:type="dxa"/>
            <w:tcBorders>
              <w:top w:val="nil"/>
              <w:left w:val="nil"/>
              <w:bottom w:val="nil"/>
              <w:right w:val="nil"/>
            </w:tcBorders>
            <w:shd w:val="clear" w:color="auto" w:fill="auto"/>
            <w:noWrap/>
            <w:vAlign w:val="bottom"/>
            <w:hideMark/>
          </w:tcPr>
          <w:p w14:paraId="1D58C40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0.3253***</w:t>
            </w:r>
          </w:p>
        </w:tc>
      </w:tr>
      <w:tr w:rsidR="003A4F79" w:rsidRPr="003A4F79" w14:paraId="43ECECB6"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7321915"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7F92B40"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CFCE9F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DA7F5D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(-11.33)</w:t>
            </w:r>
          </w:p>
        </w:tc>
        <w:tc>
          <w:tcPr>
            <w:tcW w:w="1160" w:type="dxa"/>
            <w:tcBorders>
              <w:top w:val="nil"/>
              <w:left w:val="nil"/>
              <w:bottom w:val="nil"/>
              <w:right w:val="nil"/>
            </w:tcBorders>
            <w:shd w:val="clear" w:color="auto" w:fill="auto"/>
            <w:noWrap/>
            <w:vAlign w:val="bottom"/>
            <w:hideMark/>
          </w:tcPr>
          <w:p w14:paraId="7F8F9FA8"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(-10.94)</w:t>
            </w:r>
          </w:p>
        </w:tc>
      </w:tr>
      <w:tr w:rsidR="003A4F79" w:rsidRPr="003A4F79" w14:paraId="5E225711"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7341E58B"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ZeroTrd</w:t>
            </w:r>
          </w:p>
        </w:tc>
        <w:tc>
          <w:tcPr>
            <w:tcW w:w="1160" w:type="dxa"/>
            <w:tcBorders>
              <w:top w:val="nil"/>
              <w:left w:val="nil"/>
              <w:bottom w:val="nil"/>
              <w:right w:val="nil"/>
            </w:tcBorders>
            <w:shd w:val="clear" w:color="auto" w:fill="auto"/>
            <w:noWrap/>
            <w:vAlign w:val="bottom"/>
            <w:hideMark/>
          </w:tcPr>
          <w:p w14:paraId="4210071F"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BEE136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76AC91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2.8302***</w:t>
            </w:r>
          </w:p>
        </w:tc>
        <w:tc>
          <w:tcPr>
            <w:tcW w:w="1160" w:type="dxa"/>
            <w:tcBorders>
              <w:top w:val="nil"/>
              <w:left w:val="nil"/>
              <w:bottom w:val="nil"/>
              <w:right w:val="nil"/>
            </w:tcBorders>
            <w:shd w:val="clear" w:color="auto" w:fill="auto"/>
            <w:noWrap/>
            <w:vAlign w:val="bottom"/>
            <w:hideMark/>
          </w:tcPr>
          <w:p w14:paraId="56B0F7E1"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2.7359***</w:t>
            </w:r>
          </w:p>
        </w:tc>
      </w:tr>
      <w:tr w:rsidR="003A4F79" w:rsidRPr="003A4F79" w14:paraId="43A1D853"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673095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639D9C5"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46436E1"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39A273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(21.68)</w:t>
            </w:r>
          </w:p>
        </w:tc>
        <w:tc>
          <w:tcPr>
            <w:tcW w:w="1160" w:type="dxa"/>
            <w:tcBorders>
              <w:top w:val="nil"/>
              <w:left w:val="nil"/>
              <w:bottom w:val="nil"/>
              <w:right w:val="nil"/>
            </w:tcBorders>
            <w:shd w:val="clear" w:color="auto" w:fill="auto"/>
            <w:noWrap/>
            <w:vAlign w:val="bottom"/>
            <w:hideMark/>
          </w:tcPr>
          <w:p w14:paraId="6BDE20EB"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(20.87)</w:t>
            </w:r>
          </w:p>
        </w:tc>
      </w:tr>
      <w:tr w:rsidR="003A4F79" w:rsidRPr="003A4F79" w14:paraId="6EA3B3F1"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32F4B2DB"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SglStock × ZeroTrd</w:t>
            </w:r>
          </w:p>
        </w:tc>
        <w:tc>
          <w:tcPr>
            <w:tcW w:w="1160" w:type="dxa"/>
            <w:tcBorders>
              <w:top w:val="nil"/>
              <w:left w:val="nil"/>
              <w:bottom w:val="nil"/>
              <w:right w:val="nil"/>
            </w:tcBorders>
            <w:shd w:val="clear" w:color="auto" w:fill="auto"/>
            <w:noWrap/>
            <w:vAlign w:val="bottom"/>
            <w:hideMark/>
          </w:tcPr>
          <w:p w14:paraId="707E5911"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A2BD56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EA62CA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0.2661***</w:t>
            </w:r>
          </w:p>
        </w:tc>
        <w:tc>
          <w:tcPr>
            <w:tcW w:w="1160" w:type="dxa"/>
            <w:tcBorders>
              <w:top w:val="nil"/>
              <w:left w:val="nil"/>
              <w:bottom w:val="nil"/>
              <w:right w:val="nil"/>
            </w:tcBorders>
            <w:shd w:val="clear" w:color="auto" w:fill="auto"/>
            <w:noWrap/>
            <w:vAlign w:val="bottom"/>
            <w:hideMark/>
          </w:tcPr>
          <w:p w14:paraId="080CD067"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0.2810***</w:t>
            </w:r>
          </w:p>
        </w:tc>
      </w:tr>
      <w:tr w:rsidR="003A4F79" w:rsidRPr="003A4F79" w14:paraId="234512C6"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93B0B0E"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923DE26"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00E04E9"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74DF45D1"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(-11.50)</w:t>
            </w:r>
          </w:p>
        </w:tc>
        <w:tc>
          <w:tcPr>
            <w:tcW w:w="1160" w:type="dxa"/>
            <w:tcBorders>
              <w:top w:val="nil"/>
              <w:left w:val="nil"/>
              <w:bottom w:val="nil"/>
              <w:right w:val="nil"/>
            </w:tcBorders>
            <w:shd w:val="clear" w:color="auto" w:fill="auto"/>
            <w:noWrap/>
            <w:vAlign w:val="bottom"/>
            <w:hideMark/>
          </w:tcPr>
          <w:p w14:paraId="348667B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(-11.07)</w:t>
            </w:r>
          </w:p>
        </w:tc>
      </w:tr>
      <w:tr w:rsidR="003A4F79" w:rsidRPr="003A4F79" w14:paraId="5DC9B26C"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BEDFA1E"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Nokia</w:t>
            </w:r>
          </w:p>
        </w:tc>
        <w:tc>
          <w:tcPr>
            <w:tcW w:w="1160" w:type="dxa"/>
            <w:tcBorders>
              <w:top w:val="nil"/>
              <w:left w:val="nil"/>
              <w:bottom w:val="nil"/>
              <w:right w:val="nil"/>
            </w:tcBorders>
            <w:shd w:val="clear" w:color="auto" w:fill="auto"/>
            <w:noWrap/>
            <w:vAlign w:val="bottom"/>
            <w:hideMark/>
          </w:tcPr>
          <w:p w14:paraId="63A10F9D"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4E0D526"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05DE7D9"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D944FE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1.9102***</w:t>
            </w:r>
          </w:p>
        </w:tc>
      </w:tr>
      <w:tr w:rsidR="003A4F79" w:rsidRPr="003A4F79" w14:paraId="41EB5D22"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DCEB5D9"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E230CCB"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1AE7BBF"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DCE2A79"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94046D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(16.47)</w:t>
            </w:r>
          </w:p>
        </w:tc>
      </w:tr>
      <w:tr w:rsidR="003A4F79" w:rsidRPr="003A4F79" w14:paraId="426EB756"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7D60BAD0"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MktRet</w:t>
            </w:r>
          </w:p>
        </w:tc>
        <w:tc>
          <w:tcPr>
            <w:tcW w:w="1160" w:type="dxa"/>
            <w:tcBorders>
              <w:top w:val="nil"/>
              <w:left w:val="nil"/>
              <w:bottom w:val="nil"/>
              <w:right w:val="nil"/>
            </w:tcBorders>
            <w:shd w:val="clear" w:color="auto" w:fill="auto"/>
            <w:noWrap/>
            <w:vAlign w:val="bottom"/>
            <w:hideMark/>
          </w:tcPr>
          <w:p w14:paraId="02EBB92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0.4610***</w:t>
            </w:r>
          </w:p>
        </w:tc>
        <w:tc>
          <w:tcPr>
            <w:tcW w:w="1160" w:type="dxa"/>
            <w:tcBorders>
              <w:top w:val="nil"/>
              <w:left w:val="nil"/>
              <w:bottom w:val="nil"/>
              <w:right w:val="nil"/>
            </w:tcBorders>
            <w:shd w:val="clear" w:color="auto" w:fill="auto"/>
            <w:noWrap/>
            <w:vAlign w:val="bottom"/>
            <w:hideMark/>
          </w:tcPr>
          <w:p w14:paraId="2829A1F8"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0.4614***</w:t>
            </w:r>
          </w:p>
        </w:tc>
        <w:tc>
          <w:tcPr>
            <w:tcW w:w="1160" w:type="dxa"/>
            <w:tcBorders>
              <w:top w:val="nil"/>
              <w:left w:val="nil"/>
              <w:bottom w:val="nil"/>
              <w:right w:val="nil"/>
            </w:tcBorders>
            <w:shd w:val="clear" w:color="auto" w:fill="auto"/>
            <w:noWrap/>
            <w:vAlign w:val="bottom"/>
            <w:hideMark/>
          </w:tcPr>
          <w:p w14:paraId="60377A6A"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0.4337***</w:t>
            </w:r>
          </w:p>
        </w:tc>
        <w:tc>
          <w:tcPr>
            <w:tcW w:w="1160" w:type="dxa"/>
            <w:tcBorders>
              <w:top w:val="nil"/>
              <w:left w:val="nil"/>
              <w:bottom w:val="nil"/>
              <w:right w:val="nil"/>
            </w:tcBorders>
            <w:shd w:val="clear" w:color="auto" w:fill="auto"/>
            <w:noWrap/>
            <w:vAlign w:val="bottom"/>
            <w:hideMark/>
          </w:tcPr>
          <w:p w14:paraId="4B6024C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0.4215***</w:t>
            </w:r>
          </w:p>
        </w:tc>
      </w:tr>
      <w:tr w:rsidR="003A4F79" w:rsidRPr="003A4F79" w14:paraId="460DC9B7"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C7C331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3BFB7F7"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(-4.55)</w:t>
            </w:r>
          </w:p>
        </w:tc>
        <w:tc>
          <w:tcPr>
            <w:tcW w:w="1160" w:type="dxa"/>
            <w:tcBorders>
              <w:top w:val="nil"/>
              <w:left w:val="nil"/>
              <w:bottom w:val="nil"/>
              <w:right w:val="nil"/>
            </w:tcBorders>
            <w:shd w:val="clear" w:color="auto" w:fill="auto"/>
            <w:noWrap/>
            <w:vAlign w:val="bottom"/>
            <w:hideMark/>
          </w:tcPr>
          <w:p w14:paraId="5D015FB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(-4.55)</w:t>
            </w:r>
          </w:p>
        </w:tc>
        <w:tc>
          <w:tcPr>
            <w:tcW w:w="1160" w:type="dxa"/>
            <w:tcBorders>
              <w:top w:val="nil"/>
              <w:left w:val="nil"/>
              <w:bottom w:val="nil"/>
              <w:right w:val="nil"/>
            </w:tcBorders>
            <w:shd w:val="clear" w:color="auto" w:fill="auto"/>
            <w:noWrap/>
            <w:vAlign w:val="bottom"/>
            <w:hideMark/>
          </w:tcPr>
          <w:p w14:paraId="18C0BE6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(-4.84)</w:t>
            </w:r>
          </w:p>
        </w:tc>
        <w:tc>
          <w:tcPr>
            <w:tcW w:w="1160" w:type="dxa"/>
            <w:tcBorders>
              <w:top w:val="nil"/>
              <w:left w:val="nil"/>
              <w:bottom w:val="nil"/>
              <w:right w:val="nil"/>
            </w:tcBorders>
            <w:shd w:val="clear" w:color="auto" w:fill="auto"/>
            <w:noWrap/>
            <w:vAlign w:val="bottom"/>
            <w:hideMark/>
          </w:tcPr>
          <w:p w14:paraId="35562D1F"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(-5.00)</w:t>
            </w:r>
          </w:p>
        </w:tc>
      </w:tr>
      <w:tr w:rsidR="003A4F79" w:rsidRPr="003A4F79" w14:paraId="70B42547"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A0047F3"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MktVol</w:t>
            </w:r>
          </w:p>
        </w:tc>
        <w:tc>
          <w:tcPr>
            <w:tcW w:w="1160" w:type="dxa"/>
            <w:tcBorders>
              <w:top w:val="nil"/>
              <w:left w:val="nil"/>
              <w:bottom w:val="nil"/>
              <w:right w:val="nil"/>
            </w:tcBorders>
            <w:shd w:val="clear" w:color="auto" w:fill="auto"/>
            <w:noWrap/>
            <w:vAlign w:val="bottom"/>
            <w:hideMark/>
          </w:tcPr>
          <w:p w14:paraId="17D50049"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0.5157</w:t>
            </w:r>
          </w:p>
        </w:tc>
        <w:tc>
          <w:tcPr>
            <w:tcW w:w="1160" w:type="dxa"/>
            <w:tcBorders>
              <w:top w:val="nil"/>
              <w:left w:val="nil"/>
              <w:bottom w:val="nil"/>
              <w:right w:val="nil"/>
            </w:tcBorders>
            <w:shd w:val="clear" w:color="auto" w:fill="auto"/>
            <w:noWrap/>
            <w:vAlign w:val="bottom"/>
            <w:hideMark/>
          </w:tcPr>
          <w:p w14:paraId="61789D2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0.5138</w:t>
            </w:r>
          </w:p>
        </w:tc>
        <w:tc>
          <w:tcPr>
            <w:tcW w:w="1160" w:type="dxa"/>
            <w:tcBorders>
              <w:top w:val="nil"/>
              <w:left w:val="nil"/>
              <w:bottom w:val="nil"/>
              <w:right w:val="nil"/>
            </w:tcBorders>
            <w:shd w:val="clear" w:color="auto" w:fill="auto"/>
            <w:noWrap/>
            <w:vAlign w:val="bottom"/>
            <w:hideMark/>
          </w:tcPr>
          <w:p w14:paraId="6B32AB1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0.4141</w:t>
            </w:r>
          </w:p>
        </w:tc>
        <w:tc>
          <w:tcPr>
            <w:tcW w:w="1160" w:type="dxa"/>
            <w:tcBorders>
              <w:top w:val="nil"/>
              <w:left w:val="nil"/>
              <w:bottom w:val="nil"/>
              <w:right w:val="nil"/>
            </w:tcBorders>
            <w:shd w:val="clear" w:color="auto" w:fill="auto"/>
            <w:noWrap/>
            <w:vAlign w:val="bottom"/>
            <w:hideMark/>
          </w:tcPr>
          <w:p w14:paraId="11D9EF0B"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0.3966</w:t>
            </w:r>
          </w:p>
        </w:tc>
      </w:tr>
      <w:tr w:rsidR="003A4F79" w:rsidRPr="003A4F79" w14:paraId="7DE44FF8"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4A06FC0B"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9001787"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(-1.04)</w:t>
            </w:r>
          </w:p>
        </w:tc>
        <w:tc>
          <w:tcPr>
            <w:tcW w:w="1160" w:type="dxa"/>
            <w:tcBorders>
              <w:top w:val="nil"/>
              <w:left w:val="nil"/>
              <w:bottom w:val="nil"/>
              <w:right w:val="nil"/>
            </w:tcBorders>
            <w:shd w:val="clear" w:color="auto" w:fill="auto"/>
            <w:noWrap/>
            <w:vAlign w:val="bottom"/>
            <w:hideMark/>
          </w:tcPr>
          <w:p w14:paraId="63934E3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(-1.05)</w:t>
            </w:r>
          </w:p>
        </w:tc>
        <w:tc>
          <w:tcPr>
            <w:tcW w:w="1160" w:type="dxa"/>
            <w:tcBorders>
              <w:top w:val="nil"/>
              <w:left w:val="nil"/>
              <w:bottom w:val="nil"/>
              <w:right w:val="nil"/>
            </w:tcBorders>
            <w:shd w:val="clear" w:color="auto" w:fill="auto"/>
            <w:noWrap/>
            <w:vAlign w:val="bottom"/>
            <w:hideMark/>
          </w:tcPr>
          <w:p w14:paraId="252D5CD8"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(-1.35)</w:t>
            </w:r>
          </w:p>
        </w:tc>
        <w:tc>
          <w:tcPr>
            <w:tcW w:w="1160" w:type="dxa"/>
            <w:tcBorders>
              <w:top w:val="nil"/>
              <w:left w:val="nil"/>
              <w:bottom w:val="nil"/>
              <w:right w:val="nil"/>
            </w:tcBorders>
            <w:shd w:val="clear" w:color="auto" w:fill="auto"/>
            <w:noWrap/>
            <w:vAlign w:val="bottom"/>
            <w:hideMark/>
          </w:tcPr>
          <w:p w14:paraId="584F8669"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(-1.41)</w:t>
            </w:r>
          </w:p>
        </w:tc>
      </w:tr>
      <w:tr w:rsidR="003A4F79" w:rsidRPr="003A4F79" w14:paraId="0A80334F"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3ADCD787"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Female</w:t>
            </w:r>
          </w:p>
        </w:tc>
        <w:tc>
          <w:tcPr>
            <w:tcW w:w="1160" w:type="dxa"/>
            <w:tcBorders>
              <w:top w:val="nil"/>
              <w:left w:val="nil"/>
              <w:bottom w:val="nil"/>
              <w:right w:val="nil"/>
            </w:tcBorders>
            <w:shd w:val="clear" w:color="auto" w:fill="auto"/>
            <w:noWrap/>
            <w:vAlign w:val="bottom"/>
            <w:hideMark/>
          </w:tcPr>
          <w:p w14:paraId="4545286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0.7678***</w:t>
            </w:r>
          </w:p>
        </w:tc>
        <w:tc>
          <w:tcPr>
            <w:tcW w:w="1160" w:type="dxa"/>
            <w:tcBorders>
              <w:top w:val="nil"/>
              <w:left w:val="nil"/>
              <w:bottom w:val="nil"/>
              <w:right w:val="nil"/>
            </w:tcBorders>
            <w:shd w:val="clear" w:color="auto" w:fill="auto"/>
            <w:noWrap/>
            <w:vAlign w:val="bottom"/>
            <w:hideMark/>
          </w:tcPr>
          <w:p w14:paraId="092B4FB6"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0.7709***</w:t>
            </w:r>
          </w:p>
        </w:tc>
        <w:tc>
          <w:tcPr>
            <w:tcW w:w="1160" w:type="dxa"/>
            <w:tcBorders>
              <w:top w:val="nil"/>
              <w:left w:val="nil"/>
              <w:bottom w:val="nil"/>
              <w:right w:val="nil"/>
            </w:tcBorders>
            <w:shd w:val="clear" w:color="auto" w:fill="auto"/>
            <w:noWrap/>
            <w:vAlign w:val="bottom"/>
            <w:hideMark/>
          </w:tcPr>
          <w:p w14:paraId="5D9DA24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0.9429</w:t>
            </w:r>
          </w:p>
        </w:tc>
        <w:tc>
          <w:tcPr>
            <w:tcW w:w="1160" w:type="dxa"/>
            <w:tcBorders>
              <w:top w:val="nil"/>
              <w:left w:val="nil"/>
              <w:bottom w:val="nil"/>
              <w:right w:val="nil"/>
            </w:tcBorders>
            <w:shd w:val="clear" w:color="auto" w:fill="auto"/>
            <w:noWrap/>
            <w:vAlign w:val="bottom"/>
            <w:hideMark/>
          </w:tcPr>
          <w:p w14:paraId="036666BE"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0.9340</w:t>
            </w:r>
          </w:p>
        </w:tc>
      </w:tr>
      <w:tr w:rsidR="003A4F79" w:rsidRPr="003A4F79" w14:paraId="21E5001F"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733D1E96"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ACB45E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(-6.02)</w:t>
            </w:r>
          </w:p>
        </w:tc>
        <w:tc>
          <w:tcPr>
            <w:tcW w:w="1160" w:type="dxa"/>
            <w:tcBorders>
              <w:top w:val="nil"/>
              <w:left w:val="nil"/>
              <w:bottom w:val="nil"/>
              <w:right w:val="nil"/>
            </w:tcBorders>
            <w:shd w:val="clear" w:color="auto" w:fill="auto"/>
            <w:noWrap/>
            <w:vAlign w:val="bottom"/>
            <w:hideMark/>
          </w:tcPr>
          <w:p w14:paraId="33444CB6"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(-5.96)</w:t>
            </w:r>
          </w:p>
        </w:tc>
        <w:tc>
          <w:tcPr>
            <w:tcW w:w="1160" w:type="dxa"/>
            <w:tcBorders>
              <w:top w:val="nil"/>
              <w:left w:val="nil"/>
              <w:bottom w:val="nil"/>
              <w:right w:val="nil"/>
            </w:tcBorders>
            <w:shd w:val="clear" w:color="auto" w:fill="auto"/>
            <w:noWrap/>
            <w:vAlign w:val="bottom"/>
            <w:hideMark/>
          </w:tcPr>
          <w:p w14:paraId="5E3FADA5"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(-1.36)</w:t>
            </w:r>
          </w:p>
        </w:tc>
        <w:tc>
          <w:tcPr>
            <w:tcW w:w="1160" w:type="dxa"/>
            <w:tcBorders>
              <w:top w:val="nil"/>
              <w:left w:val="nil"/>
              <w:bottom w:val="nil"/>
              <w:right w:val="nil"/>
            </w:tcBorders>
            <w:shd w:val="clear" w:color="auto" w:fill="auto"/>
            <w:noWrap/>
            <w:vAlign w:val="bottom"/>
            <w:hideMark/>
          </w:tcPr>
          <w:p w14:paraId="4BF5706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(-1.57)</w:t>
            </w:r>
          </w:p>
        </w:tc>
      </w:tr>
      <w:tr w:rsidR="003A4F79" w:rsidRPr="003A4F79" w14:paraId="50943E1F"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94278A8"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Age</w:t>
            </w:r>
          </w:p>
        </w:tc>
        <w:tc>
          <w:tcPr>
            <w:tcW w:w="1160" w:type="dxa"/>
            <w:tcBorders>
              <w:top w:val="nil"/>
              <w:left w:val="nil"/>
              <w:bottom w:val="nil"/>
              <w:right w:val="nil"/>
            </w:tcBorders>
            <w:shd w:val="clear" w:color="auto" w:fill="auto"/>
            <w:noWrap/>
            <w:vAlign w:val="bottom"/>
            <w:hideMark/>
          </w:tcPr>
          <w:p w14:paraId="361BA53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0.9998</w:t>
            </w:r>
          </w:p>
        </w:tc>
        <w:tc>
          <w:tcPr>
            <w:tcW w:w="1160" w:type="dxa"/>
            <w:tcBorders>
              <w:top w:val="nil"/>
              <w:left w:val="nil"/>
              <w:bottom w:val="nil"/>
              <w:right w:val="nil"/>
            </w:tcBorders>
            <w:shd w:val="clear" w:color="auto" w:fill="auto"/>
            <w:noWrap/>
            <w:vAlign w:val="bottom"/>
            <w:hideMark/>
          </w:tcPr>
          <w:p w14:paraId="5D9EF7B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0.9995</w:t>
            </w:r>
          </w:p>
        </w:tc>
        <w:tc>
          <w:tcPr>
            <w:tcW w:w="1160" w:type="dxa"/>
            <w:tcBorders>
              <w:top w:val="nil"/>
              <w:left w:val="nil"/>
              <w:bottom w:val="nil"/>
              <w:right w:val="nil"/>
            </w:tcBorders>
            <w:shd w:val="clear" w:color="auto" w:fill="auto"/>
            <w:noWrap/>
            <w:vAlign w:val="bottom"/>
            <w:hideMark/>
          </w:tcPr>
          <w:p w14:paraId="369115A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1.0006</w:t>
            </w:r>
          </w:p>
        </w:tc>
        <w:tc>
          <w:tcPr>
            <w:tcW w:w="1160" w:type="dxa"/>
            <w:tcBorders>
              <w:top w:val="nil"/>
              <w:left w:val="nil"/>
              <w:bottom w:val="nil"/>
              <w:right w:val="nil"/>
            </w:tcBorders>
            <w:shd w:val="clear" w:color="auto" w:fill="auto"/>
            <w:noWrap/>
            <w:vAlign w:val="bottom"/>
            <w:hideMark/>
          </w:tcPr>
          <w:p w14:paraId="76F92F3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1.0001</w:t>
            </w:r>
          </w:p>
        </w:tc>
      </w:tr>
      <w:tr w:rsidR="003A4F79" w:rsidRPr="003A4F79" w14:paraId="08F17B0A"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220048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1598928"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(-0.13)</w:t>
            </w:r>
          </w:p>
        </w:tc>
        <w:tc>
          <w:tcPr>
            <w:tcW w:w="1160" w:type="dxa"/>
            <w:tcBorders>
              <w:top w:val="nil"/>
              <w:left w:val="nil"/>
              <w:bottom w:val="nil"/>
              <w:right w:val="nil"/>
            </w:tcBorders>
            <w:shd w:val="clear" w:color="auto" w:fill="auto"/>
            <w:noWrap/>
            <w:vAlign w:val="bottom"/>
            <w:hideMark/>
          </w:tcPr>
          <w:p w14:paraId="62EF7129"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(-0.39)</w:t>
            </w:r>
          </w:p>
        </w:tc>
        <w:tc>
          <w:tcPr>
            <w:tcW w:w="1160" w:type="dxa"/>
            <w:tcBorders>
              <w:top w:val="nil"/>
              <w:left w:val="nil"/>
              <w:bottom w:val="nil"/>
              <w:right w:val="nil"/>
            </w:tcBorders>
            <w:shd w:val="clear" w:color="auto" w:fill="auto"/>
            <w:noWrap/>
            <w:vAlign w:val="bottom"/>
            <w:hideMark/>
          </w:tcPr>
          <w:p w14:paraId="16D5237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(0.43)</w:t>
            </w:r>
          </w:p>
        </w:tc>
        <w:tc>
          <w:tcPr>
            <w:tcW w:w="1160" w:type="dxa"/>
            <w:tcBorders>
              <w:top w:val="nil"/>
              <w:left w:val="nil"/>
              <w:bottom w:val="nil"/>
              <w:right w:val="nil"/>
            </w:tcBorders>
            <w:shd w:val="clear" w:color="auto" w:fill="auto"/>
            <w:noWrap/>
            <w:vAlign w:val="bottom"/>
            <w:hideMark/>
          </w:tcPr>
          <w:p w14:paraId="09BF3F71"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(0.06)</w:t>
            </w:r>
          </w:p>
        </w:tc>
      </w:tr>
      <w:tr w:rsidR="003A4F79" w:rsidRPr="003A4F79" w14:paraId="6BB0ACCE"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3309EFD2"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Burst</w:t>
            </w:r>
          </w:p>
        </w:tc>
        <w:tc>
          <w:tcPr>
            <w:tcW w:w="1160" w:type="dxa"/>
            <w:tcBorders>
              <w:top w:val="nil"/>
              <w:left w:val="nil"/>
              <w:bottom w:val="nil"/>
              <w:right w:val="nil"/>
            </w:tcBorders>
            <w:shd w:val="clear" w:color="auto" w:fill="auto"/>
            <w:noWrap/>
            <w:vAlign w:val="bottom"/>
            <w:hideMark/>
          </w:tcPr>
          <w:p w14:paraId="1F42262E"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0.4416***</w:t>
            </w:r>
          </w:p>
        </w:tc>
        <w:tc>
          <w:tcPr>
            <w:tcW w:w="1160" w:type="dxa"/>
            <w:tcBorders>
              <w:top w:val="nil"/>
              <w:left w:val="nil"/>
              <w:bottom w:val="nil"/>
              <w:right w:val="nil"/>
            </w:tcBorders>
            <w:shd w:val="clear" w:color="auto" w:fill="auto"/>
            <w:noWrap/>
            <w:vAlign w:val="bottom"/>
            <w:hideMark/>
          </w:tcPr>
          <w:p w14:paraId="47BF72D9"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0.4416***</w:t>
            </w:r>
          </w:p>
        </w:tc>
        <w:tc>
          <w:tcPr>
            <w:tcW w:w="1160" w:type="dxa"/>
            <w:tcBorders>
              <w:top w:val="nil"/>
              <w:left w:val="nil"/>
              <w:bottom w:val="nil"/>
              <w:right w:val="nil"/>
            </w:tcBorders>
            <w:shd w:val="clear" w:color="auto" w:fill="auto"/>
            <w:noWrap/>
            <w:vAlign w:val="bottom"/>
            <w:hideMark/>
          </w:tcPr>
          <w:p w14:paraId="16A5DB4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0.5284***</w:t>
            </w:r>
          </w:p>
        </w:tc>
        <w:tc>
          <w:tcPr>
            <w:tcW w:w="1160" w:type="dxa"/>
            <w:tcBorders>
              <w:top w:val="nil"/>
              <w:left w:val="nil"/>
              <w:bottom w:val="nil"/>
              <w:right w:val="nil"/>
            </w:tcBorders>
            <w:shd w:val="clear" w:color="auto" w:fill="auto"/>
            <w:noWrap/>
            <w:vAlign w:val="bottom"/>
            <w:hideMark/>
          </w:tcPr>
          <w:p w14:paraId="73D92015"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0.5418***</w:t>
            </w:r>
          </w:p>
        </w:tc>
      </w:tr>
      <w:tr w:rsidR="003A4F79" w:rsidRPr="003A4F79" w14:paraId="11BD20F0"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73E23951"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8BDDA9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(-11.47)</w:t>
            </w:r>
          </w:p>
        </w:tc>
        <w:tc>
          <w:tcPr>
            <w:tcW w:w="1160" w:type="dxa"/>
            <w:tcBorders>
              <w:top w:val="nil"/>
              <w:left w:val="nil"/>
              <w:bottom w:val="nil"/>
              <w:right w:val="nil"/>
            </w:tcBorders>
            <w:shd w:val="clear" w:color="auto" w:fill="auto"/>
            <w:noWrap/>
            <w:vAlign w:val="bottom"/>
            <w:hideMark/>
          </w:tcPr>
          <w:p w14:paraId="367726E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(-11.47)</w:t>
            </w:r>
          </w:p>
        </w:tc>
        <w:tc>
          <w:tcPr>
            <w:tcW w:w="1160" w:type="dxa"/>
            <w:tcBorders>
              <w:top w:val="nil"/>
              <w:left w:val="nil"/>
              <w:bottom w:val="nil"/>
              <w:right w:val="nil"/>
            </w:tcBorders>
            <w:shd w:val="clear" w:color="auto" w:fill="auto"/>
            <w:noWrap/>
            <w:vAlign w:val="bottom"/>
            <w:hideMark/>
          </w:tcPr>
          <w:p w14:paraId="141B2151"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(-8.66)</w:t>
            </w:r>
          </w:p>
        </w:tc>
        <w:tc>
          <w:tcPr>
            <w:tcW w:w="1160" w:type="dxa"/>
            <w:tcBorders>
              <w:top w:val="nil"/>
              <w:left w:val="nil"/>
              <w:bottom w:val="nil"/>
              <w:right w:val="nil"/>
            </w:tcBorders>
            <w:shd w:val="clear" w:color="auto" w:fill="auto"/>
            <w:noWrap/>
            <w:vAlign w:val="bottom"/>
            <w:hideMark/>
          </w:tcPr>
          <w:p w14:paraId="6FD9CDE8"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(-8.22)</w:t>
            </w:r>
          </w:p>
        </w:tc>
      </w:tr>
      <w:tr w:rsidR="003A4F79" w:rsidRPr="003A4F79" w14:paraId="4D995465"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FA56125"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DurAway</w:t>
            </w:r>
          </w:p>
        </w:tc>
        <w:tc>
          <w:tcPr>
            <w:tcW w:w="1160" w:type="dxa"/>
            <w:tcBorders>
              <w:top w:val="nil"/>
              <w:left w:val="nil"/>
              <w:bottom w:val="nil"/>
              <w:right w:val="nil"/>
            </w:tcBorders>
            <w:shd w:val="clear" w:color="auto" w:fill="auto"/>
            <w:noWrap/>
            <w:vAlign w:val="bottom"/>
            <w:hideMark/>
          </w:tcPr>
          <w:p w14:paraId="268C86A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0.9510***</w:t>
            </w:r>
          </w:p>
        </w:tc>
        <w:tc>
          <w:tcPr>
            <w:tcW w:w="1160" w:type="dxa"/>
            <w:tcBorders>
              <w:top w:val="nil"/>
              <w:left w:val="nil"/>
              <w:bottom w:val="nil"/>
              <w:right w:val="nil"/>
            </w:tcBorders>
            <w:shd w:val="clear" w:color="auto" w:fill="auto"/>
            <w:noWrap/>
            <w:vAlign w:val="bottom"/>
            <w:hideMark/>
          </w:tcPr>
          <w:p w14:paraId="7815C58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0.9509***</w:t>
            </w:r>
          </w:p>
        </w:tc>
        <w:tc>
          <w:tcPr>
            <w:tcW w:w="1160" w:type="dxa"/>
            <w:tcBorders>
              <w:top w:val="nil"/>
              <w:left w:val="nil"/>
              <w:bottom w:val="nil"/>
              <w:right w:val="nil"/>
            </w:tcBorders>
            <w:shd w:val="clear" w:color="auto" w:fill="auto"/>
            <w:noWrap/>
            <w:vAlign w:val="bottom"/>
            <w:hideMark/>
          </w:tcPr>
          <w:p w14:paraId="76487DBF"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0.9569***</w:t>
            </w:r>
          </w:p>
        </w:tc>
        <w:tc>
          <w:tcPr>
            <w:tcW w:w="1160" w:type="dxa"/>
            <w:tcBorders>
              <w:top w:val="nil"/>
              <w:left w:val="nil"/>
              <w:bottom w:val="nil"/>
              <w:right w:val="nil"/>
            </w:tcBorders>
            <w:shd w:val="clear" w:color="auto" w:fill="auto"/>
            <w:noWrap/>
            <w:vAlign w:val="bottom"/>
            <w:hideMark/>
          </w:tcPr>
          <w:p w14:paraId="560D0C2F"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0.9574***</w:t>
            </w:r>
          </w:p>
        </w:tc>
      </w:tr>
      <w:tr w:rsidR="003A4F79" w:rsidRPr="003A4F79" w14:paraId="772DA741"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0E47810F"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682ED22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(-23.12)</w:t>
            </w:r>
          </w:p>
        </w:tc>
        <w:tc>
          <w:tcPr>
            <w:tcW w:w="1160" w:type="dxa"/>
            <w:tcBorders>
              <w:top w:val="nil"/>
              <w:left w:val="nil"/>
              <w:bottom w:val="nil"/>
              <w:right w:val="nil"/>
            </w:tcBorders>
            <w:shd w:val="clear" w:color="auto" w:fill="auto"/>
            <w:noWrap/>
            <w:vAlign w:val="bottom"/>
            <w:hideMark/>
          </w:tcPr>
          <w:p w14:paraId="6741C4E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(-23.19)</w:t>
            </w:r>
          </w:p>
        </w:tc>
        <w:tc>
          <w:tcPr>
            <w:tcW w:w="1160" w:type="dxa"/>
            <w:tcBorders>
              <w:top w:val="nil"/>
              <w:left w:val="nil"/>
              <w:bottom w:val="nil"/>
              <w:right w:val="nil"/>
            </w:tcBorders>
            <w:shd w:val="clear" w:color="auto" w:fill="auto"/>
            <w:noWrap/>
            <w:vAlign w:val="bottom"/>
            <w:hideMark/>
          </w:tcPr>
          <w:p w14:paraId="612B2FA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(-22.86)</w:t>
            </w:r>
          </w:p>
        </w:tc>
        <w:tc>
          <w:tcPr>
            <w:tcW w:w="1160" w:type="dxa"/>
            <w:tcBorders>
              <w:top w:val="nil"/>
              <w:left w:val="nil"/>
              <w:bottom w:val="nil"/>
              <w:right w:val="nil"/>
            </w:tcBorders>
            <w:shd w:val="clear" w:color="auto" w:fill="auto"/>
            <w:noWrap/>
            <w:vAlign w:val="bottom"/>
            <w:hideMark/>
          </w:tcPr>
          <w:p w14:paraId="50D0D95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(-23.05)</w:t>
            </w:r>
          </w:p>
        </w:tc>
      </w:tr>
      <w:tr w:rsidR="003A4F79" w:rsidRPr="003A4F79" w14:paraId="7EF0F839"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D76569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2FE56B06"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F47A28B"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A336E69"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321F89A9"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06617B68"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7D6FAF1F"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Investment size quintile dummies</w:t>
            </w:r>
          </w:p>
        </w:tc>
        <w:tc>
          <w:tcPr>
            <w:tcW w:w="1160" w:type="dxa"/>
            <w:tcBorders>
              <w:top w:val="nil"/>
              <w:left w:val="nil"/>
              <w:bottom w:val="nil"/>
              <w:right w:val="nil"/>
            </w:tcBorders>
            <w:shd w:val="clear" w:color="auto" w:fill="auto"/>
            <w:noWrap/>
            <w:vAlign w:val="bottom"/>
            <w:hideMark/>
          </w:tcPr>
          <w:p w14:paraId="409E216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D73A6D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28D336DB"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9EC395D"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1EDE1F3B"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4C7F75B"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Zip code dummies</w:t>
            </w:r>
          </w:p>
        </w:tc>
        <w:tc>
          <w:tcPr>
            <w:tcW w:w="1160" w:type="dxa"/>
            <w:tcBorders>
              <w:top w:val="nil"/>
              <w:left w:val="nil"/>
              <w:bottom w:val="nil"/>
              <w:right w:val="nil"/>
            </w:tcBorders>
            <w:shd w:val="clear" w:color="auto" w:fill="auto"/>
            <w:noWrap/>
            <w:vAlign w:val="bottom"/>
            <w:hideMark/>
          </w:tcPr>
          <w:p w14:paraId="66694F3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71103C01"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6DAE275"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662E7227"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7B3E2360"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4A60E4D6"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Exit time dummies</w:t>
            </w:r>
          </w:p>
        </w:tc>
        <w:tc>
          <w:tcPr>
            <w:tcW w:w="1160" w:type="dxa"/>
            <w:tcBorders>
              <w:top w:val="nil"/>
              <w:left w:val="nil"/>
              <w:bottom w:val="nil"/>
              <w:right w:val="nil"/>
            </w:tcBorders>
            <w:shd w:val="clear" w:color="auto" w:fill="auto"/>
            <w:noWrap/>
            <w:vAlign w:val="bottom"/>
            <w:hideMark/>
          </w:tcPr>
          <w:p w14:paraId="0237CDBF"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31DCD05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7F32273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216AED6"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75CA123D"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19E01FB3"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Year dummies</w:t>
            </w:r>
          </w:p>
        </w:tc>
        <w:tc>
          <w:tcPr>
            <w:tcW w:w="1160" w:type="dxa"/>
            <w:tcBorders>
              <w:top w:val="nil"/>
              <w:left w:val="nil"/>
              <w:bottom w:val="nil"/>
              <w:right w:val="nil"/>
            </w:tcBorders>
            <w:shd w:val="clear" w:color="auto" w:fill="auto"/>
            <w:noWrap/>
            <w:vAlign w:val="bottom"/>
            <w:hideMark/>
          </w:tcPr>
          <w:p w14:paraId="462CD963"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419C901E"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2E51B0FB"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EFF5E1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07A6D628"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642AA598"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531FA6BD"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004C776E"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108E777A"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c>
          <w:tcPr>
            <w:tcW w:w="1160" w:type="dxa"/>
            <w:tcBorders>
              <w:top w:val="nil"/>
              <w:left w:val="nil"/>
              <w:bottom w:val="nil"/>
              <w:right w:val="nil"/>
            </w:tcBorders>
            <w:shd w:val="clear" w:color="auto" w:fill="auto"/>
            <w:noWrap/>
            <w:vAlign w:val="bottom"/>
            <w:hideMark/>
          </w:tcPr>
          <w:p w14:paraId="448A45DC"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p>
        </w:tc>
      </w:tr>
      <w:tr w:rsidR="003A4F79" w:rsidRPr="003A4F79" w14:paraId="2462E408"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2672824B"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Robust SE clustered at investor level</w:t>
            </w:r>
          </w:p>
        </w:tc>
        <w:tc>
          <w:tcPr>
            <w:tcW w:w="1160" w:type="dxa"/>
            <w:tcBorders>
              <w:top w:val="nil"/>
              <w:left w:val="nil"/>
              <w:bottom w:val="nil"/>
              <w:right w:val="nil"/>
            </w:tcBorders>
            <w:shd w:val="clear" w:color="auto" w:fill="auto"/>
            <w:noWrap/>
            <w:vAlign w:val="bottom"/>
            <w:hideMark/>
          </w:tcPr>
          <w:p w14:paraId="11FD2ED9"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38FAE5C4"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0C4D6D1E"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c>
          <w:tcPr>
            <w:tcW w:w="1160" w:type="dxa"/>
            <w:tcBorders>
              <w:top w:val="nil"/>
              <w:left w:val="nil"/>
              <w:bottom w:val="nil"/>
              <w:right w:val="nil"/>
            </w:tcBorders>
            <w:shd w:val="clear" w:color="auto" w:fill="auto"/>
            <w:noWrap/>
            <w:vAlign w:val="bottom"/>
            <w:hideMark/>
          </w:tcPr>
          <w:p w14:paraId="115FD45E"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Yes</w:t>
            </w:r>
          </w:p>
        </w:tc>
      </w:tr>
      <w:tr w:rsidR="003A4F79" w:rsidRPr="003A4F79" w14:paraId="3520094F" w14:textId="77777777" w:rsidTr="00AA25E8">
        <w:trPr>
          <w:trHeight w:val="255"/>
          <w:jc w:val="center"/>
        </w:trPr>
        <w:tc>
          <w:tcPr>
            <w:tcW w:w="3060" w:type="dxa"/>
            <w:tcBorders>
              <w:top w:val="nil"/>
              <w:left w:val="nil"/>
              <w:bottom w:val="nil"/>
              <w:right w:val="nil"/>
            </w:tcBorders>
            <w:shd w:val="clear" w:color="auto" w:fill="auto"/>
            <w:noWrap/>
            <w:vAlign w:val="bottom"/>
            <w:hideMark/>
          </w:tcPr>
          <w:p w14:paraId="00D2BE22"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Model fit</w:t>
            </w:r>
          </w:p>
        </w:tc>
        <w:tc>
          <w:tcPr>
            <w:tcW w:w="1160" w:type="dxa"/>
            <w:tcBorders>
              <w:top w:val="nil"/>
              <w:left w:val="nil"/>
              <w:bottom w:val="nil"/>
              <w:right w:val="nil"/>
            </w:tcBorders>
            <w:shd w:val="clear" w:color="auto" w:fill="auto"/>
            <w:noWrap/>
            <w:vAlign w:val="bottom"/>
            <w:hideMark/>
          </w:tcPr>
          <w:p w14:paraId="2FD4CCCF"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1,749.49***</w:t>
            </w:r>
          </w:p>
        </w:tc>
        <w:tc>
          <w:tcPr>
            <w:tcW w:w="1160" w:type="dxa"/>
            <w:tcBorders>
              <w:top w:val="nil"/>
              <w:left w:val="nil"/>
              <w:bottom w:val="nil"/>
              <w:right w:val="nil"/>
            </w:tcBorders>
            <w:shd w:val="clear" w:color="auto" w:fill="auto"/>
            <w:noWrap/>
            <w:vAlign w:val="bottom"/>
            <w:hideMark/>
          </w:tcPr>
          <w:p w14:paraId="11C1EC5B"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1,771.12***</w:t>
            </w:r>
          </w:p>
        </w:tc>
        <w:tc>
          <w:tcPr>
            <w:tcW w:w="1160" w:type="dxa"/>
            <w:tcBorders>
              <w:top w:val="nil"/>
              <w:left w:val="nil"/>
              <w:bottom w:val="nil"/>
              <w:right w:val="nil"/>
            </w:tcBorders>
            <w:shd w:val="clear" w:color="auto" w:fill="auto"/>
            <w:noWrap/>
            <w:vAlign w:val="bottom"/>
            <w:hideMark/>
          </w:tcPr>
          <w:p w14:paraId="57952527"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5,224.11***</w:t>
            </w:r>
          </w:p>
        </w:tc>
        <w:tc>
          <w:tcPr>
            <w:tcW w:w="1160" w:type="dxa"/>
            <w:tcBorders>
              <w:top w:val="nil"/>
              <w:left w:val="nil"/>
              <w:bottom w:val="nil"/>
              <w:right w:val="nil"/>
            </w:tcBorders>
            <w:shd w:val="clear" w:color="auto" w:fill="auto"/>
            <w:noWrap/>
            <w:vAlign w:val="bottom"/>
            <w:hideMark/>
          </w:tcPr>
          <w:p w14:paraId="0FBF334F"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5,720.54***</w:t>
            </w:r>
          </w:p>
        </w:tc>
      </w:tr>
      <w:tr w:rsidR="00AD3C50" w:rsidRPr="003A4F79" w14:paraId="36C7756C" w14:textId="77777777" w:rsidTr="00AA25E8">
        <w:trPr>
          <w:trHeight w:val="315"/>
          <w:jc w:val="center"/>
        </w:trPr>
        <w:tc>
          <w:tcPr>
            <w:tcW w:w="3060" w:type="dxa"/>
            <w:tcBorders>
              <w:top w:val="nil"/>
              <w:left w:val="nil"/>
              <w:bottom w:val="single" w:sz="4" w:space="0" w:color="auto"/>
              <w:right w:val="nil"/>
            </w:tcBorders>
            <w:shd w:val="clear" w:color="auto" w:fill="auto"/>
            <w:noWrap/>
            <w:vAlign w:val="bottom"/>
            <w:hideMark/>
          </w:tcPr>
          <w:p w14:paraId="2911EA9A" w14:textId="77777777" w:rsidR="00AA25E8" w:rsidRPr="003A4F79" w:rsidRDefault="00AA25E8" w:rsidP="00AA25E8">
            <w:pPr>
              <w:spacing w:line="240" w:lineRule="auto"/>
              <w:ind w:firstLine="0"/>
              <w:jc w:val="left"/>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Pseudo R</w:t>
            </w:r>
            <w:r w:rsidRPr="003A4F79">
              <w:rPr>
                <w:rFonts w:ascii="Times New Roman" w:eastAsia="Times New Roman" w:hAnsi="Times New Roman" w:cs="Times New Roman"/>
                <w:sz w:val="20"/>
                <w:szCs w:val="20"/>
                <w:vertAlign w:val="superscript"/>
                <w:lang w:val="en-GB" w:eastAsia="ko-KR"/>
              </w:rPr>
              <w:t>2</w:t>
            </w:r>
          </w:p>
        </w:tc>
        <w:tc>
          <w:tcPr>
            <w:tcW w:w="1160" w:type="dxa"/>
            <w:tcBorders>
              <w:top w:val="nil"/>
              <w:left w:val="nil"/>
              <w:bottom w:val="single" w:sz="4" w:space="0" w:color="auto"/>
              <w:right w:val="nil"/>
            </w:tcBorders>
            <w:shd w:val="clear" w:color="auto" w:fill="auto"/>
            <w:noWrap/>
            <w:vAlign w:val="bottom"/>
            <w:hideMark/>
          </w:tcPr>
          <w:p w14:paraId="2F61D3B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0.0749</w:t>
            </w:r>
          </w:p>
        </w:tc>
        <w:tc>
          <w:tcPr>
            <w:tcW w:w="1160" w:type="dxa"/>
            <w:tcBorders>
              <w:top w:val="nil"/>
              <w:left w:val="nil"/>
              <w:bottom w:val="single" w:sz="4" w:space="0" w:color="auto"/>
              <w:right w:val="nil"/>
            </w:tcBorders>
            <w:shd w:val="clear" w:color="auto" w:fill="auto"/>
            <w:noWrap/>
            <w:vAlign w:val="bottom"/>
            <w:hideMark/>
          </w:tcPr>
          <w:p w14:paraId="5702D430"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0.0757</w:t>
            </w:r>
          </w:p>
        </w:tc>
        <w:tc>
          <w:tcPr>
            <w:tcW w:w="1160" w:type="dxa"/>
            <w:tcBorders>
              <w:top w:val="nil"/>
              <w:left w:val="nil"/>
              <w:bottom w:val="single" w:sz="4" w:space="0" w:color="auto"/>
              <w:right w:val="nil"/>
            </w:tcBorders>
            <w:shd w:val="clear" w:color="auto" w:fill="auto"/>
            <w:noWrap/>
            <w:vAlign w:val="bottom"/>
            <w:hideMark/>
          </w:tcPr>
          <w:p w14:paraId="229319B2"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0.1698</w:t>
            </w:r>
          </w:p>
        </w:tc>
        <w:tc>
          <w:tcPr>
            <w:tcW w:w="1160" w:type="dxa"/>
            <w:tcBorders>
              <w:top w:val="nil"/>
              <w:left w:val="nil"/>
              <w:bottom w:val="single" w:sz="4" w:space="0" w:color="auto"/>
              <w:right w:val="nil"/>
            </w:tcBorders>
            <w:shd w:val="clear" w:color="auto" w:fill="auto"/>
            <w:noWrap/>
            <w:vAlign w:val="bottom"/>
            <w:hideMark/>
          </w:tcPr>
          <w:p w14:paraId="004D767E" w14:textId="77777777" w:rsidR="00AA25E8" w:rsidRPr="003A4F79" w:rsidRDefault="00AA25E8" w:rsidP="00AA25E8">
            <w:pPr>
              <w:spacing w:line="240" w:lineRule="auto"/>
              <w:ind w:firstLine="0"/>
              <w:jc w:val="center"/>
              <w:rPr>
                <w:rFonts w:ascii="Times New Roman" w:eastAsia="Times New Roman" w:hAnsi="Times New Roman" w:cs="Times New Roman"/>
                <w:sz w:val="20"/>
                <w:szCs w:val="20"/>
                <w:lang w:val="en-GB" w:eastAsia="ko-KR"/>
              </w:rPr>
            </w:pPr>
            <w:r w:rsidRPr="003A4F79">
              <w:rPr>
                <w:rFonts w:ascii="Times New Roman" w:eastAsia="Times New Roman" w:hAnsi="Times New Roman" w:cs="Times New Roman"/>
                <w:sz w:val="20"/>
                <w:szCs w:val="20"/>
                <w:lang w:val="en-GB" w:eastAsia="ko-KR"/>
              </w:rPr>
              <w:t>0.1782</w:t>
            </w:r>
          </w:p>
        </w:tc>
      </w:tr>
    </w:tbl>
    <w:p w14:paraId="72FB041B" w14:textId="6BE29457" w:rsidR="00EB4B9A" w:rsidRPr="003A4F79" w:rsidRDefault="00EB4B9A">
      <w:pPr>
        <w:spacing w:line="240" w:lineRule="auto"/>
        <w:ind w:firstLine="0"/>
        <w:jc w:val="left"/>
        <w:rPr>
          <w:szCs w:val="28"/>
        </w:rPr>
      </w:pPr>
    </w:p>
    <w:sectPr w:rsidR="00EB4B9A" w:rsidRPr="003A4F79" w:rsidSect="00403934">
      <w:pgSz w:w="12240" w:h="15840" w:code="1"/>
      <w:pgMar w:top="1412" w:right="1412" w:bottom="1140" w:left="1412" w:header="720" w:footer="43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78C74" w16cid:durableId="1E3BBA38"/>
  <w16cid:commentId w16cid:paraId="777D02C7" w16cid:durableId="1E3BC9BF"/>
  <w16cid:commentId w16cid:paraId="32C8F80C" w16cid:durableId="1E3BBD7A"/>
  <w16cid:commentId w16cid:paraId="6E5CD99C" w16cid:durableId="1E3BC3D6"/>
  <w16cid:commentId w16cid:paraId="22F696A4" w16cid:durableId="1E3BC9F5"/>
  <w16cid:commentId w16cid:paraId="20468B97" w16cid:durableId="1E3BD468"/>
  <w16cid:commentId w16cid:paraId="73C2B3E0" w16cid:durableId="1E3BD5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D358A" w14:textId="77777777" w:rsidR="00601DC0" w:rsidRDefault="00601DC0" w:rsidP="00AB1084">
      <w:r>
        <w:separator/>
      </w:r>
    </w:p>
  </w:endnote>
  <w:endnote w:type="continuationSeparator" w:id="0">
    <w:p w14:paraId="37E66494" w14:textId="77777777" w:rsidR="00601DC0" w:rsidRDefault="00601DC0" w:rsidP="00AB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YGothic-Extra">
    <w:altName w:val="HY견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B075" w14:textId="77777777" w:rsidR="00F36286" w:rsidRDefault="00F36286" w:rsidP="00711BA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3EF4F7F" w14:textId="77777777" w:rsidR="00F36286" w:rsidRDefault="00F36286" w:rsidP="00711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7F885" w14:textId="014BB917" w:rsidR="00F36286" w:rsidRDefault="00F36286" w:rsidP="00711BA8">
    <w:pPr>
      <w:pStyle w:val="Footer"/>
      <w:spacing w:line="240" w:lineRule="auto"/>
      <w:ind w:firstLine="0"/>
      <w:jc w:val="center"/>
    </w:pPr>
    <w:r w:rsidRPr="002A20C1">
      <w:rPr>
        <w:rStyle w:val="PageNumber"/>
        <w:sz w:val="20"/>
      </w:rPr>
      <w:fldChar w:fldCharType="begin"/>
    </w:r>
    <w:r w:rsidRPr="002A20C1">
      <w:rPr>
        <w:rStyle w:val="PageNumber"/>
        <w:sz w:val="20"/>
      </w:rPr>
      <w:instrText xml:space="preserve">PAGE  </w:instrText>
    </w:r>
    <w:r w:rsidRPr="002A20C1">
      <w:rPr>
        <w:rStyle w:val="PageNumber"/>
        <w:sz w:val="20"/>
      </w:rPr>
      <w:fldChar w:fldCharType="separate"/>
    </w:r>
    <w:r w:rsidR="00A36CF2">
      <w:rPr>
        <w:rStyle w:val="PageNumber"/>
        <w:noProof/>
        <w:sz w:val="20"/>
      </w:rPr>
      <w:t>1</w:t>
    </w:r>
    <w:r w:rsidRPr="002A20C1">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90EED" w14:textId="77777777" w:rsidR="00601DC0" w:rsidRDefault="00601DC0" w:rsidP="00AB1084">
      <w:r>
        <w:separator/>
      </w:r>
    </w:p>
  </w:footnote>
  <w:footnote w:type="continuationSeparator" w:id="0">
    <w:p w14:paraId="4FB58048" w14:textId="77777777" w:rsidR="00601DC0" w:rsidRDefault="00601DC0" w:rsidP="00AB1084">
      <w:r>
        <w:continuationSeparator/>
      </w:r>
    </w:p>
  </w:footnote>
  <w:footnote w:id="1">
    <w:p w14:paraId="474970AF" w14:textId="77777777" w:rsidR="00F36286" w:rsidRPr="004E078E" w:rsidRDefault="00F36286" w:rsidP="00490E76">
      <w:pPr>
        <w:pStyle w:val="FootnoteText"/>
        <w:rPr>
          <w:lang w:eastAsia="ko-KR"/>
        </w:rPr>
      </w:pPr>
      <w:r w:rsidRPr="00AD3C50">
        <w:rPr>
          <w:rStyle w:val="FootnoteReference"/>
          <w:color w:val="000000" w:themeColor="text1"/>
        </w:rPr>
        <w:footnoteRef/>
      </w:r>
      <w:r w:rsidRPr="00AD3C50">
        <w:rPr>
          <w:color w:val="000000" w:themeColor="text1"/>
        </w:rPr>
        <w:t xml:space="preserve"> </w:t>
      </w:r>
      <w:r w:rsidRPr="00AD3C50">
        <w:rPr>
          <w:color w:val="000000" w:themeColor="text1"/>
          <w:szCs w:val="20"/>
        </w:rPr>
        <w:t xml:space="preserve">Such behavioural biases include, among others, availability bias (Shefrin, 2002), salience biases (Barber and Odean, 2006), </w:t>
      </w:r>
      <w:r w:rsidRPr="00AD3C50">
        <w:rPr>
          <w:rFonts w:asciiTheme="minorHAnsi" w:hAnsiTheme="minorHAnsi" w:cstheme="minorHAnsi"/>
          <w:color w:val="000000" w:themeColor="text1"/>
          <w:szCs w:val="20"/>
        </w:rPr>
        <w:t>familiarity bias (Frieder and Subrahmanyam</w:t>
      </w:r>
      <w:r w:rsidRPr="00AD3C50">
        <w:rPr>
          <w:color w:val="000000" w:themeColor="text1"/>
          <w:szCs w:val="20"/>
        </w:rPr>
        <w:t>,</w:t>
      </w:r>
      <w:r w:rsidRPr="00AD3C50">
        <w:rPr>
          <w:rFonts w:asciiTheme="minorHAnsi" w:hAnsiTheme="minorHAnsi" w:cstheme="minorHAnsi"/>
          <w:color w:val="000000" w:themeColor="text1"/>
          <w:szCs w:val="20"/>
        </w:rPr>
        <w:t xml:space="preserve"> 2005), loss aversion (Barberis and Huang</w:t>
      </w:r>
      <w:r w:rsidRPr="00AD3C50">
        <w:rPr>
          <w:color w:val="000000" w:themeColor="text1"/>
          <w:szCs w:val="20"/>
        </w:rPr>
        <w:t>, 2</w:t>
      </w:r>
      <w:r w:rsidRPr="00AD3C50">
        <w:rPr>
          <w:rFonts w:asciiTheme="minorHAnsi" w:hAnsiTheme="minorHAnsi" w:cstheme="minorHAnsi"/>
          <w:color w:val="000000" w:themeColor="text1"/>
          <w:szCs w:val="20"/>
        </w:rPr>
        <w:t>001)</w:t>
      </w:r>
      <w:r w:rsidRPr="00AD3C50">
        <w:rPr>
          <w:color w:val="000000" w:themeColor="text1"/>
          <w:szCs w:val="20"/>
        </w:rPr>
        <w:t xml:space="preserve">, and </w:t>
      </w:r>
      <w:r w:rsidRPr="00AD3C50">
        <w:rPr>
          <w:rFonts w:asciiTheme="minorHAnsi" w:hAnsiTheme="minorHAnsi" w:cstheme="minorHAnsi"/>
          <w:color w:val="000000" w:themeColor="text1"/>
          <w:szCs w:val="20"/>
        </w:rPr>
        <w:t>disposition effect (Odean</w:t>
      </w:r>
      <w:r w:rsidRPr="00AD3C50">
        <w:rPr>
          <w:color w:val="000000" w:themeColor="text1"/>
          <w:szCs w:val="20"/>
        </w:rPr>
        <w:t>, 1998).</w:t>
      </w:r>
    </w:p>
  </w:footnote>
  <w:footnote w:id="2">
    <w:p w14:paraId="59D128FD" w14:textId="78A4C289" w:rsidR="00F36286" w:rsidRPr="00767FBC" w:rsidRDefault="00F36286">
      <w:pPr>
        <w:pStyle w:val="FootnoteText"/>
      </w:pPr>
      <w:r w:rsidRPr="00767FBC">
        <w:rPr>
          <w:rStyle w:val="FootnoteReference"/>
          <w:sz w:val="16"/>
        </w:rPr>
        <w:footnoteRef/>
      </w:r>
      <w:r w:rsidRPr="00767FBC">
        <w:t xml:space="preserve"> </w:t>
      </w:r>
      <w:r>
        <w:t>The s</w:t>
      </w:r>
      <w:r w:rsidRPr="00767FBC">
        <w:t xml:space="preserve">urvival analysis </w:t>
      </w:r>
      <w:r>
        <w:t xml:space="preserve">technique has been widely used in the finance literature to study investors’ decisions to sell or repurchase securities (e.g., </w:t>
      </w:r>
      <w:r w:rsidRPr="009E5D6C">
        <w:t>Strahilevitz</w:t>
      </w:r>
      <w:r>
        <w:t xml:space="preserve">, </w:t>
      </w:r>
      <w:r w:rsidRPr="00015A37">
        <w:t>Odean, and Barber</w:t>
      </w:r>
      <w:r>
        <w:rPr>
          <w:rFonts w:asciiTheme="minorHAnsi" w:hAnsiTheme="minorHAnsi" w:cstheme="minorHAnsi"/>
        </w:rPr>
        <w:t xml:space="preserve">, </w:t>
      </w:r>
      <w:r w:rsidRPr="009E5D6C">
        <w:rPr>
          <w:rFonts w:asciiTheme="minorHAnsi" w:hAnsiTheme="minorHAnsi" w:cstheme="minorHAnsi"/>
        </w:rPr>
        <w:t>2011</w:t>
      </w:r>
      <w:r>
        <w:rPr>
          <w:rFonts w:asciiTheme="minorHAnsi" w:hAnsiTheme="minorHAnsi" w:cstheme="minorHAnsi"/>
        </w:rPr>
        <w:t xml:space="preserve">; </w:t>
      </w:r>
      <w:r w:rsidRPr="009E5D6C">
        <w:t>Seru</w:t>
      </w:r>
      <w:r>
        <w:t xml:space="preserve">, </w:t>
      </w:r>
      <w:r w:rsidRPr="00015A37">
        <w:t>Shumway, and Stoffman</w:t>
      </w:r>
      <w:r>
        <w:rPr>
          <w:rFonts w:asciiTheme="minorHAnsi" w:hAnsiTheme="minorHAnsi" w:cstheme="minorHAnsi"/>
        </w:rPr>
        <w:t xml:space="preserve">, </w:t>
      </w:r>
      <w:r w:rsidRPr="009E5D6C">
        <w:rPr>
          <w:rFonts w:asciiTheme="minorHAnsi" w:hAnsiTheme="minorHAnsi" w:cstheme="minorHAnsi"/>
        </w:rPr>
        <w:t>2010</w:t>
      </w:r>
      <w:r>
        <w:rPr>
          <w:rFonts w:asciiTheme="minorHAnsi" w:hAnsiTheme="minorHAnsi" w:cstheme="minorHAnsi"/>
        </w:rPr>
        <w:t xml:space="preserve">; </w:t>
      </w:r>
      <w:r w:rsidRPr="009E5D6C">
        <w:rPr>
          <w:rFonts w:asciiTheme="minorHAnsi" w:hAnsiTheme="minorHAnsi" w:cstheme="minorHAnsi"/>
        </w:rPr>
        <w:fldChar w:fldCharType="begin"/>
      </w:r>
      <w:r w:rsidRPr="009E5D6C">
        <w:rPr>
          <w:rFonts w:asciiTheme="minorHAnsi" w:hAnsiTheme="minorHAnsi" w:cstheme="minorHAnsi"/>
        </w:rPr>
        <w:instrText xml:space="preserve"> ADDIN EN.CITE &lt;EndNote&gt;&lt;Cite AuthorYear="1"&gt;&lt;Author&gt;Kaustia&lt;/Author&gt;&lt;Year&gt;2008&lt;/Year&gt;&lt;RecNum&gt;47&lt;/RecNum&gt;&lt;DisplayText&gt;Kaustia and Knüpfer (2008)&lt;/DisplayText&gt;&lt;record&gt;&lt;rec-number&gt;47&lt;/rec-number&gt;&lt;foreign-keys&gt;&lt;key app="EN" db-id="dt29xz9585xtvke0xen5xfs9zp2wt22wrx29" timestamp="1476961709"&gt;47&lt;/key&gt;&lt;/foreign-keys&gt;&lt;ref-type name="Journal Article"&gt;17&lt;/ref-type&gt;&lt;contributors&gt;&lt;authors&gt;&lt;author&gt;Kaustia, Markku&lt;/author&gt;&lt;author&gt;Knüpfer, Samuli&lt;/author&gt;&lt;/authors&gt;&lt;/contributors&gt;&lt;titles&gt;&lt;title&gt;Do investors overweight personal experience? Evidence from IPO subscriptions&lt;/title&gt;&lt;secondary-title&gt;The Journal of Finance&lt;/secondary-title&gt;&lt;/titles&gt;&lt;periodical&gt;&lt;full-title&gt;The Journal of Finance&lt;/full-title&gt;&lt;/periodical&gt;&lt;pages&gt;2679-2702&lt;/pages&gt;&lt;volume&gt;63&lt;/volume&gt;&lt;number&gt;6&lt;/number&gt;&lt;dates&gt;&lt;year&gt;2008&lt;/year&gt;&lt;/dates&gt;&lt;isbn&gt;1540-6261&lt;/isbn&gt;&lt;urls&gt;&lt;/urls&gt;&lt;/record&gt;&lt;/Cite&gt;&lt;/EndNote&gt;</w:instrText>
      </w:r>
      <w:r w:rsidRPr="009E5D6C">
        <w:rPr>
          <w:rFonts w:asciiTheme="minorHAnsi" w:hAnsiTheme="minorHAnsi" w:cstheme="minorHAnsi"/>
        </w:rPr>
        <w:fldChar w:fldCharType="separate"/>
      </w:r>
      <w:r w:rsidRPr="009E5D6C">
        <w:rPr>
          <w:rFonts w:asciiTheme="minorHAnsi" w:hAnsiTheme="minorHAnsi" w:cstheme="minorHAnsi"/>
        </w:rPr>
        <w:t>Kaustia and Knüpfer</w:t>
      </w:r>
      <w:r>
        <w:rPr>
          <w:rFonts w:asciiTheme="minorHAnsi" w:hAnsiTheme="minorHAnsi" w:cstheme="minorHAnsi"/>
        </w:rPr>
        <w:t>,</w:t>
      </w:r>
      <w:r w:rsidRPr="009E5D6C">
        <w:rPr>
          <w:rFonts w:asciiTheme="minorHAnsi" w:hAnsiTheme="minorHAnsi" w:cstheme="minorHAnsi"/>
        </w:rPr>
        <w:t xml:space="preserve"> 2008</w:t>
      </w:r>
      <w:r w:rsidRPr="009E5D6C">
        <w:rPr>
          <w:rFonts w:asciiTheme="minorHAnsi" w:hAnsiTheme="minorHAnsi" w:cstheme="minorHAnsi"/>
        </w:rPr>
        <w:fldChar w:fldCharType="end"/>
      </w:r>
      <w:r w:rsidRPr="009E5D6C">
        <w:rPr>
          <w:rFonts w:asciiTheme="minorHAnsi" w:hAnsiTheme="minorHAnsi" w:cstheme="minorHAnsi"/>
        </w:rPr>
        <w:t>)</w:t>
      </w:r>
      <w:r>
        <w:rPr>
          <w:rFonts w:asciiTheme="minorHAnsi" w:hAnsiTheme="minorHAnsi" w:cstheme="minorHAnsi"/>
        </w:rPr>
        <w:t>.</w:t>
      </w:r>
    </w:p>
  </w:footnote>
  <w:footnote w:id="3">
    <w:p w14:paraId="389BDD78" w14:textId="579CBB01" w:rsidR="00F36286" w:rsidRPr="002A26D4" w:rsidRDefault="00F36286">
      <w:pPr>
        <w:pStyle w:val="FootnoteText"/>
        <w:rPr>
          <w:lang w:eastAsia="ko-KR"/>
        </w:rPr>
      </w:pPr>
      <w:r w:rsidRPr="00ED094B">
        <w:rPr>
          <w:rStyle w:val="FootnoteReference"/>
          <w:color w:val="000000" w:themeColor="text1"/>
        </w:rPr>
        <w:footnoteRef/>
      </w:r>
      <w:r w:rsidRPr="00ED094B">
        <w:rPr>
          <w:color w:val="000000" w:themeColor="text1"/>
        </w:rPr>
        <w:t xml:space="preserve"> More specifically, we first estimate the hazard probability of exit using the whole population of retail investors in Finland. Our sample for this analysis </w:t>
      </w:r>
      <w:r w:rsidRPr="00ED094B">
        <w:rPr>
          <w:color w:val="000000" w:themeColor="text1"/>
          <w:lang w:eastAsia="en-GB"/>
        </w:rPr>
        <w:t>comprises about 3.5 million investor months with one million investors. W</w:t>
      </w:r>
      <w:r w:rsidRPr="00ED094B">
        <w:rPr>
          <w:color w:val="000000" w:themeColor="text1"/>
        </w:rPr>
        <w:t>e then include the estimated probability of exit (in the form of inverse Mill’s ratio) as an additional control variable in our main regression for the hazard probability of re-entry.</w:t>
      </w:r>
    </w:p>
  </w:footnote>
  <w:footnote w:id="4">
    <w:p w14:paraId="6292149D" w14:textId="006BEED3" w:rsidR="00F36286" w:rsidRPr="0016249B" w:rsidRDefault="00F36286" w:rsidP="00E22236">
      <w:pPr>
        <w:pStyle w:val="FootnoteText"/>
        <w:rPr>
          <w:lang w:val="en-GB"/>
        </w:rPr>
      </w:pPr>
      <w:r w:rsidRPr="00AD3C50">
        <w:rPr>
          <w:rStyle w:val="FootnoteReference"/>
          <w:color w:val="000000" w:themeColor="text1"/>
        </w:rPr>
        <w:footnoteRef/>
      </w:r>
      <w:r w:rsidRPr="00AD3C50">
        <w:rPr>
          <w:color w:val="000000" w:themeColor="text1"/>
        </w:rPr>
        <w:t xml:space="preserve"> </w:t>
      </w:r>
      <w:r w:rsidRPr="00AD3C50">
        <w:rPr>
          <w:color w:val="000000" w:themeColor="text1"/>
          <w:lang w:val="en-GB"/>
        </w:rPr>
        <w:t>One should however keep in mind that</w:t>
      </w:r>
      <w:r w:rsidRPr="00AD3C50">
        <w:rPr>
          <w:color w:val="000000" w:themeColor="text1"/>
        </w:rPr>
        <w:t xml:space="preserve"> high initial returns may only be due to pure luck or good market conditions.</w:t>
      </w:r>
    </w:p>
  </w:footnote>
  <w:footnote w:id="5">
    <w:p w14:paraId="409AE191" w14:textId="77777777" w:rsidR="00F36286" w:rsidRPr="00576730" w:rsidRDefault="00F36286" w:rsidP="005D0144">
      <w:pPr>
        <w:pStyle w:val="FootnoteText"/>
        <w:rPr>
          <w:lang w:eastAsia="ko-KR"/>
        </w:rPr>
      </w:pPr>
      <w:r w:rsidRPr="00AD3C50">
        <w:rPr>
          <w:rStyle w:val="FootnoteReference"/>
          <w:color w:val="000000" w:themeColor="text1"/>
        </w:rPr>
        <w:footnoteRef/>
      </w:r>
      <w:r w:rsidRPr="00AD3C50">
        <w:rPr>
          <w:color w:val="000000" w:themeColor="text1"/>
        </w:rPr>
        <w:t xml:space="preserve"> For simplicity, we assume risk-neutrality for investors in order to avoid the treatment of standard deviations of random returns. Our main implication of the model would carry through to the extended case with risk-averse investors at the cost of easy tractability of the model.</w:t>
      </w:r>
    </w:p>
  </w:footnote>
  <w:footnote w:id="6">
    <w:p w14:paraId="336DA5D5" w14:textId="529EA089" w:rsidR="00F36286" w:rsidRPr="005D0144" w:rsidRDefault="00F36286">
      <w:pPr>
        <w:pStyle w:val="FootnoteText"/>
        <w:rPr>
          <w:lang w:eastAsia="ko-KR"/>
        </w:rPr>
      </w:pPr>
      <w:r w:rsidRPr="005D0144">
        <w:rPr>
          <w:rStyle w:val="FootnoteReference"/>
          <w:color w:val="FF0000"/>
        </w:rPr>
        <w:footnoteRef/>
      </w:r>
      <w:r w:rsidRPr="005D0144">
        <w:rPr>
          <w:color w:val="FF0000"/>
        </w:rPr>
        <w:t xml:space="preserve"> </w:t>
      </w:r>
      <w:r>
        <w:rPr>
          <w:color w:val="FF0000"/>
        </w:rPr>
        <w:t>As in</w:t>
      </w:r>
      <w:r w:rsidRPr="005D0144">
        <w:rPr>
          <w:color w:val="FF0000"/>
        </w:rPr>
        <w:t xml:space="preserve">vestment returns </w:t>
      </w:r>
      <w:r>
        <w:rPr>
          <w:color w:val="FF0000"/>
        </w:rPr>
        <w:t>are assumed t</w:t>
      </w:r>
      <w:r w:rsidRPr="005D0144">
        <w:rPr>
          <w:color w:val="FF0000"/>
        </w:rPr>
        <w:t xml:space="preserve">o be zero for the </w:t>
      </w:r>
      <w:r>
        <w:rPr>
          <w:color w:val="FF0000"/>
        </w:rPr>
        <w:t xml:space="preserve">first </w:t>
      </w:r>
      <w:r w:rsidRPr="005D0144">
        <w:rPr>
          <w:color w:val="FF0000"/>
        </w:rPr>
        <w:t>alternative</w:t>
      </w:r>
      <w:r>
        <w:rPr>
          <w:color w:val="FF0000"/>
        </w:rPr>
        <w:t xml:space="preserve">, </w:t>
      </w:r>
      <w:r w:rsidRPr="00F57A56">
        <w:rPr>
          <w:i/>
          <w:color w:val="FF0000"/>
        </w:rPr>
        <w:t>r</w:t>
      </w:r>
      <w:r>
        <w:rPr>
          <w:color w:val="FF0000"/>
        </w:rPr>
        <w:t xml:space="preserve"> is understood to denote the return for the second alternative in excess of the return for its first counterpart. </w:t>
      </w:r>
    </w:p>
  </w:footnote>
  <w:footnote w:id="7">
    <w:p w14:paraId="0EBE83B3" w14:textId="75DADA22" w:rsidR="00F36286" w:rsidRPr="00137B7D" w:rsidRDefault="00F36286">
      <w:pPr>
        <w:pStyle w:val="FootnoteText"/>
        <w:rPr>
          <w:lang w:eastAsia="ko-KR"/>
        </w:rPr>
      </w:pPr>
      <w:r w:rsidRPr="00137B7D">
        <w:rPr>
          <w:rStyle w:val="FootnoteReference"/>
          <w:sz w:val="16"/>
        </w:rPr>
        <w:footnoteRef/>
      </w:r>
      <w:r w:rsidRPr="00137B7D">
        <w:t xml:space="preserve"> </w:t>
      </w:r>
      <w:r w:rsidRPr="00137B7D">
        <w:rPr>
          <w:lang w:eastAsia="ko-KR"/>
        </w:rPr>
        <w:t xml:space="preserve">This logit choice model has been shown in the </w:t>
      </w:r>
      <w:r>
        <w:rPr>
          <w:lang w:eastAsia="ko-KR"/>
        </w:rPr>
        <w:t>psychology</w:t>
      </w:r>
      <w:r w:rsidRPr="00137B7D">
        <w:rPr>
          <w:lang w:eastAsia="ko-KR"/>
        </w:rPr>
        <w:t xml:space="preserve"> literature to have a good fit </w:t>
      </w:r>
      <w:r>
        <w:rPr>
          <w:lang w:eastAsia="ko-KR"/>
        </w:rPr>
        <w:t>with</w:t>
      </w:r>
      <w:r w:rsidRPr="00137B7D">
        <w:rPr>
          <w:lang w:eastAsia="ko-KR"/>
        </w:rPr>
        <w:t xml:space="preserve"> individuals</w:t>
      </w:r>
      <w:r>
        <w:rPr>
          <w:lang w:eastAsia="ko-KR"/>
        </w:rPr>
        <w:t>’</w:t>
      </w:r>
      <w:r w:rsidRPr="00137B7D">
        <w:rPr>
          <w:lang w:eastAsia="ko-KR"/>
        </w:rPr>
        <w:t xml:space="preserve"> repeated choice data (e.g., Busemeyer and Stout, 2002; Yechiam and Busemeyer, 2005).</w:t>
      </w:r>
    </w:p>
  </w:footnote>
  <w:footnote w:id="8">
    <w:p w14:paraId="1BE0B3B0" w14:textId="1CCE91C4" w:rsidR="00F36286" w:rsidRPr="001B133E" w:rsidRDefault="00F36286" w:rsidP="001B133E">
      <w:pPr>
        <w:pStyle w:val="FootnoteText"/>
        <w:rPr>
          <w:color w:val="FF0000"/>
          <w:szCs w:val="20"/>
        </w:rPr>
      </w:pPr>
      <w:r w:rsidRPr="00340DBE">
        <w:rPr>
          <w:rStyle w:val="FootnoteReference"/>
          <w:color w:val="FF0000"/>
          <w:szCs w:val="20"/>
        </w:rPr>
        <w:footnoteRef/>
      </w:r>
      <w:r w:rsidRPr="00340DBE">
        <w:rPr>
          <w:color w:val="FF0000"/>
          <w:szCs w:val="20"/>
        </w:rPr>
        <w:t xml:space="preserve"> </w:t>
      </w:r>
      <w:r>
        <w:rPr>
          <w:color w:val="FF0000"/>
          <w:szCs w:val="20"/>
        </w:rPr>
        <w:t xml:space="preserve">An </w:t>
      </w:r>
      <w:r w:rsidRPr="00340DBE">
        <w:rPr>
          <w:color w:val="FF0000"/>
          <w:szCs w:val="20"/>
        </w:rPr>
        <w:t>investor</w:t>
      </w:r>
      <w:r>
        <w:rPr>
          <w:color w:val="FF0000"/>
          <w:szCs w:val="20"/>
        </w:rPr>
        <w:t>’s</w:t>
      </w:r>
      <w:r w:rsidRPr="00340DBE">
        <w:rPr>
          <w:color w:val="FF0000"/>
          <w:szCs w:val="20"/>
        </w:rPr>
        <w:t xml:space="preserve"> </w:t>
      </w:r>
      <w:r>
        <w:rPr>
          <w:color w:val="FF0000"/>
          <w:szCs w:val="20"/>
        </w:rPr>
        <w:t xml:space="preserve">decision </w:t>
      </w:r>
      <w:r w:rsidRPr="00340DBE">
        <w:rPr>
          <w:color w:val="FF0000"/>
          <w:szCs w:val="20"/>
        </w:rPr>
        <w:t xml:space="preserve">to enter the </w:t>
      </w:r>
      <w:r>
        <w:rPr>
          <w:color w:val="FF0000"/>
          <w:szCs w:val="20"/>
        </w:rPr>
        <w:t xml:space="preserve">stock </w:t>
      </w:r>
      <w:r w:rsidRPr="00340DBE">
        <w:rPr>
          <w:color w:val="FF0000"/>
          <w:szCs w:val="20"/>
        </w:rPr>
        <w:t>market</w:t>
      </w:r>
      <w:r>
        <w:rPr>
          <w:color w:val="FF0000"/>
          <w:szCs w:val="20"/>
        </w:rPr>
        <w:t xml:space="preserve"> after estimating a </w:t>
      </w:r>
      <w:r w:rsidRPr="00340DBE">
        <w:rPr>
          <w:color w:val="FF0000"/>
          <w:szCs w:val="20"/>
        </w:rPr>
        <w:t xml:space="preserve">negative </w:t>
      </w:r>
      <m:oMath>
        <m:acc>
          <m:accPr>
            <m:ctrlPr>
              <w:rPr>
                <w:rFonts w:ascii="Cambria Math" w:hAnsi="Cambria Math"/>
                <w:color w:val="FF0000"/>
              </w:rPr>
            </m:ctrlPr>
          </m:accPr>
          <m:e>
            <m:r>
              <w:rPr>
                <w:rFonts w:ascii="Cambria Math" w:hAnsi="Cambria Math"/>
                <w:color w:val="FF0000"/>
              </w:rPr>
              <m:t>r</m:t>
            </m:r>
          </m:e>
        </m:acc>
      </m:oMath>
      <w:r w:rsidRPr="00340DBE">
        <w:rPr>
          <w:color w:val="FF0000"/>
          <w:szCs w:val="20"/>
        </w:rPr>
        <w:t xml:space="preserve">-value </w:t>
      </w:r>
      <w:r>
        <w:rPr>
          <w:color w:val="FF0000"/>
          <w:szCs w:val="20"/>
        </w:rPr>
        <w:t xml:space="preserve">may be motivated by an individual’s </w:t>
      </w:r>
      <w:r w:rsidRPr="001B133E">
        <w:rPr>
          <w:color w:val="FF0000"/>
          <w:szCs w:val="20"/>
        </w:rPr>
        <w:t>preference for lottery-type</w:t>
      </w:r>
      <w:r>
        <w:rPr>
          <w:color w:val="FF0000"/>
          <w:szCs w:val="20"/>
        </w:rPr>
        <w:t xml:space="preserve"> investing, which could make up for her previous losses </w:t>
      </w:r>
      <w:r w:rsidRPr="001B133E">
        <w:rPr>
          <w:color w:val="FF0000"/>
          <w:szCs w:val="20"/>
        </w:rPr>
        <w:t>(</w:t>
      </w:r>
      <w:r>
        <w:rPr>
          <w:color w:val="FF0000"/>
          <w:szCs w:val="20"/>
        </w:rPr>
        <w:t xml:space="preserve">see, </w:t>
      </w:r>
      <w:r w:rsidRPr="001B133E">
        <w:rPr>
          <w:color w:val="FF0000"/>
          <w:szCs w:val="20"/>
        </w:rPr>
        <w:t>e.g., Kumar, 2009)</w:t>
      </w:r>
      <w:r>
        <w:rPr>
          <w:color w:val="FF0000"/>
          <w:szCs w:val="20"/>
        </w:rPr>
        <w:t>.</w:t>
      </w:r>
    </w:p>
  </w:footnote>
  <w:footnote w:id="9">
    <w:p w14:paraId="4D0E701F" w14:textId="14C2878D" w:rsidR="00F36286" w:rsidRPr="0080032A" w:rsidRDefault="00F36286" w:rsidP="005E3270">
      <w:pPr>
        <w:pStyle w:val="FootnoteText"/>
        <w:rPr>
          <w:lang w:eastAsia="ko-KR"/>
        </w:rPr>
      </w:pPr>
      <w:r w:rsidRPr="00D01B47">
        <w:rPr>
          <w:rStyle w:val="FootnoteReference"/>
          <w:color w:val="000000" w:themeColor="text1"/>
          <w:szCs w:val="20"/>
        </w:rPr>
        <w:footnoteRef/>
      </w:r>
      <w:r w:rsidRPr="00D01B47">
        <w:rPr>
          <w:color w:val="000000" w:themeColor="text1"/>
          <w:szCs w:val="20"/>
        </w:rPr>
        <w:t xml:space="preserve"> </w:t>
      </w:r>
      <w:r w:rsidRPr="00D01B47">
        <w:rPr>
          <w:color w:val="FF0000"/>
          <w:szCs w:val="20"/>
          <w:lang w:eastAsia="ko-KR"/>
        </w:rPr>
        <w:t>Without loss of generality</w:t>
      </w:r>
      <w:r w:rsidRPr="00D01B47">
        <w:rPr>
          <w:color w:val="000000" w:themeColor="text1"/>
          <w:szCs w:val="20"/>
          <w:lang w:eastAsia="ko-KR"/>
        </w:rPr>
        <w:t>, we assume that investors place equal weight on each of (</w:t>
      </w:r>
      <w:r w:rsidRPr="00D01B47">
        <w:rPr>
          <w:i/>
          <w:color w:val="000000" w:themeColor="text1"/>
          <w:szCs w:val="20"/>
          <w:lang w:eastAsia="ko-KR"/>
        </w:rPr>
        <w:t>n-1</w:t>
      </w:r>
      <w:r w:rsidRPr="00D01B47">
        <w:rPr>
          <w:color w:val="000000" w:themeColor="text1"/>
          <w:szCs w:val="20"/>
          <w:lang w:eastAsia="ko-KR"/>
        </w:rPr>
        <w:t xml:space="preserve">) subsequent returns, </w:t>
      </w:r>
      <m:oMath>
        <m:sSub>
          <m:sSubPr>
            <m:ctrlPr>
              <w:rPr>
                <w:rFonts w:ascii="Cambria Math" w:hAnsi="Cambria Math"/>
                <w:color w:val="000000" w:themeColor="text1"/>
                <w:szCs w:val="20"/>
                <w:lang w:eastAsia="ko-KR"/>
              </w:rPr>
            </m:ctrlPr>
          </m:sSubPr>
          <m:e>
            <m:r>
              <w:rPr>
                <w:rFonts w:ascii="Cambria Math" w:hAnsi="Cambria Math"/>
                <w:color w:val="000000" w:themeColor="text1"/>
                <w:szCs w:val="20"/>
                <w:lang w:eastAsia="ko-KR"/>
              </w:rPr>
              <m:t>r</m:t>
            </m:r>
          </m:e>
          <m:sub>
            <m:r>
              <w:rPr>
                <w:rFonts w:ascii="Cambria Math" w:hAnsi="Cambria Math"/>
                <w:color w:val="000000" w:themeColor="text1"/>
                <w:szCs w:val="20"/>
                <w:lang w:eastAsia="ko-KR"/>
              </w:rPr>
              <m:t>2, …</m:t>
            </m:r>
          </m:sub>
        </m:sSub>
        <m:sSub>
          <m:sSubPr>
            <m:ctrlPr>
              <w:rPr>
                <w:rFonts w:ascii="Cambria Math" w:hAnsi="Cambria Math"/>
                <w:i/>
                <w:color w:val="000000" w:themeColor="text1"/>
                <w:szCs w:val="20"/>
                <w:lang w:eastAsia="ko-KR"/>
              </w:rPr>
            </m:ctrlPr>
          </m:sSubPr>
          <m:e>
            <m:r>
              <w:rPr>
                <w:rFonts w:ascii="Cambria Math" w:hAnsi="Cambria Math"/>
                <w:color w:val="000000" w:themeColor="text1"/>
                <w:szCs w:val="20"/>
                <w:lang w:eastAsia="ko-KR"/>
              </w:rPr>
              <m:t>r</m:t>
            </m:r>
          </m:e>
          <m:sub>
            <m:r>
              <w:rPr>
                <w:rFonts w:ascii="Cambria Math" w:hAnsi="Cambria Math"/>
                <w:color w:val="000000" w:themeColor="text1"/>
                <w:szCs w:val="20"/>
                <w:lang w:eastAsia="ko-KR"/>
              </w:rPr>
              <m:t>n</m:t>
            </m:r>
          </m:sub>
        </m:sSub>
      </m:oMath>
      <w:r w:rsidRPr="00D01B47">
        <w:rPr>
          <w:color w:val="000000" w:themeColor="text1"/>
          <w:szCs w:val="20"/>
          <w:lang w:eastAsia="ko-KR"/>
        </w:rPr>
        <w:t>, in order to</w:t>
      </w:r>
      <w:r w:rsidRPr="00AD3C50">
        <w:rPr>
          <w:color w:val="000000" w:themeColor="text1"/>
          <w:lang w:eastAsia="ko-KR"/>
        </w:rPr>
        <w:t xml:space="preserve"> simplify the problem to the case with two returns.</w:t>
      </w:r>
    </w:p>
  </w:footnote>
  <w:footnote w:id="10">
    <w:p w14:paraId="4B687E41" w14:textId="534BF484" w:rsidR="00F36286" w:rsidRDefault="00F36286">
      <w:pPr>
        <w:pStyle w:val="FootnoteText"/>
        <w:rPr>
          <w:lang w:eastAsia="ko-KR"/>
        </w:rPr>
      </w:pPr>
      <w:r w:rsidRPr="00F300F1">
        <w:rPr>
          <w:rStyle w:val="FootnoteReference"/>
          <w:sz w:val="16"/>
        </w:rPr>
        <w:footnoteRef/>
      </w:r>
      <w:r w:rsidRPr="00F300F1">
        <w:t xml:space="preserve"> </w:t>
      </w:r>
      <w:r w:rsidRPr="00F300F1">
        <w:rPr>
          <w:rFonts w:hint="eastAsia"/>
          <w:lang w:eastAsia="ko-KR"/>
        </w:rPr>
        <w:t xml:space="preserve">The data </w:t>
      </w:r>
      <w:r>
        <w:rPr>
          <w:lang w:eastAsia="ko-KR"/>
        </w:rPr>
        <w:t xml:space="preserve">do not </w:t>
      </w:r>
      <w:r w:rsidRPr="00F300F1">
        <w:rPr>
          <w:rFonts w:hint="eastAsia"/>
          <w:lang w:eastAsia="ko-KR"/>
        </w:rPr>
        <w:t>record</w:t>
      </w:r>
      <w:r>
        <w:rPr>
          <w:lang w:eastAsia="ko-KR"/>
        </w:rPr>
        <w:t xml:space="preserve"> trades of</w:t>
      </w:r>
      <w:r w:rsidRPr="00F300F1">
        <w:rPr>
          <w:lang w:eastAsia="ko-KR"/>
        </w:rPr>
        <w:t xml:space="preserve"> foreign stocks not</w:t>
      </w:r>
      <w:r>
        <w:rPr>
          <w:lang w:eastAsia="ko-KR"/>
        </w:rPr>
        <w:t xml:space="preserve"> </w:t>
      </w:r>
      <w:r w:rsidRPr="00F300F1">
        <w:rPr>
          <w:lang w:eastAsia="ko-KR"/>
        </w:rPr>
        <w:t xml:space="preserve">listed on the Helsinki </w:t>
      </w:r>
      <w:r>
        <w:rPr>
          <w:lang w:eastAsia="ko-KR"/>
        </w:rPr>
        <w:t xml:space="preserve">Stock </w:t>
      </w:r>
      <w:r w:rsidRPr="00F300F1">
        <w:rPr>
          <w:lang w:eastAsia="ko-KR"/>
        </w:rPr>
        <w:t>Exchanges, but include</w:t>
      </w:r>
      <w:r>
        <w:rPr>
          <w:lang w:eastAsia="ko-KR"/>
        </w:rPr>
        <w:t xml:space="preserve"> </w:t>
      </w:r>
      <w:r w:rsidRPr="00F300F1">
        <w:rPr>
          <w:lang w:eastAsia="ko-KR"/>
        </w:rPr>
        <w:t>trades of Finnish stocks</w:t>
      </w:r>
      <w:r>
        <w:rPr>
          <w:lang w:eastAsia="ko-KR"/>
        </w:rPr>
        <w:t xml:space="preserve"> executed </w:t>
      </w:r>
      <w:r w:rsidRPr="00402D12">
        <w:rPr>
          <w:lang w:eastAsia="ko-KR"/>
        </w:rPr>
        <w:t>on foreign exchanges</w:t>
      </w:r>
      <w:r>
        <w:rPr>
          <w:lang w:eastAsia="ko-KR"/>
        </w:rPr>
        <w:t xml:space="preserve"> if they </w:t>
      </w:r>
      <w:r w:rsidRPr="00F300F1">
        <w:rPr>
          <w:lang w:eastAsia="ko-KR"/>
        </w:rPr>
        <w:t xml:space="preserve">are listed on the Helsinki </w:t>
      </w:r>
      <w:r>
        <w:rPr>
          <w:lang w:eastAsia="ko-KR"/>
        </w:rPr>
        <w:t xml:space="preserve">Stock </w:t>
      </w:r>
      <w:r w:rsidRPr="00F300F1">
        <w:rPr>
          <w:lang w:eastAsia="ko-KR"/>
        </w:rPr>
        <w:t>Exchanges.</w:t>
      </w:r>
    </w:p>
  </w:footnote>
  <w:footnote w:id="11">
    <w:p w14:paraId="06765E4B" w14:textId="7C653817" w:rsidR="00F36286" w:rsidRPr="00F300F1" w:rsidRDefault="00F36286">
      <w:pPr>
        <w:pStyle w:val="FootnoteText"/>
        <w:rPr>
          <w:lang w:eastAsia="ko-KR"/>
        </w:rPr>
      </w:pPr>
      <w:r w:rsidRPr="00F300F1">
        <w:rPr>
          <w:rStyle w:val="FootnoteReference"/>
          <w:sz w:val="16"/>
        </w:rPr>
        <w:footnoteRef/>
      </w:r>
      <w:r w:rsidRPr="00F300F1">
        <w:t xml:space="preserve"> </w:t>
      </w:r>
      <w:r>
        <w:t xml:space="preserve">The investor identifier in our database is </w:t>
      </w:r>
      <w:r w:rsidRPr="00290F9F">
        <w:rPr>
          <w:i/>
        </w:rPr>
        <w:t>Owner Code</w:t>
      </w:r>
      <w:r>
        <w:t xml:space="preserve"> (OCODE), into which investor transactions and holdings across brokerage accounts are aggregated for the same investor. By considering only investors whose OCODE does not exist (and who hence must not have traded any stock) before the start of our sample period (1995), we ensure that investors’ entry to and exit from stock markets for the first time since 1995 reflect their initial stock experience.</w:t>
      </w:r>
    </w:p>
  </w:footnote>
  <w:footnote w:id="12">
    <w:p w14:paraId="73D1A588" w14:textId="273C3E9C" w:rsidR="00F36286" w:rsidRPr="0011598C" w:rsidRDefault="00F36286">
      <w:pPr>
        <w:pStyle w:val="FootnoteText"/>
        <w:rPr>
          <w:lang w:eastAsia="ko-KR"/>
        </w:rPr>
      </w:pPr>
      <w:r w:rsidRPr="0011598C">
        <w:rPr>
          <w:rStyle w:val="FootnoteReference"/>
          <w:sz w:val="16"/>
        </w:rPr>
        <w:footnoteRef/>
      </w:r>
      <w:r w:rsidRPr="0011598C">
        <w:t xml:space="preserve"> </w:t>
      </w:r>
      <w:r>
        <w:t>This</w:t>
      </w:r>
      <w:r>
        <w:rPr>
          <w:lang w:eastAsia="ko-KR"/>
        </w:rPr>
        <w:t xml:space="preserve"> procedure for sample selection may cause selection bias in our inferences. Issues of sample selection are dealt with in greater depth in Section 6.</w:t>
      </w:r>
    </w:p>
  </w:footnote>
  <w:footnote w:id="13">
    <w:p w14:paraId="3D7206F8" w14:textId="650406E0" w:rsidR="00F36286" w:rsidRPr="00FF58A3" w:rsidRDefault="00F36286">
      <w:pPr>
        <w:pStyle w:val="FootnoteText"/>
        <w:rPr>
          <w:lang w:eastAsia="ko-KR"/>
        </w:rPr>
      </w:pPr>
      <w:r w:rsidRPr="003A4F79">
        <w:rPr>
          <w:rStyle w:val="FootnoteReference"/>
        </w:rPr>
        <w:footnoteRef/>
      </w:r>
      <w:r w:rsidRPr="003A4F79">
        <w:t xml:space="preserve"> The variable of </w:t>
      </w:r>
      <w:r w:rsidRPr="003A4F79">
        <w:rPr>
          <w:i/>
        </w:rPr>
        <w:t>Age</w:t>
      </w:r>
      <w:r w:rsidRPr="003A4F79">
        <w:t xml:space="preserve"> captures t</w:t>
      </w:r>
      <w:r w:rsidRPr="003A4F79">
        <w:rPr>
          <w:lang w:eastAsia="ko-KR"/>
        </w:rPr>
        <w:t xml:space="preserve">he age of the investors </w:t>
      </w:r>
      <w:r w:rsidRPr="003A4F79">
        <w:rPr>
          <w:i/>
          <w:lang w:eastAsia="ko-KR"/>
        </w:rPr>
        <w:t>at the beginning of the sample</w:t>
      </w:r>
      <w:r w:rsidRPr="003A4F79">
        <w:rPr>
          <w:lang w:eastAsia="ko-KR"/>
        </w:rPr>
        <w:t xml:space="preserve"> since there is relatively little variation in its value over time. However, we calculate the actual age (not at the beginning) to construct the </w:t>
      </w:r>
      <w:r w:rsidRPr="003A4F79">
        <w:rPr>
          <w:i/>
          <w:lang w:eastAsia="ko-KR"/>
        </w:rPr>
        <w:t>Minor</w:t>
      </w:r>
      <w:r w:rsidRPr="003A4F79">
        <w:rPr>
          <w:lang w:eastAsia="ko-KR"/>
        </w:rPr>
        <w:t>-dummy variable</w:t>
      </w:r>
      <w:r>
        <w:rPr>
          <w:color w:val="FF0000"/>
          <w:lang w:eastAsia="ko-KR"/>
        </w:rPr>
        <w:t>.</w:t>
      </w:r>
    </w:p>
  </w:footnote>
  <w:footnote w:id="14">
    <w:p w14:paraId="46EC96CA" w14:textId="341DCC2B" w:rsidR="00F36286" w:rsidRPr="003A4F79" w:rsidRDefault="00F36286" w:rsidP="008B7518">
      <w:pPr>
        <w:pStyle w:val="FootnoteText"/>
      </w:pPr>
      <w:r w:rsidRPr="003A4F79">
        <w:rPr>
          <w:rStyle w:val="FootnoteReference"/>
        </w:rPr>
        <w:footnoteRef/>
      </w:r>
      <w:r w:rsidRPr="003A4F79">
        <w:t xml:space="preserve"> A large proportion of inactive investors in our final sample are also observed with the population of Finnish retail investors. For instance, using the same dataset as ours, Linnainmaa (2011) reports that 47.9% of all 1.1 million individuals with any stockholdings never trade during the eight-year sample period, and three fifths of all trading activity come from just 5% of the most active investors. Given this composition of our sample, the primacy effect we document may well be related to inactive investors (or, inexperienced households with the low level of financial sophistication), the group of investors among which behavioural bias (e.g., as naïve reinforcement learning) is documented to be pronounced (see, e.g., Chiang, Hirshleifer, Qian, and Sherman, 2011). </w:t>
      </w:r>
    </w:p>
  </w:footnote>
  <w:footnote w:id="15">
    <w:p w14:paraId="0AF7A337" w14:textId="561CB2EB" w:rsidR="00F36286" w:rsidRPr="00AD3C50" w:rsidRDefault="00F36286" w:rsidP="001F0CDD">
      <w:pPr>
        <w:pStyle w:val="FootnoteText"/>
        <w:rPr>
          <w:szCs w:val="20"/>
          <w:lang w:eastAsia="ko-KR"/>
        </w:rPr>
      </w:pPr>
      <w:r w:rsidRPr="00AD3C50">
        <w:rPr>
          <w:rStyle w:val="FootnoteReference"/>
          <w:color w:val="000000" w:themeColor="text1"/>
          <w:szCs w:val="20"/>
        </w:rPr>
        <w:footnoteRef/>
      </w:r>
      <w:r w:rsidRPr="00AD3C50">
        <w:rPr>
          <w:color w:val="000000" w:themeColor="text1"/>
          <w:szCs w:val="20"/>
        </w:rPr>
        <w:t xml:space="preserve"> According to Economist (2012), Finland’s fortunes rely on one firm, such that Nokia contributed a quarter of Finnish growth from 1998 to 2007, and over the same period, Nokia’s spending on R&amp;D was one third of the country’s total spending, and it generated nearly one fifth of the nation’s exports. </w:t>
      </w:r>
    </w:p>
  </w:footnote>
  <w:footnote w:id="16">
    <w:p w14:paraId="0D740E3B" w14:textId="578B73C5" w:rsidR="00F36286" w:rsidRPr="0008194A" w:rsidRDefault="00F36286">
      <w:pPr>
        <w:pStyle w:val="FootnoteText"/>
        <w:rPr>
          <w:lang w:eastAsia="ko-KR"/>
        </w:rPr>
      </w:pPr>
      <w:r w:rsidRPr="0008194A">
        <w:rPr>
          <w:rStyle w:val="FootnoteReference"/>
          <w:sz w:val="16"/>
        </w:rPr>
        <w:footnoteRef/>
      </w:r>
      <w:r w:rsidRPr="0008194A">
        <w:t xml:space="preserve"> </w:t>
      </w:r>
      <w:r w:rsidRPr="0008194A">
        <w:rPr>
          <w:lang w:eastAsia="ko-KR"/>
        </w:rPr>
        <w:t xml:space="preserve">The positive relation between investment size and re-entry likelihood is in line with </w:t>
      </w:r>
      <w:r>
        <w:rPr>
          <w:lang w:eastAsia="ko-KR"/>
        </w:rPr>
        <w:t>our (unreported) estimated</w:t>
      </w:r>
      <w:r w:rsidRPr="0008194A">
        <w:rPr>
          <w:lang w:eastAsia="ko-KR"/>
        </w:rPr>
        <w:t xml:space="preserve"> coefficients</w:t>
      </w:r>
      <w:r>
        <w:rPr>
          <w:lang w:eastAsia="ko-KR"/>
        </w:rPr>
        <w:t xml:space="preserve"> for</w:t>
      </w:r>
      <w:r w:rsidRPr="0008194A">
        <w:rPr>
          <w:lang w:eastAsia="ko-KR"/>
        </w:rPr>
        <w:t xml:space="preserve"> the investment size dumm</w:t>
      </w:r>
      <w:r>
        <w:rPr>
          <w:lang w:eastAsia="ko-KR"/>
        </w:rPr>
        <w:t xml:space="preserve">ies </w:t>
      </w:r>
      <w:r w:rsidRPr="0008194A">
        <w:rPr>
          <w:lang w:eastAsia="ko-KR"/>
        </w:rPr>
        <w:t xml:space="preserve">in the regression. We observe </w:t>
      </w:r>
      <w:r>
        <w:rPr>
          <w:lang w:eastAsia="ko-KR"/>
        </w:rPr>
        <w:t xml:space="preserve">a </w:t>
      </w:r>
      <w:r w:rsidRPr="0008194A">
        <w:rPr>
          <w:lang w:eastAsia="ko-KR"/>
        </w:rPr>
        <w:t>monotonically</w:t>
      </w:r>
      <w:r>
        <w:rPr>
          <w:lang w:eastAsia="ko-KR"/>
        </w:rPr>
        <w:t xml:space="preserve"> </w:t>
      </w:r>
      <w:r w:rsidRPr="0008194A">
        <w:rPr>
          <w:lang w:eastAsia="ko-KR"/>
        </w:rPr>
        <w:t>increasing</w:t>
      </w:r>
      <w:r>
        <w:rPr>
          <w:lang w:eastAsia="ko-KR"/>
        </w:rPr>
        <w:t xml:space="preserve"> relation between</w:t>
      </w:r>
      <w:r w:rsidRPr="0008194A">
        <w:rPr>
          <w:lang w:eastAsia="ko-KR"/>
        </w:rPr>
        <w:t xml:space="preserve"> the magnitude of </w:t>
      </w:r>
      <w:r>
        <w:rPr>
          <w:lang w:eastAsia="ko-KR"/>
        </w:rPr>
        <w:t xml:space="preserve">the </w:t>
      </w:r>
      <w:r w:rsidRPr="0008194A">
        <w:rPr>
          <w:lang w:eastAsia="ko-KR"/>
        </w:rPr>
        <w:t xml:space="preserve">five coefficients </w:t>
      </w:r>
      <w:r>
        <w:rPr>
          <w:lang w:eastAsia="ko-KR"/>
        </w:rPr>
        <w:t>and</w:t>
      </w:r>
      <w:r w:rsidRPr="0008194A">
        <w:rPr>
          <w:lang w:eastAsia="ko-KR"/>
        </w:rPr>
        <w:t xml:space="preserve"> the size quintile dummy.</w:t>
      </w:r>
    </w:p>
  </w:footnote>
  <w:footnote w:id="17">
    <w:p w14:paraId="4482E06A" w14:textId="42998F3C" w:rsidR="00F36286" w:rsidRDefault="00F36286">
      <w:pPr>
        <w:pStyle w:val="FootnoteText"/>
        <w:rPr>
          <w:lang w:eastAsia="ko-KR"/>
        </w:rPr>
      </w:pPr>
      <w:r w:rsidRPr="00AD3C50">
        <w:rPr>
          <w:rStyle w:val="FootnoteReference"/>
          <w:color w:val="000000" w:themeColor="text1"/>
        </w:rPr>
        <w:footnoteRef/>
      </w:r>
      <w:r w:rsidRPr="00AD3C50">
        <w:rPr>
          <w:color w:val="000000" w:themeColor="text1"/>
        </w:rPr>
        <w:t xml:space="preserve"> </w:t>
      </w:r>
      <w:r w:rsidRPr="00AD3C50">
        <w:rPr>
          <w:rFonts w:hint="eastAsia"/>
          <w:color w:val="000000" w:themeColor="text1"/>
          <w:lang w:eastAsia="ko-KR"/>
        </w:rPr>
        <w:t>We</w:t>
      </w:r>
      <w:r w:rsidRPr="00AD3C50">
        <w:rPr>
          <w:color w:val="000000" w:themeColor="text1"/>
          <w:lang w:eastAsia="ko-KR"/>
        </w:rPr>
        <w:t xml:space="preserve"> thank the anonymous referee for raising this issue.</w:t>
      </w:r>
    </w:p>
  </w:footnote>
  <w:footnote w:id="18">
    <w:p w14:paraId="03A16350" w14:textId="2C345776" w:rsidR="00F36286" w:rsidRPr="008F399B" w:rsidRDefault="00F36286">
      <w:pPr>
        <w:pStyle w:val="FootnoteText"/>
      </w:pPr>
      <w:r w:rsidRPr="00AD3C50">
        <w:rPr>
          <w:rStyle w:val="FootnoteReference"/>
          <w:color w:val="000000" w:themeColor="text1"/>
        </w:rPr>
        <w:footnoteRef/>
      </w:r>
      <w:r w:rsidRPr="00AD3C50">
        <w:rPr>
          <w:color w:val="000000" w:themeColor="text1"/>
        </w:rPr>
        <w:t xml:space="preserve"> </w:t>
      </w:r>
      <w:r w:rsidRPr="00AD3C50">
        <w:rPr>
          <w:rFonts w:hint="eastAsia"/>
          <w:color w:val="000000" w:themeColor="text1"/>
          <w:lang w:eastAsia="ko-KR"/>
        </w:rPr>
        <w:t>We</w:t>
      </w:r>
      <w:r w:rsidRPr="00AD3C50">
        <w:rPr>
          <w:color w:val="000000" w:themeColor="text1"/>
          <w:lang w:eastAsia="ko-KR"/>
        </w:rPr>
        <w:t xml:space="preserve"> thank the anonymous referee for raising this issue.</w:t>
      </w:r>
    </w:p>
  </w:footnote>
  <w:footnote w:id="19">
    <w:p w14:paraId="25E0B7D5" w14:textId="4B1E697E" w:rsidR="00F36286" w:rsidRPr="003D7C65" w:rsidRDefault="00F36286">
      <w:pPr>
        <w:pStyle w:val="FootnoteText"/>
      </w:pPr>
      <w:r w:rsidRPr="00AD3C50">
        <w:rPr>
          <w:rStyle w:val="FootnoteReference"/>
          <w:color w:val="000000" w:themeColor="text1"/>
        </w:rPr>
        <w:footnoteRef/>
      </w:r>
      <w:r w:rsidRPr="00AD3C50">
        <w:rPr>
          <w:color w:val="000000" w:themeColor="text1"/>
        </w:rPr>
        <w:t xml:space="preserve"> We are not able to employ the variable of investor wealth, which could be an alternative candidate for the risk-preference proxy, due to data unavailability.</w:t>
      </w:r>
    </w:p>
  </w:footnote>
  <w:footnote w:id="20">
    <w:p w14:paraId="7AC8565A" w14:textId="77777777" w:rsidR="00F36286" w:rsidRPr="003A4F79" w:rsidRDefault="00F36286" w:rsidP="00EA5D98">
      <w:pPr>
        <w:pStyle w:val="FootnoteText"/>
        <w:rPr>
          <w:lang w:eastAsia="ko-KR"/>
        </w:rPr>
      </w:pPr>
      <w:r w:rsidRPr="009B740C">
        <w:rPr>
          <w:rStyle w:val="FootnoteReference"/>
          <w:color w:val="FF0000"/>
        </w:rPr>
        <w:footnoteRef/>
      </w:r>
      <w:r w:rsidRPr="009B740C">
        <w:rPr>
          <w:color w:val="FF0000"/>
        </w:rPr>
        <w:t xml:space="preserve"> </w:t>
      </w:r>
      <w:r w:rsidRPr="003A4F79">
        <w:rPr>
          <w:lang w:eastAsia="ko-KR"/>
        </w:rPr>
        <w:t>Detailed results (A.1) are tabulated in an appendix that is available upon request.</w:t>
      </w:r>
    </w:p>
  </w:footnote>
  <w:footnote w:id="21">
    <w:p w14:paraId="20009150" w14:textId="12A512C3" w:rsidR="00F36286" w:rsidRPr="003A4F79" w:rsidRDefault="00F36286" w:rsidP="003F0205">
      <w:pPr>
        <w:pStyle w:val="FootnoteText"/>
      </w:pPr>
      <w:r w:rsidRPr="003A4F79">
        <w:rPr>
          <w:rStyle w:val="FootnoteReference"/>
        </w:rPr>
        <w:footnoteRef/>
      </w:r>
      <w:r w:rsidRPr="003A4F79">
        <w:t xml:space="preserve"> </w:t>
      </w:r>
      <w:r w:rsidRPr="003A4F79">
        <w:rPr>
          <w:lang w:eastAsia="ko-KR"/>
        </w:rPr>
        <w:t xml:space="preserve">Detailed results of the Heckman (1976) correction are tabulated in an appendix (A.2 and A.3 for the first- and second stage regression, respectively), which is available upon request. In A.2, we observe that initial returns are negatively related to re-entry, confirming that initial returns matter not only to investors’ decisions to re-enter the market, but also to decisions to exit. Interestingly, recent returns are shown to have a positive coefficient, which may be related to the disposition effect (e.g., Shefrin and Statman, 1985). Notably, the coefficient on </w:t>
      </w:r>
      <w:r w:rsidRPr="003A4F79">
        <w:rPr>
          <w:i/>
          <w:lang w:eastAsia="ko-KR"/>
        </w:rPr>
        <w:t>Inherit</w:t>
      </w:r>
      <w:r w:rsidRPr="003A4F79">
        <w:rPr>
          <w:lang w:eastAsia="ko-KR"/>
        </w:rPr>
        <w:t xml:space="preserve">, which is a dummy variable equal to 1 if an investor inherited the stock within the past 12 months, and 0 otherwise, (this variable is used as an instrument to meet an </w:t>
      </w:r>
      <w:r w:rsidRPr="003A4F79">
        <w:rPr>
          <w:i/>
          <w:lang w:eastAsia="ko-KR"/>
        </w:rPr>
        <w:t>exclusion restriction</w:t>
      </w:r>
      <w:r w:rsidRPr="003A4F79">
        <w:rPr>
          <w:lang w:eastAsia="ko-KR"/>
        </w:rPr>
        <w:t xml:space="preserve">) is negative. That is, people are more (less) likely to stay (exit) in the market if they inherit the stock, the finding which can be linked to status quo bias (Samuelson and Zeckhauser, 1988), whereby investors prefer for the existing condition (i.e., inherited stock positions) to stay the same without bringing about change (i.e., unwind the existing positions). For A.3, where we estimate the model using the random-effects logit specification to mitigate </w:t>
      </w:r>
      <w:r w:rsidRPr="003A4F79">
        <w:t>the incidental parameter problem (Neyman and Scott, 1948), we find the probability of exit (i.e., the inverse Mill’s ratio, λ) is negatively related to re-entry, indicating that our sample is not randomly selected. More importantly, however, the coefficients of our main variable remain intact even after controlling for λ (i.e., correcting for potential selection bias).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B90"/>
    <w:multiLevelType w:val="hybridMultilevel"/>
    <w:tmpl w:val="EDF21D3A"/>
    <w:lvl w:ilvl="0" w:tplc="2C7E33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45FBB"/>
    <w:multiLevelType w:val="hybridMultilevel"/>
    <w:tmpl w:val="C50E573E"/>
    <w:lvl w:ilvl="0" w:tplc="EA3A34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93C1B"/>
    <w:multiLevelType w:val="multilevel"/>
    <w:tmpl w:val="12F0D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670F6"/>
    <w:multiLevelType w:val="hybridMultilevel"/>
    <w:tmpl w:val="3760B884"/>
    <w:lvl w:ilvl="0" w:tplc="3A1EE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36D4C"/>
    <w:multiLevelType w:val="hybridMultilevel"/>
    <w:tmpl w:val="CBD4188E"/>
    <w:lvl w:ilvl="0" w:tplc="3F2845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0E4F2E"/>
    <w:multiLevelType w:val="hybridMultilevel"/>
    <w:tmpl w:val="2C10C146"/>
    <w:lvl w:ilvl="0" w:tplc="55249DA4">
      <w:start w:val="1"/>
      <w:numFmt w:val="decimal"/>
      <w:lvlText w:val="%1."/>
      <w:lvlJc w:val="left"/>
      <w:pPr>
        <w:ind w:left="720" w:hanging="360"/>
      </w:pPr>
      <w:rPr>
        <w:rFonts w:asciiTheme="minorHAnsi" w:hAnsiTheme="minorHAnsi" w:cstheme="minorHAnsi"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23DB5"/>
    <w:multiLevelType w:val="hybridMultilevel"/>
    <w:tmpl w:val="F03CB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A7319"/>
    <w:multiLevelType w:val="hybridMultilevel"/>
    <w:tmpl w:val="F4366F4C"/>
    <w:lvl w:ilvl="0" w:tplc="BDA642FA">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18F52931"/>
    <w:multiLevelType w:val="multilevel"/>
    <w:tmpl w:val="D3B8E4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AA45FB"/>
    <w:multiLevelType w:val="hybridMultilevel"/>
    <w:tmpl w:val="95C63C8A"/>
    <w:lvl w:ilvl="0" w:tplc="C78841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600A1"/>
    <w:multiLevelType w:val="hybridMultilevel"/>
    <w:tmpl w:val="A8F2D78E"/>
    <w:lvl w:ilvl="0" w:tplc="E2CC5E5E">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A0E4C"/>
    <w:multiLevelType w:val="hybridMultilevel"/>
    <w:tmpl w:val="08A05442"/>
    <w:lvl w:ilvl="0" w:tplc="FFE20CB6">
      <w:start w:val="1"/>
      <w:numFmt w:val="decimal"/>
      <w:lvlText w:val="%1."/>
      <w:lvlJc w:val="left"/>
      <w:pPr>
        <w:ind w:left="927"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611643"/>
    <w:multiLevelType w:val="multilevel"/>
    <w:tmpl w:val="63063B4A"/>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4D57D1B"/>
    <w:multiLevelType w:val="hybridMultilevel"/>
    <w:tmpl w:val="906623B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BF607D"/>
    <w:multiLevelType w:val="hybridMultilevel"/>
    <w:tmpl w:val="AE96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439B4"/>
    <w:multiLevelType w:val="multilevel"/>
    <w:tmpl w:val="0C7EA3A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B02891"/>
    <w:multiLevelType w:val="hybridMultilevel"/>
    <w:tmpl w:val="584A9DE2"/>
    <w:lvl w:ilvl="0" w:tplc="208E71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E47B8"/>
    <w:multiLevelType w:val="hybridMultilevel"/>
    <w:tmpl w:val="1E70F5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D7520B"/>
    <w:multiLevelType w:val="hybridMultilevel"/>
    <w:tmpl w:val="E1C24CC2"/>
    <w:lvl w:ilvl="0" w:tplc="476C8E0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81E1D"/>
    <w:multiLevelType w:val="hybridMultilevel"/>
    <w:tmpl w:val="1EFE4A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FE1944"/>
    <w:multiLevelType w:val="hybridMultilevel"/>
    <w:tmpl w:val="16925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6295C"/>
    <w:multiLevelType w:val="hybridMultilevel"/>
    <w:tmpl w:val="F4366F4C"/>
    <w:lvl w:ilvl="0" w:tplc="BDA642FA">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2" w15:restartNumberingAfterBreak="0">
    <w:nsid w:val="4CE83838"/>
    <w:multiLevelType w:val="hybridMultilevel"/>
    <w:tmpl w:val="95C63C8A"/>
    <w:lvl w:ilvl="0" w:tplc="C78841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8193A"/>
    <w:multiLevelType w:val="multilevel"/>
    <w:tmpl w:val="F7704E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F93014B"/>
    <w:multiLevelType w:val="hybridMultilevel"/>
    <w:tmpl w:val="1D720C8E"/>
    <w:lvl w:ilvl="0" w:tplc="9B627F04">
      <w:start w:val="7"/>
      <w:numFmt w:val="bullet"/>
      <w:lvlText w:val=""/>
      <w:lvlJc w:val="left"/>
      <w:pPr>
        <w:ind w:left="473" w:hanging="360"/>
      </w:pPr>
      <w:rPr>
        <w:rFonts w:ascii="Symbol" w:eastAsiaTheme="minorHAnsi" w:hAnsi="Symbol"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5" w15:restartNumberingAfterBreak="0">
    <w:nsid w:val="58643268"/>
    <w:multiLevelType w:val="hybridMultilevel"/>
    <w:tmpl w:val="86DC06C0"/>
    <w:lvl w:ilvl="0" w:tplc="CA220C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34188"/>
    <w:multiLevelType w:val="hybridMultilevel"/>
    <w:tmpl w:val="6E008850"/>
    <w:lvl w:ilvl="0" w:tplc="6E342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B71983"/>
    <w:multiLevelType w:val="hybridMultilevel"/>
    <w:tmpl w:val="FBAE0DFC"/>
    <w:lvl w:ilvl="0" w:tplc="A712E0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7700BD"/>
    <w:multiLevelType w:val="hybridMultilevel"/>
    <w:tmpl w:val="F4366F4C"/>
    <w:lvl w:ilvl="0" w:tplc="BDA642FA">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9" w15:restartNumberingAfterBreak="0">
    <w:nsid w:val="5F3E0EAB"/>
    <w:multiLevelType w:val="hybridMultilevel"/>
    <w:tmpl w:val="F03CB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D2122B"/>
    <w:multiLevelType w:val="hybridMultilevel"/>
    <w:tmpl w:val="906623B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E875F6"/>
    <w:multiLevelType w:val="multilevel"/>
    <w:tmpl w:val="5946574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2AF7CD3"/>
    <w:multiLevelType w:val="hybridMultilevel"/>
    <w:tmpl w:val="29CA9FE2"/>
    <w:lvl w:ilvl="0" w:tplc="3F2845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3F672AC"/>
    <w:multiLevelType w:val="hybridMultilevel"/>
    <w:tmpl w:val="CBD4188E"/>
    <w:lvl w:ilvl="0" w:tplc="3F2845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96E32F2"/>
    <w:multiLevelType w:val="hybridMultilevel"/>
    <w:tmpl w:val="A6A0EB8C"/>
    <w:lvl w:ilvl="0" w:tplc="81C4D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265231"/>
    <w:multiLevelType w:val="hybridMultilevel"/>
    <w:tmpl w:val="19040950"/>
    <w:lvl w:ilvl="0" w:tplc="B4AA64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E6D6025"/>
    <w:multiLevelType w:val="hybridMultilevel"/>
    <w:tmpl w:val="CBD4188E"/>
    <w:lvl w:ilvl="0" w:tplc="3F2845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24"/>
  </w:num>
  <w:num w:numId="4">
    <w:abstractNumId w:val="35"/>
  </w:num>
  <w:num w:numId="5">
    <w:abstractNumId w:val="30"/>
  </w:num>
  <w:num w:numId="6">
    <w:abstractNumId w:val="0"/>
  </w:num>
  <w:num w:numId="7">
    <w:abstractNumId w:val="17"/>
  </w:num>
  <w:num w:numId="8">
    <w:abstractNumId w:val="1"/>
  </w:num>
  <w:num w:numId="9">
    <w:abstractNumId w:val="3"/>
  </w:num>
  <w:num w:numId="10">
    <w:abstractNumId w:val="33"/>
  </w:num>
  <w:num w:numId="11">
    <w:abstractNumId w:val="4"/>
  </w:num>
  <w:num w:numId="12">
    <w:abstractNumId w:val="36"/>
  </w:num>
  <w:num w:numId="13">
    <w:abstractNumId w:val="5"/>
  </w:num>
  <w:num w:numId="14">
    <w:abstractNumId w:val="18"/>
  </w:num>
  <w:num w:numId="15">
    <w:abstractNumId w:val="32"/>
  </w:num>
  <w:num w:numId="16">
    <w:abstractNumId w:val="27"/>
  </w:num>
  <w:num w:numId="17">
    <w:abstractNumId w:val="25"/>
  </w:num>
  <w:num w:numId="18">
    <w:abstractNumId w:val="31"/>
  </w:num>
  <w:num w:numId="19">
    <w:abstractNumId w:val="8"/>
  </w:num>
  <w:num w:numId="20">
    <w:abstractNumId w:val="19"/>
  </w:num>
  <w:num w:numId="21">
    <w:abstractNumId w:val="6"/>
  </w:num>
  <w:num w:numId="22">
    <w:abstractNumId w:val="34"/>
  </w:num>
  <w:num w:numId="23">
    <w:abstractNumId w:val="26"/>
  </w:num>
  <w:num w:numId="24">
    <w:abstractNumId w:val="22"/>
  </w:num>
  <w:num w:numId="25">
    <w:abstractNumId w:val="9"/>
  </w:num>
  <w:num w:numId="26">
    <w:abstractNumId w:val="13"/>
  </w:num>
  <w:num w:numId="27">
    <w:abstractNumId w:val="29"/>
  </w:num>
  <w:num w:numId="28">
    <w:abstractNumId w:val="23"/>
  </w:num>
  <w:num w:numId="29">
    <w:abstractNumId w:val="7"/>
  </w:num>
  <w:num w:numId="30">
    <w:abstractNumId w:val="21"/>
  </w:num>
  <w:num w:numId="31">
    <w:abstractNumId w:val="28"/>
  </w:num>
  <w:num w:numId="32">
    <w:abstractNumId w:val="12"/>
  </w:num>
  <w:num w:numId="33">
    <w:abstractNumId w:val="2"/>
  </w:num>
  <w:num w:numId="34">
    <w:abstractNumId w:val="16"/>
  </w:num>
  <w:num w:numId="35">
    <w:abstractNumId w:val="15"/>
  </w:num>
  <w:num w:numId="36">
    <w:abstractNumId w:val="20"/>
  </w:num>
  <w:num w:numId="3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SG"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adaxpzsxfz0zesw0cptv2lxefadaxfxtvv&quot;&gt;hotstoveliterature&lt;record-ids&gt;&lt;item&gt;11&lt;/item&gt;&lt;/record-ids&gt;&lt;/item&gt;&lt;/Libraries&gt;"/>
  </w:docVars>
  <w:rsids>
    <w:rsidRoot w:val="005144EC"/>
    <w:rsid w:val="00000771"/>
    <w:rsid w:val="0000093D"/>
    <w:rsid w:val="00000C50"/>
    <w:rsid w:val="00001127"/>
    <w:rsid w:val="00001162"/>
    <w:rsid w:val="00001198"/>
    <w:rsid w:val="000011C9"/>
    <w:rsid w:val="0000129B"/>
    <w:rsid w:val="00001608"/>
    <w:rsid w:val="00001694"/>
    <w:rsid w:val="0000173A"/>
    <w:rsid w:val="000017EB"/>
    <w:rsid w:val="000019DA"/>
    <w:rsid w:val="00001B28"/>
    <w:rsid w:val="000020D4"/>
    <w:rsid w:val="000021BE"/>
    <w:rsid w:val="00002292"/>
    <w:rsid w:val="0000234D"/>
    <w:rsid w:val="000023F5"/>
    <w:rsid w:val="00002472"/>
    <w:rsid w:val="000025FD"/>
    <w:rsid w:val="00002628"/>
    <w:rsid w:val="000028CF"/>
    <w:rsid w:val="00002984"/>
    <w:rsid w:val="00002B43"/>
    <w:rsid w:val="00002C51"/>
    <w:rsid w:val="00002C8F"/>
    <w:rsid w:val="00002CA9"/>
    <w:rsid w:val="00002F02"/>
    <w:rsid w:val="00002F5D"/>
    <w:rsid w:val="00003187"/>
    <w:rsid w:val="000035C4"/>
    <w:rsid w:val="0000362C"/>
    <w:rsid w:val="00003D90"/>
    <w:rsid w:val="00003DDE"/>
    <w:rsid w:val="00003E39"/>
    <w:rsid w:val="00003E91"/>
    <w:rsid w:val="00003F09"/>
    <w:rsid w:val="00003F8F"/>
    <w:rsid w:val="00003FE9"/>
    <w:rsid w:val="00004193"/>
    <w:rsid w:val="00004204"/>
    <w:rsid w:val="00004461"/>
    <w:rsid w:val="000046EE"/>
    <w:rsid w:val="00004714"/>
    <w:rsid w:val="0000485F"/>
    <w:rsid w:val="00004865"/>
    <w:rsid w:val="00004940"/>
    <w:rsid w:val="00004A77"/>
    <w:rsid w:val="00004B4F"/>
    <w:rsid w:val="00004ED6"/>
    <w:rsid w:val="00004F21"/>
    <w:rsid w:val="0000513E"/>
    <w:rsid w:val="0000539F"/>
    <w:rsid w:val="000053AC"/>
    <w:rsid w:val="000053AD"/>
    <w:rsid w:val="000053C7"/>
    <w:rsid w:val="000055BA"/>
    <w:rsid w:val="0000560A"/>
    <w:rsid w:val="00005C4A"/>
    <w:rsid w:val="0000617B"/>
    <w:rsid w:val="000061D1"/>
    <w:rsid w:val="00006565"/>
    <w:rsid w:val="00006919"/>
    <w:rsid w:val="000069B7"/>
    <w:rsid w:val="000069BC"/>
    <w:rsid w:val="00006B66"/>
    <w:rsid w:val="00006F87"/>
    <w:rsid w:val="00007483"/>
    <w:rsid w:val="00007599"/>
    <w:rsid w:val="00007604"/>
    <w:rsid w:val="000078D8"/>
    <w:rsid w:val="00007901"/>
    <w:rsid w:val="00007979"/>
    <w:rsid w:val="00007A1F"/>
    <w:rsid w:val="00007AB9"/>
    <w:rsid w:val="00007B92"/>
    <w:rsid w:val="00007E7D"/>
    <w:rsid w:val="0001008F"/>
    <w:rsid w:val="0001025F"/>
    <w:rsid w:val="000105E3"/>
    <w:rsid w:val="0001076B"/>
    <w:rsid w:val="0001084D"/>
    <w:rsid w:val="00010A31"/>
    <w:rsid w:val="00010A89"/>
    <w:rsid w:val="00010B20"/>
    <w:rsid w:val="00010DB0"/>
    <w:rsid w:val="00011911"/>
    <w:rsid w:val="00011F77"/>
    <w:rsid w:val="0001227B"/>
    <w:rsid w:val="00012308"/>
    <w:rsid w:val="0001235C"/>
    <w:rsid w:val="0001254F"/>
    <w:rsid w:val="00012627"/>
    <w:rsid w:val="00012741"/>
    <w:rsid w:val="00012794"/>
    <w:rsid w:val="0001285E"/>
    <w:rsid w:val="00012A50"/>
    <w:rsid w:val="00012AB9"/>
    <w:rsid w:val="00012BC9"/>
    <w:rsid w:val="00012CB0"/>
    <w:rsid w:val="00013025"/>
    <w:rsid w:val="00013A1F"/>
    <w:rsid w:val="00013A47"/>
    <w:rsid w:val="00013B3D"/>
    <w:rsid w:val="00013BAD"/>
    <w:rsid w:val="00013DFE"/>
    <w:rsid w:val="00014093"/>
    <w:rsid w:val="000140C4"/>
    <w:rsid w:val="000140E5"/>
    <w:rsid w:val="000141F3"/>
    <w:rsid w:val="000141F7"/>
    <w:rsid w:val="0001452F"/>
    <w:rsid w:val="0001467A"/>
    <w:rsid w:val="00014954"/>
    <w:rsid w:val="00014AC4"/>
    <w:rsid w:val="00014F4F"/>
    <w:rsid w:val="000152B9"/>
    <w:rsid w:val="00015324"/>
    <w:rsid w:val="00015366"/>
    <w:rsid w:val="00015439"/>
    <w:rsid w:val="00015477"/>
    <w:rsid w:val="00015A37"/>
    <w:rsid w:val="00015B0F"/>
    <w:rsid w:val="00015C7B"/>
    <w:rsid w:val="00016001"/>
    <w:rsid w:val="0001621A"/>
    <w:rsid w:val="000165EB"/>
    <w:rsid w:val="000168E2"/>
    <w:rsid w:val="000169EB"/>
    <w:rsid w:val="00016B3E"/>
    <w:rsid w:val="00016E1E"/>
    <w:rsid w:val="0001703F"/>
    <w:rsid w:val="00017108"/>
    <w:rsid w:val="000172EF"/>
    <w:rsid w:val="0001739B"/>
    <w:rsid w:val="00017B12"/>
    <w:rsid w:val="00017B1C"/>
    <w:rsid w:val="00017CFB"/>
    <w:rsid w:val="00017DDA"/>
    <w:rsid w:val="00017F65"/>
    <w:rsid w:val="000202E4"/>
    <w:rsid w:val="0002034F"/>
    <w:rsid w:val="00020503"/>
    <w:rsid w:val="000207AF"/>
    <w:rsid w:val="00020827"/>
    <w:rsid w:val="000208D7"/>
    <w:rsid w:val="00020A40"/>
    <w:rsid w:val="00020A4A"/>
    <w:rsid w:val="00020BC0"/>
    <w:rsid w:val="00020BE3"/>
    <w:rsid w:val="00020C99"/>
    <w:rsid w:val="00020EE9"/>
    <w:rsid w:val="00020F7D"/>
    <w:rsid w:val="00021177"/>
    <w:rsid w:val="0002125E"/>
    <w:rsid w:val="000213FC"/>
    <w:rsid w:val="000214C8"/>
    <w:rsid w:val="000215B5"/>
    <w:rsid w:val="00021751"/>
    <w:rsid w:val="0002188F"/>
    <w:rsid w:val="000219AD"/>
    <w:rsid w:val="00021A39"/>
    <w:rsid w:val="00021BDF"/>
    <w:rsid w:val="00021CB3"/>
    <w:rsid w:val="00021E14"/>
    <w:rsid w:val="000221CC"/>
    <w:rsid w:val="000221D5"/>
    <w:rsid w:val="00022371"/>
    <w:rsid w:val="000225DC"/>
    <w:rsid w:val="00022A1C"/>
    <w:rsid w:val="00022C7E"/>
    <w:rsid w:val="00022CC3"/>
    <w:rsid w:val="00022FE9"/>
    <w:rsid w:val="00023115"/>
    <w:rsid w:val="00023138"/>
    <w:rsid w:val="0002328C"/>
    <w:rsid w:val="00023782"/>
    <w:rsid w:val="0002396A"/>
    <w:rsid w:val="000239F3"/>
    <w:rsid w:val="00023A7E"/>
    <w:rsid w:val="00023B82"/>
    <w:rsid w:val="00023C8F"/>
    <w:rsid w:val="00023ED5"/>
    <w:rsid w:val="00024015"/>
    <w:rsid w:val="000240CB"/>
    <w:rsid w:val="000242AF"/>
    <w:rsid w:val="0002444D"/>
    <w:rsid w:val="000246BD"/>
    <w:rsid w:val="00024AD6"/>
    <w:rsid w:val="00024B86"/>
    <w:rsid w:val="0002500D"/>
    <w:rsid w:val="000252DE"/>
    <w:rsid w:val="00025477"/>
    <w:rsid w:val="00025912"/>
    <w:rsid w:val="00025B7F"/>
    <w:rsid w:val="00025B94"/>
    <w:rsid w:val="00025C04"/>
    <w:rsid w:val="00025CE1"/>
    <w:rsid w:val="00025D81"/>
    <w:rsid w:val="00025E2C"/>
    <w:rsid w:val="00025E3C"/>
    <w:rsid w:val="00026042"/>
    <w:rsid w:val="00026400"/>
    <w:rsid w:val="00026B9A"/>
    <w:rsid w:val="00026BAD"/>
    <w:rsid w:val="00026FB9"/>
    <w:rsid w:val="000270CD"/>
    <w:rsid w:val="000273A1"/>
    <w:rsid w:val="000277E7"/>
    <w:rsid w:val="00027812"/>
    <w:rsid w:val="00027981"/>
    <w:rsid w:val="00027C24"/>
    <w:rsid w:val="000302EB"/>
    <w:rsid w:val="0003081A"/>
    <w:rsid w:val="000308DE"/>
    <w:rsid w:val="00030B81"/>
    <w:rsid w:val="00030BB5"/>
    <w:rsid w:val="00030BE8"/>
    <w:rsid w:val="00030CC9"/>
    <w:rsid w:val="0003116F"/>
    <w:rsid w:val="000311B9"/>
    <w:rsid w:val="0003138B"/>
    <w:rsid w:val="00031579"/>
    <w:rsid w:val="00031802"/>
    <w:rsid w:val="000319F6"/>
    <w:rsid w:val="00031A75"/>
    <w:rsid w:val="00031D20"/>
    <w:rsid w:val="00031E00"/>
    <w:rsid w:val="00032264"/>
    <w:rsid w:val="000323FF"/>
    <w:rsid w:val="000326C9"/>
    <w:rsid w:val="000326EC"/>
    <w:rsid w:val="0003275F"/>
    <w:rsid w:val="000328CD"/>
    <w:rsid w:val="00032A4A"/>
    <w:rsid w:val="00032A5A"/>
    <w:rsid w:val="00032DE4"/>
    <w:rsid w:val="00032E05"/>
    <w:rsid w:val="00032E4D"/>
    <w:rsid w:val="00032FF3"/>
    <w:rsid w:val="000331C9"/>
    <w:rsid w:val="00033355"/>
    <w:rsid w:val="0003347D"/>
    <w:rsid w:val="00033589"/>
    <w:rsid w:val="0003360B"/>
    <w:rsid w:val="00033839"/>
    <w:rsid w:val="00033AC8"/>
    <w:rsid w:val="00033D32"/>
    <w:rsid w:val="00033F8E"/>
    <w:rsid w:val="000341F3"/>
    <w:rsid w:val="0003421B"/>
    <w:rsid w:val="0003486A"/>
    <w:rsid w:val="000349AC"/>
    <w:rsid w:val="000349B4"/>
    <w:rsid w:val="00034A42"/>
    <w:rsid w:val="00034A5A"/>
    <w:rsid w:val="00034AAC"/>
    <w:rsid w:val="00034EBC"/>
    <w:rsid w:val="00034FD8"/>
    <w:rsid w:val="000351F7"/>
    <w:rsid w:val="000353F5"/>
    <w:rsid w:val="000354DC"/>
    <w:rsid w:val="00035712"/>
    <w:rsid w:val="000357D7"/>
    <w:rsid w:val="00035A45"/>
    <w:rsid w:val="00035B92"/>
    <w:rsid w:val="00035C5A"/>
    <w:rsid w:val="00035E17"/>
    <w:rsid w:val="00035ED7"/>
    <w:rsid w:val="00035EE6"/>
    <w:rsid w:val="00035FF0"/>
    <w:rsid w:val="000360FE"/>
    <w:rsid w:val="0003612D"/>
    <w:rsid w:val="0003638B"/>
    <w:rsid w:val="000364A6"/>
    <w:rsid w:val="00036566"/>
    <w:rsid w:val="000367C3"/>
    <w:rsid w:val="000368A1"/>
    <w:rsid w:val="00036E7E"/>
    <w:rsid w:val="00036EC4"/>
    <w:rsid w:val="00036FAC"/>
    <w:rsid w:val="0003718B"/>
    <w:rsid w:val="00037389"/>
    <w:rsid w:val="00037503"/>
    <w:rsid w:val="00037525"/>
    <w:rsid w:val="0003765E"/>
    <w:rsid w:val="000377CF"/>
    <w:rsid w:val="0003796A"/>
    <w:rsid w:val="00037A8D"/>
    <w:rsid w:val="00037B5F"/>
    <w:rsid w:val="0004004B"/>
    <w:rsid w:val="00040114"/>
    <w:rsid w:val="000402FF"/>
    <w:rsid w:val="0004063F"/>
    <w:rsid w:val="000408F5"/>
    <w:rsid w:val="00040993"/>
    <w:rsid w:val="00040B1B"/>
    <w:rsid w:val="00040F9A"/>
    <w:rsid w:val="0004101B"/>
    <w:rsid w:val="000412CA"/>
    <w:rsid w:val="00041468"/>
    <w:rsid w:val="000415B1"/>
    <w:rsid w:val="000418A2"/>
    <w:rsid w:val="00041924"/>
    <w:rsid w:val="000419A1"/>
    <w:rsid w:val="00041AAA"/>
    <w:rsid w:val="00041B01"/>
    <w:rsid w:val="00041EF1"/>
    <w:rsid w:val="00041F09"/>
    <w:rsid w:val="00041F69"/>
    <w:rsid w:val="00041FE9"/>
    <w:rsid w:val="0004206D"/>
    <w:rsid w:val="00042252"/>
    <w:rsid w:val="0004232A"/>
    <w:rsid w:val="00042541"/>
    <w:rsid w:val="00042778"/>
    <w:rsid w:val="00042A6F"/>
    <w:rsid w:val="00042BB4"/>
    <w:rsid w:val="00042BEA"/>
    <w:rsid w:val="00042E61"/>
    <w:rsid w:val="00042EE5"/>
    <w:rsid w:val="00042F60"/>
    <w:rsid w:val="00042FBE"/>
    <w:rsid w:val="000431F0"/>
    <w:rsid w:val="00043426"/>
    <w:rsid w:val="000434F7"/>
    <w:rsid w:val="00043AA8"/>
    <w:rsid w:val="00043B83"/>
    <w:rsid w:val="00043B89"/>
    <w:rsid w:val="00043C09"/>
    <w:rsid w:val="00043F84"/>
    <w:rsid w:val="00044363"/>
    <w:rsid w:val="0004454A"/>
    <w:rsid w:val="000445EA"/>
    <w:rsid w:val="00044D96"/>
    <w:rsid w:val="00044FC6"/>
    <w:rsid w:val="00045251"/>
    <w:rsid w:val="0004527A"/>
    <w:rsid w:val="0004532E"/>
    <w:rsid w:val="000453D1"/>
    <w:rsid w:val="00045858"/>
    <w:rsid w:val="0004591E"/>
    <w:rsid w:val="000459BF"/>
    <w:rsid w:val="00045B18"/>
    <w:rsid w:val="00045BD3"/>
    <w:rsid w:val="00045C2F"/>
    <w:rsid w:val="00045C3B"/>
    <w:rsid w:val="00045C65"/>
    <w:rsid w:val="00045EEC"/>
    <w:rsid w:val="00046278"/>
    <w:rsid w:val="0004635A"/>
    <w:rsid w:val="000464AB"/>
    <w:rsid w:val="00046538"/>
    <w:rsid w:val="000466AE"/>
    <w:rsid w:val="0004677C"/>
    <w:rsid w:val="00046F08"/>
    <w:rsid w:val="000471D4"/>
    <w:rsid w:val="000471ED"/>
    <w:rsid w:val="0004733F"/>
    <w:rsid w:val="0004743E"/>
    <w:rsid w:val="000474F1"/>
    <w:rsid w:val="0004793A"/>
    <w:rsid w:val="00047C9F"/>
    <w:rsid w:val="00047DCE"/>
    <w:rsid w:val="00047E32"/>
    <w:rsid w:val="00047E9B"/>
    <w:rsid w:val="00050004"/>
    <w:rsid w:val="0005038D"/>
    <w:rsid w:val="0005062F"/>
    <w:rsid w:val="000509C3"/>
    <w:rsid w:val="000509CD"/>
    <w:rsid w:val="00050B99"/>
    <w:rsid w:val="00050BB6"/>
    <w:rsid w:val="00050BD8"/>
    <w:rsid w:val="00050C88"/>
    <w:rsid w:val="00050DD2"/>
    <w:rsid w:val="00050E0F"/>
    <w:rsid w:val="00050F96"/>
    <w:rsid w:val="00051099"/>
    <w:rsid w:val="00051204"/>
    <w:rsid w:val="00051207"/>
    <w:rsid w:val="000513D9"/>
    <w:rsid w:val="0005140C"/>
    <w:rsid w:val="000514D1"/>
    <w:rsid w:val="00051502"/>
    <w:rsid w:val="000517CC"/>
    <w:rsid w:val="000517E9"/>
    <w:rsid w:val="00051857"/>
    <w:rsid w:val="00051A69"/>
    <w:rsid w:val="00051B0F"/>
    <w:rsid w:val="00051D89"/>
    <w:rsid w:val="00051FF4"/>
    <w:rsid w:val="00051FFD"/>
    <w:rsid w:val="00052628"/>
    <w:rsid w:val="000526BB"/>
    <w:rsid w:val="0005270F"/>
    <w:rsid w:val="00052A56"/>
    <w:rsid w:val="00052BA1"/>
    <w:rsid w:val="00052CB4"/>
    <w:rsid w:val="00052CC7"/>
    <w:rsid w:val="00052FFF"/>
    <w:rsid w:val="00053567"/>
    <w:rsid w:val="000536AE"/>
    <w:rsid w:val="000536BD"/>
    <w:rsid w:val="00053A04"/>
    <w:rsid w:val="00053E93"/>
    <w:rsid w:val="00054229"/>
    <w:rsid w:val="00054590"/>
    <w:rsid w:val="00054AFF"/>
    <w:rsid w:val="00054FC6"/>
    <w:rsid w:val="0005519D"/>
    <w:rsid w:val="00055649"/>
    <w:rsid w:val="0005578A"/>
    <w:rsid w:val="0005579D"/>
    <w:rsid w:val="000558BB"/>
    <w:rsid w:val="00055C11"/>
    <w:rsid w:val="00055DE1"/>
    <w:rsid w:val="00055E39"/>
    <w:rsid w:val="00056306"/>
    <w:rsid w:val="00056AB2"/>
    <w:rsid w:val="00056B87"/>
    <w:rsid w:val="00056CC9"/>
    <w:rsid w:val="00056E0A"/>
    <w:rsid w:val="000574EB"/>
    <w:rsid w:val="00057C61"/>
    <w:rsid w:val="00057D16"/>
    <w:rsid w:val="00057E27"/>
    <w:rsid w:val="00057F4C"/>
    <w:rsid w:val="0006001F"/>
    <w:rsid w:val="000601FA"/>
    <w:rsid w:val="0006028D"/>
    <w:rsid w:val="00060307"/>
    <w:rsid w:val="00060545"/>
    <w:rsid w:val="00060670"/>
    <w:rsid w:val="00060728"/>
    <w:rsid w:val="0006091E"/>
    <w:rsid w:val="0006094B"/>
    <w:rsid w:val="000609B8"/>
    <w:rsid w:val="00060A09"/>
    <w:rsid w:val="00060B46"/>
    <w:rsid w:val="00060DC0"/>
    <w:rsid w:val="0006103B"/>
    <w:rsid w:val="000612DB"/>
    <w:rsid w:val="00061309"/>
    <w:rsid w:val="000617A7"/>
    <w:rsid w:val="00062065"/>
    <w:rsid w:val="0006207D"/>
    <w:rsid w:val="000623DF"/>
    <w:rsid w:val="000624DA"/>
    <w:rsid w:val="00062739"/>
    <w:rsid w:val="00062756"/>
    <w:rsid w:val="000627B5"/>
    <w:rsid w:val="000627DB"/>
    <w:rsid w:val="00062890"/>
    <w:rsid w:val="00062993"/>
    <w:rsid w:val="00062D7D"/>
    <w:rsid w:val="00063087"/>
    <w:rsid w:val="00063103"/>
    <w:rsid w:val="000633A9"/>
    <w:rsid w:val="000633DD"/>
    <w:rsid w:val="000634AC"/>
    <w:rsid w:val="00063884"/>
    <w:rsid w:val="00063A75"/>
    <w:rsid w:val="00063DD9"/>
    <w:rsid w:val="00063E1C"/>
    <w:rsid w:val="00063ED4"/>
    <w:rsid w:val="00063F86"/>
    <w:rsid w:val="00063FF1"/>
    <w:rsid w:val="00064326"/>
    <w:rsid w:val="000644BA"/>
    <w:rsid w:val="000645FE"/>
    <w:rsid w:val="00064679"/>
    <w:rsid w:val="000646DE"/>
    <w:rsid w:val="0006478D"/>
    <w:rsid w:val="000648BF"/>
    <w:rsid w:val="000648DF"/>
    <w:rsid w:val="00064B55"/>
    <w:rsid w:val="00065269"/>
    <w:rsid w:val="0006538D"/>
    <w:rsid w:val="00065504"/>
    <w:rsid w:val="00065565"/>
    <w:rsid w:val="00065695"/>
    <w:rsid w:val="00065A0B"/>
    <w:rsid w:val="00065E87"/>
    <w:rsid w:val="0006606F"/>
    <w:rsid w:val="0006612B"/>
    <w:rsid w:val="000663E3"/>
    <w:rsid w:val="000669FF"/>
    <w:rsid w:val="00066B0C"/>
    <w:rsid w:val="00066CB9"/>
    <w:rsid w:val="00066D51"/>
    <w:rsid w:val="000671B2"/>
    <w:rsid w:val="00067370"/>
    <w:rsid w:val="00067670"/>
    <w:rsid w:val="000677BA"/>
    <w:rsid w:val="0006780D"/>
    <w:rsid w:val="00067A10"/>
    <w:rsid w:val="00067B24"/>
    <w:rsid w:val="00067C0F"/>
    <w:rsid w:val="0007004E"/>
    <w:rsid w:val="000700CE"/>
    <w:rsid w:val="000706D0"/>
    <w:rsid w:val="00070711"/>
    <w:rsid w:val="00070786"/>
    <w:rsid w:val="00070849"/>
    <w:rsid w:val="00070A4D"/>
    <w:rsid w:val="00070BCC"/>
    <w:rsid w:val="00070C2E"/>
    <w:rsid w:val="00070DBB"/>
    <w:rsid w:val="00070FD1"/>
    <w:rsid w:val="000712DA"/>
    <w:rsid w:val="000713BF"/>
    <w:rsid w:val="00071686"/>
    <w:rsid w:val="00071A6E"/>
    <w:rsid w:val="00071ADE"/>
    <w:rsid w:val="00071D57"/>
    <w:rsid w:val="00071DA7"/>
    <w:rsid w:val="00071DEF"/>
    <w:rsid w:val="00071FB9"/>
    <w:rsid w:val="00071FFB"/>
    <w:rsid w:val="000720A5"/>
    <w:rsid w:val="00072127"/>
    <w:rsid w:val="00072244"/>
    <w:rsid w:val="00072288"/>
    <w:rsid w:val="000727B6"/>
    <w:rsid w:val="00072997"/>
    <w:rsid w:val="00072E72"/>
    <w:rsid w:val="00072E9A"/>
    <w:rsid w:val="0007317A"/>
    <w:rsid w:val="00073548"/>
    <w:rsid w:val="0007354F"/>
    <w:rsid w:val="000735E9"/>
    <w:rsid w:val="000736DB"/>
    <w:rsid w:val="000738A0"/>
    <w:rsid w:val="000738D1"/>
    <w:rsid w:val="00073A49"/>
    <w:rsid w:val="00073AD7"/>
    <w:rsid w:val="00073AF0"/>
    <w:rsid w:val="00073B7E"/>
    <w:rsid w:val="00074121"/>
    <w:rsid w:val="0007446D"/>
    <w:rsid w:val="00074485"/>
    <w:rsid w:val="00074545"/>
    <w:rsid w:val="00074764"/>
    <w:rsid w:val="00074C72"/>
    <w:rsid w:val="00074EB6"/>
    <w:rsid w:val="000750B4"/>
    <w:rsid w:val="0007518B"/>
    <w:rsid w:val="000757A3"/>
    <w:rsid w:val="000757BF"/>
    <w:rsid w:val="00075957"/>
    <w:rsid w:val="00075C61"/>
    <w:rsid w:val="00076034"/>
    <w:rsid w:val="00076129"/>
    <w:rsid w:val="00076318"/>
    <w:rsid w:val="000763AA"/>
    <w:rsid w:val="00076530"/>
    <w:rsid w:val="00076711"/>
    <w:rsid w:val="00076747"/>
    <w:rsid w:val="000768D0"/>
    <w:rsid w:val="00076B17"/>
    <w:rsid w:val="00076B3F"/>
    <w:rsid w:val="00076CD3"/>
    <w:rsid w:val="00076EF8"/>
    <w:rsid w:val="00077223"/>
    <w:rsid w:val="00077389"/>
    <w:rsid w:val="000776ED"/>
    <w:rsid w:val="00077B35"/>
    <w:rsid w:val="00077D30"/>
    <w:rsid w:val="00077FA9"/>
    <w:rsid w:val="00080373"/>
    <w:rsid w:val="0008054B"/>
    <w:rsid w:val="0008063B"/>
    <w:rsid w:val="000806B5"/>
    <w:rsid w:val="00080733"/>
    <w:rsid w:val="0008086D"/>
    <w:rsid w:val="00080A8F"/>
    <w:rsid w:val="00080C6C"/>
    <w:rsid w:val="00080F92"/>
    <w:rsid w:val="00080FEF"/>
    <w:rsid w:val="000811F1"/>
    <w:rsid w:val="00081282"/>
    <w:rsid w:val="00081417"/>
    <w:rsid w:val="000815AD"/>
    <w:rsid w:val="0008177B"/>
    <w:rsid w:val="00081923"/>
    <w:rsid w:val="0008194A"/>
    <w:rsid w:val="000819D5"/>
    <w:rsid w:val="00081AB7"/>
    <w:rsid w:val="00081B70"/>
    <w:rsid w:val="00081BC3"/>
    <w:rsid w:val="00081C63"/>
    <w:rsid w:val="00081EAB"/>
    <w:rsid w:val="000820C8"/>
    <w:rsid w:val="0008220C"/>
    <w:rsid w:val="0008228B"/>
    <w:rsid w:val="00082334"/>
    <w:rsid w:val="000825AA"/>
    <w:rsid w:val="000827BC"/>
    <w:rsid w:val="000829BD"/>
    <w:rsid w:val="00082A14"/>
    <w:rsid w:val="00082AB0"/>
    <w:rsid w:val="00082BDB"/>
    <w:rsid w:val="00082C2F"/>
    <w:rsid w:val="00082C3A"/>
    <w:rsid w:val="00082D68"/>
    <w:rsid w:val="00083003"/>
    <w:rsid w:val="0008393A"/>
    <w:rsid w:val="00083E20"/>
    <w:rsid w:val="000840E9"/>
    <w:rsid w:val="000842AE"/>
    <w:rsid w:val="000843C7"/>
    <w:rsid w:val="000847C9"/>
    <w:rsid w:val="000847EA"/>
    <w:rsid w:val="00084838"/>
    <w:rsid w:val="00084839"/>
    <w:rsid w:val="000849EF"/>
    <w:rsid w:val="00084C6A"/>
    <w:rsid w:val="0008505B"/>
    <w:rsid w:val="00085321"/>
    <w:rsid w:val="0008538A"/>
    <w:rsid w:val="00085605"/>
    <w:rsid w:val="00085883"/>
    <w:rsid w:val="00085CD6"/>
    <w:rsid w:val="00085D74"/>
    <w:rsid w:val="00085D7A"/>
    <w:rsid w:val="0008632F"/>
    <w:rsid w:val="0008658C"/>
    <w:rsid w:val="0008660B"/>
    <w:rsid w:val="00086E08"/>
    <w:rsid w:val="00086F24"/>
    <w:rsid w:val="00087492"/>
    <w:rsid w:val="000875A2"/>
    <w:rsid w:val="00087635"/>
    <w:rsid w:val="00087749"/>
    <w:rsid w:val="00087959"/>
    <w:rsid w:val="0008799E"/>
    <w:rsid w:val="00087B76"/>
    <w:rsid w:val="00087DFF"/>
    <w:rsid w:val="00087F0F"/>
    <w:rsid w:val="00087FCF"/>
    <w:rsid w:val="00090042"/>
    <w:rsid w:val="000903C1"/>
    <w:rsid w:val="00090943"/>
    <w:rsid w:val="00090A71"/>
    <w:rsid w:val="00090C51"/>
    <w:rsid w:val="00090DFD"/>
    <w:rsid w:val="00091365"/>
    <w:rsid w:val="00091486"/>
    <w:rsid w:val="000915C2"/>
    <w:rsid w:val="000918F2"/>
    <w:rsid w:val="00091CAB"/>
    <w:rsid w:val="00091D57"/>
    <w:rsid w:val="00091DFE"/>
    <w:rsid w:val="00091FE2"/>
    <w:rsid w:val="00092555"/>
    <w:rsid w:val="00092565"/>
    <w:rsid w:val="00092586"/>
    <w:rsid w:val="00092589"/>
    <w:rsid w:val="00092A8B"/>
    <w:rsid w:val="00092C73"/>
    <w:rsid w:val="00092FF9"/>
    <w:rsid w:val="000930B1"/>
    <w:rsid w:val="0009323A"/>
    <w:rsid w:val="00093479"/>
    <w:rsid w:val="00093528"/>
    <w:rsid w:val="00093702"/>
    <w:rsid w:val="00093943"/>
    <w:rsid w:val="00093984"/>
    <w:rsid w:val="000939C2"/>
    <w:rsid w:val="00093A30"/>
    <w:rsid w:val="00093C3A"/>
    <w:rsid w:val="00093F85"/>
    <w:rsid w:val="00094265"/>
    <w:rsid w:val="000942F8"/>
    <w:rsid w:val="00094811"/>
    <w:rsid w:val="00094AAD"/>
    <w:rsid w:val="00094B0A"/>
    <w:rsid w:val="00094D2E"/>
    <w:rsid w:val="00094E6B"/>
    <w:rsid w:val="00094FC9"/>
    <w:rsid w:val="00095130"/>
    <w:rsid w:val="00095387"/>
    <w:rsid w:val="00095823"/>
    <w:rsid w:val="00095830"/>
    <w:rsid w:val="00095A03"/>
    <w:rsid w:val="00095B24"/>
    <w:rsid w:val="00095EDD"/>
    <w:rsid w:val="00096206"/>
    <w:rsid w:val="00096389"/>
    <w:rsid w:val="00096515"/>
    <w:rsid w:val="00096555"/>
    <w:rsid w:val="00096900"/>
    <w:rsid w:val="00096BAE"/>
    <w:rsid w:val="00096C5D"/>
    <w:rsid w:val="00096C99"/>
    <w:rsid w:val="00096DDD"/>
    <w:rsid w:val="00097027"/>
    <w:rsid w:val="000970F2"/>
    <w:rsid w:val="0009714B"/>
    <w:rsid w:val="00097260"/>
    <w:rsid w:val="00097477"/>
    <w:rsid w:val="000975DF"/>
    <w:rsid w:val="00097AB3"/>
    <w:rsid w:val="00097CED"/>
    <w:rsid w:val="000A0049"/>
    <w:rsid w:val="000A0059"/>
    <w:rsid w:val="000A01BE"/>
    <w:rsid w:val="000A0684"/>
    <w:rsid w:val="000A08F9"/>
    <w:rsid w:val="000A09AF"/>
    <w:rsid w:val="000A0B7D"/>
    <w:rsid w:val="000A0F2B"/>
    <w:rsid w:val="000A0F5D"/>
    <w:rsid w:val="000A0F83"/>
    <w:rsid w:val="000A0FBA"/>
    <w:rsid w:val="000A102F"/>
    <w:rsid w:val="000A121C"/>
    <w:rsid w:val="000A151C"/>
    <w:rsid w:val="000A1609"/>
    <w:rsid w:val="000A1C65"/>
    <w:rsid w:val="000A1F51"/>
    <w:rsid w:val="000A2300"/>
    <w:rsid w:val="000A276D"/>
    <w:rsid w:val="000A2830"/>
    <w:rsid w:val="000A2E2C"/>
    <w:rsid w:val="000A2F8E"/>
    <w:rsid w:val="000A3120"/>
    <w:rsid w:val="000A3230"/>
    <w:rsid w:val="000A36CB"/>
    <w:rsid w:val="000A37EC"/>
    <w:rsid w:val="000A3B95"/>
    <w:rsid w:val="000A3CCB"/>
    <w:rsid w:val="000A3DB5"/>
    <w:rsid w:val="000A3E95"/>
    <w:rsid w:val="000A3FBC"/>
    <w:rsid w:val="000A401E"/>
    <w:rsid w:val="000A40ED"/>
    <w:rsid w:val="000A40FC"/>
    <w:rsid w:val="000A46C1"/>
    <w:rsid w:val="000A46D9"/>
    <w:rsid w:val="000A4794"/>
    <w:rsid w:val="000A4903"/>
    <w:rsid w:val="000A4973"/>
    <w:rsid w:val="000A4996"/>
    <w:rsid w:val="000A49DD"/>
    <w:rsid w:val="000A4B4C"/>
    <w:rsid w:val="000A4C32"/>
    <w:rsid w:val="000A4D1F"/>
    <w:rsid w:val="000A4EFA"/>
    <w:rsid w:val="000A4F17"/>
    <w:rsid w:val="000A4FA9"/>
    <w:rsid w:val="000A50E6"/>
    <w:rsid w:val="000A55DB"/>
    <w:rsid w:val="000A5646"/>
    <w:rsid w:val="000A5673"/>
    <w:rsid w:val="000A584D"/>
    <w:rsid w:val="000A5868"/>
    <w:rsid w:val="000A5A38"/>
    <w:rsid w:val="000A5AE3"/>
    <w:rsid w:val="000A6196"/>
    <w:rsid w:val="000A649B"/>
    <w:rsid w:val="000A64CF"/>
    <w:rsid w:val="000A6AB7"/>
    <w:rsid w:val="000A6AC9"/>
    <w:rsid w:val="000A6F98"/>
    <w:rsid w:val="000A714F"/>
    <w:rsid w:val="000A74AE"/>
    <w:rsid w:val="000A7566"/>
    <w:rsid w:val="000A7595"/>
    <w:rsid w:val="000A7963"/>
    <w:rsid w:val="000A79F2"/>
    <w:rsid w:val="000A7A88"/>
    <w:rsid w:val="000A7C99"/>
    <w:rsid w:val="000A7E00"/>
    <w:rsid w:val="000A7EE7"/>
    <w:rsid w:val="000A7EE9"/>
    <w:rsid w:val="000A7F6E"/>
    <w:rsid w:val="000B0368"/>
    <w:rsid w:val="000B0A4E"/>
    <w:rsid w:val="000B0A51"/>
    <w:rsid w:val="000B0C7B"/>
    <w:rsid w:val="000B0ED2"/>
    <w:rsid w:val="000B103C"/>
    <w:rsid w:val="000B13EB"/>
    <w:rsid w:val="000B148C"/>
    <w:rsid w:val="000B15C0"/>
    <w:rsid w:val="000B1849"/>
    <w:rsid w:val="000B1A73"/>
    <w:rsid w:val="000B1A80"/>
    <w:rsid w:val="000B1C01"/>
    <w:rsid w:val="000B1E72"/>
    <w:rsid w:val="000B1EED"/>
    <w:rsid w:val="000B1F8B"/>
    <w:rsid w:val="000B1FCE"/>
    <w:rsid w:val="000B218A"/>
    <w:rsid w:val="000B24A2"/>
    <w:rsid w:val="000B269E"/>
    <w:rsid w:val="000B2C78"/>
    <w:rsid w:val="000B2D23"/>
    <w:rsid w:val="000B2D46"/>
    <w:rsid w:val="000B2DC6"/>
    <w:rsid w:val="000B2E85"/>
    <w:rsid w:val="000B2FAF"/>
    <w:rsid w:val="000B30D2"/>
    <w:rsid w:val="000B3236"/>
    <w:rsid w:val="000B3280"/>
    <w:rsid w:val="000B3329"/>
    <w:rsid w:val="000B3504"/>
    <w:rsid w:val="000B3A26"/>
    <w:rsid w:val="000B3CC6"/>
    <w:rsid w:val="000B3E0C"/>
    <w:rsid w:val="000B4386"/>
    <w:rsid w:val="000B43F9"/>
    <w:rsid w:val="000B4409"/>
    <w:rsid w:val="000B4803"/>
    <w:rsid w:val="000B4860"/>
    <w:rsid w:val="000B4C1C"/>
    <w:rsid w:val="000B4CCC"/>
    <w:rsid w:val="000B4CCE"/>
    <w:rsid w:val="000B50C2"/>
    <w:rsid w:val="000B5252"/>
    <w:rsid w:val="000B57E7"/>
    <w:rsid w:val="000B5940"/>
    <w:rsid w:val="000B596C"/>
    <w:rsid w:val="000B5B5B"/>
    <w:rsid w:val="000B5DAA"/>
    <w:rsid w:val="000B5EAB"/>
    <w:rsid w:val="000B5F32"/>
    <w:rsid w:val="000B6137"/>
    <w:rsid w:val="000B6944"/>
    <w:rsid w:val="000B697A"/>
    <w:rsid w:val="000B6DDB"/>
    <w:rsid w:val="000B6DEB"/>
    <w:rsid w:val="000B7145"/>
    <w:rsid w:val="000B749F"/>
    <w:rsid w:val="000B7521"/>
    <w:rsid w:val="000B760C"/>
    <w:rsid w:val="000B7C75"/>
    <w:rsid w:val="000B7D81"/>
    <w:rsid w:val="000B7F44"/>
    <w:rsid w:val="000C014A"/>
    <w:rsid w:val="000C0395"/>
    <w:rsid w:val="000C0442"/>
    <w:rsid w:val="000C08E9"/>
    <w:rsid w:val="000C0A86"/>
    <w:rsid w:val="000C0B1D"/>
    <w:rsid w:val="000C0E0F"/>
    <w:rsid w:val="000C0F84"/>
    <w:rsid w:val="000C107A"/>
    <w:rsid w:val="000C1C43"/>
    <w:rsid w:val="000C1DAD"/>
    <w:rsid w:val="000C20C4"/>
    <w:rsid w:val="000C23E2"/>
    <w:rsid w:val="000C262F"/>
    <w:rsid w:val="000C2A52"/>
    <w:rsid w:val="000C2AB5"/>
    <w:rsid w:val="000C2B4B"/>
    <w:rsid w:val="000C2BFA"/>
    <w:rsid w:val="000C2C34"/>
    <w:rsid w:val="000C3077"/>
    <w:rsid w:val="000C3216"/>
    <w:rsid w:val="000C37D9"/>
    <w:rsid w:val="000C3877"/>
    <w:rsid w:val="000C3949"/>
    <w:rsid w:val="000C395E"/>
    <w:rsid w:val="000C39D7"/>
    <w:rsid w:val="000C3C51"/>
    <w:rsid w:val="000C3DE9"/>
    <w:rsid w:val="000C49C0"/>
    <w:rsid w:val="000C4C82"/>
    <w:rsid w:val="000C4F1B"/>
    <w:rsid w:val="000C4FB7"/>
    <w:rsid w:val="000C5116"/>
    <w:rsid w:val="000C51D7"/>
    <w:rsid w:val="000C5231"/>
    <w:rsid w:val="000C5324"/>
    <w:rsid w:val="000C541F"/>
    <w:rsid w:val="000C589C"/>
    <w:rsid w:val="000C58AE"/>
    <w:rsid w:val="000C590A"/>
    <w:rsid w:val="000C5A2F"/>
    <w:rsid w:val="000C5CE9"/>
    <w:rsid w:val="000C5DA0"/>
    <w:rsid w:val="000C5F27"/>
    <w:rsid w:val="000C60A1"/>
    <w:rsid w:val="000C635A"/>
    <w:rsid w:val="000C657D"/>
    <w:rsid w:val="000C69B8"/>
    <w:rsid w:val="000C69E7"/>
    <w:rsid w:val="000C6A1D"/>
    <w:rsid w:val="000C6CB3"/>
    <w:rsid w:val="000C6D33"/>
    <w:rsid w:val="000C6EE5"/>
    <w:rsid w:val="000C6F93"/>
    <w:rsid w:val="000C6FAA"/>
    <w:rsid w:val="000C74D8"/>
    <w:rsid w:val="000C751C"/>
    <w:rsid w:val="000C782D"/>
    <w:rsid w:val="000C7878"/>
    <w:rsid w:val="000C7894"/>
    <w:rsid w:val="000C79A7"/>
    <w:rsid w:val="000C79DD"/>
    <w:rsid w:val="000C7D65"/>
    <w:rsid w:val="000C7D82"/>
    <w:rsid w:val="000C7E4C"/>
    <w:rsid w:val="000D0079"/>
    <w:rsid w:val="000D021C"/>
    <w:rsid w:val="000D04BB"/>
    <w:rsid w:val="000D05F0"/>
    <w:rsid w:val="000D071C"/>
    <w:rsid w:val="000D0748"/>
    <w:rsid w:val="000D07C5"/>
    <w:rsid w:val="000D092A"/>
    <w:rsid w:val="000D09DC"/>
    <w:rsid w:val="000D0A93"/>
    <w:rsid w:val="000D0F95"/>
    <w:rsid w:val="000D101B"/>
    <w:rsid w:val="000D1020"/>
    <w:rsid w:val="000D110E"/>
    <w:rsid w:val="000D127F"/>
    <w:rsid w:val="000D1369"/>
    <w:rsid w:val="000D1598"/>
    <w:rsid w:val="000D1737"/>
    <w:rsid w:val="000D1C8A"/>
    <w:rsid w:val="000D1E69"/>
    <w:rsid w:val="000D1E98"/>
    <w:rsid w:val="000D22DB"/>
    <w:rsid w:val="000D24B6"/>
    <w:rsid w:val="000D275F"/>
    <w:rsid w:val="000D28EA"/>
    <w:rsid w:val="000D2978"/>
    <w:rsid w:val="000D3309"/>
    <w:rsid w:val="000D3503"/>
    <w:rsid w:val="000D37E0"/>
    <w:rsid w:val="000D407D"/>
    <w:rsid w:val="000D40FB"/>
    <w:rsid w:val="000D424E"/>
    <w:rsid w:val="000D4586"/>
    <w:rsid w:val="000D45FB"/>
    <w:rsid w:val="000D49E5"/>
    <w:rsid w:val="000D4A1B"/>
    <w:rsid w:val="000D4AEC"/>
    <w:rsid w:val="000D4B23"/>
    <w:rsid w:val="000D4E3B"/>
    <w:rsid w:val="000D4EE5"/>
    <w:rsid w:val="000D4F5E"/>
    <w:rsid w:val="000D4FAA"/>
    <w:rsid w:val="000D502D"/>
    <w:rsid w:val="000D504D"/>
    <w:rsid w:val="000D53E5"/>
    <w:rsid w:val="000D55BA"/>
    <w:rsid w:val="000D5649"/>
    <w:rsid w:val="000D56E1"/>
    <w:rsid w:val="000D573E"/>
    <w:rsid w:val="000D5DD9"/>
    <w:rsid w:val="000D5FF2"/>
    <w:rsid w:val="000D6111"/>
    <w:rsid w:val="000D62DB"/>
    <w:rsid w:val="000D67B8"/>
    <w:rsid w:val="000D6CFD"/>
    <w:rsid w:val="000D6EA6"/>
    <w:rsid w:val="000D7A3F"/>
    <w:rsid w:val="000D7D8A"/>
    <w:rsid w:val="000E0071"/>
    <w:rsid w:val="000E0664"/>
    <w:rsid w:val="000E0684"/>
    <w:rsid w:val="000E0808"/>
    <w:rsid w:val="000E0834"/>
    <w:rsid w:val="000E088A"/>
    <w:rsid w:val="000E0D95"/>
    <w:rsid w:val="000E0FAA"/>
    <w:rsid w:val="000E11F4"/>
    <w:rsid w:val="000E13D3"/>
    <w:rsid w:val="000E1E15"/>
    <w:rsid w:val="000E25B5"/>
    <w:rsid w:val="000E27FC"/>
    <w:rsid w:val="000E2CDA"/>
    <w:rsid w:val="000E2D23"/>
    <w:rsid w:val="000E2DA7"/>
    <w:rsid w:val="000E3061"/>
    <w:rsid w:val="000E31CE"/>
    <w:rsid w:val="000E3313"/>
    <w:rsid w:val="000E34F2"/>
    <w:rsid w:val="000E376A"/>
    <w:rsid w:val="000E3882"/>
    <w:rsid w:val="000E38C3"/>
    <w:rsid w:val="000E39BC"/>
    <w:rsid w:val="000E39EC"/>
    <w:rsid w:val="000E3B00"/>
    <w:rsid w:val="000E3B4C"/>
    <w:rsid w:val="000E3BDF"/>
    <w:rsid w:val="000E3C0E"/>
    <w:rsid w:val="000E3E60"/>
    <w:rsid w:val="000E3E96"/>
    <w:rsid w:val="000E407A"/>
    <w:rsid w:val="000E41B8"/>
    <w:rsid w:val="000E4272"/>
    <w:rsid w:val="000E438D"/>
    <w:rsid w:val="000E43D9"/>
    <w:rsid w:val="000E4857"/>
    <w:rsid w:val="000E4A36"/>
    <w:rsid w:val="000E4A5A"/>
    <w:rsid w:val="000E4D47"/>
    <w:rsid w:val="000E5185"/>
    <w:rsid w:val="000E537A"/>
    <w:rsid w:val="000E5875"/>
    <w:rsid w:val="000E5AD7"/>
    <w:rsid w:val="000E5B78"/>
    <w:rsid w:val="000E5C6B"/>
    <w:rsid w:val="000E5DCC"/>
    <w:rsid w:val="000E69E2"/>
    <w:rsid w:val="000E6D9C"/>
    <w:rsid w:val="000E6FF7"/>
    <w:rsid w:val="000E7059"/>
    <w:rsid w:val="000E73A0"/>
    <w:rsid w:val="000E741A"/>
    <w:rsid w:val="000E7BE2"/>
    <w:rsid w:val="000F03A9"/>
    <w:rsid w:val="000F05B3"/>
    <w:rsid w:val="000F0678"/>
    <w:rsid w:val="000F07BF"/>
    <w:rsid w:val="000F0BD1"/>
    <w:rsid w:val="000F0CDF"/>
    <w:rsid w:val="000F0D65"/>
    <w:rsid w:val="000F0F10"/>
    <w:rsid w:val="000F1123"/>
    <w:rsid w:val="000F12D6"/>
    <w:rsid w:val="000F130E"/>
    <w:rsid w:val="000F13DA"/>
    <w:rsid w:val="000F1434"/>
    <w:rsid w:val="000F1656"/>
    <w:rsid w:val="000F169F"/>
    <w:rsid w:val="000F16BB"/>
    <w:rsid w:val="000F176D"/>
    <w:rsid w:val="000F181E"/>
    <w:rsid w:val="000F18D7"/>
    <w:rsid w:val="000F1959"/>
    <w:rsid w:val="000F1B9F"/>
    <w:rsid w:val="000F1E4C"/>
    <w:rsid w:val="000F1EA4"/>
    <w:rsid w:val="000F1EE8"/>
    <w:rsid w:val="000F1F0F"/>
    <w:rsid w:val="000F2002"/>
    <w:rsid w:val="000F2015"/>
    <w:rsid w:val="000F22D5"/>
    <w:rsid w:val="000F26B8"/>
    <w:rsid w:val="000F28ED"/>
    <w:rsid w:val="000F2B4D"/>
    <w:rsid w:val="000F2DDC"/>
    <w:rsid w:val="000F2E2F"/>
    <w:rsid w:val="000F2E74"/>
    <w:rsid w:val="000F2E8F"/>
    <w:rsid w:val="000F3142"/>
    <w:rsid w:val="000F3182"/>
    <w:rsid w:val="000F3299"/>
    <w:rsid w:val="000F372C"/>
    <w:rsid w:val="000F3893"/>
    <w:rsid w:val="000F4152"/>
    <w:rsid w:val="000F41FB"/>
    <w:rsid w:val="000F43F7"/>
    <w:rsid w:val="000F449A"/>
    <w:rsid w:val="000F49C1"/>
    <w:rsid w:val="000F5399"/>
    <w:rsid w:val="000F54C8"/>
    <w:rsid w:val="000F557F"/>
    <w:rsid w:val="000F573C"/>
    <w:rsid w:val="000F58C0"/>
    <w:rsid w:val="000F5B51"/>
    <w:rsid w:val="000F5C6B"/>
    <w:rsid w:val="000F5D4A"/>
    <w:rsid w:val="000F5D86"/>
    <w:rsid w:val="000F5E07"/>
    <w:rsid w:val="000F5F8E"/>
    <w:rsid w:val="000F64AB"/>
    <w:rsid w:val="000F6633"/>
    <w:rsid w:val="000F6839"/>
    <w:rsid w:val="000F68A2"/>
    <w:rsid w:val="000F6A41"/>
    <w:rsid w:val="000F6AD8"/>
    <w:rsid w:val="000F6F2F"/>
    <w:rsid w:val="000F6F67"/>
    <w:rsid w:val="000F71A2"/>
    <w:rsid w:val="000F7342"/>
    <w:rsid w:val="000F73CB"/>
    <w:rsid w:val="000F7431"/>
    <w:rsid w:val="000F7793"/>
    <w:rsid w:val="000F7EDA"/>
    <w:rsid w:val="0010026F"/>
    <w:rsid w:val="00100954"/>
    <w:rsid w:val="00100AEF"/>
    <w:rsid w:val="00100B01"/>
    <w:rsid w:val="00100DF5"/>
    <w:rsid w:val="00100E81"/>
    <w:rsid w:val="00100FE9"/>
    <w:rsid w:val="00101068"/>
    <w:rsid w:val="00101255"/>
    <w:rsid w:val="0010180B"/>
    <w:rsid w:val="00101973"/>
    <w:rsid w:val="00101B65"/>
    <w:rsid w:val="00102260"/>
    <w:rsid w:val="00102494"/>
    <w:rsid w:val="00102915"/>
    <w:rsid w:val="001029FB"/>
    <w:rsid w:val="00102F09"/>
    <w:rsid w:val="00102F25"/>
    <w:rsid w:val="0010305B"/>
    <w:rsid w:val="001031D7"/>
    <w:rsid w:val="00103309"/>
    <w:rsid w:val="0010348A"/>
    <w:rsid w:val="0010348E"/>
    <w:rsid w:val="00103641"/>
    <w:rsid w:val="001039DF"/>
    <w:rsid w:val="00103A92"/>
    <w:rsid w:val="00103CC4"/>
    <w:rsid w:val="00104A87"/>
    <w:rsid w:val="00104BB5"/>
    <w:rsid w:val="00105261"/>
    <w:rsid w:val="001052E0"/>
    <w:rsid w:val="001052EA"/>
    <w:rsid w:val="001053D4"/>
    <w:rsid w:val="00105738"/>
    <w:rsid w:val="0010587F"/>
    <w:rsid w:val="00105886"/>
    <w:rsid w:val="00105920"/>
    <w:rsid w:val="00105A8D"/>
    <w:rsid w:val="00105D35"/>
    <w:rsid w:val="00105DE6"/>
    <w:rsid w:val="001060DD"/>
    <w:rsid w:val="00106100"/>
    <w:rsid w:val="00106161"/>
    <w:rsid w:val="00106182"/>
    <w:rsid w:val="001061C6"/>
    <w:rsid w:val="00106275"/>
    <w:rsid w:val="001062FC"/>
    <w:rsid w:val="00106309"/>
    <w:rsid w:val="0010636A"/>
    <w:rsid w:val="001066A0"/>
    <w:rsid w:val="00107109"/>
    <w:rsid w:val="00107479"/>
    <w:rsid w:val="001075B6"/>
    <w:rsid w:val="001079F6"/>
    <w:rsid w:val="00107ED3"/>
    <w:rsid w:val="00107FC6"/>
    <w:rsid w:val="001100BE"/>
    <w:rsid w:val="001100C0"/>
    <w:rsid w:val="001101B7"/>
    <w:rsid w:val="001103DA"/>
    <w:rsid w:val="0011041A"/>
    <w:rsid w:val="001105DC"/>
    <w:rsid w:val="001105E2"/>
    <w:rsid w:val="00110656"/>
    <w:rsid w:val="00110888"/>
    <w:rsid w:val="001108C1"/>
    <w:rsid w:val="00110935"/>
    <w:rsid w:val="0011099E"/>
    <w:rsid w:val="00110BE4"/>
    <w:rsid w:val="00110BEC"/>
    <w:rsid w:val="00110F95"/>
    <w:rsid w:val="00111072"/>
    <w:rsid w:val="00111329"/>
    <w:rsid w:val="001119D6"/>
    <w:rsid w:val="00111B60"/>
    <w:rsid w:val="00111C34"/>
    <w:rsid w:val="00111DD4"/>
    <w:rsid w:val="00111FD0"/>
    <w:rsid w:val="00112049"/>
    <w:rsid w:val="0011210D"/>
    <w:rsid w:val="001122B9"/>
    <w:rsid w:val="00112362"/>
    <w:rsid w:val="0011239C"/>
    <w:rsid w:val="0011294A"/>
    <w:rsid w:val="00112A07"/>
    <w:rsid w:val="00112BA8"/>
    <w:rsid w:val="00112CF8"/>
    <w:rsid w:val="00113B95"/>
    <w:rsid w:val="00114049"/>
    <w:rsid w:val="00114455"/>
    <w:rsid w:val="00114767"/>
    <w:rsid w:val="00114801"/>
    <w:rsid w:val="00114B0B"/>
    <w:rsid w:val="00114FAE"/>
    <w:rsid w:val="00114FD2"/>
    <w:rsid w:val="00115092"/>
    <w:rsid w:val="00115315"/>
    <w:rsid w:val="001156A1"/>
    <w:rsid w:val="001158C5"/>
    <w:rsid w:val="0011591A"/>
    <w:rsid w:val="0011596A"/>
    <w:rsid w:val="0011598C"/>
    <w:rsid w:val="00115FA2"/>
    <w:rsid w:val="00116249"/>
    <w:rsid w:val="00116264"/>
    <w:rsid w:val="0011668D"/>
    <w:rsid w:val="00116BAF"/>
    <w:rsid w:val="00116C35"/>
    <w:rsid w:val="00116CA6"/>
    <w:rsid w:val="00116DEF"/>
    <w:rsid w:val="00116F56"/>
    <w:rsid w:val="00117037"/>
    <w:rsid w:val="001172BB"/>
    <w:rsid w:val="00117320"/>
    <w:rsid w:val="00117893"/>
    <w:rsid w:val="00117BDF"/>
    <w:rsid w:val="00117D6B"/>
    <w:rsid w:val="00120478"/>
    <w:rsid w:val="0012077A"/>
    <w:rsid w:val="00121417"/>
    <w:rsid w:val="00121584"/>
    <w:rsid w:val="00121639"/>
    <w:rsid w:val="00121870"/>
    <w:rsid w:val="00121C62"/>
    <w:rsid w:val="00121E52"/>
    <w:rsid w:val="00121E58"/>
    <w:rsid w:val="00121EAF"/>
    <w:rsid w:val="00121F69"/>
    <w:rsid w:val="0012209D"/>
    <w:rsid w:val="001221F1"/>
    <w:rsid w:val="001224CA"/>
    <w:rsid w:val="00122551"/>
    <w:rsid w:val="0012258B"/>
    <w:rsid w:val="00122615"/>
    <w:rsid w:val="00122709"/>
    <w:rsid w:val="00122B27"/>
    <w:rsid w:val="00122CE8"/>
    <w:rsid w:val="00122E26"/>
    <w:rsid w:val="0012303B"/>
    <w:rsid w:val="00123069"/>
    <w:rsid w:val="0012320D"/>
    <w:rsid w:val="001232E6"/>
    <w:rsid w:val="001233D5"/>
    <w:rsid w:val="001238D9"/>
    <w:rsid w:val="00123AAE"/>
    <w:rsid w:val="00123B63"/>
    <w:rsid w:val="00123C05"/>
    <w:rsid w:val="00123E24"/>
    <w:rsid w:val="00123F33"/>
    <w:rsid w:val="001243C1"/>
    <w:rsid w:val="00124547"/>
    <w:rsid w:val="001246DF"/>
    <w:rsid w:val="0012489B"/>
    <w:rsid w:val="00124939"/>
    <w:rsid w:val="0012498B"/>
    <w:rsid w:val="00124A6B"/>
    <w:rsid w:val="001251CC"/>
    <w:rsid w:val="00125352"/>
    <w:rsid w:val="0012561F"/>
    <w:rsid w:val="00125821"/>
    <w:rsid w:val="0012623B"/>
    <w:rsid w:val="00126245"/>
    <w:rsid w:val="0012627E"/>
    <w:rsid w:val="0012664C"/>
    <w:rsid w:val="001267A2"/>
    <w:rsid w:val="00126A7E"/>
    <w:rsid w:val="00126B1E"/>
    <w:rsid w:val="00126FC5"/>
    <w:rsid w:val="00127118"/>
    <w:rsid w:val="0012729E"/>
    <w:rsid w:val="00127420"/>
    <w:rsid w:val="00127637"/>
    <w:rsid w:val="001276FD"/>
    <w:rsid w:val="00127964"/>
    <w:rsid w:val="00127CBC"/>
    <w:rsid w:val="00127D64"/>
    <w:rsid w:val="001300E9"/>
    <w:rsid w:val="00130213"/>
    <w:rsid w:val="00130425"/>
    <w:rsid w:val="001304FA"/>
    <w:rsid w:val="00130660"/>
    <w:rsid w:val="00130772"/>
    <w:rsid w:val="001307D8"/>
    <w:rsid w:val="001308E5"/>
    <w:rsid w:val="001309AB"/>
    <w:rsid w:val="00130C27"/>
    <w:rsid w:val="00130C3C"/>
    <w:rsid w:val="00130C64"/>
    <w:rsid w:val="00130F6B"/>
    <w:rsid w:val="00131340"/>
    <w:rsid w:val="0013140E"/>
    <w:rsid w:val="00131696"/>
    <w:rsid w:val="0013178C"/>
    <w:rsid w:val="001317BA"/>
    <w:rsid w:val="00131800"/>
    <w:rsid w:val="00131901"/>
    <w:rsid w:val="00131AEA"/>
    <w:rsid w:val="00131E28"/>
    <w:rsid w:val="00131EF9"/>
    <w:rsid w:val="00131FDD"/>
    <w:rsid w:val="00132464"/>
    <w:rsid w:val="00132688"/>
    <w:rsid w:val="00132757"/>
    <w:rsid w:val="001329FC"/>
    <w:rsid w:val="00132CAF"/>
    <w:rsid w:val="00132D48"/>
    <w:rsid w:val="00132E02"/>
    <w:rsid w:val="00132E7B"/>
    <w:rsid w:val="00132FFB"/>
    <w:rsid w:val="0013315F"/>
    <w:rsid w:val="0013361A"/>
    <w:rsid w:val="0013377B"/>
    <w:rsid w:val="001337EF"/>
    <w:rsid w:val="0013391A"/>
    <w:rsid w:val="0013397F"/>
    <w:rsid w:val="00133CE1"/>
    <w:rsid w:val="00133D0D"/>
    <w:rsid w:val="001344E8"/>
    <w:rsid w:val="001344FC"/>
    <w:rsid w:val="00134654"/>
    <w:rsid w:val="00134910"/>
    <w:rsid w:val="00134B07"/>
    <w:rsid w:val="00134B53"/>
    <w:rsid w:val="00134D1B"/>
    <w:rsid w:val="00134D4A"/>
    <w:rsid w:val="00134FB8"/>
    <w:rsid w:val="001350CD"/>
    <w:rsid w:val="001350CE"/>
    <w:rsid w:val="00135420"/>
    <w:rsid w:val="001355D6"/>
    <w:rsid w:val="001355F3"/>
    <w:rsid w:val="00135626"/>
    <w:rsid w:val="0013583F"/>
    <w:rsid w:val="001360C6"/>
    <w:rsid w:val="00136124"/>
    <w:rsid w:val="001363C1"/>
    <w:rsid w:val="001363D0"/>
    <w:rsid w:val="0013647D"/>
    <w:rsid w:val="001365B5"/>
    <w:rsid w:val="00136860"/>
    <w:rsid w:val="001369EB"/>
    <w:rsid w:val="00136BD1"/>
    <w:rsid w:val="00136DE5"/>
    <w:rsid w:val="00136F4F"/>
    <w:rsid w:val="00137184"/>
    <w:rsid w:val="00137876"/>
    <w:rsid w:val="0013787F"/>
    <w:rsid w:val="00137AE5"/>
    <w:rsid w:val="00137B7D"/>
    <w:rsid w:val="00137C3B"/>
    <w:rsid w:val="00137CC5"/>
    <w:rsid w:val="0014002B"/>
    <w:rsid w:val="00140216"/>
    <w:rsid w:val="00140586"/>
    <w:rsid w:val="001409CA"/>
    <w:rsid w:val="00140D8F"/>
    <w:rsid w:val="00140DC6"/>
    <w:rsid w:val="00141115"/>
    <w:rsid w:val="0014117C"/>
    <w:rsid w:val="001414D0"/>
    <w:rsid w:val="00141640"/>
    <w:rsid w:val="00141A48"/>
    <w:rsid w:val="00141A49"/>
    <w:rsid w:val="00141AEA"/>
    <w:rsid w:val="00141C17"/>
    <w:rsid w:val="00141C21"/>
    <w:rsid w:val="00141CC1"/>
    <w:rsid w:val="00141D0F"/>
    <w:rsid w:val="00141D4C"/>
    <w:rsid w:val="00141DB3"/>
    <w:rsid w:val="00141F04"/>
    <w:rsid w:val="00141FE6"/>
    <w:rsid w:val="0014213B"/>
    <w:rsid w:val="00142163"/>
    <w:rsid w:val="00142348"/>
    <w:rsid w:val="0014257B"/>
    <w:rsid w:val="00142793"/>
    <w:rsid w:val="001428AE"/>
    <w:rsid w:val="00142943"/>
    <w:rsid w:val="00142D2B"/>
    <w:rsid w:val="00142F10"/>
    <w:rsid w:val="00142FC5"/>
    <w:rsid w:val="001434AE"/>
    <w:rsid w:val="0014354D"/>
    <w:rsid w:val="0014355D"/>
    <w:rsid w:val="0014367D"/>
    <w:rsid w:val="001436D9"/>
    <w:rsid w:val="00143826"/>
    <w:rsid w:val="001439D4"/>
    <w:rsid w:val="00143B3C"/>
    <w:rsid w:val="00143DBD"/>
    <w:rsid w:val="00143F8E"/>
    <w:rsid w:val="001440AA"/>
    <w:rsid w:val="00144135"/>
    <w:rsid w:val="001442BA"/>
    <w:rsid w:val="00144454"/>
    <w:rsid w:val="0014445C"/>
    <w:rsid w:val="0014459F"/>
    <w:rsid w:val="001445FD"/>
    <w:rsid w:val="00144C47"/>
    <w:rsid w:val="00144C9C"/>
    <w:rsid w:val="00144F78"/>
    <w:rsid w:val="001451D3"/>
    <w:rsid w:val="00145261"/>
    <w:rsid w:val="001452E2"/>
    <w:rsid w:val="001454D8"/>
    <w:rsid w:val="00145560"/>
    <w:rsid w:val="00145593"/>
    <w:rsid w:val="00145963"/>
    <w:rsid w:val="00145A36"/>
    <w:rsid w:val="00145B7F"/>
    <w:rsid w:val="00145F35"/>
    <w:rsid w:val="00145F56"/>
    <w:rsid w:val="0014614E"/>
    <w:rsid w:val="0014672C"/>
    <w:rsid w:val="001468F3"/>
    <w:rsid w:val="001469A1"/>
    <w:rsid w:val="00146A0C"/>
    <w:rsid w:val="00146A20"/>
    <w:rsid w:val="00146A7C"/>
    <w:rsid w:val="00146BCB"/>
    <w:rsid w:val="00146C32"/>
    <w:rsid w:val="0014706F"/>
    <w:rsid w:val="001472F6"/>
    <w:rsid w:val="00147334"/>
    <w:rsid w:val="00147582"/>
    <w:rsid w:val="00147587"/>
    <w:rsid w:val="00147694"/>
    <w:rsid w:val="00147937"/>
    <w:rsid w:val="00147AE7"/>
    <w:rsid w:val="00147C39"/>
    <w:rsid w:val="00147C56"/>
    <w:rsid w:val="00147CF6"/>
    <w:rsid w:val="00147D8B"/>
    <w:rsid w:val="00147F0E"/>
    <w:rsid w:val="00150641"/>
    <w:rsid w:val="0015076A"/>
    <w:rsid w:val="00150AF6"/>
    <w:rsid w:val="00150C2E"/>
    <w:rsid w:val="00150EBB"/>
    <w:rsid w:val="0015104A"/>
    <w:rsid w:val="001514B9"/>
    <w:rsid w:val="0015164F"/>
    <w:rsid w:val="0015166E"/>
    <w:rsid w:val="001517D1"/>
    <w:rsid w:val="00151847"/>
    <w:rsid w:val="00151920"/>
    <w:rsid w:val="00151A5D"/>
    <w:rsid w:val="00151A9F"/>
    <w:rsid w:val="00151B67"/>
    <w:rsid w:val="001527FB"/>
    <w:rsid w:val="00152F48"/>
    <w:rsid w:val="00152FDD"/>
    <w:rsid w:val="00152FEB"/>
    <w:rsid w:val="00153160"/>
    <w:rsid w:val="00153768"/>
    <w:rsid w:val="0015395F"/>
    <w:rsid w:val="00153980"/>
    <w:rsid w:val="00153CAA"/>
    <w:rsid w:val="00153F8C"/>
    <w:rsid w:val="00154040"/>
    <w:rsid w:val="001543BA"/>
    <w:rsid w:val="00154639"/>
    <w:rsid w:val="00154685"/>
    <w:rsid w:val="001546D5"/>
    <w:rsid w:val="0015473F"/>
    <w:rsid w:val="0015476B"/>
    <w:rsid w:val="001548F2"/>
    <w:rsid w:val="00154994"/>
    <w:rsid w:val="00154BC9"/>
    <w:rsid w:val="00154CF7"/>
    <w:rsid w:val="001553A9"/>
    <w:rsid w:val="00155508"/>
    <w:rsid w:val="00155585"/>
    <w:rsid w:val="0015571B"/>
    <w:rsid w:val="00155752"/>
    <w:rsid w:val="00155A61"/>
    <w:rsid w:val="00155B8C"/>
    <w:rsid w:val="00155C11"/>
    <w:rsid w:val="00155C14"/>
    <w:rsid w:val="00155CFF"/>
    <w:rsid w:val="00155DB1"/>
    <w:rsid w:val="00155E82"/>
    <w:rsid w:val="00156052"/>
    <w:rsid w:val="0015611A"/>
    <w:rsid w:val="00156186"/>
    <w:rsid w:val="001562C1"/>
    <w:rsid w:val="00156568"/>
    <w:rsid w:val="001568DC"/>
    <w:rsid w:val="00156A97"/>
    <w:rsid w:val="00156B25"/>
    <w:rsid w:val="00156B9C"/>
    <w:rsid w:val="00156E43"/>
    <w:rsid w:val="001572B3"/>
    <w:rsid w:val="0015733C"/>
    <w:rsid w:val="001573BD"/>
    <w:rsid w:val="00157565"/>
    <w:rsid w:val="0015763A"/>
    <w:rsid w:val="00157834"/>
    <w:rsid w:val="0015795F"/>
    <w:rsid w:val="001579E0"/>
    <w:rsid w:val="001579F3"/>
    <w:rsid w:val="00157A5B"/>
    <w:rsid w:val="00157AAF"/>
    <w:rsid w:val="00160087"/>
    <w:rsid w:val="001602DB"/>
    <w:rsid w:val="001604D6"/>
    <w:rsid w:val="00160704"/>
    <w:rsid w:val="001608E1"/>
    <w:rsid w:val="00160906"/>
    <w:rsid w:val="00160B54"/>
    <w:rsid w:val="00160B5F"/>
    <w:rsid w:val="00160C3B"/>
    <w:rsid w:val="00160D2A"/>
    <w:rsid w:val="001611CF"/>
    <w:rsid w:val="0016120D"/>
    <w:rsid w:val="0016126F"/>
    <w:rsid w:val="00161D24"/>
    <w:rsid w:val="00161EDE"/>
    <w:rsid w:val="00161F0F"/>
    <w:rsid w:val="001622E4"/>
    <w:rsid w:val="00162301"/>
    <w:rsid w:val="0016235B"/>
    <w:rsid w:val="00162499"/>
    <w:rsid w:val="00162541"/>
    <w:rsid w:val="001625E3"/>
    <w:rsid w:val="00162A57"/>
    <w:rsid w:val="00162B91"/>
    <w:rsid w:val="00162C54"/>
    <w:rsid w:val="00162F61"/>
    <w:rsid w:val="001630B2"/>
    <w:rsid w:val="00163232"/>
    <w:rsid w:val="001632A4"/>
    <w:rsid w:val="00163366"/>
    <w:rsid w:val="00163A08"/>
    <w:rsid w:val="00163B26"/>
    <w:rsid w:val="00163E85"/>
    <w:rsid w:val="001640B9"/>
    <w:rsid w:val="00164166"/>
    <w:rsid w:val="00164195"/>
    <w:rsid w:val="001641B3"/>
    <w:rsid w:val="001641E6"/>
    <w:rsid w:val="001646F4"/>
    <w:rsid w:val="00164BC2"/>
    <w:rsid w:val="00164C33"/>
    <w:rsid w:val="00164DDC"/>
    <w:rsid w:val="00164E93"/>
    <w:rsid w:val="001650DE"/>
    <w:rsid w:val="00165FEF"/>
    <w:rsid w:val="0016619D"/>
    <w:rsid w:val="00166205"/>
    <w:rsid w:val="00166432"/>
    <w:rsid w:val="001666D3"/>
    <w:rsid w:val="001666DE"/>
    <w:rsid w:val="00166705"/>
    <w:rsid w:val="00166786"/>
    <w:rsid w:val="0016680D"/>
    <w:rsid w:val="00166889"/>
    <w:rsid w:val="0016696F"/>
    <w:rsid w:val="00166F5D"/>
    <w:rsid w:val="00167097"/>
    <w:rsid w:val="001671B8"/>
    <w:rsid w:val="00167226"/>
    <w:rsid w:val="001672A8"/>
    <w:rsid w:val="001672AB"/>
    <w:rsid w:val="0016746E"/>
    <w:rsid w:val="001674BC"/>
    <w:rsid w:val="001676D8"/>
    <w:rsid w:val="001676EE"/>
    <w:rsid w:val="00167C6F"/>
    <w:rsid w:val="00167C94"/>
    <w:rsid w:val="0017009E"/>
    <w:rsid w:val="00170168"/>
    <w:rsid w:val="00170491"/>
    <w:rsid w:val="001704F4"/>
    <w:rsid w:val="001707D4"/>
    <w:rsid w:val="0017085B"/>
    <w:rsid w:val="00170B10"/>
    <w:rsid w:val="00170C7C"/>
    <w:rsid w:val="00170D2F"/>
    <w:rsid w:val="00170DC0"/>
    <w:rsid w:val="00170EC5"/>
    <w:rsid w:val="0017108F"/>
    <w:rsid w:val="001710B2"/>
    <w:rsid w:val="0017125E"/>
    <w:rsid w:val="001716AC"/>
    <w:rsid w:val="0017176F"/>
    <w:rsid w:val="001717AB"/>
    <w:rsid w:val="0017222B"/>
    <w:rsid w:val="00172263"/>
    <w:rsid w:val="001722B3"/>
    <w:rsid w:val="00172400"/>
    <w:rsid w:val="0017260C"/>
    <w:rsid w:val="001728BC"/>
    <w:rsid w:val="001728DE"/>
    <w:rsid w:val="00172955"/>
    <w:rsid w:val="00172B7E"/>
    <w:rsid w:val="00172D11"/>
    <w:rsid w:val="00172E16"/>
    <w:rsid w:val="00173008"/>
    <w:rsid w:val="00173408"/>
    <w:rsid w:val="0017343B"/>
    <w:rsid w:val="001736D0"/>
    <w:rsid w:val="00173717"/>
    <w:rsid w:val="001737CB"/>
    <w:rsid w:val="0017386C"/>
    <w:rsid w:val="00173A5A"/>
    <w:rsid w:val="00173A8C"/>
    <w:rsid w:val="00174043"/>
    <w:rsid w:val="00174816"/>
    <w:rsid w:val="00174A93"/>
    <w:rsid w:val="00174B34"/>
    <w:rsid w:val="00174D4E"/>
    <w:rsid w:val="00174F90"/>
    <w:rsid w:val="001752AE"/>
    <w:rsid w:val="001752D9"/>
    <w:rsid w:val="00175643"/>
    <w:rsid w:val="0017577B"/>
    <w:rsid w:val="0017595F"/>
    <w:rsid w:val="00175A1A"/>
    <w:rsid w:val="00175B26"/>
    <w:rsid w:val="00175D78"/>
    <w:rsid w:val="00175FA9"/>
    <w:rsid w:val="00176A7A"/>
    <w:rsid w:val="00176A84"/>
    <w:rsid w:val="00176C60"/>
    <w:rsid w:val="00176EAC"/>
    <w:rsid w:val="00176ECF"/>
    <w:rsid w:val="001773CC"/>
    <w:rsid w:val="001774A9"/>
    <w:rsid w:val="00177673"/>
    <w:rsid w:val="00177750"/>
    <w:rsid w:val="00177C13"/>
    <w:rsid w:val="00177CCB"/>
    <w:rsid w:val="00177D2F"/>
    <w:rsid w:val="00177D6B"/>
    <w:rsid w:val="0018000B"/>
    <w:rsid w:val="00180199"/>
    <w:rsid w:val="001803FB"/>
    <w:rsid w:val="00180526"/>
    <w:rsid w:val="001805E7"/>
    <w:rsid w:val="0018074E"/>
    <w:rsid w:val="0018079A"/>
    <w:rsid w:val="00180979"/>
    <w:rsid w:val="00180B7E"/>
    <w:rsid w:val="00180D71"/>
    <w:rsid w:val="00180E86"/>
    <w:rsid w:val="001815D1"/>
    <w:rsid w:val="001815EE"/>
    <w:rsid w:val="001819F4"/>
    <w:rsid w:val="00181D56"/>
    <w:rsid w:val="00181E2C"/>
    <w:rsid w:val="00181EDA"/>
    <w:rsid w:val="00181F3F"/>
    <w:rsid w:val="00182121"/>
    <w:rsid w:val="00182164"/>
    <w:rsid w:val="001824B4"/>
    <w:rsid w:val="001825E4"/>
    <w:rsid w:val="00182803"/>
    <w:rsid w:val="00182B35"/>
    <w:rsid w:val="00182D9E"/>
    <w:rsid w:val="00182E56"/>
    <w:rsid w:val="00182F3E"/>
    <w:rsid w:val="00183145"/>
    <w:rsid w:val="0018322E"/>
    <w:rsid w:val="001832B9"/>
    <w:rsid w:val="001833EF"/>
    <w:rsid w:val="001838D6"/>
    <w:rsid w:val="001839AF"/>
    <w:rsid w:val="00183C46"/>
    <w:rsid w:val="00183C53"/>
    <w:rsid w:val="001842FB"/>
    <w:rsid w:val="0018467D"/>
    <w:rsid w:val="00184894"/>
    <w:rsid w:val="00184903"/>
    <w:rsid w:val="00184B7C"/>
    <w:rsid w:val="00184BFF"/>
    <w:rsid w:val="00184D9D"/>
    <w:rsid w:val="00185250"/>
    <w:rsid w:val="00185A35"/>
    <w:rsid w:val="00185A47"/>
    <w:rsid w:val="00185B49"/>
    <w:rsid w:val="00185FD5"/>
    <w:rsid w:val="001862D5"/>
    <w:rsid w:val="00186877"/>
    <w:rsid w:val="00186953"/>
    <w:rsid w:val="00186B77"/>
    <w:rsid w:val="00186CBF"/>
    <w:rsid w:val="001875D5"/>
    <w:rsid w:val="001876DC"/>
    <w:rsid w:val="00187833"/>
    <w:rsid w:val="00187CFC"/>
    <w:rsid w:val="001902A5"/>
    <w:rsid w:val="00190847"/>
    <w:rsid w:val="00190DA4"/>
    <w:rsid w:val="001912B6"/>
    <w:rsid w:val="001913C5"/>
    <w:rsid w:val="00191834"/>
    <w:rsid w:val="00191977"/>
    <w:rsid w:val="00191BA9"/>
    <w:rsid w:val="00191D53"/>
    <w:rsid w:val="00191D91"/>
    <w:rsid w:val="00191F74"/>
    <w:rsid w:val="0019220C"/>
    <w:rsid w:val="00192232"/>
    <w:rsid w:val="0019288E"/>
    <w:rsid w:val="00192D7C"/>
    <w:rsid w:val="0019307D"/>
    <w:rsid w:val="001930F4"/>
    <w:rsid w:val="0019312E"/>
    <w:rsid w:val="0019316E"/>
    <w:rsid w:val="001931AB"/>
    <w:rsid w:val="001933B1"/>
    <w:rsid w:val="001933CD"/>
    <w:rsid w:val="00193479"/>
    <w:rsid w:val="00193592"/>
    <w:rsid w:val="001935E6"/>
    <w:rsid w:val="001935EE"/>
    <w:rsid w:val="00193730"/>
    <w:rsid w:val="001938BE"/>
    <w:rsid w:val="0019397B"/>
    <w:rsid w:val="00193D2B"/>
    <w:rsid w:val="00193FD8"/>
    <w:rsid w:val="00194004"/>
    <w:rsid w:val="001940CE"/>
    <w:rsid w:val="00194309"/>
    <w:rsid w:val="0019433C"/>
    <w:rsid w:val="001943DD"/>
    <w:rsid w:val="00194547"/>
    <w:rsid w:val="001948C1"/>
    <w:rsid w:val="00194A69"/>
    <w:rsid w:val="00194A7B"/>
    <w:rsid w:val="00194BBA"/>
    <w:rsid w:val="00194C89"/>
    <w:rsid w:val="0019529A"/>
    <w:rsid w:val="0019541C"/>
    <w:rsid w:val="00195825"/>
    <w:rsid w:val="001958DF"/>
    <w:rsid w:val="001958FD"/>
    <w:rsid w:val="00195C4A"/>
    <w:rsid w:val="001960C3"/>
    <w:rsid w:val="00196476"/>
    <w:rsid w:val="001965F1"/>
    <w:rsid w:val="00196731"/>
    <w:rsid w:val="001967D6"/>
    <w:rsid w:val="00196828"/>
    <w:rsid w:val="00196886"/>
    <w:rsid w:val="001968DD"/>
    <w:rsid w:val="00196971"/>
    <w:rsid w:val="00196B93"/>
    <w:rsid w:val="00196BF5"/>
    <w:rsid w:val="00196E31"/>
    <w:rsid w:val="00196E76"/>
    <w:rsid w:val="00197052"/>
    <w:rsid w:val="00197407"/>
    <w:rsid w:val="0019749D"/>
    <w:rsid w:val="001977BC"/>
    <w:rsid w:val="00197A18"/>
    <w:rsid w:val="00197A24"/>
    <w:rsid w:val="00197B3C"/>
    <w:rsid w:val="00197BAA"/>
    <w:rsid w:val="00197CAB"/>
    <w:rsid w:val="00197D4E"/>
    <w:rsid w:val="00197E47"/>
    <w:rsid w:val="00197F53"/>
    <w:rsid w:val="001A000B"/>
    <w:rsid w:val="001A012D"/>
    <w:rsid w:val="001A05AE"/>
    <w:rsid w:val="001A09EF"/>
    <w:rsid w:val="001A0B42"/>
    <w:rsid w:val="001A0FB5"/>
    <w:rsid w:val="001A116E"/>
    <w:rsid w:val="001A1179"/>
    <w:rsid w:val="001A1563"/>
    <w:rsid w:val="001A18F2"/>
    <w:rsid w:val="001A19D6"/>
    <w:rsid w:val="001A1C6B"/>
    <w:rsid w:val="001A1E24"/>
    <w:rsid w:val="001A2148"/>
    <w:rsid w:val="001A22F1"/>
    <w:rsid w:val="001A25ED"/>
    <w:rsid w:val="001A263A"/>
    <w:rsid w:val="001A274F"/>
    <w:rsid w:val="001A29DF"/>
    <w:rsid w:val="001A2E12"/>
    <w:rsid w:val="001A2EF1"/>
    <w:rsid w:val="001A301E"/>
    <w:rsid w:val="001A306A"/>
    <w:rsid w:val="001A30FA"/>
    <w:rsid w:val="001A33F4"/>
    <w:rsid w:val="001A3452"/>
    <w:rsid w:val="001A3584"/>
    <w:rsid w:val="001A36B4"/>
    <w:rsid w:val="001A3A20"/>
    <w:rsid w:val="001A3D0B"/>
    <w:rsid w:val="001A3E02"/>
    <w:rsid w:val="001A3E86"/>
    <w:rsid w:val="001A3F4D"/>
    <w:rsid w:val="001A4095"/>
    <w:rsid w:val="001A4313"/>
    <w:rsid w:val="001A438D"/>
    <w:rsid w:val="001A4464"/>
    <w:rsid w:val="001A450C"/>
    <w:rsid w:val="001A4896"/>
    <w:rsid w:val="001A4ABF"/>
    <w:rsid w:val="001A4DCB"/>
    <w:rsid w:val="001A4EB7"/>
    <w:rsid w:val="001A50CE"/>
    <w:rsid w:val="001A52DA"/>
    <w:rsid w:val="001A5419"/>
    <w:rsid w:val="001A5892"/>
    <w:rsid w:val="001A59E1"/>
    <w:rsid w:val="001A5A56"/>
    <w:rsid w:val="001A5B8A"/>
    <w:rsid w:val="001A5F22"/>
    <w:rsid w:val="001A60F7"/>
    <w:rsid w:val="001A61D7"/>
    <w:rsid w:val="001A6780"/>
    <w:rsid w:val="001A67ED"/>
    <w:rsid w:val="001A68E2"/>
    <w:rsid w:val="001A6D06"/>
    <w:rsid w:val="001A6D69"/>
    <w:rsid w:val="001A6DBE"/>
    <w:rsid w:val="001A6DD2"/>
    <w:rsid w:val="001A6DEA"/>
    <w:rsid w:val="001A6E4D"/>
    <w:rsid w:val="001A6FCA"/>
    <w:rsid w:val="001A72B0"/>
    <w:rsid w:val="001A73B0"/>
    <w:rsid w:val="001A753D"/>
    <w:rsid w:val="001A75B9"/>
    <w:rsid w:val="001A7779"/>
    <w:rsid w:val="001A78A4"/>
    <w:rsid w:val="001A7C05"/>
    <w:rsid w:val="001A7CD4"/>
    <w:rsid w:val="001B03B7"/>
    <w:rsid w:val="001B0B37"/>
    <w:rsid w:val="001B0C27"/>
    <w:rsid w:val="001B0C2C"/>
    <w:rsid w:val="001B0D4F"/>
    <w:rsid w:val="001B0D60"/>
    <w:rsid w:val="001B1037"/>
    <w:rsid w:val="001B1124"/>
    <w:rsid w:val="001B1215"/>
    <w:rsid w:val="001B133E"/>
    <w:rsid w:val="001B1437"/>
    <w:rsid w:val="001B145A"/>
    <w:rsid w:val="001B1723"/>
    <w:rsid w:val="001B18EB"/>
    <w:rsid w:val="001B1951"/>
    <w:rsid w:val="001B1B98"/>
    <w:rsid w:val="001B1E46"/>
    <w:rsid w:val="001B1F8F"/>
    <w:rsid w:val="001B205F"/>
    <w:rsid w:val="001B2414"/>
    <w:rsid w:val="001B25D2"/>
    <w:rsid w:val="001B25D8"/>
    <w:rsid w:val="001B2A7B"/>
    <w:rsid w:val="001B2DE2"/>
    <w:rsid w:val="001B3064"/>
    <w:rsid w:val="001B30E9"/>
    <w:rsid w:val="001B33A2"/>
    <w:rsid w:val="001B3400"/>
    <w:rsid w:val="001B3422"/>
    <w:rsid w:val="001B3789"/>
    <w:rsid w:val="001B37C1"/>
    <w:rsid w:val="001B391C"/>
    <w:rsid w:val="001B3FA8"/>
    <w:rsid w:val="001B4017"/>
    <w:rsid w:val="001B4265"/>
    <w:rsid w:val="001B4278"/>
    <w:rsid w:val="001B4283"/>
    <w:rsid w:val="001B431B"/>
    <w:rsid w:val="001B4594"/>
    <w:rsid w:val="001B4660"/>
    <w:rsid w:val="001B4698"/>
    <w:rsid w:val="001B4961"/>
    <w:rsid w:val="001B4996"/>
    <w:rsid w:val="001B4A43"/>
    <w:rsid w:val="001B4AAA"/>
    <w:rsid w:val="001B4DF6"/>
    <w:rsid w:val="001B5327"/>
    <w:rsid w:val="001B5461"/>
    <w:rsid w:val="001B5DF5"/>
    <w:rsid w:val="001B5E4A"/>
    <w:rsid w:val="001B60EB"/>
    <w:rsid w:val="001B60EC"/>
    <w:rsid w:val="001B617F"/>
    <w:rsid w:val="001B6549"/>
    <w:rsid w:val="001B655D"/>
    <w:rsid w:val="001B658D"/>
    <w:rsid w:val="001B6A1B"/>
    <w:rsid w:val="001B6C45"/>
    <w:rsid w:val="001B6E73"/>
    <w:rsid w:val="001B6F17"/>
    <w:rsid w:val="001B73E0"/>
    <w:rsid w:val="001B754C"/>
    <w:rsid w:val="001B7B72"/>
    <w:rsid w:val="001B7BAD"/>
    <w:rsid w:val="001B7D03"/>
    <w:rsid w:val="001B7D1E"/>
    <w:rsid w:val="001B7DB4"/>
    <w:rsid w:val="001C0379"/>
    <w:rsid w:val="001C0919"/>
    <w:rsid w:val="001C095F"/>
    <w:rsid w:val="001C0A0D"/>
    <w:rsid w:val="001C0BB4"/>
    <w:rsid w:val="001C0DFA"/>
    <w:rsid w:val="001C0F44"/>
    <w:rsid w:val="001C1347"/>
    <w:rsid w:val="001C134D"/>
    <w:rsid w:val="001C137F"/>
    <w:rsid w:val="001C13F5"/>
    <w:rsid w:val="001C1680"/>
    <w:rsid w:val="001C1835"/>
    <w:rsid w:val="001C1B5D"/>
    <w:rsid w:val="001C1B97"/>
    <w:rsid w:val="001C1C68"/>
    <w:rsid w:val="001C1D05"/>
    <w:rsid w:val="001C1E72"/>
    <w:rsid w:val="001C20E0"/>
    <w:rsid w:val="001C2255"/>
    <w:rsid w:val="001C25E8"/>
    <w:rsid w:val="001C2711"/>
    <w:rsid w:val="001C283D"/>
    <w:rsid w:val="001C2B1B"/>
    <w:rsid w:val="001C2CDA"/>
    <w:rsid w:val="001C2EF4"/>
    <w:rsid w:val="001C2FDF"/>
    <w:rsid w:val="001C310F"/>
    <w:rsid w:val="001C31C6"/>
    <w:rsid w:val="001C3261"/>
    <w:rsid w:val="001C32B1"/>
    <w:rsid w:val="001C339E"/>
    <w:rsid w:val="001C3794"/>
    <w:rsid w:val="001C37E5"/>
    <w:rsid w:val="001C3D92"/>
    <w:rsid w:val="001C3D97"/>
    <w:rsid w:val="001C3F50"/>
    <w:rsid w:val="001C4244"/>
    <w:rsid w:val="001C4256"/>
    <w:rsid w:val="001C445D"/>
    <w:rsid w:val="001C45A1"/>
    <w:rsid w:val="001C46A1"/>
    <w:rsid w:val="001C4D96"/>
    <w:rsid w:val="001C4ED7"/>
    <w:rsid w:val="001C4FA7"/>
    <w:rsid w:val="001C51AD"/>
    <w:rsid w:val="001C53DF"/>
    <w:rsid w:val="001C5407"/>
    <w:rsid w:val="001C5459"/>
    <w:rsid w:val="001C5620"/>
    <w:rsid w:val="001C566A"/>
    <w:rsid w:val="001C56C4"/>
    <w:rsid w:val="001C5AC2"/>
    <w:rsid w:val="001C5DBD"/>
    <w:rsid w:val="001C5E93"/>
    <w:rsid w:val="001C5EE3"/>
    <w:rsid w:val="001C6115"/>
    <w:rsid w:val="001C615F"/>
    <w:rsid w:val="001C6403"/>
    <w:rsid w:val="001C6584"/>
    <w:rsid w:val="001C6608"/>
    <w:rsid w:val="001C6670"/>
    <w:rsid w:val="001C6CDF"/>
    <w:rsid w:val="001C6DD5"/>
    <w:rsid w:val="001C6E26"/>
    <w:rsid w:val="001C6E3E"/>
    <w:rsid w:val="001C77DD"/>
    <w:rsid w:val="001C78ED"/>
    <w:rsid w:val="001C79C3"/>
    <w:rsid w:val="001C7B1D"/>
    <w:rsid w:val="001C7EB9"/>
    <w:rsid w:val="001C7EE2"/>
    <w:rsid w:val="001C7FFB"/>
    <w:rsid w:val="001D009F"/>
    <w:rsid w:val="001D00C2"/>
    <w:rsid w:val="001D027C"/>
    <w:rsid w:val="001D0283"/>
    <w:rsid w:val="001D087E"/>
    <w:rsid w:val="001D08A4"/>
    <w:rsid w:val="001D08EA"/>
    <w:rsid w:val="001D0CA7"/>
    <w:rsid w:val="001D0D8D"/>
    <w:rsid w:val="001D1260"/>
    <w:rsid w:val="001D147D"/>
    <w:rsid w:val="001D1498"/>
    <w:rsid w:val="001D14B4"/>
    <w:rsid w:val="001D1541"/>
    <w:rsid w:val="001D1868"/>
    <w:rsid w:val="001D1C20"/>
    <w:rsid w:val="001D1CF1"/>
    <w:rsid w:val="001D1E8C"/>
    <w:rsid w:val="001D21DB"/>
    <w:rsid w:val="001D22B1"/>
    <w:rsid w:val="001D22C4"/>
    <w:rsid w:val="001D22D6"/>
    <w:rsid w:val="001D239E"/>
    <w:rsid w:val="001D23C3"/>
    <w:rsid w:val="001D26EE"/>
    <w:rsid w:val="001D2765"/>
    <w:rsid w:val="001D29EB"/>
    <w:rsid w:val="001D2AD4"/>
    <w:rsid w:val="001D2B70"/>
    <w:rsid w:val="001D2C9C"/>
    <w:rsid w:val="001D2D43"/>
    <w:rsid w:val="001D30C7"/>
    <w:rsid w:val="001D35FE"/>
    <w:rsid w:val="001D368E"/>
    <w:rsid w:val="001D371C"/>
    <w:rsid w:val="001D395A"/>
    <w:rsid w:val="001D3F55"/>
    <w:rsid w:val="001D4037"/>
    <w:rsid w:val="001D40D9"/>
    <w:rsid w:val="001D44E6"/>
    <w:rsid w:val="001D45E4"/>
    <w:rsid w:val="001D4682"/>
    <w:rsid w:val="001D485E"/>
    <w:rsid w:val="001D4B2B"/>
    <w:rsid w:val="001D4D84"/>
    <w:rsid w:val="001D4E5D"/>
    <w:rsid w:val="001D4E7E"/>
    <w:rsid w:val="001D4EE5"/>
    <w:rsid w:val="001D5165"/>
    <w:rsid w:val="001D527E"/>
    <w:rsid w:val="001D541F"/>
    <w:rsid w:val="001D56E5"/>
    <w:rsid w:val="001D5C12"/>
    <w:rsid w:val="001D5ED5"/>
    <w:rsid w:val="001D5F2F"/>
    <w:rsid w:val="001D605A"/>
    <w:rsid w:val="001D6525"/>
    <w:rsid w:val="001D6C18"/>
    <w:rsid w:val="001D6D99"/>
    <w:rsid w:val="001D6E1D"/>
    <w:rsid w:val="001D6ECB"/>
    <w:rsid w:val="001D720B"/>
    <w:rsid w:val="001D732C"/>
    <w:rsid w:val="001D73A7"/>
    <w:rsid w:val="001D7520"/>
    <w:rsid w:val="001D777C"/>
    <w:rsid w:val="001D77C8"/>
    <w:rsid w:val="001D7B15"/>
    <w:rsid w:val="001D7F36"/>
    <w:rsid w:val="001D7FBA"/>
    <w:rsid w:val="001E001D"/>
    <w:rsid w:val="001E020D"/>
    <w:rsid w:val="001E0252"/>
    <w:rsid w:val="001E0299"/>
    <w:rsid w:val="001E0317"/>
    <w:rsid w:val="001E05A0"/>
    <w:rsid w:val="001E0858"/>
    <w:rsid w:val="001E0980"/>
    <w:rsid w:val="001E0B88"/>
    <w:rsid w:val="001E0D3C"/>
    <w:rsid w:val="001E0D7D"/>
    <w:rsid w:val="001E1046"/>
    <w:rsid w:val="001E1125"/>
    <w:rsid w:val="001E1646"/>
    <w:rsid w:val="001E1A51"/>
    <w:rsid w:val="001E1BA3"/>
    <w:rsid w:val="001E1CC8"/>
    <w:rsid w:val="001E1E10"/>
    <w:rsid w:val="001E1FA6"/>
    <w:rsid w:val="001E20D5"/>
    <w:rsid w:val="001E2433"/>
    <w:rsid w:val="001E27D4"/>
    <w:rsid w:val="001E293E"/>
    <w:rsid w:val="001E2956"/>
    <w:rsid w:val="001E2B6A"/>
    <w:rsid w:val="001E2C34"/>
    <w:rsid w:val="001E2DB5"/>
    <w:rsid w:val="001E311D"/>
    <w:rsid w:val="001E3164"/>
    <w:rsid w:val="001E35CC"/>
    <w:rsid w:val="001E35F5"/>
    <w:rsid w:val="001E36BE"/>
    <w:rsid w:val="001E3B9E"/>
    <w:rsid w:val="001E3DE6"/>
    <w:rsid w:val="001E3EF6"/>
    <w:rsid w:val="001E3FDF"/>
    <w:rsid w:val="001E4578"/>
    <w:rsid w:val="001E4874"/>
    <w:rsid w:val="001E492E"/>
    <w:rsid w:val="001E4944"/>
    <w:rsid w:val="001E4B40"/>
    <w:rsid w:val="001E4B7A"/>
    <w:rsid w:val="001E4D2B"/>
    <w:rsid w:val="001E4D7B"/>
    <w:rsid w:val="001E4F2B"/>
    <w:rsid w:val="001E4F9A"/>
    <w:rsid w:val="001E50DF"/>
    <w:rsid w:val="001E51BE"/>
    <w:rsid w:val="001E557B"/>
    <w:rsid w:val="001E55D1"/>
    <w:rsid w:val="001E56F6"/>
    <w:rsid w:val="001E5878"/>
    <w:rsid w:val="001E5AD0"/>
    <w:rsid w:val="001E5E80"/>
    <w:rsid w:val="001E6024"/>
    <w:rsid w:val="001E6080"/>
    <w:rsid w:val="001E60F2"/>
    <w:rsid w:val="001E6160"/>
    <w:rsid w:val="001E61E1"/>
    <w:rsid w:val="001E6561"/>
    <w:rsid w:val="001E66AA"/>
    <w:rsid w:val="001E673E"/>
    <w:rsid w:val="001E6D65"/>
    <w:rsid w:val="001E6D80"/>
    <w:rsid w:val="001E742B"/>
    <w:rsid w:val="001E74E0"/>
    <w:rsid w:val="001E7626"/>
    <w:rsid w:val="001E7899"/>
    <w:rsid w:val="001E7AD4"/>
    <w:rsid w:val="001E7F20"/>
    <w:rsid w:val="001F0435"/>
    <w:rsid w:val="001F051E"/>
    <w:rsid w:val="001F06A3"/>
    <w:rsid w:val="001F0709"/>
    <w:rsid w:val="001F07B2"/>
    <w:rsid w:val="001F087E"/>
    <w:rsid w:val="001F08C2"/>
    <w:rsid w:val="001F0CDD"/>
    <w:rsid w:val="001F0D9D"/>
    <w:rsid w:val="001F1109"/>
    <w:rsid w:val="001F1195"/>
    <w:rsid w:val="001F1312"/>
    <w:rsid w:val="001F1564"/>
    <w:rsid w:val="001F190F"/>
    <w:rsid w:val="001F1B8D"/>
    <w:rsid w:val="001F1D4B"/>
    <w:rsid w:val="001F1E4E"/>
    <w:rsid w:val="001F2140"/>
    <w:rsid w:val="001F2692"/>
    <w:rsid w:val="001F2795"/>
    <w:rsid w:val="001F297C"/>
    <w:rsid w:val="001F2BB5"/>
    <w:rsid w:val="001F2E40"/>
    <w:rsid w:val="001F2F8B"/>
    <w:rsid w:val="001F32AB"/>
    <w:rsid w:val="001F32C1"/>
    <w:rsid w:val="001F3340"/>
    <w:rsid w:val="001F33A6"/>
    <w:rsid w:val="001F3439"/>
    <w:rsid w:val="001F3715"/>
    <w:rsid w:val="001F3878"/>
    <w:rsid w:val="001F392E"/>
    <w:rsid w:val="001F3D09"/>
    <w:rsid w:val="001F3EDE"/>
    <w:rsid w:val="001F4736"/>
    <w:rsid w:val="001F497E"/>
    <w:rsid w:val="001F4BFA"/>
    <w:rsid w:val="001F4DAC"/>
    <w:rsid w:val="001F4E0E"/>
    <w:rsid w:val="001F4FBE"/>
    <w:rsid w:val="001F4FFF"/>
    <w:rsid w:val="001F50B6"/>
    <w:rsid w:val="001F5334"/>
    <w:rsid w:val="001F575D"/>
    <w:rsid w:val="001F5B7F"/>
    <w:rsid w:val="001F62A2"/>
    <w:rsid w:val="001F645D"/>
    <w:rsid w:val="001F6621"/>
    <w:rsid w:val="001F6824"/>
    <w:rsid w:val="001F6A31"/>
    <w:rsid w:val="001F6CFA"/>
    <w:rsid w:val="001F7085"/>
    <w:rsid w:val="001F70A7"/>
    <w:rsid w:val="001F71EC"/>
    <w:rsid w:val="001F74E2"/>
    <w:rsid w:val="001F7703"/>
    <w:rsid w:val="001F7804"/>
    <w:rsid w:val="001F787E"/>
    <w:rsid w:val="001F7888"/>
    <w:rsid w:val="001F7957"/>
    <w:rsid w:val="001F7CF1"/>
    <w:rsid w:val="001F7D01"/>
    <w:rsid w:val="0020016C"/>
    <w:rsid w:val="00200701"/>
    <w:rsid w:val="0020070B"/>
    <w:rsid w:val="00200789"/>
    <w:rsid w:val="002009F8"/>
    <w:rsid w:val="00200BE7"/>
    <w:rsid w:val="00200EEE"/>
    <w:rsid w:val="00200F4E"/>
    <w:rsid w:val="00201590"/>
    <w:rsid w:val="00201633"/>
    <w:rsid w:val="0020164F"/>
    <w:rsid w:val="002016B7"/>
    <w:rsid w:val="00201937"/>
    <w:rsid w:val="00201BD7"/>
    <w:rsid w:val="00201D52"/>
    <w:rsid w:val="0020234B"/>
    <w:rsid w:val="00202AB8"/>
    <w:rsid w:val="00202DE7"/>
    <w:rsid w:val="00202EE2"/>
    <w:rsid w:val="002031AE"/>
    <w:rsid w:val="00203450"/>
    <w:rsid w:val="00203839"/>
    <w:rsid w:val="00203D34"/>
    <w:rsid w:val="00203E96"/>
    <w:rsid w:val="00203EBE"/>
    <w:rsid w:val="00203FE2"/>
    <w:rsid w:val="002041BD"/>
    <w:rsid w:val="00204491"/>
    <w:rsid w:val="002048A6"/>
    <w:rsid w:val="002049AA"/>
    <w:rsid w:val="00204A3D"/>
    <w:rsid w:val="00204AD1"/>
    <w:rsid w:val="00204BD2"/>
    <w:rsid w:val="00204FAA"/>
    <w:rsid w:val="0020573C"/>
    <w:rsid w:val="00205776"/>
    <w:rsid w:val="00205838"/>
    <w:rsid w:val="00205EA7"/>
    <w:rsid w:val="00206468"/>
    <w:rsid w:val="002066AA"/>
    <w:rsid w:val="0020699F"/>
    <w:rsid w:val="00206A2C"/>
    <w:rsid w:val="00206A9E"/>
    <w:rsid w:val="00206B22"/>
    <w:rsid w:val="00206CDE"/>
    <w:rsid w:val="00207624"/>
    <w:rsid w:val="00207638"/>
    <w:rsid w:val="0020763B"/>
    <w:rsid w:val="00207758"/>
    <w:rsid w:val="00207933"/>
    <w:rsid w:val="00210072"/>
    <w:rsid w:val="0021015D"/>
    <w:rsid w:val="0021022A"/>
    <w:rsid w:val="00210242"/>
    <w:rsid w:val="00210815"/>
    <w:rsid w:val="00210AC9"/>
    <w:rsid w:val="00210CDE"/>
    <w:rsid w:val="0021120B"/>
    <w:rsid w:val="00211735"/>
    <w:rsid w:val="00211A6D"/>
    <w:rsid w:val="00211CBE"/>
    <w:rsid w:val="00211DAE"/>
    <w:rsid w:val="00211E67"/>
    <w:rsid w:val="00211EF4"/>
    <w:rsid w:val="00211F1B"/>
    <w:rsid w:val="0021228B"/>
    <w:rsid w:val="0021238F"/>
    <w:rsid w:val="002127EF"/>
    <w:rsid w:val="00212A55"/>
    <w:rsid w:val="00212E5F"/>
    <w:rsid w:val="00212F3C"/>
    <w:rsid w:val="00213295"/>
    <w:rsid w:val="0021349A"/>
    <w:rsid w:val="00213633"/>
    <w:rsid w:val="002139D9"/>
    <w:rsid w:val="00213A45"/>
    <w:rsid w:val="00213A52"/>
    <w:rsid w:val="00213A94"/>
    <w:rsid w:val="00213B3A"/>
    <w:rsid w:val="00213C70"/>
    <w:rsid w:val="00213CAE"/>
    <w:rsid w:val="00213FA2"/>
    <w:rsid w:val="0021411D"/>
    <w:rsid w:val="0021452D"/>
    <w:rsid w:val="00214647"/>
    <w:rsid w:val="0021482B"/>
    <w:rsid w:val="002148AB"/>
    <w:rsid w:val="00214A0D"/>
    <w:rsid w:val="00214EE6"/>
    <w:rsid w:val="002151BB"/>
    <w:rsid w:val="002156C1"/>
    <w:rsid w:val="00215CF0"/>
    <w:rsid w:val="00215F9B"/>
    <w:rsid w:val="002163D4"/>
    <w:rsid w:val="00216582"/>
    <w:rsid w:val="00216B04"/>
    <w:rsid w:val="00216DA2"/>
    <w:rsid w:val="00217044"/>
    <w:rsid w:val="0021709D"/>
    <w:rsid w:val="00217145"/>
    <w:rsid w:val="0021736A"/>
    <w:rsid w:val="00217DEA"/>
    <w:rsid w:val="00217DEE"/>
    <w:rsid w:val="00217E3B"/>
    <w:rsid w:val="002201BD"/>
    <w:rsid w:val="0022033A"/>
    <w:rsid w:val="002204B0"/>
    <w:rsid w:val="0022060D"/>
    <w:rsid w:val="00220639"/>
    <w:rsid w:val="00220744"/>
    <w:rsid w:val="002209F2"/>
    <w:rsid w:val="00220A8B"/>
    <w:rsid w:val="00220C5F"/>
    <w:rsid w:val="00220CE9"/>
    <w:rsid w:val="00220E45"/>
    <w:rsid w:val="00220E6D"/>
    <w:rsid w:val="0022102E"/>
    <w:rsid w:val="00221119"/>
    <w:rsid w:val="002211D1"/>
    <w:rsid w:val="00221558"/>
    <w:rsid w:val="0022167E"/>
    <w:rsid w:val="0022183E"/>
    <w:rsid w:val="00221A06"/>
    <w:rsid w:val="00221EBF"/>
    <w:rsid w:val="00221F7C"/>
    <w:rsid w:val="0022224D"/>
    <w:rsid w:val="0022265C"/>
    <w:rsid w:val="0022270D"/>
    <w:rsid w:val="002229AE"/>
    <w:rsid w:val="002229D2"/>
    <w:rsid w:val="00222CF5"/>
    <w:rsid w:val="00222FAA"/>
    <w:rsid w:val="002236D9"/>
    <w:rsid w:val="002239D8"/>
    <w:rsid w:val="00223AF8"/>
    <w:rsid w:val="00223B77"/>
    <w:rsid w:val="00223BA1"/>
    <w:rsid w:val="00223CC1"/>
    <w:rsid w:val="00223F11"/>
    <w:rsid w:val="002240C0"/>
    <w:rsid w:val="002240C6"/>
    <w:rsid w:val="002241CF"/>
    <w:rsid w:val="002241FD"/>
    <w:rsid w:val="002242A1"/>
    <w:rsid w:val="00224370"/>
    <w:rsid w:val="0022451D"/>
    <w:rsid w:val="00224756"/>
    <w:rsid w:val="00224C31"/>
    <w:rsid w:val="00224E84"/>
    <w:rsid w:val="00224EB1"/>
    <w:rsid w:val="00225119"/>
    <w:rsid w:val="00225740"/>
    <w:rsid w:val="002257C5"/>
    <w:rsid w:val="002259B3"/>
    <w:rsid w:val="00225ADB"/>
    <w:rsid w:val="00225CC9"/>
    <w:rsid w:val="00225E98"/>
    <w:rsid w:val="0022603D"/>
    <w:rsid w:val="002261FC"/>
    <w:rsid w:val="002263BC"/>
    <w:rsid w:val="002264D6"/>
    <w:rsid w:val="002265B8"/>
    <w:rsid w:val="002265FA"/>
    <w:rsid w:val="0022669E"/>
    <w:rsid w:val="0022670E"/>
    <w:rsid w:val="00226784"/>
    <w:rsid w:val="0022684F"/>
    <w:rsid w:val="00226E03"/>
    <w:rsid w:val="00226F9E"/>
    <w:rsid w:val="0022718F"/>
    <w:rsid w:val="002275F9"/>
    <w:rsid w:val="00227742"/>
    <w:rsid w:val="0022774E"/>
    <w:rsid w:val="00227859"/>
    <w:rsid w:val="00227B4E"/>
    <w:rsid w:val="002300C5"/>
    <w:rsid w:val="002303AA"/>
    <w:rsid w:val="0023049B"/>
    <w:rsid w:val="002305EF"/>
    <w:rsid w:val="00230681"/>
    <w:rsid w:val="002308F6"/>
    <w:rsid w:val="0023098E"/>
    <w:rsid w:val="00230FE7"/>
    <w:rsid w:val="0023140D"/>
    <w:rsid w:val="002315C2"/>
    <w:rsid w:val="00231643"/>
    <w:rsid w:val="0023164D"/>
    <w:rsid w:val="002317E0"/>
    <w:rsid w:val="00231878"/>
    <w:rsid w:val="00231929"/>
    <w:rsid w:val="002319F4"/>
    <w:rsid w:val="00231C42"/>
    <w:rsid w:val="002320DC"/>
    <w:rsid w:val="00232110"/>
    <w:rsid w:val="002322DA"/>
    <w:rsid w:val="00232601"/>
    <w:rsid w:val="00232945"/>
    <w:rsid w:val="00232A5D"/>
    <w:rsid w:val="00232C54"/>
    <w:rsid w:val="00232D98"/>
    <w:rsid w:val="00232E10"/>
    <w:rsid w:val="00232EB8"/>
    <w:rsid w:val="002330FF"/>
    <w:rsid w:val="002331CD"/>
    <w:rsid w:val="002331E2"/>
    <w:rsid w:val="0023333D"/>
    <w:rsid w:val="0023335E"/>
    <w:rsid w:val="002334A3"/>
    <w:rsid w:val="0023356F"/>
    <w:rsid w:val="0023361F"/>
    <w:rsid w:val="00233682"/>
    <w:rsid w:val="00233B5F"/>
    <w:rsid w:val="00233C06"/>
    <w:rsid w:val="00233C7E"/>
    <w:rsid w:val="00233F3E"/>
    <w:rsid w:val="00234763"/>
    <w:rsid w:val="00234797"/>
    <w:rsid w:val="00234825"/>
    <w:rsid w:val="002349AD"/>
    <w:rsid w:val="00234D6E"/>
    <w:rsid w:val="00234D88"/>
    <w:rsid w:val="00234DF8"/>
    <w:rsid w:val="00234FF3"/>
    <w:rsid w:val="00235385"/>
    <w:rsid w:val="00235426"/>
    <w:rsid w:val="0023554E"/>
    <w:rsid w:val="002355B3"/>
    <w:rsid w:val="00235601"/>
    <w:rsid w:val="0023569D"/>
    <w:rsid w:val="00235735"/>
    <w:rsid w:val="00235852"/>
    <w:rsid w:val="00235CFE"/>
    <w:rsid w:val="00235F65"/>
    <w:rsid w:val="002364BF"/>
    <w:rsid w:val="002369D8"/>
    <w:rsid w:val="00237181"/>
    <w:rsid w:val="00237233"/>
    <w:rsid w:val="002373F9"/>
    <w:rsid w:val="002376E8"/>
    <w:rsid w:val="00237BA5"/>
    <w:rsid w:val="00237E1A"/>
    <w:rsid w:val="00237F14"/>
    <w:rsid w:val="002402C9"/>
    <w:rsid w:val="00240300"/>
    <w:rsid w:val="002405B5"/>
    <w:rsid w:val="002405E1"/>
    <w:rsid w:val="002407CC"/>
    <w:rsid w:val="0024081A"/>
    <w:rsid w:val="00240AB6"/>
    <w:rsid w:val="00240EBD"/>
    <w:rsid w:val="0024103F"/>
    <w:rsid w:val="00241D1A"/>
    <w:rsid w:val="00241EDF"/>
    <w:rsid w:val="00241F4B"/>
    <w:rsid w:val="00242BCC"/>
    <w:rsid w:val="00242BE6"/>
    <w:rsid w:val="00242E28"/>
    <w:rsid w:val="0024308E"/>
    <w:rsid w:val="00243144"/>
    <w:rsid w:val="00243329"/>
    <w:rsid w:val="0024369E"/>
    <w:rsid w:val="00243773"/>
    <w:rsid w:val="00243935"/>
    <w:rsid w:val="00243D04"/>
    <w:rsid w:val="00243D43"/>
    <w:rsid w:val="00243E11"/>
    <w:rsid w:val="00243FB3"/>
    <w:rsid w:val="00244630"/>
    <w:rsid w:val="00244D42"/>
    <w:rsid w:val="00244FD0"/>
    <w:rsid w:val="00245139"/>
    <w:rsid w:val="002456DB"/>
    <w:rsid w:val="00245861"/>
    <w:rsid w:val="00245866"/>
    <w:rsid w:val="00245C66"/>
    <w:rsid w:val="00245CF4"/>
    <w:rsid w:val="00245DEB"/>
    <w:rsid w:val="00245F22"/>
    <w:rsid w:val="00245FA0"/>
    <w:rsid w:val="0024616E"/>
    <w:rsid w:val="00246A26"/>
    <w:rsid w:val="00246C29"/>
    <w:rsid w:val="00246F35"/>
    <w:rsid w:val="00246FAF"/>
    <w:rsid w:val="00247208"/>
    <w:rsid w:val="0024737D"/>
    <w:rsid w:val="002475F3"/>
    <w:rsid w:val="00247636"/>
    <w:rsid w:val="00247815"/>
    <w:rsid w:val="00247D4A"/>
    <w:rsid w:val="00247F40"/>
    <w:rsid w:val="0025001F"/>
    <w:rsid w:val="00250103"/>
    <w:rsid w:val="00250AD7"/>
    <w:rsid w:val="00250CE4"/>
    <w:rsid w:val="00250D71"/>
    <w:rsid w:val="00250E99"/>
    <w:rsid w:val="00251135"/>
    <w:rsid w:val="00251187"/>
    <w:rsid w:val="002511DA"/>
    <w:rsid w:val="00251232"/>
    <w:rsid w:val="00251297"/>
    <w:rsid w:val="002513D0"/>
    <w:rsid w:val="00251497"/>
    <w:rsid w:val="00251541"/>
    <w:rsid w:val="0025173F"/>
    <w:rsid w:val="00251763"/>
    <w:rsid w:val="0025187D"/>
    <w:rsid w:val="0025190B"/>
    <w:rsid w:val="00251A5F"/>
    <w:rsid w:val="00251B80"/>
    <w:rsid w:val="00251C39"/>
    <w:rsid w:val="00251CFE"/>
    <w:rsid w:val="002520E8"/>
    <w:rsid w:val="0025221D"/>
    <w:rsid w:val="002523FF"/>
    <w:rsid w:val="002526A6"/>
    <w:rsid w:val="002526FA"/>
    <w:rsid w:val="002529CD"/>
    <w:rsid w:val="00252ABA"/>
    <w:rsid w:val="00252F9D"/>
    <w:rsid w:val="00253108"/>
    <w:rsid w:val="0025331E"/>
    <w:rsid w:val="00253331"/>
    <w:rsid w:val="002533EB"/>
    <w:rsid w:val="002533FA"/>
    <w:rsid w:val="00253654"/>
    <w:rsid w:val="002538E9"/>
    <w:rsid w:val="00253958"/>
    <w:rsid w:val="00253D6C"/>
    <w:rsid w:val="00253DA0"/>
    <w:rsid w:val="00254085"/>
    <w:rsid w:val="002540AC"/>
    <w:rsid w:val="00254265"/>
    <w:rsid w:val="00254298"/>
    <w:rsid w:val="0025444C"/>
    <w:rsid w:val="0025454A"/>
    <w:rsid w:val="002545F2"/>
    <w:rsid w:val="00254660"/>
    <w:rsid w:val="0025475A"/>
    <w:rsid w:val="00254C65"/>
    <w:rsid w:val="00254ED1"/>
    <w:rsid w:val="00255B05"/>
    <w:rsid w:val="00255C4A"/>
    <w:rsid w:val="00255E4C"/>
    <w:rsid w:val="00255E7D"/>
    <w:rsid w:val="00255F4E"/>
    <w:rsid w:val="00256009"/>
    <w:rsid w:val="00256047"/>
    <w:rsid w:val="00256288"/>
    <w:rsid w:val="0025628B"/>
    <w:rsid w:val="002566BE"/>
    <w:rsid w:val="002566F5"/>
    <w:rsid w:val="002567AF"/>
    <w:rsid w:val="00256A8C"/>
    <w:rsid w:val="00256AAF"/>
    <w:rsid w:val="00256B6A"/>
    <w:rsid w:val="00256C47"/>
    <w:rsid w:val="00256D58"/>
    <w:rsid w:val="00256EA0"/>
    <w:rsid w:val="00257019"/>
    <w:rsid w:val="002570BE"/>
    <w:rsid w:val="0025716C"/>
    <w:rsid w:val="0025726D"/>
    <w:rsid w:val="00257399"/>
    <w:rsid w:val="002574BC"/>
    <w:rsid w:val="00257AFF"/>
    <w:rsid w:val="00257B83"/>
    <w:rsid w:val="00257F43"/>
    <w:rsid w:val="00260022"/>
    <w:rsid w:val="002606BF"/>
    <w:rsid w:val="002606FE"/>
    <w:rsid w:val="00260814"/>
    <w:rsid w:val="00260B05"/>
    <w:rsid w:val="00260D40"/>
    <w:rsid w:val="00260E27"/>
    <w:rsid w:val="00260EA4"/>
    <w:rsid w:val="0026109E"/>
    <w:rsid w:val="002613BD"/>
    <w:rsid w:val="0026144C"/>
    <w:rsid w:val="002615A5"/>
    <w:rsid w:val="00261603"/>
    <w:rsid w:val="0026162B"/>
    <w:rsid w:val="002616D7"/>
    <w:rsid w:val="00261770"/>
    <w:rsid w:val="00261818"/>
    <w:rsid w:val="00261919"/>
    <w:rsid w:val="00261925"/>
    <w:rsid w:val="0026192A"/>
    <w:rsid w:val="00261940"/>
    <w:rsid w:val="00261976"/>
    <w:rsid w:val="00261A8D"/>
    <w:rsid w:val="00261B0A"/>
    <w:rsid w:val="00261C65"/>
    <w:rsid w:val="00262733"/>
    <w:rsid w:val="00262C2F"/>
    <w:rsid w:val="00262C69"/>
    <w:rsid w:val="00262CBC"/>
    <w:rsid w:val="00262EC4"/>
    <w:rsid w:val="0026388E"/>
    <w:rsid w:val="00263CED"/>
    <w:rsid w:val="00263E40"/>
    <w:rsid w:val="00264075"/>
    <w:rsid w:val="0026424D"/>
    <w:rsid w:val="0026455A"/>
    <w:rsid w:val="0026475B"/>
    <w:rsid w:val="002649D2"/>
    <w:rsid w:val="00264A71"/>
    <w:rsid w:val="00264B5B"/>
    <w:rsid w:val="00264F07"/>
    <w:rsid w:val="00264FBF"/>
    <w:rsid w:val="00265AEA"/>
    <w:rsid w:val="00265BEF"/>
    <w:rsid w:val="00265CA6"/>
    <w:rsid w:val="00265D48"/>
    <w:rsid w:val="00265E3A"/>
    <w:rsid w:val="00265F52"/>
    <w:rsid w:val="0026609E"/>
    <w:rsid w:val="00266615"/>
    <w:rsid w:val="0026666E"/>
    <w:rsid w:val="00266AAA"/>
    <w:rsid w:val="00266BC4"/>
    <w:rsid w:val="00266C1A"/>
    <w:rsid w:val="002671DE"/>
    <w:rsid w:val="002674E7"/>
    <w:rsid w:val="00267518"/>
    <w:rsid w:val="002675BE"/>
    <w:rsid w:val="00267B19"/>
    <w:rsid w:val="00267C87"/>
    <w:rsid w:val="00267EB9"/>
    <w:rsid w:val="00267F93"/>
    <w:rsid w:val="00270062"/>
    <w:rsid w:val="00270144"/>
    <w:rsid w:val="002701B0"/>
    <w:rsid w:val="002701E9"/>
    <w:rsid w:val="00270221"/>
    <w:rsid w:val="00270596"/>
    <w:rsid w:val="002705DD"/>
    <w:rsid w:val="0027063D"/>
    <w:rsid w:val="0027072D"/>
    <w:rsid w:val="0027099D"/>
    <w:rsid w:val="00270A19"/>
    <w:rsid w:val="00270CF9"/>
    <w:rsid w:val="00270F5A"/>
    <w:rsid w:val="0027126C"/>
    <w:rsid w:val="002713C4"/>
    <w:rsid w:val="0027140E"/>
    <w:rsid w:val="00271419"/>
    <w:rsid w:val="002714F2"/>
    <w:rsid w:val="002719FC"/>
    <w:rsid w:val="00271C17"/>
    <w:rsid w:val="00271EF7"/>
    <w:rsid w:val="00272302"/>
    <w:rsid w:val="00272363"/>
    <w:rsid w:val="00272493"/>
    <w:rsid w:val="002724A9"/>
    <w:rsid w:val="002728FE"/>
    <w:rsid w:val="00272C73"/>
    <w:rsid w:val="00272D00"/>
    <w:rsid w:val="00273053"/>
    <w:rsid w:val="0027340A"/>
    <w:rsid w:val="0027354B"/>
    <w:rsid w:val="00273750"/>
    <w:rsid w:val="00273A98"/>
    <w:rsid w:val="00273B70"/>
    <w:rsid w:val="00273D6C"/>
    <w:rsid w:val="00273E69"/>
    <w:rsid w:val="00274483"/>
    <w:rsid w:val="0027460E"/>
    <w:rsid w:val="00274613"/>
    <w:rsid w:val="00274724"/>
    <w:rsid w:val="00274A97"/>
    <w:rsid w:val="00274C4D"/>
    <w:rsid w:val="00274E32"/>
    <w:rsid w:val="002752FE"/>
    <w:rsid w:val="00275462"/>
    <w:rsid w:val="002754D4"/>
    <w:rsid w:val="00275539"/>
    <w:rsid w:val="0027566C"/>
    <w:rsid w:val="00275871"/>
    <w:rsid w:val="00275B2F"/>
    <w:rsid w:val="00275C4A"/>
    <w:rsid w:val="00275CDC"/>
    <w:rsid w:val="00275E99"/>
    <w:rsid w:val="00275F83"/>
    <w:rsid w:val="00276226"/>
    <w:rsid w:val="0027653C"/>
    <w:rsid w:val="00276630"/>
    <w:rsid w:val="00276693"/>
    <w:rsid w:val="002766BC"/>
    <w:rsid w:val="002767E2"/>
    <w:rsid w:val="00276900"/>
    <w:rsid w:val="00276A78"/>
    <w:rsid w:val="00276AB5"/>
    <w:rsid w:val="00276B9F"/>
    <w:rsid w:val="00276C2E"/>
    <w:rsid w:val="00276C36"/>
    <w:rsid w:val="00276C3D"/>
    <w:rsid w:val="00276C58"/>
    <w:rsid w:val="00276D79"/>
    <w:rsid w:val="0027712F"/>
    <w:rsid w:val="002772B2"/>
    <w:rsid w:val="002772EF"/>
    <w:rsid w:val="002773DA"/>
    <w:rsid w:val="002774A2"/>
    <w:rsid w:val="00277737"/>
    <w:rsid w:val="00277A27"/>
    <w:rsid w:val="00277D2E"/>
    <w:rsid w:val="00277DB0"/>
    <w:rsid w:val="00280744"/>
    <w:rsid w:val="0028079D"/>
    <w:rsid w:val="00280AA0"/>
    <w:rsid w:val="00280DE8"/>
    <w:rsid w:val="0028108F"/>
    <w:rsid w:val="002810AB"/>
    <w:rsid w:val="00281332"/>
    <w:rsid w:val="00281445"/>
    <w:rsid w:val="00281685"/>
    <w:rsid w:val="002816E6"/>
    <w:rsid w:val="00281BD3"/>
    <w:rsid w:val="00281CC8"/>
    <w:rsid w:val="00281DCF"/>
    <w:rsid w:val="00281DDA"/>
    <w:rsid w:val="00281E69"/>
    <w:rsid w:val="00281FB1"/>
    <w:rsid w:val="0028227C"/>
    <w:rsid w:val="0028255A"/>
    <w:rsid w:val="002826EA"/>
    <w:rsid w:val="002826F4"/>
    <w:rsid w:val="002827CB"/>
    <w:rsid w:val="00282A6A"/>
    <w:rsid w:val="00282F24"/>
    <w:rsid w:val="00282F31"/>
    <w:rsid w:val="00283077"/>
    <w:rsid w:val="00283161"/>
    <w:rsid w:val="00283196"/>
    <w:rsid w:val="002832AC"/>
    <w:rsid w:val="002833FE"/>
    <w:rsid w:val="00283918"/>
    <w:rsid w:val="00283A7E"/>
    <w:rsid w:val="00283BCA"/>
    <w:rsid w:val="00283DC3"/>
    <w:rsid w:val="002840C4"/>
    <w:rsid w:val="00284415"/>
    <w:rsid w:val="00284682"/>
    <w:rsid w:val="002849B4"/>
    <w:rsid w:val="00284A01"/>
    <w:rsid w:val="00284CFC"/>
    <w:rsid w:val="00284D76"/>
    <w:rsid w:val="00284DBF"/>
    <w:rsid w:val="00284EC5"/>
    <w:rsid w:val="00285604"/>
    <w:rsid w:val="0028566E"/>
    <w:rsid w:val="00285754"/>
    <w:rsid w:val="002857A5"/>
    <w:rsid w:val="00285C3A"/>
    <w:rsid w:val="00285D20"/>
    <w:rsid w:val="002861F1"/>
    <w:rsid w:val="00286315"/>
    <w:rsid w:val="002863AB"/>
    <w:rsid w:val="002864EF"/>
    <w:rsid w:val="00286782"/>
    <w:rsid w:val="002869D6"/>
    <w:rsid w:val="00286B10"/>
    <w:rsid w:val="00286CDC"/>
    <w:rsid w:val="00287273"/>
    <w:rsid w:val="00287439"/>
    <w:rsid w:val="002875AC"/>
    <w:rsid w:val="002879DF"/>
    <w:rsid w:val="00287C84"/>
    <w:rsid w:val="00287D13"/>
    <w:rsid w:val="00287F51"/>
    <w:rsid w:val="00287FDD"/>
    <w:rsid w:val="002901FA"/>
    <w:rsid w:val="0029030B"/>
    <w:rsid w:val="00290447"/>
    <w:rsid w:val="002904DB"/>
    <w:rsid w:val="00290616"/>
    <w:rsid w:val="002906AA"/>
    <w:rsid w:val="00290AFB"/>
    <w:rsid w:val="00290B4D"/>
    <w:rsid w:val="00290BDD"/>
    <w:rsid w:val="00290C41"/>
    <w:rsid w:val="00290F4E"/>
    <w:rsid w:val="00290F9F"/>
    <w:rsid w:val="0029115A"/>
    <w:rsid w:val="002912A6"/>
    <w:rsid w:val="002912DF"/>
    <w:rsid w:val="00291422"/>
    <w:rsid w:val="00291572"/>
    <w:rsid w:val="00291859"/>
    <w:rsid w:val="00291955"/>
    <w:rsid w:val="002919D1"/>
    <w:rsid w:val="00291CAA"/>
    <w:rsid w:val="00291D29"/>
    <w:rsid w:val="00291FE3"/>
    <w:rsid w:val="002921FF"/>
    <w:rsid w:val="002924A0"/>
    <w:rsid w:val="0029296F"/>
    <w:rsid w:val="00292BA7"/>
    <w:rsid w:val="00292E16"/>
    <w:rsid w:val="00292EE1"/>
    <w:rsid w:val="002931DE"/>
    <w:rsid w:val="00293B77"/>
    <w:rsid w:val="00294093"/>
    <w:rsid w:val="002940F4"/>
    <w:rsid w:val="00294871"/>
    <w:rsid w:val="00294A2A"/>
    <w:rsid w:val="00294F95"/>
    <w:rsid w:val="00295052"/>
    <w:rsid w:val="0029524B"/>
    <w:rsid w:val="00295830"/>
    <w:rsid w:val="00295858"/>
    <w:rsid w:val="00295C8D"/>
    <w:rsid w:val="00295CCA"/>
    <w:rsid w:val="00295E7B"/>
    <w:rsid w:val="00295E98"/>
    <w:rsid w:val="002962EE"/>
    <w:rsid w:val="002965C7"/>
    <w:rsid w:val="002965EF"/>
    <w:rsid w:val="00296618"/>
    <w:rsid w:val="002966CB"/>
    <w:rsid w:val="00296716"/>
    <w:rsid w:val="00296951"/>
    <w:rsid w:val="002969CE"/>
    <w:rsid w:val="00296A67"/>
    <w:rsid w:val="00296ADB"/>
    <w:rsid w:val="00296C5E"/>
    <w:rsid w:val="00296D03"/>
    <w:rsid w:val="002970EF"/>
    <w:rsid w:val="00297171"/>
    <w:rsid w:val="0029742A"/>
    <w:rsid w:val="00297450"/>
    <w:rsid w:val="0029778B"/>
    <w:rsid w:val="00297925"/>
    <w:rsid w:val="00297979"/>
    <w:rsid w:val="00297A5C"/>
    <w:rsid w:val="00297C03"/>
    <w:rsid w:val="00297EC6"/>
    <w:rsid w:val="00297F62"/>
    <w:rsid w:val="002A003A"/>
    <w:rsid w:val="002A026B"/>
    <w:rsid w:val="002A029D"/>
    <w:rsid w:val="002A08CD"/>
    <w:rsid w:val="002A09AE"/>
    <w:rsid w:val="002A0AF3"/>
    <w:rsid w:val="002A0D7D"/>
    <w:rsid w:val="002A0F22"/>
    <w:rsid w:val="002A0FB0"/>
    <w:rsid w:val="002A12B3"/>
    <w:rsid w:val="002A14A4"/>
    <w:rsid w:val="002A1719"/>
    <w:rsid w:val="002A1751"/>
    <w:rsid w:val="002A1C02"/>
    <w:rsid w:val="002A1C7A"/>
    <w:rsid w:val="002A1C87"/>
    <w:rsid w:val="002A1CE7"/>
    <w:rsid w:val="002A1EFD"/>
    <w:rsid w:val="002A20B6"/>
    <w:rsid w:val="002A20C1"/>
    <w:rsid w:val="002A2338"/>
    <w:rsid w:val="002A25AB"/>
    <w:rsid w:val="002A26D4"/>
    <w:rsid w:val="002A282C"/>
    <w:rsid w:val="002A2C07"/>
    <w:rsid w:val="002A2C63"/>
    <w:rsid w:val="002A2DE4"/>
    <w:rsid w:val="002A2ECE"/>
    <w:rsid w:val="002A2EE4"/>
    <w:rsid w:val="002A30C5"/>
    <w:rsid w:val="002A324A"/>
    <w:rsid w:val="002A34B1"/>
    <w:rsid w:val="002A34EE"/>
    <w:rsid w:val="002A35C7"/>
    <w:rsid w:val="002A3783"/>
    <w:rsid w:val="002A38EE"/>
    <w:rsid w:val="002A391E"/>
    <w:rsid w:val="002A3B64"/>
    <w:rsid w:val="002A3BC6"/>
    <w:rsid w:val="002A3D74"/>
    <w:rsid w:val="002A440A"/>
    <w:rsid w:val="002A455C"/>
    <w:rsid w:val="002A462A"/>
    <w:rsid w:val="002A498C"/>
    <w:rsid w:val="002A4BA5"/>
    <w:rsid w:val="002A4CF4"/>
    <w:rsid w:val="002A4F45"/>
    <w:rsid w:val="002A4FBA"/>
    <w:rsid w:val="002A506A"/>
    <w:rsid w:val="002A5273"/>
    <w:rsid w:val="002A569E"/>
    <w:rsid w:val="002A585F"/>
    <w:rsid w:val="002A5D24"/>
    <w:rsid w:val="002A6240"/>
    <w:rsid w:val="002A633B"/>
    <w:rsid w:val="002A663F"/>
    <w:rsid w:val="002A67A8"/>
    <w:rsid w:val="002A69F4"/>
    <w:rsid w:val="002A6B03"/>
    <w:rsid w:val="002A6B4E"/>
    <w:rsid w:val="002A6C59"/>
    <w:rsid w:val="002A7021"/>
    <w:rsid w:val="002A7128"/>
    <w:rsid w:val="002A71D8"/>
    <w:rsid w:val="002A732F"/>
    <w:rsid w:val="002A74C7"/>
    <w:rsid w:val="002A7906"/>
    <w:rsid w:val="002A7B69"/>
    <w:rsid w:val="002A7BA2"/>
    <w:rsid w:val="002A7C86"/>
    <w:rsid w:val="002A7D79"/>
    <w:rsid w:val="002B0112"/>
    <w:rsid w:val="002B0355"/>
    <w:rsid w:val="002B07C0"/>
    <w:rsid w:val="002B0A18"/>
    <w:rsid w:val="002B0E49"/>
    <w:rsid w:val="002B0F13"/>
    <w:rsid w:val="002B1010"/>
    <w:rsid w:val="002B13E4"/>
    <w:rsid w:val="002B192F"/>
    <w:rsid w:val="002B1EF9"/>
    <w:rsid w:val="002B20BC"/>
    <w:rsid w:val="002B2167"/>
    <w:rsid w:val="002B2186"/>
    <w:rsid w:val="002B22C2"/>
    <w:rsid w:val="002B2413"/>
    <w:rsid w:val="002B27F0"/>
    <w:rsid w:val="002B2895"/>
    <w:rsid w:val="002B2AE0"/>
    <w:rsid w:val="002B2E63"/>
    <w:rsid w:val="002B2EAE"/>
    <w:rsid w:val="002B2EB6"/>
    <w:rsid w:val="002B2EF3"/>
    <w:rsid w:val="002B2F40"/>
    <w:rsid w:val="002B2F8E"/>
    <w:rsid w:val="002B3000"/>
    <w:rsid w:val="002B32E8"/>
    <w:rsid w:val="002B36BA"/>
    <w:rsid w:val="002B3885"/>
    <w:rsid w:val="002B3AAA"/>
    <w:rsid w:val="002B3B62"/>
    <w:rsid w:val="002B3C94"/>
    <w:rsid w:val="002B3E31"/>
    <w:rsid w:val="002B40B6"/>
    <w:rsid w:val="002B413B"/>
    <w:rsid w:val="002B42A3"/>
    <w:rsid w:val="002B43A0"/>
    <w:rsid w:val="002B449B"/>
    <w:rsid w:val="002B455F"/>
    <w:rsid w:val="002B457C"/>
    <w:rsid w:val="002B46BB"/>
    <w:rsid w:val="002B47EA"/>
    <w:rsid w:val="002B490E"/>
    <w:rsid w:val="002B4BC7"/>
    <w:rsid w:val="002B4CB7"/>
    <w:rsid w:val="002B4DDF"/>
    <w:rsid w:val="002B523E"/>
    <w:rsid w:val="002B539B"/>
    <w:rsid w:val="002B54C2"/>
    <w:rsid w:val="002B5509"/>
    <w:rsid w:val="002B56BC"/>
    <w:rsid w:val="002B5804"/>
    <w:rsid w:val="002B58EC"/>
    <w:rsid w:val="002B5AB1"/>
    <w:rsid w:val="002B5FC0"/>
    <w:rsid w:val="002B6408"/>
    <w:rsid w:val="002B65EC"/>
    <w:rsid w:val="002B667F"/>
    <w:rsid w:val="002B67E0"/>
    <w:rsid w:val="002B6B54"/>
    <w:rsid w:val="002B7096"/>
    <w:rsid w:val="002B71DC"/>
    <w:rsid w:val="002B724B"/>
    <w:rsid w:val="002B72CB"/>
    <w:rsid w:val="002B7358"/>
    <w:rsid w:val="002B767E"/>
    <w:rsid w:val="002B7683"/>
    <w:rsid w:val="002B7885"/>
    <w:rsid w:val="002B7A47"/>
    <w:rsid w:val="002B7B78"/>
    <w:rsid w:val="002B7CE5"/>
    <w:rsid w:val="002B7DE6"/>
    <w:rsid w:val="002B7E39"/>
    <w:rsid w:val="002C0363"/>
    <w:rsid w:val="002C0478"/>
    <w:rsid w:val="002C04FD"/>
    <w:rsid w:val="002C055A"/>
    <w:rsid w:val="002C05D7"/>
    <w:rsid w:val="002C06A6"/>
    <w:rsid w:val="002C0A1A"/>
    <w:rsid w:val="002C0E56"/>
    <w:rsid w:val="002C0FCB"/>
    <w:rsid w:val="002C11D9"/>
    <w:rsid w:val="002C123C"/>
    <w:rsid w:val="002C1328"/>
    <w:rsid w:val="002C13C4"/>
    <w:rsid w:val="002C14E9"/>
    <w:rsid w:val="002C168B"/>
    <w:rsid w:val="002C1837"/>
    <w:rsid w:val="002C1980"/>
    <w:rsid w:val="002C1AA5"/>
    <w:rsid w:val="002C1DDD"/>
    <w:rsid w:val="002C2063"/>
    <w:rsid w:val="002C20BC"/>
    <w:rsid w:val="002C228B"/>
    <w:rsid w:val="002C2523"/>
    <w:rsid w:val="002C265E"/>
    <w:rsid w:val="002C27D3"/>
    <w:rsid w:val="002C2884"/>
    <w:rsid w:val="002C2A6E"/>
    <w:rsid w:val="002C2C0D"/>
    <w:rsid w:val="002C30CB"/>
    <w:rsid w:val="002C30D5"/>
    <w:rsid w:val="002C31DF"/>
    <w:rsid w:val="002C337F"/>
    <w:rsid w:val="002C37EF"/>
    <w:rsid w:val="002C38C3"/>
    <w:rsid w:val="002C396F"/>
    <w:rsid w:val="002C3AC7"/>
    <w:rsid w:val="002C3C47"/>
    <w:rsid w:val="002C3D89"/>
    <w:rsid w:val="002C3FDC"/>
    <w:rsid w:val="002C41AB"/>
    <w:rsid w:val="002C41E4"/>
    <w:rsid w:val="002C4223"/>
    <w:rsid w:val="002C4531"/>
    <w:rsid w:val="002C477D"/>
    <w:rsid w:val="002C48D5"/>
    <w:rsid w:val="002C49B5"/>
    <w:rsid w:val="002C4A74"/>
    <w:rsid w:val="002C4AA2"/>
    <w:rsid w:val="002C4B7F"/>
    <w:rsid w:val="002C4B8F"/>
    <w:rsid w:val="002C515C"/>
    <w:rsid w:val="002C5632"/>
    <w:rsid w:val="002C56CC"/>
    <w:rsid w:val="002C580A"/>
    <w:rsid w:val="002C5B28"/>
    <w:rsid w:val="002C5D90"/>
    <w:rsid w:val="002C5E78"/>
    <w:rsid w:val="002C5ECE"/>
    <w:rsid w:val="002C65BD"/>
    <w:rsid w:val="002C6851"/>
    <w:rsid w:val="002C69D5"/>
    <w:rsid w:val="002C69DE"/>
    <w:rsid w:val="002C6A4D"/>
    <w:rsid w:val="002C6A7E"/>
    <w:rsid w:val="002C6AAC"/>
    <w:rsid w:val="002C6B91"/>
    <w:rsid w:val="002C6D82"/>
    <w:rsid w:val="002C750D"/>
    <w:rsid w:val="002C765F"/>
    <w:rsid w:val="002C78E1"/>
    <w:rsid w:val="002C78EE"/>
    <w:rsid w:val="002C7A30"/>
    <w:rsid w:val="002C7B5C"/>
    <w:rsid w:val="002D0500"/>
    <w:rsid w:val="002D0682"/>
    <w:rsid w:val="002D075D"/>
    <w:rsid w:val="002D0978"/>
    <w:rsid w:val="002D09A5"/>
    <w:rsid w:val="002D0B75"/>
    <w:rsid w:val="002D0BB4"/>
    <w:rsid w:val="002D0DEF"/>
    <w:rsid w:val="002D108D"/>
    <w:rsid w:val="002D126A"/>
    <w:rsid w:val="002D135D"/>
    <w:rsid w:val="002D136F"/>
    <w:rsid w:val="002D13F7"/>
    <w:rsid w:val="002D17BD"/>
    <w:rsid w:val="002D1868"/>
    <w:rsid w:val="002D18E4"/>
    <w:rsid w:val="002D1AA5"/>
    <w:rsid w:val="002D1BF3"/>
    <w:rsid w:val="002D1D7D"/>
    <w:rsid w:val="002D1F9F"/>
    <w:rsid w:val="002D2230"/>
    <w:rsid w:val="002D2384"/>
    <w:rsid w:val="002D2A46"/>
    <w:rsid w:val="002D2BC9"/>
    <w:rsid w:val="002D2E92"/>
    <w:rsid w:val="002D2F07"/>
    <w:rsid w:val="002D3009"/>
    <w:rsid w:val="002D30C2"/>
    <w:rsid w:val="002D30D6"/>
    <w:rsid w:val="002D3213"/>
    <w:rsid w:val="002D342D"/>
    <w:rsid w:val="002D345B"/>
    <w:rsid w:val="002D34B0"/>
    <w:rsid w:val="002D37FB"/>
    <w:rsid w:val="002D3C34"/>
    <w:rsid w:val="002D3DA1"/>
    <w:rsid w:val="002D42A5"/>
    <w:rsid w:val="002D4445"/>
    <w:rsid w:val="002D4A7F"/>
    <w:rsid w:val="002D4CD6"/>
    <w:rsid w:val="002D4E88"/>
    <w:rsid w:val="002D4F9E"/>
    <w:rsid w:val="002D4FD5"/>
    <w:rsid w:val="002D514C"/>
    <w:rsid w:val="002D5454"/>
    <w:rsid w:val="002D59C1"/>
    <w:rsid w:val="002D5B40"/>
    <w:rsid w:val="002D5BCF"/>
    <w:rsid w:val="002D5E45"/>
    <w:rsid w:val="002D5FD9"/>
    <w:rsid w:val="002D6211"/>
    <w:rsid w:val="002D63F2"/>
    <w:rsid w:val="002D6446"/>
    <w:rsid w:val="002D6772"/>
    <w:rsid w:val="002D691B"/>
    <w:rsid w:val="002D6B2F"/>
    <w:rsid w:val="002D6C3B"/>
    <w:rsid w:val="002D6DB5"/>
    <w:rsid w:val="002D6F07"/>
    <w:rsid w:val="002D6F75"/>
    <w:rsid w:val="002D707B"/>
    <w:rsid w:val="002D70D4"/>
    <w:rsid w:val="002D7554"/>
    <w:rsid w:val="002D75F4"/>
    <w:rsid w:val="002D7720"/>
    <w:rsid w:val="002D772A"/>
    <w:rsid w:val="002D78F8"/>
    <w:rsid w:val="002D7E36"/>
    <w:rsid w:val="002D7EF9"/>
    <w:rsid w:val="002D7FDA"/>
    <w:rsid w:val="002E00E6"/>
    <w:rsid w:val="002E0268"/>
    <w:rsid w:val="002E02C5"/>
    <w:rsid w:val="002E02D3"/>
    <w:rsid w:val="002E0391"/>
    <w:rsid w:val="002E0422"/>
    <w:rsid w:val="002E0434"/>
    <w:rsid w:val="002E048C"/>
    <w:rsid w:val="002E0946"/>
    <w:rsid w:val="002E0EF2"/>
    <w:rsid w:val="002E0F0C"/>
    <w:rsid w:val="002E1030"/>
    <w:rsid w:val="002E1215"/>
    <w:rsid w:val="002E12DE"/>
    <w:rsid w:val="002E138A"/>
    <w:rsid w:val="002E1394"/>
    <w:rsid w:val="002E1A70"/>
    <w:rsid w:val="002E1C5D"/>
    <w:rsid w:val="002E1CFE"/>
    <w:rsid w:val="002E1E16"/>
    <w:rsid w:val="002E22C9"/>
    <w:rsid w:val="002E2383"/>
    <w:rsid w:val="002E2423"/>
    <w:rsid w:val="002E2A0F"/>
    <w:rsid w:val="002E2AF5"/>
    <w:rsid w:val="002E2C05"/>
    <w:rsid w:val="002E2EA8"/>
    <w:rsid w:val="002E301A"/>
    <w:rsid w:val="002E30C4"/>
    <w:rsid w:val="002E338A"/>
    <w:rsid w:val="002E36F7"/>
    <w:rsid w:val="002E377A"/>
    <w:rsid w:val="002E3DCC"/>
    <w:rsid w:val="002E41B2"/>
    <w:rsid w:val="002E41F6"/>
    <w:rsid w:val="002E425B"/>
    <w:rsid w:val="002E4343"/>
    <w:rsid w:val="002E4349"/>
    <w:rsid w:val="002E4457"/>
    <w:rsid w:val="002E458B"/>
    <w:rsid w:val="002E48BC"/>
    <w:rsid w:val="002E4AA2"/>
    <w:rsid w:val="002E4C58"/>
    <w:rsid w:val="002E4CBA"/>
    <w:rsid w:val="002E4F14"/>
    <w:rsid w:val="002E5071"/>
    <w:rsid w:val="002E50FA"/>
    <w:rsid w:val="002E5508"/>
    <w:rsid w:val="002E5553"/>
    <w:rsid w:val="002E5670"/>
    <w:rsid w:val="002E5809"/>
    <w:rsid w:val="002E5816"/>
    <w:rsid w:val="002E598F"/>
    <w:rsid w:val="002E59C5"/>
    <w:rsid w:val="002E5AFD"/>
    <w:rsid w:val="002E5D2B"/>
    <w:rsid w:val="002E5EC1"/>
    <w:rsid w:val="002E6226"/>
    <w:rsid w:val="002E6315"/>
    <w:rsid w:val="002E635C"/>
    <w:rsid w:val="002E6523"/>
    <w:rsid w:val="002E66C2"/>
    <w:rsid w:val="002E6861"/>
    <w:rsid w:val="002E68C1"/>
    <w:rsid w:val="002E6981"/>
    <w:rsid w:val="002E6E9A"/>
    <w:rsid w:val="002E6F04"/>
    <w:rsid w:val="002E6F24"/>
    <w:rsid w:val="002E7175"/>
    <w:rsid w:val="002E7235"/>
    <w:rsid w:val="002E73F6"/>
    <w:rsid w:val="002E775A"/>
    <w:rsid w:val="002E779F"/>
    <w:rsid w:val="002E7867"/>
    <w:rsid w:val="002E78DC"/>
    <w:rsid w:val="002E79F5"/>
    <w:rsid w:val="002E7D1E"/>
    <w:rsid w:val="002E7D29"/>
    <w:rsid w:val="002E7DCC"/>
    <w:rsid w:val="002E7F24"/>
    <w:rsid w:val="002E7F5C"/>
    <w:rsid w:val="002F0159"/>
    <w:rsid w:val="002F06E7"/>
    <w:rsid w:val="002F09CA"/>
    <w:rsid w:val="002F09DC"/>
    <w:rsid w:val="002F0D32"/>
    <w:rsid w:val="002F0DA6"/>
    <w:rsid w:val="002F100A"/>
    <w:rsid w:val="002F12CB"/>
    <w:rsid w:val="002F15EA"/>
    <w:rsid w:val="002F1859"/>
    <w:rsid w:val="002F1990"/>
    <w:rsid w:val="002F1B4A"/>
    <w:rsid w:val="002F1BEA"/>
    <w:rsid w:val="002F1F9C"/>
    <w:rsid w:val="002F20DD"/>
    <w:rsid w:val="002F2102"/>
    <w:rsid w:val="002F245C"/>
    <w:rsid w:val="002F246E"/>
    <w:rsid w:val="002F251C"/>
    <w:rsid w:val="002F26F9"/>
    <w:rsid w:val="002F278E"/>
    <w:rsid w:val="002F28F0"/>
    <w:rsid w:val="002F2976"/>
    <w:rsid w:val="002F2997"/>
    <w:rsid w:val="002F2AC0"/>
    <w:rsid w:val="002F2B04"/>
    <w:rsid w:val="002F2B20"/>
    <w:rsid w:val="002F2BA2"/>
    <w:rsid w:val="002F2DC0"/>
    <w:rsid w:val="002F3051"/>
    <w:rsid w:val="002F321C"/>
    <w:rsid w:val="002F37FC"/>
    <w:rsid w:val="002F3D50"/>
    <w:rsid w:val="002F3E70"/>
    <w:rsid w:val="002F4031"/>
    <w:rsid w:val="002F40BA"/>
    <w:rsid w:val="002F4257"/>
    <w:rsid w:val="002F4342"/>
    <w:rsid w:val="002F45FD"/>
    <w:rsid w:val="002F47DA"/>
    <w:rsid w:val="002F4A62"/>
    <w:rsid w:val="002F4B54"/>
    <w:rsid w:val="002F4C2C"/>
    <w:rsid w:val="002F4DDE"/>
    <w:rsid w:val="002F4EFA"/>
    <w:rsid w:val="002F4F82"/>
    <w:rsid w:val="002F4FA8"/>
    <w:rsid w:val="002F4FC7"/>
    <w:rsid w:val="002F5019"/>
    <w:rsid w:val="002F56F8"/>
    <w:rsid w:val="002F5928"/>
    <w:rsid w:val="002F5C3D"/>
    <w:rsid w:val="002F5EB9"/>
    <w:rsid w:val="002F61F4"/>
    <w:rsid w:val="002F6225"/>
    <w:rsid w:val="002F62E8"/>
    <w:rsid w:val="002F635E"/>
    <w:rsid w:val="002F6387"/>
    <w:rsid w:val="002F6750"/>
    <w:rsid w:val="002F6CAA"/>
    <w:rsid w:val="002F6E2E"/>
    <w:rsid w:val="002F6E4C"/>
    <w:rsid w:val="002F6FB7"/>
    <w:rsid w:val="002F709C"/>
    <w:rsid w:val="002F70AC"/>
    <w:rsid w:val="002F723F"/>
    <w:rsid w:val="002F74D8"/>
    <w:rsid w:val="002F7751"/>
    <w:rsid w:val="002F77AA"/>
    <w:rsid w:val="002F7A1D"/>
    <w:rsid w:val="002F7E27"/>
    <w:rsid w:val="0030020F"/>
    <w:rsid w:val="0030044C"/>
    <w:rsid w:val="003005A4"/>
    <w:rsid w:val="00300BDE"/>
    <w:rsid w:val="00300CF2"/>
    <w:rsid w:val="00300EE2"/>
    <w:rsid w:val="003011D8"/>
    <w:rsid w:val="00301249"/>
    <w:rsid w:val="00301360"/>
    <w:rsid w:val="003013C5"/>
    <w:rsid w:val="00301415"/>
    <w:rsid w:val="003016E6"/>
    <w:rsid w:val="00301752"/>
    <w:rsid w:val="00301B8A"/>
    <w:rsid w:val="00301DB7"/>
    <w:rsid w:val="00301DC9"/>
    <w:rsid w:val="003020B1"/>
    <w:rsid w:val="00302620"/>
    <w:rsid w:val="00302693"/>
    <w:rsid w:val="003027B5"/>
    <w:rsid w:val="003027C1"/>
    <w:rsid w:val="00302801"/>
    <w:rsid w:val="00302A13"/>
    <w:rsid w:val="00302CDB"/>
    <w:rsid w:val="00302D56"/>
    <w:rsid w:val="00302F23"/>
    <w:rsid w:val="00303125"/>
    <w:rsid w:val="00303335"/>
    <w:rsid w:val="00303453"/>
    <w:rsid w:val="00303A50"/>
    <w:rsid w:val="00303C9D"/>
    <w:rsid w:val="00303DCA"/>
    <w:rsid w:val="00303EC3"/>
    <w:rsid w:val="00303ECA"/>
    <w:rsid w:val="0030417B"/>
    <w:rsid w:val="0030448A"/>
    <w:rsid w:val="0030492B"/>
    <w:rsid w:val="00304985"/>
    <w:rsid w:val="00304AA9"/>
    <w:rsid w:val="00304EC8"/>
    <w:rsid w:val="0030548A"/>
    <w:rsid w:val="0030554D"/>
    <w:rsid w:val="003055AD"/>
    <w:rsid w:val="00305679"/>
    <w:rsid w:val="003056CE"/>
    <w:rsid w:val="00305822"/>
    <w:rsid w:val="0030584C"/>
    <w:rsid w:val="00305875"/>
    <w:rsid w:val="003059AF"/>
    <w:rsid w:val="003059C1"/>
    <w:rsid w:val="00305B08"/>
    <w:rsid w:val="00305BAC"/>
    <w:rsid w:val="00305CA7"/>
    <w:rsid w:val="00305E8C"/>
    <w:rsid w:val="00305F02"/>
    <w:rsid w:val="0030628F"/>
    <w:rsid w:val="003062DB"/>
    <w:rsid w:val="003063AF"/>
    <w:rsid w:val="003063B8"/>
    <w:rsid w:val="003063CE"/>
    <w:rsid w:val="003064A7"/>
    <w:rsid w:val="003064D2"/>
    <w:rsid w:val="00306614"/>
    <w:rsid w:val="00306785"/>
    <w:rsid w:val="00306AE0"/>
    <w:rsid w:val="00306C25"/>
    <w:rsid w:val="00306E28"/>
    <w:rsid w:val="00306EF0"/>
    <w:rsid w:val="00306F28"/>
    <w:rsid w:val="00307061"/>
    <w:rsid w:val="00307357"/>
    <w:rsid w:val="003073BC"/>
    <w:rsid w:val="00307531"/>
    <w:rsid w:val="00307749"/>
    <w:rsid w:val="00307984"/>
    <w:rsid w:val="003079AC"/>
    <w:rsid w:val="003079D6"/>
    <w:rsid w:val="00307B56"/>
    <w:rsid w:val="00307BCB"/>
    <w:rsid w:val="003102E2"/>
    <w:rsid w:val="0031037F"/>
    <w:rsid w:val="0031078C"/>
    <w:rsid w:val="00310904"/>
    <w:rsid w:val="00310921"/>
    <w:rsid w:val="00310A43"/>
    <w:rsid w:val="00310ADC"/>
    <w:rsid w:val="003114CD"/>
    <w:rsid w:val="003115B8"/>
    <w:rsid w:val="0031161D"/>
    <w:rsid w:val="00311694"/>
    <w:rsid w:val="003121C4"/>
    <w:rsid w:val="003126EC"/>
    <w:rsid w:val="00312F6A"/>
    <w:rsid w:val="00312FE0"/>
    <w:rsid w:val="00313191"/>
    <w:rsid w:val="0031340D"/>
    <w:rsid w:val="00313CB1"/>
    <w:rsid w:val="00313D53"/>
    <w:rsid w:val="0031404F"/>
    <w:rsid w:val="0031409C"/>
    <w:rsid w:val="003140B7"/>
    <w:rsid w:val="00314166"/>
    <w:rsid w:val="003141F7"/>
    <w:rsid w:val="00314A9C"/>
    <w:rsid w:val="00314C23"/>
    <w:rsid w:val="00314ED2"/>
    <w:rsid w:val="00315143"/>
    <w:rsid w:val="003153E0"/>
    <w:rsid w:val="0031554A"/>
    <w:rsid w:val="00315662"/>
    <w:rsid w:val="00315705"/>
    <w:rsid w:val="00315BB9"/>
    <w:rsid w:val="00315C0F"/>
    <w:rsid w:val="00315C49"/>
    <w:rsid w:val="00315DCC"/>
    <w:rsid w:val="00316035"/>
    <w:rsid w:val="003160B8"/>
    <w:rsid w:val="0031644C"/>
    <w:rsid w:val="00316528"/>
    <w:rsid w:val="003165E1"/>
    <w:rsid w:val="00316985"/>
    <w:rsid w:val="00316F34"/>
    <w:rsid w:val="00316F47"/>
    <w:rsid w:val="00317147"/>
    <w:rsid w:val="0031738C"/>
    <w:rsid w:val="0031743B"/>
    <w:rsid w:val="003174C8"/>
    <w:rsid w:val="003175FA"/>
    <w:rsid w:val="00317645"/>
    <w:rsid w:val="00317A95"/>
    <w:rsid w:val="00317B97"/>
    <w:rsid w:val="00317C30"/>
    <w:rsid w:val="00317D9C"/>
    <w:rsid w:val="00317E23"/>
    <w:rsid w:val="003200F7"/>
    <w:rsid w:val="0032087E"/>
    <w:rsid w:val="00320C99"/>
    <w:rsid w:val="00320CB2"/>
    <w:rsid w:val="00320ED3"/>
    <w:rsid w:val="00320F11"/>
    <w:rsid w:val="00320F48"/>
    <w:rsid w:val="00320F51"/>
    <w:rsid w:val="00321208"/>
    <w:rsid w:val="00321273"/>
    <w:rsid w:val="003212BC"/>
    <w:rsid w:val="00321584"/>
    <w:rsid w:val="00321706"/>
    <w:rsid w:val="003219B4"/>
    <w:rsid w:val="003219BC"/>
    <w:rsid w:val="00321AE6"/>
    <w:rsid w:val="00321B56"/>
    <w:rsid w:val="00321BA5"/>
    <w:rsid w:val="00321C93"/>
    <w:rsid w:val="00321FF4"/>
    <w:rsid w:val="00322233"/>
    <w:rsid w:val="003225D9"/>
    <w:rsid w:val="0032264E"/>
    <w:rsid w:val="0032279F"/>
    <w:rsid w:val="003228E3"/>
    <w:rsid w:val="0032294B"/>
    <w:rsid w:val="00322A2A"/>
    <w:rsid w:val="00322A97"/>
    <w:rsid w:val="00322B0A"/>
    <w:rsid w:val="00322B76"/>
    <w:rsid w:val="00322C31"/>
    <w:rsid w:val="00322FB5"/>
    <w:rsid w:val="00323064"/>
    <w:rsid w:val="00323447"/>
    <w:rsid w:val="003234AA"/>
    <w:rsid w:val="003235BC"/>
    <w:rsid w:val="0032365C"/>
    <w:rsid w:val="003236B9"/>
    <w:rsid w:val="003237BD"/>
    <w:rsid w:val="003239FB"/>
    <w:rsid w:val="00323A9E"/>
    <w:rsid w:val="00323C29"/>
    <w:rsid w:val="00323DB9"/>
    <w:rsid w:val="0032427F"/>
    <w:rsid w:val="00324282"/>
    <w:rsid w:val="00324396"/>
    <w:rsid w:val="00324606"/>
    <w:rsid w:val="00324AE9"/>
    <w:rsid w:val="00324DC9"/>
    <w:rsid w:val="003251C7"/>
    <w:rsid w:val="003252B8"/>
    <w:rsid w:val="003253B0"/>
    <w:rsid w:val="00325584"/>
    <w:rsid w:val="00325613"/>
    <w:rsid w:val="00325958"/>
    <w:rsid w:val="00325BBA"/>
    <w:rsid w:val="00325BCE"/>
    <w:rsid w:val="00325CFC"/>
    <w:rsid w:val="0032621F"/>
    <w:rsid w:val="00326253"/>
    <w:rsid w:val="003262AD"/>
    <w:rsid w:val="0032638C"/>
    <w:rsid w:val="003266FF"/>
    <w:rsid w:val="00326846"/>
    <w:rsid w:val="00326BCE"/>
    <w:rsid w:val="00326C57"/>
    <w:rsid w:val="00326E7A"/>
    <w:rsid w:val="00327003"/>
    <w:rsid w:val="00327676"/>
    <w:rsid w:val="003277B8"/>
    <w:rsid w:val="0032797E"/>
    <w:rsid w:val="003279CA"/>
    <w:rsid w:val="00327CA4"/>
    <w:rsid w:val="00327F3B"/>
    <w:rsid w:val="00327F58"/>
    <w:rsid w:val="00327FF6"/>
    <w:rsid w:val="00330049"/>
    <w:rsid w:val="003301B8"/>
    <w:rsid w:val="0033024F"/>
    <w:rsid w:val="0033067E"/>
    <w:rsid w:val="00330AA9"/>
    <w:rsid w:val="00330C10"/>
    <w:rsid w:val="00330D4D"/>
    <w:rsid w:val="0033108D"/>
    <w:rsid w:val="0033138C"/>
    <w:rsid w:val="003314D3"/>
    <w:rsid w:val="003314DB"/>
    <w:rsid w:val="003315D5"/>
    <w:rsid w:val="00331746"/>
    <w:rsid w:val="00331884"/>
    <w:rsid w:val="00331C62"/>
    <w:rsid w:val="00331C91"/>
    <w:rsid w:val="00331F35"/>
    <w:rsid w:val="00332130"/>
    <w:rsid w:val="00332169"/>
    <w:rsid w:val="0033231F"/>
    <w:rsid w:val="003326EE"/>
    <w:rsid w:val="00332957"/>
    <w:rsid w:val="003329B4"/>
    <w:rsid w:val="00332D28"/>
    <w:rsid w:val="00333036"/>
    <w:rsid w:val="003331D7"/>
    <w:rsid w:val="003337C2"/>
    <w:rsid w:val="00333AEA"/>
    <w:rsid w:val="00333DBA"/>
    <w:rsid w:val="00333EBA"/>
    <w:rsid w:val="00334102"/>
    <w:rsid w:val="0033443A"/>
    <w:rsid w:val="00334904"/>
    <w:rsid w:val="00334A8A"/>
    <w:rsid w:val="0033503F"/>
    <w:rsid w:val="0033511A"/>
    <w:rsid w:val="003353E1"/>
    <w:rsid w:val="00335713"/>
    <w:rsid w:val="00335AB0"/>
    <w:rsid w:val="00335D42"/>
    <w:rsid w:val="00335D71"/>
    <w:rsid w:val="0033610D"/>
    <w:rsid w:val="003361D2"/>
    <w:rsid w:val="0033623E"/>
    <w:rsid w:val="0033643D"/>
    <w:rsid w:val="00336468"/>
    <w:rsid w:val="00336851"/>
    <w:rsid w:val="00336875"/>
    <w:rsid w:val="00336A08"/>
    <w:rsid w:val="00336A73"/>
    <w:rsid w:val="00336AF6"/>
    <w:rsid w:val="00336B3F"/>
    <w:rsid w:val="00336B78"/>
    <w:rsid w:val="00336CB2"/>
    <w:rsid w:val="00336CD2"/>
    <w:rsid w:val="00336D6B"/>
    <w:rsid w:val="00336DCC"/>
    <w:rsid w:val="00336F0F"/>
    <w:rsid w:val="003370AA"/>
    <w:rsid w:val="003372E8"/>
    <w:rsid w:val="003375FA"/>
    <w:rsid w:val="003376BD"/>
    <w:rsid w:val="00337912"/>
    <w:rsid w:val="00337977"/>
    <w:rsid w:val="00337B4D"/>
    <w:rsid w:val="00337D66"/>
    <w:rsid w:val="00337DB4"/>
    <w:rsid w:val="00337FE2"/>
    <w:rsid w:val="003400F2"/>
    <w:rsid w:val="00340205"/>
    <w:rsid w:val="003409DC"/>
    <w:rsid w:val="00340DBE"/>
    <w:rsid w:val="00340F63"/>
    <w:rsid w:val="003410E1"/>
    <w:rsid w:val="00341178"/>
    <w:rsid w:val="003411C6"/>
    <w:rsid w:val="00341776"/>
    <w:rsid w:val="003417A9"/>
    <w:rsid w:val="003418B1"/>
    <w:rsid w:val="00341987"/>
    <w:rsid w:val="00341C3B"/>
    <w:rsid w:val="003423E7"/>
    <w:rsid w:val="00342642"/>
    <w:rsid w:val="00342AD2"/>
    <w:rsid w:val="00342DA5"/>
    <w:rsid w:val="00343058"/>
    <w:rsid w:val="003434B6"/>
    <w:rsid w:val="003434DD"/>
    <w:rsid w:val="003436DF"/>
    <w:rsid w:val="00343AC3"/>
    <w:rsid w:val="003440A3"/>
    <w:rsid w:val="00344107"/>
    <w:rsid w:val="00344273"/>
    <w:rsid w:val="003442E7"/>
    <w:rsid w:val="00344324"/>
    <w:rsid w:val="003446B2"/>
    <w:rsid w:val="00344817"/>
    <w:rsid w:val="00344B3D"/>
    <w:rsid w:val="00344D00"/>
    <w:rsid w:val="00344EBD"/>
    <w:rsid w:val="00344F5C"/>
    <w:rsid w:val="003452D7"/>
    <w:rsid w:val="0034531E"/>
    <w:rsid w:val="0034560D"/>
    <w:rsid w:val="0034592A"/>
    <w:rsid w:val="00345AA8"/>
    <w:rsid w:val="00345BBA"/>
    <w:rsid w:val="00346091"/>
    <w:rsid w:val="00346103"/>
    <w:rsid w:val="00346219"/>
    <w:rsid w:val="0034638C"/>
    <w:rsid w:val="00346411"/>
    <w:rsid w:val="003464C0"/>
    <w:rsid w:val="0034654C"/>
    <w:rsid w:val="00346550"/>
    <w:rsid w:val="00346858"/>
    <w:rsid w:val="0034685B"/>
    <w:rsid w:val="00346A39"/>
    <w:rsid w:val="00346AF0"/>
    <w:rsid w:val="00346B8B"/>
    <w:rsid w:val="00346CBD"/>
    <w:rsid w:val="00346FD8"/>
    <w:rsid w:val="00346FE5"/>
    <w:rsid w:val="003470EB"/>
    <w:rsid w:val="003471F1"/>
    <w:rsid w:val="0034739B"/>
    <w:rsid w:val="00347632"/>
    <w:rsid w:val="00347674"/>
    <w:rsid w:val="00347A95"/>
    <w:rsid w:val="00347C59"/>
    <w:rsid w:val="00350509"/>
    <w:rsid w:val="003509F9"/>
    <w:rsid w:val="00350BB3"/>
    <w:rsid w:val="00351197"/>
    <w:rsid w:val="0035158A"/>
    <w:rsid w:val="00351AB1"/>
    <w:rsid w:val="00351B9B"/>
    <w:rsid w:val="00351EE7"/>
    <w:rsid w:val="003521B7"/>
    <w:rsid w:val="003522F5"/>
    <w:rsid w:val="00352621"/>
    <w:rsid w:val="0035269C"/>
    <w:rsid w:val="0035279B"/>
    <w:rsid w:val="0035295D"/>
    <w:rsid w:val="00352A09"/>
    <w:rsid w:val="00352A98"/>
    <w:rsid w:val="00352B06"/>
    <w:rsid w:val="00352BFA"/>
    <w:rsid w:val="00352D89"/>
    <w:rsid w:val="00352EDA"/>
    <w:rsid w:val="00352FD3"/>
    <w:rsid w:val="00353297"/>
    <w:rsid w:val="003532EC"/>
    <w:rsid w:val="00353361"/>
    <w:rsid w:val="00353397"/>
    <w:rsid w:val="00353400"/>
    <w:rsid w:val="00353B20"/>
    <w:rsid w:val="00353BF6"/>
    <w:rsid w:val="00353DF0"/>
    <w:rsid w:val="00353EF5"/>
    <w:rsid w:val="00353F09"/>
    <w:rsid w:val="00353F7F"/>
    <w:rsid w:val="00354184"/>
    <w:rsid w:val="0035427F"/>
    <w:rsid w:val="00354321"/>
    <w:rsid w:val="0035435A"/>
    <w:rsid w:val="00354369"/>
    <w:rsid w:val="0035437A"/>
    <w:rsid w:val="0035448C"/>
    <w:rsid w:val="0035452B"/>
    <w:rsid w:val="00354B09"/>
    <w:rsid w:val="00354BDA"/>
    <w:rsid w:val="00354C31"/>
    <w:rsid w:val="00354C69"/>
    <w:rsid w:val="00354F07"/>
    <w:rsid w:val="003553F9"/>
    <w:rsid w:val="00355B17"/>
    <w:rsid w:val="00355E26"/>
    <w:rsid w:val="00355E6C"/>
    <w:rsid w:val="00355ECF"/>
    <w:rsid w:val="00356109"/>
    <w:rsid w:val="00356323"/>
    <w:rsid w:val="003565AF"/>
    <w:rsid w:val="003566F4"/>
    <w:rsid w:val="00356711"/>
    <w:rsid w:val="003568CD"/>
    <w:rsid w:val="003568FF"/>
    <w:rsid w:val="00356D4D"/>
    <w:rsid w:val="00356E7C"/>
    <w:rsid w:val="00356F99"/>
    <w:rsid w:val="00357577"/>
    <w:rsid w:val="003575D9"/>
    <w:rsid w:val="003576A5"/>
    <w:rsid w:val="003576C9"/>
    <w:rsid w:val="003579FB"/>
    <w:rsid w:val="00357B5E"/>
    <w:rsid w:val="00357BB3"/>
    <w:rsid w:val="003604D5"/>
    <w:rsid w:val="00360544"/>
    <w:rsid w:val="003607B9"/>
    <w:rsid w:val="003608B5"/>
    <w:rsid w:val="003608BD"/>
    <w:rsid w:val="00360B6F"/>
    <w:rsid w:val="00360B9E"/>
    <w:rsid w:val="00360BB0"/>
    <w:rsid w:val="00360D75"/>
    <w:rsid w:val="00360DB7"/>
    <w:rsid w:val="00360EAC"/>
    <w:rsid w:val="00360EB0"/>
    <w:rsid w:val="00360EFD"/>
    <w:rsid w:val="00361174"/>
    <w:rsid w:val="003611D7"/>
    <w:rsid w:val="0036124B"/>
    <w:rsid w:val="003616FB"/>
    <w:rsid w:val="003618AB"/>
    <w:rsid w:val="00361BBE"/>
    <w:rsid w:val="00361C0F"/>
    <w:rsid w:val="00362141"/>
    <w:rsid w:val="0036223B"/>
    <w:rsid w:val="0036227F"/>
    <w:rsid w:val="00362394"/>
    <w:rsid w:val="003624F4"/>
    <w:rsid w:val="00362855"/>
    <w:rsid w:val="00362A02"/>
    <w:rsid w:val="00362B1C"/>
    <w:rsid w:val="00362B8F"/>
    <w:rsid w:val="00362CCA"/>
    <w:rsid w:val="00362D33"/>
    <w:rsid w:val="00362D9F"/>
    <w:rsid w:val="00362FA0"/>
    <w:rsid w:val="003631BE"/>
    <w:rsid w:val="00363266"/>
    <w:rsid w:val="003633D9"/>
    <w:rsid w:val="003634C7"/>
    <w:rsid w:val="003636EF"/>
    <w:rsid w:val="00363932"/>
    <w:rsid w:val="00363A94"/>
    <w:rsid w:val="00363B15"/>
    <w:rsid w:val="00363F08"/>
    <w:rsid w:val="00363FC8"/>
    <w:rsid w:val="0036401F"/>
    <w:rsid w:val="00364204"/>
    <w:rsid w:val="00364642"/>
    <w:rsid w:val="00365287"/>
    <w:rsid w:val="00365334"/>
    <w:rsid w:val="003657F7"/>
    <w:rsid w:val="00365A30"/>
    <w:rsid w:val="00365E34"/>
    <w:rsid w:val="00365FF4"/>
    <w:rsid w:val="00366158"/>
    <w:rsid w:val="003662C3"/>
    <w:rsid w:val="0036641E"/>
    <w:rsid w:val="00366436"/>
    <w:rsid w:val="00366581"/>
    <w:rsid w:val="00366863"/>
    <w:rsid w:val="003671C5"/>
    <w:rsid w:val="00367833"/>
    <w:rsid w:val="003679A4"/>
    <w:rsid w:val="00367BCA"/>
    <w:rsid w:val="00367CAA"/>
    <w:rsid w:val="00367DA9"/>
    <w:rsid w:val="00367E01"/>
    <w:rsid w:val="00367F45"/>
    <w:rsid w:val="00367FF6"/>
    <w:rsid w:val="00370391"/>
    <w:rsid w:val="00370537"/>
    <w:rsid w:val="003706C3"/>
    <w:rsid w:val="003708B5"/>
    <w:rsid w:val="00370A30"/>
    <w:rsid w:val="00370A9C"/>
    <w:rsid w:val="00370BA5"/>
    <w:rsid w:val="00370C2D"/>
    <w:rsid w:val="00370D6F"/>
    <w:rsid w:val="00370E98"/>
    <w:rsid w:val="00371134"/>
    <w:rsid w:val="00371364"/>
    <w:rsid w:val="00371578"/>
    <w:rsid w:val="003718A7"/>
    <w:rsid w:val="003719F8"/>
    <w:rsid w:val="00371C4D"/>
    <w:rsid w:val="00371C86"/>
    <w:rsid w:val="00371D51"/>
    <w:rsid w:val="00372039"/>
    <w:rsid w:val="00372174"/>
    <w:rsid w:val="003722ED"/>
    <w:rsid w:val="0037235A"/>
    <w:rsid w:val="003724B7"/>
    <w:rsid w:val="00372678"/>
    <w:rsid w:val="003729AF"/>
    <w:rsid w:val="00372C70"/>
    <w:rsid w:val="00372C75"/>
    <w:rsid w:val="00372FE1"/>
    <w:rsid w:val="00373369"/>
    <w:rsid w:val="003733DC"/>
    <w:rsid w:val="003737B0"/>
    <w:rsid w:val="003737D4"/>
    <w:rsid w:val="003738F6"/>
    <w:rsid w:val="00373C02"/>
    <w:rsid w:val="00373C63"/>
    <w:rsid w:val="00373E7A"/>
    <w:rsid w:val="003741C3"/>
    <w:rsid w:val="00374305"/>
    <w:rsid w:val="0037447F"/>
    <w:rsid w:val="0037458B"/>
    <w:rsid w:val="00374890"/>
    <w:rsid w:val="00374902"/>
    <w:rsid w:val="00374969"/>
    <w:rsid w:val="00374BF9"/>
    <w:rsid w:val="00374C68"/>
    <w:rsid w:val="00374DB4"/>
    <w:rsid w:val="00375305"/>
    <w:rsid w:val="00375331"/>
    <w:rsid w:val="00375361"/>
    <w:rsid w:val="00375833"/>
    <w:rsid w:val="00375836"/>
    <w:rsid w:val="0037592E"/>
    <w:rsid w:val="0037595E"/>
    <w:rsid w:val="00375A71"/>
    <w:rsid w:val="00375ABA"/>
    <w:rsid w:val="00375C6F"/>
    <w:rsid w:val="00375F20"/>
    <w:rsid w:val="003767FF"/>
    <w:rsid w:val="00376981"/>
    <w:rsid w:val="00376C96"/>
    <w:rsid w:val="00376F87"/>
    <w:rsid w:val="0037711F"/>
    <w:rsid w:val="003772AE"/>
    <w:rsid w:val="003775B7"/>
    <w:rsid w:val="003778C1"/>
    <w:rsid w:val="00377A08"/>
    <w:rsid w:val="00377BCF"/>
    <w:rsid w:val="00377C14"/>
    <w:rsid w:val="00377C1C"/>
    <w:rsid w:val="00377C59"/>
    <w:rsid w:val="00380107"/>
    <w:rsid w:val="00380133"/>
    <w:rsid w:val="00380211"/>
    <w:rsid w:val="003809DF"/>
    <w:rsid w:val="00380A54"/>
    <w:rsid w:val="00380AB3"/>
    <w:rsid w:val="00380BCE"/>
    <w:rsid w:val="00380DE4"/>
    <w:rsid w:val="00380E4D"/>
    <w:rsid w:val="003810A4"/>
    <w:rsid w:val="003811C1"/>
    <w:rsid w:val="00381396"/>
    <w:rsid w:val="003814D3"/>
    <w:rsid w:val="00381516"/>
    <w:rsid w:val="0038178A"/>
    <w:rsid w:val="00381A73"/>
    <w:rsid w:val="00381AF8"/>
    <w:rsid w:val="00381C7C"/>
    <w:rsid w:val="00381DF2"/>
    <w:rsid w:val="0038205C"/>
    <w:rsid w:val="003820CA"/>
    <w:rsid w:val="003820CB"/>
    <w:rsid w:val="003829C8"/>
    <w:rsid w:val="00382B9D"/>
    <w:rsid w:val="00383305"/>
    <w:rsid w:val="00383CA3"/>
    <w:rsid w:val="00383E75"/>
    <w:rsid w:val="00384065"/>
    <w:rsid w:val="0038417F"/>
    <w:rsid w:val="00384338"/>
    <w:rsid w:val="003844ED"/>
    <w:rsid w:val="0038453E"/>
    <w:rsid w:val="003849C0"/>
    <w:rsid w:val="00384AD4"/>
    <w:rsid w:val="00384EF8"/>
    <w:rsid w:val="0038506B"/>
    <w:rsid w:val="0038521C"/>
    <w:rsid w:val="003853FB"/>
    <w:rsid w:val="003854B6"/>
    <w:rsid w:val="003855E8"/>
    <w:rsid w:val="00385E1A"/>
    <w:rsid w:val="00385E98"/>
    <w:rsid w:val="00385EBF"/>
    <w:rsid w:val="0038611F"/>
    <w:rsid w:val="0038635F"/>
    <w:rsid w:val="00386517"/>
    <w:rsid w:val="00386532"/>
    <w:rsid w:val="00386652"/>
    <w:rsid w:val="003867F9"/>
    <w:rsid w:val="00386B5C"/>
    <w:rsid w:val="00386E0B"/>
    <w:rsid w:val="00387122"/>
    <w:rsid w:val="003871E2"/>
    <w:rsid w:val="00387435"/>
    <w:rsid w:val="0038778E"/>
    <w:rsid w:val="003879ED"/>
    <w:rsid w:val="00387E2D"/>
    <w:rsid w:val="00387FFB"/>
    <w:rsid w:val="00390014"/>
    <w:rsid w:val="003902B5"/>
    <w:rsid w:val="003902DE"/>
    <w:rsid w:val="003903CA"/>
    <w:rsid w:val="0039073F"/>
    <w:rsid w:val="00390809"/>
    <w:rsid w:val="00390822"/>
    <w:rsid w:val="00390B5C"/>
    <w:rsid w:val="003912B9"/>
    <w:rsid w:val="00391571"/>
    <w:rsid w:val="00391630"/>
    <w:rsid w:val="0039193B"/>
    <w:rsid w:val="00391A85"/>
    <w:rsid w:val="00391AD2"/>
    <w:rsid w:val="00392284"/>
    <w:rsid w:val="003923B1"/>
    <w:rsid w:val="00392567"/>
    <w:rsid w:val="00392680"/>
    <w:rsid w:val="00392A64"/>
    <w:rsid w:val="00392F2A"/>
    <w:rsid w:val="00392FF7"/>
    <w:rsid w:val="00393083"/>
    <w:rsid w:val="0039326A"/>
    <w:rsid w:val="003939EB"/>
    <w:rsid w:val="00393A1D"/>
    <w:rsid w:val="00393A23"/>
    <w:rsid w:val="00393E5F"/>
    <w:rsid w:val="00394292"/>
    <w:rsid w:val="003944D7"/>
    <w:rsid w:val="003947D4"/>
    <w:rsid w:val="003948E8"/>
    <w:rsid w:val="00394AB6"/>
    <w:rsid w:val="00394B81"/>
    <w:rsid w:val="00394CA7"/>
    <w:rsid w:val="00394D05"/>
    <w:rsid w:val="00394EF6"/>
    <w:rsid w:val="0039512C"/>
    <w:rsid w:val="00395B71"/>
    <w:rsid w:val="00395BD6"/>
    <w:rsid w:val="00395E85"/>
    <w:rsid w:val="00395EAB"/>
    <w:rsid w:val="00395F52"/>
    <w:rsid w:val="0039645E"/>
    <w:rsid w:val="00396881"/>
    <w:rsid w:val="00396B7A"/>
    <w:rsid w:val="00396CBF"/>
    <w:rsid w:val="00396DA4"/>
    <w:rsid w:val="00396F6F"/>
    <w:rsid w:val="00397141"/>
    <w:rsid w:val="003972A6"/>
    <w:rsid w:val="00397562"/>
    <w:rsid w:val="0039759A"/>
    <w:rsid w:val="0039765F"/>
    <w:rsid w:val="003978A0"/>
    <w:rsid w:val="0039798B"/>
    <w:rsid w:val="00397C2C"/>
    <w:rsid w:val="003A0085"/>
    <w:rsid w:val="003A01F2"/>
    <w:rsid w:val="003A067F"/>
    <w:rsid w:val="003A0E48"/>
    <w:rsid w:val="003A0EEC"/>
    <w:rsid w:val="003A0EF5"/>
    <w:rsid w:val="003A0F31"/>
    <w:rsid w:val="003A0FC4"/>
    <w:rsid w:val="003A11D3"/>
    <w:rsid w:val="003A1522"/>
    <w:rsid w:val="003A15BA"/>
    <w:rsid w:val="003A16B2"/>
    <w:rsid w:val="003A1928"/>
    <w:rsid w:val="003A20F8"/>
    <w:rsid w:val="003A224E"/>
    <w:rsid w:val="003A231F"/>
    <w:rsid w:val="003A234C"/>
    <w:rsid w:val="003A2353"/>
    <w:rsid w:val="003A24A0"/>
    <w:rsid w:val="003A25AE"/>
    <w:rsid w:val="003A28EA"/>
    <w:rsid w:val="003A2D14"/>
    <w:rsid w:val="003A2D4A"/>
    <w:rsid w:val="003A3340"/>
    <w:rsid w:val="003A33BC"/>
    <w:rsid w:val="003A35B0"/>
    <w:rsid w:val="003A3611"/>
    <w:rsid w:val="003A3A2C"/>
    <w:rsid w:val="003A40F3"/>
    <w:rsid w:val="003A4373"/>
    <w:rsid w:val="003A438A"/>
    <w:rsid w:val="003A43F0"/>
    <w:rsid w:val="003A458F"/>
    <w:rsid w:val="003A47E1"/>
    <w:rsid w:val="003A482D"/>
    <w:rsid w:val="003A4CAB"/>
    <w:rsid w:val="003A4F11"/>
    <w:rsid w:val="003A4F79"/>
    <w:rsid w:val="003A5047"/>
    <w:rsid w:val="003A51A0"/>
    <w:rsid w:val="003A51B1"/>
    <w:rsid w:val="003A5779"/>
    <w:rsid w:val="003A595D"/>
    <w:rsid w:val="003A5B74"/>
    <w:rsid w:val="003A5DF6"/>
    <w:rsid w:val="003A5EFC"/>
    <w:rsid w:val="003A5F41"/>
    <w:rsid w:val="003A5F94"/>
    <w:rsid w:val="003A61E7"/>
    <w:rsid w:val="003A63C6"/>
    <w:rsid w:val="003A6854"/>
    <w:rsid w:val="003A6A9E"/>
    <w:rsid w:val="003A6B13"/>
    <w:rsid w:val="003A6B64"/>
    <w:rsid w:val="003A6C14"/>
    <w:rsid w:val="003A6D00"/>
    <w:rsid w:val="003A6E40"/>
    <w:rsid w:val="003A7071"/>
    <w:rsid w:val="003A73A9"/>
    <w:rsid w:val="003A7B61"/>
    <w:rsid w:val="003A7C85"/>
    <w:rsid w:val="003A7D3C"/>
    <w:rsid w:val="003A7D74"/>
    <w:rsid w:val="003A7F06"/>
    <w:rsid w:val="003B0333"/>
    <w:rsid w:val="003B065D"/>
    <w:rsid w:val="003B088C"/>
    <w:rsid w:val="003B08A0"/>
    <w:rsid w:val="003B0919"/>
    <w:rsid w:val="003B0920"/>
    <w:rsid w:val="003B0AF1"/>
    <w:rsid w:val="003B0B71"/>
    <w:rsid w:val="003B0C48"/>
    <w:rsid w:val="003B0DA0"/>
    <w:rsid w:val="003B0DE0"/>
    <w:rsid w:val="003B0F64"/>
    <w:rsid w:val="003B10C5"/>
    <w:rsid w:val="003B1154"/>
    <w:rsid w:val="003B116D"/>
    <w:rsid w:val="003B11F5"/>
    <w:rsid w:val="003B14E0"/>
    <w:rsid w:val="003B14F8"/>
    <w:rsid w:val="003B17C5"/>
    <w:rsid w:val="003B1991"/>
    <w:rsid w:val="003B1B5A"/>
    <w:rsid w:val="003B2231"/>
    <w:rsid w:val="003B2434"/>
    <w:rsid w:val="003B24D4"/>
    <w:rsid w:val="003B2566"/>
    <w:rsid w:val="003B268B"/>
    <w:rsid w:val="003B2A6C"/>
    <w:rsid w:val="003B2C13"/>
    <w:rsid w:val="003B2FA0"/>
    <w:rsid w:val="003B3098"/>
    <w:rsid w:val="003B30B2"/>
    <w:rsid w:val="003B3B71"/>
    <w:rsid w:val="003B4215"/>
    <w:rsid w:val="003B4759"/>
    <w:rsid w:val="003B475A"/>
    <w:rsid w:val="003B4A19"/>
    <w:rsid w:val="003B4BA8"/>
    <w:rsid w:val="003B4D29"/>
    <w:rsid w:val="003B4DE9"/>
    <w:rsid w:val="003B4E9A"/>
    <w:rsid w:val="003B522B"/>
    <w:rsid w:val="003B5473"/>
    <w:rsid w:val="003B54D3"/>
    <w:rsid w:val="003B5726"/>
    <w:rsid w:val="003B5828"/>
    <w:rsid w:val="003B5F17"/>
    <w:rsid w:val="003B5F50"/>
    <w:rsid w:val="003B6645"/>
    <w:rsid w:val="003B684E"/>
    <w:rsid w:val="003B6980"/>
    <w:rsid w:val="003B6F13"/>
    <w:rsid w:val="003B70A6"/>
    <w:rsid w:val="003B7130"/>
    <w:rsid w:val="003B72BA"/>
    <w:rsid w:val="003B731B"/>
    <w:rsid w:val="003B783A"/>
    <w:rsid w:val="003B78E7"/>
    <w:rsid w:val="003B7A4F"/>
    <w:rsid w:val="003B7AFE"/>
    <w:rsid w:val="003B7B2B"/>
    <w:rsid w:val="003B7D08"/>
    <w:rsid w:val="003B7E6B"/>
    <w:rsid w:val="003B7EBB"/>
    <w:rsid w:val="003C0196"/>
    <w:rsid w:val="003C019E"/>
    <w:rsid w:val="003C021A"/>
    <w:rsid w:val="003C063E"/>
    <w:rsid w:val="003C0E2C"/>
    <w:rsid w:val="003C0F33"/>
    <w:rsid w:val="003C1395"/>
    <w:rsid w:val="003C143D"/>
    <w:rsid w:val="003C1515"/>
    <w:rsid w:val="003C1858"/>
    <w:rsid w:val="003C1997"/>
    <w:rsid w:val="003C1AA5"/>
    <w:rsid w:val="003C1D3C"/>
    <w:rsid w:val="003C1DA6"/>
    <w:rsid w:val="003C2043"/>
    <w:rsid w:val="003C20BC"/>
    <w:rsid w:val="003C2556"/>
    <w:rsid w:val="003C27DE"/>
    <w:rsid w:val="003C2856"/>
    <w:rsid w:val="003C288E"/>
    <w:rsid w:val="003C2ACD"/>
    <w:rsid w:val="003C2C93"/>
    <w:rsid w:val="003C2D93"/>
    <w:rsid w:val="003C2F3D"/>
    <w:rsid w:val="003C2FD2"/>
    <w:rsid w:val="003C2FEC"/>
    <w:rsid w:val="003C3172"/>
    <w:rsid w:val="003C32EC"/>
    <w:rsid w:val="003C36A2"/>
    <w:rsid w:val="003C37E5"/>
    <w:rsid w:val="003C3A58"/>
    <w:rsid w:val="003C3BD2"/>
    <w:rsid w:val="003C3F6B"/>
    <w:rsid w:val="003C423F"/>
    <w:rsid w:val="003C4464"/>
    <w:rsid w:val="003C458D"/>
    <w:rsid w:val="003C46C6"/>
    <w:rsid w:val="003C46D4"/>
    <w:rsid w:val="003C4F09"/>
    <w:rsid w:val="003C51D8"/>
    <w:rsid w:val="003C55AC"/>
    <w:rsid w:val="003C55F6"/>
    <w:rsid w:val="003C5961"/>
    <w:rsid w:val="003C5FE4"/>
    <w:rsid w:val="003C6007"/>
    <w:rsid w:val="003C6632"/>
    <w:rsid w:val="003C6797"/>
    <w:rsid w:val="003C6837"/>
    <w:rsid w:val="003C698C"/>
    <w:rsid w:val="003C69BD"/>
    <w:rsid w:val="003C6D3B"/>
    <w:rsid w:val="003C6D9A"/>
    <w:rsid w:val="003C7051"/>
    <w:rsid w:val="003C721E"/>
    <w:rsid w:val="003C73F3"/>
    <w:rsid w:val="003C7437"/>
    <w:rsid w:val="003C7443"/>
    <w:rsid w:val="003C7581"/>
    <w:rsid w:val="003C7848"/>
    <w:rsid w:val="003C7AB5"/>
    <w:rsid w:val="003D0189"/>
    <w:rsid w:val="003D02AF"/>
    <w:rsid w:val="003D06AF"/>
    <w:rsid w:val="003D07C3"/>
    <w:rsid w:val="003D09DB"/>
    <w:rsid w:val="003D0A87"/>
    <w:rsid w:val="003D0C82"/>
    <w:rsid w:val="003D0D29"/>
    <w:rsid w:val="003D0D2C"/>
    <w:rsid w:val="003D0F42"/>
    <w:rsid w:val="003D0F46"/>
    <w:rsid w:val="003D1267"/>
    <w:rsid w:val="003D1729"/>
    <w:rsid w:val="003D18F3"/>
    <w:rsid w:val="003D191B"/>
    <w:rsid w:val="003D1B74"/>
    <w:rsid w:val="003D25DE"/>
    <w:rsid w:val="003D277D"/>
    <w:rsid w:val="003D28C2"/>
    <w:rsid w:val="003D2AC8"/>
    <w:rsid w:val="003D2B9A"/>
    <w:rsid w:val="003D2D10"/>
    <w:rsid w:val="003D2E52"/>
    <w:rsid w:val="003D2E93"/>
    <w:rsid w:val="003D311F"/>
    <w:rsid w:val="003D330A"/>
    <w:rsid w:val="003D3490"/>
    <w:rsid w:val="003D36C5"/>
    <w:rsid w:val="003D3839"/>
    <w:rsid w:val="003D3BF2"/>
    <w:rsid w:val="003D40DB"/>
    <w:rsid w:val="003D41D9"/>
    <w:rsid w:val="003D42FC"/>
    <w:rsid w:val="003D439F"/>
    <w:rsid w:val="003D44FC"/>
    <w:rsid w:val="003D4503"/>
    <w:rsid w:val="003D4528"/>
    <w:rsid w:val="003D4580"/>
    <w:rsid w:val="003D464F"/>
    <w:rsid w:val="003D4682"/>
    <w:rsid w:val="003D4B98"/>
    <w:rsid w:val="003D4C2F"/>
    <w:rsid w:val="003D4C71"/>
    <w:rsid w:val="003D4CF3"/>
    <w:rsid w:val="003D4FF7"/>
    <w:rsid w:val="003D500A"/>
    <w:rsid w:val="003D50BC"/>
    <w:rsid w:val="003D5142"/>
    <w:rsid w:val="003D5581"/>
    <w:rsid w:val="003D571B"/>
    <w:rsid w:val="003D5859"/>
    <w:rsid w:val="003D5A3D"/>
    <w:rsid w:val="003D5BFC"/>
    <w:rsid w:val="003D5D1A"/>
    <w:rsid w:val="003D5E84"/>
    <w:rsid w:val="003D6100"/>
    <w:rsid w:val="003D611F"/>
    <w:rsid w:val="003D623B"/>
    <w:rsid w:val="003D62AB"/>
    <w:rsid w:val="003D6726"/>
    <w:rsid w:val="003D6E3D"/>
    <w:rsid w:val="003D6ED8"/>
    <w:rsid w:val="003D70FC"/>
    <w:rsid w:val="003D726C"/>
    <w:rsid w:val="003D72C2"/>
    <w:rsid w:val="003D760C"/>
    <w:rsid w:val="003D769B"/>
    <w:rsid w:val="003D7ADB"/>
    <w:rsid w:val="003D7C65"/>
    <w:rsid w:val="003D7D3E"/>
    <w:rsid w:val="003D7D51"/>
    <w:rsid w:val="003D7D9E"/>
    <w:rsid w:val="003D7DC2"/>
    <w:rsid w:val="003D7E9F"/>
    <w:rsid w:val="003E02DB"/>
    <w:rsid w:val="003E03FE"/>
    <w:rsid w:val="003E0544"/>
    <w:rsid w:val="003E0B17"/>
    <w:rsid w:val="003E0EB2"/>
    <w:rsid w:val="003E0FC2"/>
    <w:rsid w:val="003E110E"/>
    <w:rsid w:val="003E16E2"/>
    <w:rsid w:val="003E1B9B"/>
    <w:rsid w:val="003E1C38"/>
    <w:rsid w:val="003E1C48"/>
    <w:rsid w:val="003E1E9E"/>
    <w:rsid w:val="003E1F4F"/>
    <w:rsid w:val="003E2018"/>
    <w:rsid w:val="003E2121"/>
    <w:rsid w:val="003E26E4"/>
    <w:rsid w:val="003E2738"/>
    <w:rsid w:val="003E2B9E"/>
    <w:rsid w:val="003E2C81"/>
    <w:rsid w:val="003E2EAC"/>
    <w:rsid w:val="003E2EF9"/>
    <w:rsid w:val="003E32C8"/>
    <w:rsid w:val="003E3339"/>
    <w:rsid w:val="003E366C"/>
    <w:rsid w:val="003E38A4"/>
    <w:rsid w:val="003E3C67"/>
    <w:rsid w:val="003E3EAD"/>
    <w:rsid w:val="003E416C"/>
    <w:rsid w:val="003E4A96"/>
    <w:rsid w:val="003E4B99"/>
    <w:rsid w:val="003E4CA7"/>
    <w:rsid w:val="003E4D1D"/>
    <w:rsid w:val="003E4D27"/>
    <w:rsid w:val="003E512E"/>
    <w:rsid w:val="003E55DA"/>
    <w:rsid w:val="003E55F0"/>
    <w:rsid w:val="003E5647"/>
    <w:rsid w:val="003E59DD"/>
    <w:rsid w:val="003E5A10"/>
    <w:rsid w:val="003E5A11"/>
    <w:rsid w:val="003E5CB1"/>
    <w:rsid w:val="003E5CBD"/>
    <w:rsid w:val="003E5D9F"/>
    <w:rsid w:val="003E5FB1"/>
    <w:rsid w:val="003E6489"/>
    <w:rsid w:val="003E65D5"/>
    <w:rsid w:val="003E69A7"/>
    <w:rsid w:val="003E69CA"/>
    <w:rsid w:val="003E6ACB"/>
    <w:rsid w:val="003E6CF0"/>
    <w:rsid w:val="003E6D51"/>
    <w:rsid w:val="003E6E89"/>
    <w:rsid w:val="003E73DF"/>
    <w:rsid w:val="003E74FB"/>
    <w:rsid w:val="003E76EA"/>
    <w:rsid w:val="003E78A3"/>
    <w:rsid w:val="003E7BF3"/>
    <w:rsid w:val="003E7EB5"/>
    <w:rsid w:val="003F0205"/>
    <w:rsid w:val="003F0271"/>
    <w:rsid w:val="003F032F"/>
    <w:rsid w:val="003F03A9"/>
    <w:rsid w:val="003F0577"/>
    <w:rsid w:val="003F05EC"/>
    <w:rsid w:val="003F0610"/>
    <w:rsid w:val="003F07DF"/>
    <w:rsid w:val="003F103F"/>
    <w:rsid w:val="003F1126"/>
    <w:rsid w:val="003F126D"/>
    <w:rsid w:val="003F1321"/>
    <w:rsid w:val="003F15D2"/>
    <w:rsid w:val="003F1702"/>
    <w:rsid w:val="003F178C"/>
    <w:rsid w:val="003F1A45"/>
    <w:rsid w:val="003F1A54"/>
    <w:rsid w:val="003F201A"/>
    <w:rsid w:val="003F2096"/>
    <w:rsid w:val="003F219C"/>
    <w:rsid w:val="003F2540"/>
    <w:rsid w:val="003F2B50"/>
    <w:rsid w:val="003F2BE4"/>
    <w:rsid w:val="003F2F5D"/>
    <w:rsid w:val="003F302F"/>
    <w:rsid w:val="003F3104"/>
    <w:rsid w:val="003F3121"/>
    <w:rsid w:val="003F3458"/>
    <w:rsid w:val="003F34D3"/>
    <w:rsid w:val="003F36C6"/>
    <w:rsid w:val="003F398E"/>
    <w:rsid w:val="003F3D9A"/>
    <w:rsid w:val="003F3DEF"/>
    <w:rsid w:val="003F416A"/>
    <w:rsid w:val="003F41F7"/>
    <w:rsid w:val="003F43E2"/>
    <w:rsid w:val="003F4880"/>
    <w:rsid w:val="003F48D0"/>
    <w:rsid w:val="003F4933"/>
    <w:rsid w:val="003F4C25"/>
    <w:rsid w:val="003F5009"/>
    <w:rsid w:val="003F519A"/>
    <w:rsid w:val="003F5354"/>
    <w:rsid w:val="003F5573"/>
    <w:rsid w:val="003F5636"/>
    <w:rsid w:val="003F59FC"/>
    <w:rsid w:val="003F5F29"/>
    <w:rsid w:val="003F6140"/>
    <w:rsid w:val="003F62D4"/>
    <w:rsid w:val="003F6366"/>
    <w:rsid w:val="003F64B1"/>
    <w:rsid w:val="003F66BE"/>
    <w:rsid w:val="003F6870"/>
    <w:rsid w:val="003F6F79"/>
    <w:rsid w:val="003F7135"/>
    <w:rsid w:val="003F7251"/>
    <w:rsid w:val="003F72A0"/>
    <w:rsid w:val="003F74CC"/>
    <w:rsid w:val="003F7AEA"/>
    <w:rsid w:val="003F7C32"/>
    <w:rsid w:val="003F7C76"/>
    <w:rsid w:val="003F7F9D"/>
    <w:rsid w:val="00400057"/>
    <w:rsid w:val="004000E0"/>
    <w:rsid w:val="004003BC"/>
    <w:rsid w:val="004005B8"/>
    <w:rsid w:val="004006C9"/>
    <w:rsid w:val="0040082B"/>
    <w:rsid w:val="00400944"/>
    <w:rsid w:val="00400B1C"/>
    <w:rsid w:val="00400E32"/>
    <w:rsid w:val="00401099"/>
    <w:rsid w:val="00401109"/>
    <w:rsid w:val="0040110F"/>
    <w:rsid w:val="00401197"/>
    <w:rsid w:val="004014CA"/>
    <w:rsid w:val="004017A8"/>
    <w:rsid w:val="00401980"/>
    <w:rsid w:val="00401A09"/>
    <w:rsid w:val="00401D33"/>
    <w:rsid w:val="00401E55"/>
    <w:rsid w:val="0040205F"/>
    <w:rsid w:val="004025EE"/>
    <w:rsid w:val="00402660"/>
    <w:rsid w:val="0040266D"/>
    <w:rsid w:val="004026BC"/>
    <w:rsid w:val="004027A4"/>
    <w:rsid w:val="00402D27"/>
    <w:rsid w:val="00403015"/>
    <w:rsid w:val="0040338E"/>
    <w:rsid w:val="00403934"/>
    <w:rsid w:val="004039DE"/>
    <w:rsid w:val="00403ABB"/>
    <w:rsid w:val="00403BB1"/>
    <w:rsid w:val="00403D35"/>
    <w:rsid w:val="00403DD0"/>
    <w:rsid w:val="0040407A"/>
    <w:rsid w:val="004041B9"/>
    <w:rsid w:val="004042BB"/>
    <w:rsid w:val="00404324"/>
    <w:rsid w:val="004046B5"/>
    <w:rsid w:val="00404821"/>
    <w:rsid w:val="004049F5"/>
    <w:rsid w:val="004049FE"/>
    <w:rsid w:val="00404D7A"/>
    <w:rsid w:val="00404E38"/>
    <w:rsid w:val="0040502E"/>
    <w:rsid w:val="0040509C"/>
    <w:rsid w:val="00405284"/>
    <w:rsid w:val="0040565C"/>
    <w:rsid w:val="004056CD"/>
    <w:rsid w:val="00405A4B"/>
    <w:rsid w:val="0040614F"/>
    <w:rsid w:val="00406205"/>
    <w:rsid w:val="00406225"/>
    <w:rsid w:val="0040640A"/>
    <w:rsid w:val="0040656E"/>
    <w:rsid w:val="004068EA"/>
    <w:rsid w:val="004069E4"/>
    <w:rsid w:val="00406D15"/>
    <w:rsid w:val="00406EBC"/>
    <w:rsid w:val="004070DE"/>
    <w:rsid w:val="00407160"/>
    <w:rsid w:val="004071FF"/>
    <w:rsid w:val="00407346"/>
    <w:rsid w:val="0040746A"/>
    <w:rsid w:val="0040762F"/>
    <w:rsid w:val="004076DE"/>
    <w:rsid w:val="00407763"/>
    <w:rsid w:val="00407829"/>
    <w:rsid w:val="00407A2D"/>
    <w:rsid w:val="00407AAF"/>
    <w:rsid w:val="00407BB5"/>
    <w:rsid w:val="00407CC6"/>
    <w:rsid w:val="00407D81"/>
    <w:rsid w:val="00407DC8"/>
    <w:rsid w:val="00407E3C"/>
    <w:rsid w:val="0041005B"/>
    <w:rsid w:val="00410244"/>
    <w:rsid w:val="00410266"/>
    <w:rsid w:val="00410288"/>
    <w:rsid w:val="0041030C"/>
    <w:rsid w:val="00410523"/>
    <w:rsid w:val="00410752"/>
    <w:rsid w:val="004107AF"/>
    <w:rsid w:val="00410BB7"/>
    <w:rsid w:val="00410C2B"/>
    <w:rsid w:val="00410C98"/>
    <w:rsid w:val="004110E5"/>
    <w:rsid w:val="004111EE"/>
    <w:rsid w:val="004115A4"/>
    <w:rsid w:val="004115CC"/>
    <w:rsid w:val="004118F4"/>
    <w:rsid w:val="00411B1B"/>
    <w:rsid w:val="00411B69"/>
    <w:rsid w:val="00411BF6"/>
    <w:rsid w:val="00411E46"/>
    <w:rsid w:val="00412080"/>
    <w:rsid w:val="00412174"/>
    <w:rsid w:val="0041218D"/>
    <w:rsid w:val="004121C6"/>
    <w:rsid w:val="00412277"/>
    <w:rsid w:val="00412328"/>
    <w:rsid w:val="00412530"/>
    <w:rsid w:val="0041262C"/>
    <w:rsid w:val="004126EF"/>
    <w:rsid w:val="004129A1"/>
    <w:rsid w:val="004129CE"/>
    <w:rsid w:val="00412AE7"/>
    <w:rsid w:val="00412AEA"/>
    <w:rsid w:val="00412B5C"/>
    <w:rsid w:val="00412BAE"/>
    <w:rsid w:val="00412E5E"/>
    <w:rsid w:val="00413031"/>
    <w:rsid w:val="0041308D"/>
    <w:rsid w:val="00413150"/>
    <w:rsid w:val="004133D9"/>
    <w:rsid w:val="0041371F"/>
    <w:rsid w:val="0041377E"/>
    <w:rsid w:val="00413829"/>
    <w:rsid w:val="0041382A"/>
    <w:rsid w:val="00413B33"/>
    <w:rsid w:val="00413E3F"/>
    <w:rsid w:val="0041404D"/>
    <w:rsid w:val="004146E6"/>
    <w:rsid w:val="0041486C"/>
    <w:rsid w:val="00414973"/>
    <w:rsid w:val="00414B23"/>
    <w:rsid w:val="00415083"/>
    <w:rsid w:val="00415410"/>
    <w:rsid w:val="0041547B"/>
    <w:rsid w:val="0041558C"/>
    <w:rsid w:val="004155E2"/>
    <w:rsid w:val="004156AB"/>
    <w:rsid w:val="00415708"/>
    <w:rsid w:val="00415A33"/>
    <w:rsid w:val="00415D3B"/>
    <w:rsid w:val="00415D64"/>
    <w:rsid w:val="00415D97"/>
    <w:rsid w:val="0041601F"/>
    <w:rsid w:val="00416077"/>
    <w:rsid w:val="004160CF"/>
    <w:rsid w:val="0041655D"/>
    <w:rsid w:val="00416AA1"/>
    <w:rsid w:val="00416EE3"/>
    <w:rsid w:val="004170FE"/>
    <w:rsid w:val="004173C0"/>
    <w:rsid w:val="00417756"/>
    <w:rsid w:val="00417A84"/>
    <w:rsid w:val="00420426"/>
    <w:rsid w:val="0042042F"/>
    <w:rsid w:val="00420681"/>
    <w:rsid w:val="004206CE"/>
    <w:rsid w:val="004207B6"/>
    <w:rsid w:val="00420B0C"/>
    <w:rsid w:val="00420E34"/>
    <w:rsid w:val="00420EDA"/>
    <w:rsid w:val="0042119A"/>
    <w:rsid w:val="004214A0"/>
    <w:rsid w:val="00421896"/>
    <w:rsid w:val="00421D9B"/>
    <w:rsid w:val="0042212D"/>
    <w:rsid w:val="004221A5"/>
    <w:rsid w:val="004221B6"/>
    <w:rsid w:val="0042229E"/>
    <w:rsid w:val="00422554"/>
    <w:rsid w:val="004226AA"/>
    <w:rsid w:val="004228F9"/>
    <w:rsid w:val="00422A87"/>
    <w:rsid w:val="00422B1C"/>
    <w:rsid w:val="00422CC8"/>
    <w:rsid w:val="0042302C"/>
    <w:rsid w:val="0042318C"/>
    <w:rsid w:val="004231F9"/>
    <w:rsid w:val="004232FC"/>
    <w:rsid w:val="00423893"/>
    <w:rsid w:val="004238C0"/>
    <w:rsid w:val="00423A8F"/>
    <w:rsid w:val="00423BB8"/>
    <w:rsid w:val="00423C00"/>
    <w:rsid w:val="00423C03"/>
    <w:rsid w:val="00423CC2"/>
    <w:rsid w:val="00423F74"/>
    <w:rsid w:val="00424154"/>
    <w:rsid w:val="0042441D"/>
    <w:rsid w:val="004244DC"/>
    <w:rsid w:val="00424784"/>
    <w:rsid w:val="004247D1"/>
    <w:rsid w:val="00424B6F"/>
    <w:rsid w:val="00424BE7"/>
    <w:rsid w:val="00424E84"/>
    <w:rsid w:val="0042521A"/>
    <w:rsid w:val="00425691"/>
    <w:rsid w:val="00425C61"/>
    <w:rsid w:val="00425F41"/>
    <w:rsid w:val="00425FE9"/>
    <w:rsid w:val="00426006"/>
    <w:rsid w:val="0042600B"/>
    <w:rsid w:val="004262BB"/>
    <w:rsid w:val="00426433"/>
    <w:rsid w:val="00426645"/>
    <w:rsid w:val="004266FD"/>
    <w:rsid w:val="004269D2"/>
    <w:rsid w:val="00426B41"/>
    <w:rsid w:val="00426CCD"/>
    <w:rsid w:val="00426DC6"/>
    <w:rsid w:val="00426F67"/>
    <w:rsid w:val="0042722E"/>
    <w:rsid w:val="00427566"/>
    <w:rsid w:val="004276B5"/>
    <w:rsid w:val="00427706"/>
    <w:rsid w:val="004278EB"/>
    <w:rsid w:val="00427C4B"/>
    <w:rsid w:val="00427DC5"/>
    <w:rsid w:val="00427DDA"/>
    <w:rsid w:val="00430235"/>
    <w:rsid w:val="00430383"/>
    <w:rsid w:val="004304BF"/>
    <w:rsid w:val="00430611"/>
    <w:rsid w:val="004308C1"/>
    <w:rsid w:val="00430B50"/>
    <w:rsid w:val="00430B54"/>
    <w:rsid w:val="00430D34"/>
    <w:rsid w:val="0043111D"/>
    <w:rsid w:val="0043114E"/>
    <w:rsid w:val="00431303"/>
    <w:rsid w:val="00431343"/>
    <w:rsid w:val="00431725"/>
    <w:rsid w:val="00431A47"/>
    <w:rsid w:val="00431A53"/>
    <w:rsid w:val="00431B3B"/>
    <w:rsid w:val="00431BFC"/>
    <w:rsid w:val="00431ED7"/>
    <w:rsid w:val="00432101"/>
    <w:rsid w:val="0043258E"/>
    <w:rsid w:val="00432628"/>
    <w:rsid w:val="00432719"/>
    <w:rsid w:val="00432A43"/>
    <w:rsid w:val="00432C4B"/>
    <w:rsid w:val="00432C9E"/>
    <w:rsid w:val="00432CB1"/>
    <w:rsid w:val="00432E49"/>
    <w:rsid w:val="00432EB7"/>
    <w:rsid w:val="004330FB"/>
    <w:rsid w:val="004334DA"/>
    <w:rsid w:val="0043358A"/>
    <w:rsid w:val="00433769"/>
    <w:rsid w:val="004337F0"/>
    <w:rsid w:val="00433A9C"/>
    <w:rsid w:val="00433C31"/>
    <w:rsid w:val="00433CB2"/>
    <w:rsid w:val="00433DC3"/>
    <w:rsid w:val="00434113"/>
    <w:rsid w:val="0043411E"/>
    <w:rsid w:val="0043420F"/>
    <w:rsid w:val="00434232"/>
    <w:rsid w:val="00434663"/>
    <w:rsid w:val="00434A66"/>
    <w:rsid w:val="00434E7E"/>
    <w:rsid w:val="00434FFF"/>
    <w:rsid w:val="00435352"/>
    <w:rsid w:val="004353BE"/>
    <w:rsid w:val="004354BD"/>
    <w:rsid w:val="00435667"/>
    <w:rsid w:val="0043569A"/>
    <w:rsid w:val="00435D30"/>
    <w:rsid w:val="00435DD3"/>
    <w:rsid w:val="00435E07"/>
    <w:rsid w:val="00435E0C"/>
    <w:rsid w:val="00435F2B"/>
    <w:rsid w:val="0043668A"/>
    <w:rsid w:val="0043677D"/>
    <w:rsid w:val="004367C9"/>
    <w:rsid w:val="00436812"/>
    <w:rsid w:val="00436D66"/>
    <w:rsid w:val="00436F6C"/>
    <w:rsid w:val="0043701A"/>
    <w:rsid w:val="004370EA"/>
    <w:rsid w:val="0043728E"/>
    <w:rsid w:val="00437592"/>
    <w:rsid w:val="0043766B"/>
    <w:rsid w:val="00437672"/>
    <w:rsid w:val="00437727"/>
    <w:rsid w:val="00437DF0"/>
    <w:rsid w:val="00437E18"/>
    <w:rsid w:val="00437FFA"/>
    <w:rsid w:val="00440239"/>
    <w:rsid w:val="0044050F"/>
    <w:rsid w:val="00440685"/>
    <w:rsid w:val="0044115F"/>
    <w:rsid w:val="004411B2"/>
    <w:rsid w:val="004411D2"/>
    <w:rsid w:val="004412C5"/>
    <w:rsid w:val="0044130D"/>
    <w:rsid w:val="0044148D"/>
    <w:rsid w:val="004414E8"/>
    <w:rsid w:val="00441541"/>
    <w:rsid w:val="00441D10"/>
    <w:rsid w:val="00441DAB"/>
    <w:rsid w:val="00442038"/>
    <w:rsid w:val="004420EC"/>
    <w:rsid w:val="00442389"/>
    <w:rsid w:val="004423DF"/>
    <w:rsid w:val="00442992"/>
    <w:rsid w:val="00442C64"/>
    <w:rsid w:val="00442DCB"/>
    <w:rsid w:val="00442E19"/>
    <w:rsid w:val="00443158"/>
    <w:rsid w:val="004438C3"/>
    <w:rsid w:val="004438E6"/>
    <w:rsid w:val="00443B2F"/>
    <w:rsid w:val="00443B3A"/>
    <w:rsid w:val="00443FA0"/>
    <w:rsid w:val="0044476C"/>
    <w:rsid w:val="004448F8"/>
    <w:rsid w:val="00444A00"/>
    <w:rsid w:val="00444D07"/>
    <w:rsid w:val="00444D26"/>
    <w:rsid w:val="00444E3D"/>
    <w:rsid w:val="0044512C"/>
    <w:rsid w:val="0044537B"/>
    <w:rsid w:val="004458D7"/>
    <w:rsid w:val="00445BA6"/>
    <w:rsid w:val="00445CCB"/>
    <w:rsid w:val="00445D6F"/>
    <w:rsid w:val="00446587"/>
    <w:rsid w:val="00446D4F"/>
    <w:rsid w:val="00446DD0"/>
    <w:rsid w:val="00446E11"/>
    <w:rsid w:val="00446E2E"/>
    <w:rsid w:val="004473BE"/>
    <w:rsid w:val="004473D9"/>
    <w:rsid w:val="0044741C"/>
    <w:rsid w:val="00447AA9"/>
    <w:rsid w:val="00447CC3"/>
    <w:rsid w:val="00447CE0"/>
    <w:rsid w:val="00447D19"/>
    <w:rsid w:val="00447D48"/>
    <w:rsid w:val="00447E3C"/>
    <w:rsid w:val="0045005A"/>
    <w:rsid w:val="00450060"/>
    <w:rsid w:val="004500C3"/>
    <w:rsid w:val="00450592"/>
    <w:rsid w:val="004506DC"/>
    <w:rsid w:val="00450847"/>
    <w:rsid w:val="00450B32"/>
    <w:rsid w:val="00450B8D"/>
    <w:rsid w:val="00450C8E"/>
    <w:rsid w:val="0045121E"/>
    <w:rsid w:val="00451826"/>
    <w:rsid w:val="00451AED"/>
    <w:rsid w:val="00451AF6"/>
    <w:rsid w:val="00451DD4"/>
    <w:rsid w:val="004520CF"/>
    <w:rsid w:val="0045245E"/>
    <w:rsid w:val="0045249F"/>
    <w:rsid w:val="004525B4"/>
    <w:rsid w:val="00452E6D"/>
    <w:rsid w:val="00452F7E"/>
    <w:rsid w:val="00452FB4"/>
    <w:rsid w:val="00453109"/>
    <w:rsid w:val="00453141"/>
    <w:rsid w:val="00453474"/>
    <w:rsid w:val="0045357D"/>
    <w:rsid w:val="00453588"/>
    <w:rsid w:val="00453633"/>
    <w:rsid w:val="004537B7"/>
    <w:rsid w:val="00453A46"/>
    <w:rsid w:val="00453B42"/>
    <w:rsid w:val="00453BE6"/>
    <w:rsid w:val="00453C21"/>
    <w:rsid w:val="00453C25"/>
    <w:rsid w:val="00453D93"/>
    <w:rsid w:val="00453ECF"/>
    <w:rsid w:val="0045431A"/>
    <w:rsid w:val="00454431"/>
    <w:rsid w:val="0045452D"/>
    <w:rsid w:val="00454747"/>
    <w:rsid w:val="004549DD"/>
    <w:rsid w:val="00454CF7"/>
    <w:rsid w:val="00454DDE"/>
    <w:rsid w:val="00455008"/>
    <w:rsid w:val="004552EF"/>
    <w:rsid w:val="004552FE"/>
    <w:rsid w:val="0045539F"/>
    <w:rsid w:val="004555F8"/>
    <w:rsid w:val="00455732"/>
    <w:rsid w:val="0045576C"/>
    <w:rsid w:val="004557F5"/>
    <w:rsid w:val="004559F2"/>
    <w:rsid w:val="00455A04"/>
    <w:rsid w:val="00455A08"/>
    <w:rsid w:val="00455A56"/>
    <w:rsid w:val="00455BC6"/>
    <w:rsid w:val="00455CE6"/>
    <w:rsid w:val="00455D4C"/>
    <w:rsid w:val="00456240"/>
    <w:rsid w:val="00456265"/>
    <w:rsid w:val="0045627A"/>
    <w:rsid w:val="004562C3"/>
    <w:rsid w:val="0045658C"/>
    <w:rsid w:val="0045663C"/>
    <w:rsid w:val="004566A7"/>
    <w:rsid w:val="00456AF7"/>
    <w:rsid w:val="00457201"/>
    <w:rsid w:val="004575EF"/>
    <w:rsid w:val="00457965"/>
    <w:rsid w:val="00457BC4"/>
    <w:rsid w:val="00457C67"/>
    <w:rsid w:val="00457D18"/>
    <w:rsid w:val="00457D88"/>
    <w:rsid w:val="00457DCB"/>
    <w:rsid w:val="00460126"/>
    <w:rsid w:val="0046032D"/>
    <w:rsid w:val="004603DB"/>
    <w:rsid w:val="004604D9"/>
    <w:rsid w:val="004605FB"/>
    <w:rsid w:val="004606A7"/>
    <w:rsid w:val="00460F9F"/>
    <w:rsid w:val="00461017"/>
    <w:rsid w:val="0046112D"/>
    <w:rsid w:val="0046126C"/>
    <w:rsid w:val="004613FA"/>
    <w:rsid w:val="004614B6"/>
    <w:rsid w:val="004614FC"/>
    <w:rsid w:val="0046152D"/>
    <w:rsid w:val="00461634"/>
    <w:rsid w:val="004617A9"/>
    <w:rsid w:val="00461C20"/>
    <w:rsid w:val="00461E1D"/>
    <w:rsid w:val="004624B4"/>
    <w:rsid w:val="004624DE"/>
    <w:rsid w:val="00462C43"/>
    <w:rsid w:val="00462CE8"/>
    <w:rsid w:val="00462DD3"/>
    <w:rsid w:val="0046328D"/>
    <w:rsid w:val="004633FE"/>
    <w:rsid w:val="0046363A"/>
    <w:rsid w:val="004638BD"/>
    <w:rsid w:val="004638C3"/>
    <w:rsid w:val="004639A9"/>
    <w:rsid w:val="00463BAA"/>
    <w:rsid w:val="00463D50"/>
    <w:rsid w:val="004640DB"/>
    <w:rsid w:val="0046421A"/>
    <w:rsid w:val="004643A4"/>
    <w:rsid w:val="00464477"/>
    <w:rsid w:val="0046456F"/>
    <w:rsid w:val="00464623"/>
    <w:rsid w:val="00464934"/>
    <w:rsid w:val="00464CA3"/>
    <w:rsid w:val="00464CED"/>
    <w:rsid w:val="0046511E"/>
    <w:rsid w:val="00465272"/>
    <w:rsid w:val="004655D9"/>
    <w:rsid w:val="004655FD"/>
    <w:rsid w:val="00465940"/>
    <w:rsid w:val="00465A92"/>
    <w:rsid w:val="00465AAD"/>
    <w:rsid w:val="00466218"/>
    <w:rsid w:val="00466533"/>
    <w:rsid w:val="004665E3"/>
    <w:rsid w:val="004667F1"/>
    <w:rsid w:val="00466BDF"/>
    <w:rsid w:val="0046706A"/>
    <w:rsid w:val="004677F4"/>
    <w:rsid w:val="004679BB"/>
    <w:rsid w:val="004679C4"/>
    <w:rsid w:val="00467ADA"/>
    <w:rsid w:val="00467D0E"/>
    <w:rsid w:val="004702A1"/>
    <w:rsid w:val="0047031C"/>
    <w:rsid w:val="00470370"/>
    <w:rsid w:val="00470555"/>
    <w:rsid w:val="0047082F"/>
    <w:rsid w:val="00470931"/>
    <w:rsid w:val="00470AFC"/>
    <w:rsid w:val="00470B21"/>
    <w:rsid w:val="00470B23"/>
    <w:rsid w:val="00470EDE"/>
    <w:rsid w:val="00470FBA"/>
    <w:rsid w:val="00471129"/>
    <w:rsid w:val="00471203"/>
    <w:rsid w:val="004715F7"/>
    <w:rsid w:val="0047168E"/>
    <w:rsid w:val="0047174E"/>
    <w:rsid w:val="0047184E"/>
    <w:rsid w:val="00471AA0"/>
    <w:rsid w:val="00471C29"/>
    <w:rsid w:val="00471E86"/>
    <w:rsid w:val="004722C1"/>
    <w:rsid w:val="00472312"/>
    <w:rsid w:val="0047271F"/>
    <w:rsid w:val="00472BF0"/>
    <w:rsid w:val="00472C8D"/>
    <w:rsid w:val="00472E9D"/>
    <w:rsid w:val="00473185"/>
    <w:rsid w:val="004732F8"/>
    <w:rsid w:val="004733FE"/>
    <w:rsid w:val="004735B9"/>
    <w:rsid w:val="004736A3"/>
    <w:rsid w:val="0047374B"/>
    <w:rsid w:val="00473E2E"/>
    <w:rsid w:val="00473FCE"/>
    <w:rsid w:val="00474030"/>
    <w:rsid w:val="0047411A"/>
    <w:rsid w:val="0047459C"/>
    <w:rsid w:val="00474628"/>
    <w:rsid w:val="004746C8"/>
    <w:rsid w:val="00474856"/>
    <w:rsid w:val="00474B4F"/>
    <w:rsid w:val="00474C48"/>
    <w:rsid w:val="00474DC4"/>
    <w:rsid w:val="00474E01"/>
    <w:rsid w:val="00474E79"/>
    <w:rsid w:val="00474EDE"/>
    <w:rsid w:val="00474FD1"/>
    <w:rsid w:val="0047502A"/>
    <w:rsid w:val="0047520C"/>
    <w:rsid w:val="00475497"/>
    <w:rsid w:val="004754B9"/>
    <w:rsid w:val="00475518"/>
    <w:rsid w:val="004755DF"/>
    <w:rsid w:val="00475975"/>
    <w:rsid w:val="00475A19"/>
    <w:rsid w:val="00475AD0"/>
    <w:rsid w:val="00475CBE"/>
    <w:rsid w:val="004760B0"/>
    <w:rsid w:val="00476133"/>
    <w:rsid w:val="004762C2"/>
    <w:rsid w:val="004763C6"/>
    <w:rsid w:val="00477245"/>
    <w:rsid w:val="0047769C"/>
    <w:rsid w:val="0047780C"/>
    <w:rsid w:val="0047789F"/>
    <w:rsid w:val="00480175"/>
    <w:rsid w:val="004801DB"/>
    <w:rsid w:val="0048052D"/>
    <w:rsid w:val="004805BF"/>
    <w:rsid w:val="0048080D"/>
    <w:rsid w:val="00480978"/>
    <w:rsid w:val="004809ED"/>
    <w:rsid w:val="00480B5B"/>
    <w:rsid w:val="00480D7E"/>
    <w:rsid w:val="00480FB8"/>
    <w:rsid w:val="0048110B"/>
    <w:rsid w:val="004816DE"/>
    <w:rsid w:val="004816E6"/>
    <w:rsid w:val="004817B7"/>
    <w:rsid w:val="00481972"/>
    <w:rsid w:val="004819D0"/>
    <w:rsid w:val="00481A65"/>
    <w:rsid w:val="00481D4E"/>
    <w:rsid w:val="00481DB7"/>
    <w:rsid w:val="0048234B"/>
    <w:rsid w:val="004826B7"/>
    <w:rsid w:val="00482BA4"/>
    <w:rsid w:val="00482F1A"/>
    <w:rsid w:val="00482F56"/>
    <w:rsid w:val="0048315F"/>
    <w:rsid w:val="00483293"/>
    <w:rsid w:val="004832EC"/>
    <w:rsid w:val="0048342E"/>
    <w:rsid w:val="0048343B"/>
    <w:rsid w:val="00483BB4"/>
    <w:rsid w:val="00483C0A"/>
    <w:rsid w:val="00483D2B"/>
    <w:rsid w:val="00483E22"/>
    <w:rsid w:val="00484376"/>
    <w:rsid w:val="004846F8"/>
    <w:rsid w:val="00484816"/>
    <w:rsid w:val="004849C9"/>
    <w:rsid w:val="00484A6B"/>
    <w:rsid w:val="00484BB8"/>
    <w:rsid w:val="00484ECC"/>
    <w:rsid w:val="004850A3"/>
    <w:rsid w:val="00485225"/>
    <w:rsid w:val="0048534B"/>
    <w:rsid w:val="00485353"/>
    <w:rsid w:val="004855C2"/>
    <w:rsid w:val="00485671"/>
    <w:rsid w:val="0048576A"/>
    <w:rsid w:val="00485893"/>
    <w:rsid w:val="004858C0"/>
    <w:rsid w:val="00485A91"/>
    <w:rsid w:val="00485B31"/>
    <w:rsid w:val="00485BAE"/>
    <w:rsid w:val="00485FFB"/>
    <w:rsid w:val="004861E9"/>
    <w:rsid w:val="00486384"/>
    <w:rsid w:val="00486A66"/>
    <w:rsid w:val="00486AE4"/>
    <w:rsid w:val="00486D9C"/>
    <w:rsid w:val="00486DE5"/>
    <w:rsid w:val="00486F2C"/>
    <w:rsid w:val="004871F3"/>
    <w:rsid w:val="00487349"/>
    <w:rsid w:val="0048742C"/>
    <w:rsid w:val="0048752D"/>
    <w:rsid w:val="00487543"/>
    <w:rsid w:val="0048758B"/>
    <w:rsid w:val="00487697"/>
    <w:rsid w:val="00487790"/>
    <w:rsid w:val="00487C45"/>
    <w:rsid w:val="00487E53"/>
    <w:rsid w:val="00487F8F"/>
    <w:rsid w:val="0049015F"/>
    <w:rsid w:val="004901DF"/>
    <w:rsid w:val="00490386"/>
    <w:rsid w:val="0049055A"/>
    <w:rsid w:val="00490869"/>
    <w:rsid w:val="00490986"/>
    <w:rsid w:val="00490E76"/>
    <w:rsid w:val="00490E96"/>
    <w:rsid w:val="00490EB7"/>
    <w:rsid w:val="004912A7"/>
    <w:rsid w:val="004913B9"/>
    <w:rsid w:val="0049155F"/>
    <w:rsid w:val="0049174A"/>
    <w:rsid w:val="00491804"/>
    <w:rsid w:val="0049180C"/>
    <w:rsid w:val="004918DD"/>
    <w:rsid w:val="00491A05"/>
    <w:rsid w:val="00491B2C"/>
    <w:rsid w:val="00491F7D"/>
    <w:rsid w:val="0049263C"/>
    <w:rsid w:val="00492A2B"/>
    <w:rsid w:val="00492E70"/>
    <w:rsid w:val="00492F8C"/>
    <w:rsid w:val="00493164"/>
    <w:rsid w:val="00493553"/>
    <w:rsid w:val="0049357C"/>
    <w:rsid w:val="00493586"/>
    <w:rsid w:val="004935F3"/>
    <w:rsid w:val="00493623"/>
    <w:rsid w:val="00493678"/>
    <w:rsid w:val="004938DE"/>
    <w:rsid w:val="00493B24"/>
    <w:rsid w:val="00493B41"/>
    <w:rsid w:val="00493B69"/>
    <w:rsid w:val="00493C1E"/>
    <w:rsid w:val="00493CA0"/>
    <w:rsid w:val="00493DF0"/>
    <w:rsid w:val="00493F1C"/>
    <w:rsid w:val="00493F45"/>
    <w:rsid w:val="00493FD3"/>
    <w:rsid w:val="00494136"/>
    <w:rsid w:val="00494184"/>
    <w:rsid w:val="004941A6"/>
    <w:rsid w:val="00494BB8"/>
    <w:rsid w:val="0049517D"/>
    <w:rsid w:val="0049518D"/>
    <w:rsid w:val="0049553C"/>
    <w:rsid w:val="00495976"/>
    <w:rsid w:val="004959D3"/>
    <w:rsid w:val="00495C58"/>
    <w:rsid w:val="00495EC4"/>
    <w:rsid w:val="0049600E"/>
    <w:rsid w:val="00496014"/>
    <w:rsid w:val="004965C5"/>
    <w:rsid w:val="0049681D"/>
    <w:rsid w:val="004969F5"/>
    <w:rsid w:val="00496A04"/>
    <w:rsid w:val="00497266"/>
    <w:rsid w:val="00497268"/>
    <w:rsid w:val="00497333"/>
    <w:rsid w:val="0049776E"/>
    <w:rsid w:val="00497788"/>
    <w:rsid w:val="004977C3"/>
    <w:rsid w:val="004979ED"/>
    <w:rsid w:val="00497A2C"/>
    <w:rsid w:val="00497B48"/>
    <w:rsid w:val="00497B4F"/>
    <w:rsid w:val="00497DFB"/>
    <w:rsid w:val="004A0038"/>
    <w:rsid w:val="004A00C9"/>
    <w:rsid w:val="004A018A"/>
    <w:rsid w:val="004A098F"/>
    <w:rsid w:val="004A0AFD"/>
    <w:rsid w:val="004A1067"/>
    <w:rsid w:val="004A1211"/>
    <w:rsid w:val="004A135E"/>
    <w:rsid w:val="004A149E"/>
    <w:rsid w:val="004A157E"/>
    <w:rsid w:val="004A1592"/>
    <w:rsid w:val="004A1715"/>
    <w:rsid w:val="004A1905"/>
    <w:rsid w:val="004A1D83"/>
    <w:rsid w:val="004A1DB0"/>
    <w:rsid w:val="004A1EBA"/>
    <w:rsid w:val="004A1F28"/>
    <w:rsid w:val="004A1FEA"/>
    <w:rsid w:val="004A228D"/>
    <w:rsid w:val="004A24F0"/>
    <w:rsid w:val="004A26A2"/>
    <w:rsid w:val="004A2839"/>
    <w:rsid w:val="004A290D"/>
    <w:rsid w:val="004A2A83"/>
    <w:rsid w:val="004A2AEF"/>
    <w:rsid w:val="004A2E62"/>
    <w:rsid w:val="004A2E8C"/>
    <w:rsid w:val="004A389A"/>
    <w:rsid w:val="004A3904"/>
    <w:rsid w:val="004A39AB"/>
    <w:rsid w:val="004A3AAA"/>
    <w:rsid w:val="004A3B3A"/>
    <w:rsid w:val="004A3D5D"/>
    <w:rsid w:val="004A3E1F"/>
    <w:rsid w:val="004A3FFE"/>
    <w:rsid w:val="004A4134"/>
    <w:rsid w:val="004A4347"/>
    <w:rsid w:val="004A4379"/>
    <w:rsid w:val="004A43C4"/>
    <w:rsid w:val="004A4433"/>
    <w:rsid w:val="004A4705"/>
    <w:rsid w:val="004A470C"/>
    <w:rsid w:val="004A49AA"/>
    <w:rsid w:val="004A4E4C"/>
    <w:rsid w:val="004A4F88"/>
    <w:rsid w:val="004A54A7"/>
    <w:rsid w:val="004A55B3"/>
    <w:rsid w:val="004A5899"/>
    <w:rsid w:val="004A5A4D"/>
    <w:rsid w:val="004A5BFE"/>
    <w:rsid w:val="004A5CA3"/>
    <w:rsid w:val="004A5FF8"/>
    <w:rsid w:val="004A6537"/>
    <w:rsid w:val="004A6549"/>
    <w:rsid w:val="004A65F6"/>
    <w:rsid w:val="004A6616"/>
    <w:rsid w:val="004A661A"/>
    <w:rsid w:val="004A6686"/>
    <w:rsid w:val="004A6741"/>
    <w:rsid w:val="004A6743"/>
    <w:rsid w:val="004A6BCD"/>
    <w:rsid w:val="004A6CD8"/>
    <w:rsid w:val="004A6F10"/>
    <w:rsid w:val="004A6FDA"/>
    <w:rsid w:val="004A6FE9"/>
    <w:rsid w:val="004A7080"/>
    <w:rsid w:val="004A72BC"/>
    <w:rsid w:val="004A7727"/>
    <w:rsid w:val="004A7857"/>
    <w:rsid w:val="004A7A49"/>
    <w:rsid w:val="004A7B2A"/>
    <w:rsid w:val="004A7B60"/>
    <w:rsid w:val="004A7B6A"/>
    <w:rsid w:val="004B0200"/>
    <w:rsid w:val="004B051D"/>
    <w:rsid w:val="004B0852"/>
    <w:rsid w:val="004B0CA0"/>
    <w:rsid w:val="004B0E01"/>
    <w:rsid w:val="004B1008"/>
    <w:rsid w:val="004B1430"/>
    <w:rsid w:val="004B1601"/>
    <w:rsid w:val="004B164C"/>
    <w:rsid w:val="004B16BD"/>
    <w:rsid w:val="004B18CF"/>
    <w:rsid w:val="004B1AAF"/>
    <w:rsid w:val="004B1D5D"/>
    <w:rsid w:val="004B2247"/>
    <w:rsid w:val="004B2294"/>
    <w:rsid w:val="004B2383"/>
    <w:rsid w:val="004B2691"/>
    <w:rsid w:val="004B273C"/>
    <w:rsid w:val="004B2A69"/>
    <w:rsid w:val="004B2A8B"/>
    <w:rsid w:val="004B2BD3"/>
    <w:rsid w:val="004B2D87"/>
    <w:rsid w:val="004B2F29"/>
    <w:rsid w:val="004B2F5D"/>
    <w:rsid w:val="004B2F90"/>
    <w:rsid w:val="004B30E8"/>
    <w:rsid w:val="004B3B2C"/>
    <w:rsid w:val="004B40F0"/>
    <w:rsid w:val="004B40F8"/>
    <w:rsid w:val="004B4353"/>
    <w:rsid w:val="004B4675"/>
    <w:rsid w:val="004B477C"/>
    <w:rsid w:val="004B4C53"/>
    <w:rsid w:val="004B5124"/>
    <w:rsid w:val="004B5145"/>
    <w:rsid w:val="004B5275"/>
    <w:rsid w:val="004B543B"/>
    <w:rsid w:val="004B57AB"/>
    <w:rsid w:val="004B57B2"/>
    <w:rsid w:val="004B5822"/>
    <w:rsid w:val="004B5A0F"/>
    <w:rsid w:val="004B5DB8"/>
    <w:rsid w:val="004B605E"/>
    <w:rsid w:val="004B6073"/>
    <w:rsid w:val="004B6245"/>
    <w:rsid w:val="004B63A9"/>
    <w:rsid w:val="004B64A3"/>
    <w:rsid w:val="004B6614"/>
    <w:rsid w:val="004B6676"/>
    <w:rsid w:val="004B6681"/>
    <w:rsid w:val="004B66AC"/>
    <w:rsid w:val="004B6876"/>
    <w:rsid w:val="004B68B3"/>
    <w:rsid w:val="004B6AF5"/>
    <w:rsid w:val="004B71DE"/>
    <w:rsid w:val="004B72D0"/>
    <w:rsid w:val="004B742C"/>
    <w:rsid w:val="004B7591"/>
    <w:rsid w:val="004B7716"/>
    <w:rsid w:val="004B778E"/>
    <w:rsid w:val="004B7831"/>
    <w:rsid w:val="004B78E5"/>
    <w:rsid w:val="004B7923"/>
    <w:rsid w:val="004B79A0"/>
    <w:rsid w:val="004B7BD6"/>
    <w:rsid w:val="004B7E03"/>
    <w:rsid w:val="004C02E6"/>
    <w:rsid w:val="004C03CD"/>
    <w:rsid w:val="004C0409"/>
    <w:rsid w:val="004C0609"/>
    <w:rsid w:val="004C0727"/>
    <w:rsid w:val="004C0A82"/>
    <w:rsid w:val="004C0DAF"/>
    <w:rsid w:val="004C0FF2"/>
    <w:rsid w:val="004C127B"/>
    <w:rsid w:val="004C1374"/>
    <w:rsid w:val="004C13DD"/>
    <w:rsid w:val="004C1428"/>
    <w:rsid w:val="004C1616"/>
    <w:rsid w:val="004C1708"/>
    <w:rsid w:val="004C1BE3"/>
    <w:rsid w:val="004C1F5A"/>
    <w:rsid w:val="004C20A8"/>
    <w:rsid w:val="004C25AF"/>
    <w:rsid w:val="004C2966"/>
    <w:rsid w:val="004C2B8D"/>
    <w:rsid w:val="004C2C00"/>
    <w:rsid w:val="004C2D2C"/>
    <w:rsid w:val="004C2E3C"/>
    <w:rsid w:val="004C2F0F"/>
    <w:rsid w:val="004C309F"/>
    <w:rsid w:val="004C36CC"/>
    <w:rsid w:val="004C39A3"/>
    <w:rsid w:val="004C3B85"/>
    <w:rsid w:val="004C40A4"/>
    <w:rsid w:val="004C486C"/>
    <w:rsid w:val="004C4B87"/>
    <w:rsid w:val="004C4C11"/>
    <w:rsid w:val="004C4CED"/>
    <w:rsid w:val="004C4F30"/>
    <w:rsid w:val="004C5040"/>
    <w:rsid w:val="004C50CC"/>
    <w:rsid w:val="004C56AB"/>
    <w:rsid w:val="004C594F"/>
    <w:rsid w:val="004C5EEB"/>
    <w:rsid w:val="004C61FF"/>
    <w:rsid w:val="004C62A7"/>
    <w:rsid w:val="004C6443"/>
    <w:rsid w:val="004C64F5"/>
    <w:rsid w:val="004C6A14"/>
    <w:rsid w:val="004C6B36"/>
    <w:rsid w:val="004C6CE2"/>
    <w:rsid w:val="004C702F"/>
    <w:rsid w:val="004C7349"/>
    <w:rsid w:val="004C7355"/>
    <w:rsid w:val="004C742E"/>
    <w:rsid w:val="004C777D"/>
    <w:rsid w:val="004C796B"/>
    <w:rsid w:val="004C797B"/>
    <w:rsid w:val="004C7BAF"/>
    <w:rsid w:val="004C7BC5"/>
    <w:rsid w:val="004C7C58"/>
    <w:rsid w:val="004C7CB3"/>
    <w:rsid w:val="004C7DEB"/>
    <w:rsid w:val="004C7F09"/>
    <w:rsid w:val="004C7FEE"/>
    <w:rsid w:val="004D0592"/>
    <w:rsid w:val="004D07FC"/>
    <w:rsid w:val="004D082C"/>
    <w:rsid w:val="004D0CB2"/>
    <w:rsid w:val="004D0F36"/>
    <w:rsid w:val="004D0F69"/>
    <w:rsid w:val="004D13F6"/>
    <w:rsid w:val="004D1666"/>
    <w:rsid w:val="004D16B0"/>
    <w:rsid w:val="004D16B1"/>
    <w:rsid w:val="004D17AE"/>
    <w:rsid w:val="004D1910"/>
    <w:rsid w:val="004D1B63"/>
    <w:rsid w:val="004D1EE8"/>
    <w:rsid w:val="004D205D"/>
    <w:rsid w:val="004D21D8"/>
    <w:rsid w:val="004D230B"/>
    <w:rsid w:val="004D2330"/>
    <w:rsid w:val="004D249A"/>
    <w:rsid w:val="004D26CB"/>
    <w:rsid w:val="004D2717"/>
    <w:rsid w:val="004D2738"/>
    <w:rsid w:val="004D2C4C"/>
    <w:rsid w:val="004D2D1C"/>
    <w:rsid w:val="004D2DBC"/>
    <w:rsid w:val="004D2F4B"/>
    <w:rsid w:val="004D3673"/>
    <w:rsid w:val="004D37E1"/>
    <w:rsid w:val="004D3861"/>
    <w:rsid w:val="004D38F0"/>
    <w:rsid w:val="004D3948"/>
    <w:rsid w:val="004D3C39"/>
    <w:rsid w:val="004D3F15"/>
    <w:rsid w:val="004D3F38"/>
    <w:rsid w:val="004D41EE"/>
    <w:rsid w:val="004D4402"/>
    <w:rsid w:val="004D4448"/>
    <w:rsid w:val="004D4609"/>
    <w:rsid w:val="004D488C"/>
    <w:rsid w:val="004D4C60"/>
    <w:rsid w:val="004D4DCC"/>
    <w:rsid w:val="004D4E63"/>
    <w:rsid w:val="004D4FEA"/>
    <w:rsid w:val="004D500A"/>
    <w:rsid w:val="004D5014"/>
    <w:rsid w:val="004D514A"/>
    <w:rsid w:val="004D5272"/>
    <w:rsid w:val="004D5304"/>
    <w:rsid w:val="004D53F2"/>
    <w:rsid w:val="004D5416"/>
    <w:rsid w:val="004D5840"/>
    <w:rsid w:val="004D5868"/>
    <w:rsid w:val="004D58B9"/>
    <w:rsid w:val="004D5D6D"/>
    <w:rsid w:val="004D5E12"/>
    <w:rsid w:val="004D6094"/>
    <w:rsid w:val="004D60E3"/>
    <w:rsid w:val="004D6126"/>
    <w:rsid w:val="004D6160"/>
    <w:rsid w:val="004D61CC"/>
    <w:rsid w:val="004D627E"/>
    <w:rsid w:val="004D631A"/>
    <w:rsid w:val="004D6A77"/>
    <w:rsid w:val="004D6C91"/>
    <w:rsid w:val="004D6EC5"/>
    <w:rsid w:val="004D6ED4"/>
    <w:rsid w:val="004D72DA"/>
    <w:rsid w:val="004D7335"/>
    <w:rsid w:val="004D75EF"/>
    <w:rsid w:val="004D7694"/>
    <w:rsid w:val="004D7859"/>
    <w:rsid w:val="004D7A49"/>
    <w:rsid w:val="004D7CA4"/>
    <w:rsid w:val="004D7CFD"/>
    <w:rsid w:val="004D7DFE"/>
    <w:rsid w:val="004D7F56"/>
    <w:rsid w:val="004E020B"/>
    <w:rsid w:val="004E0213"/>
    <w:rsid w:val="004E027C"/>
    <w:rsid w:val="004E04F6"/>
    <w:rsid w:val="004E05A8"/>
    <w:rsid w:val="004E078E"/>
    <w:rsid w:val="004E07CE"/>
    <w:rsid w:val="004E0B78"/>
    <w:rsid w:val="004E0CE3"/>
    <w:rsid w:val="004E0DA2"/>
    <w:rsid w:val="004E1101"/>
    <w:rsid w:val="004E120C"/>
    <w:rsid w:val="004E12B0"/>
    <w:rsid w:val="004E146E"/>
    <w:rsid w:val="004E160E"/>
    <w:rsid w:val="004E17C2"/>
    <w:rsid w:val="004E1A06"/>
    <w:rsid w:val="004E1A49"/>
    <w:rsid w:val="004E1BC3"/>
    <w:rsid w:val="004E1C19"/>
    <w:rsid w:val="004E1C3A"/>
    <w:rsid w:val="004E204B"/>
    <w:rsid w:val="004E246B"/>
    <w:rsid w:val="004E2495"/>
    <w:rsid w:val="004E2578"/>
    <w:rsid w:val="004E2927"/>
    <w:rsid w:val="004E295D"/>
    <w:rsid w:val="004E2B1B"/>
    <w:rsid w:val="004E2D1E"/>
    <w:rsid w:val="004E2E9F"/>
    <w:rsid w:val="004E32F6"/>
    <w:rsid w:val="004E36C8"/>
    <w:rsid w:val="004E376C"/>
    <w:rsid w:val="004E379D"/>
    <w:rsid w:val="004E37EF"/>
    <w:rsid w:val="004E3954"/>
    <w:rsid w:val="004E3AA4"/>
    <w:rsid w:val="004E3B65"/>
    <w:rsid w:val="004E3B76"/>
    <w:rsid w:val="004E3BF8"/>
    <w:rsid w:val="004E3E13"/>
    <w:rsid w:val="004E4013"/>
    <w:rsid w:val="004E43DD"/>
    <w:rsid w:val="004E4430"/>
    <w:rsid w:val="004E445B"/>
    <w:rsid w:val="004E4558"/>
    <w:rsid w:val="004E4610"/>
    <w:rsid w:val="004E4672"/>
    <w:rsid w:val="004E48DA"/>
    <w:rsid w:val="004E48ED"/>
    <w:rsid w:val="004E4914"/>
    <w:rsid w:val="004E4A00"/>
    <w:rsid w:val="004E4C19"/>
    <w:rsid w:val="004E4E2B"/>
    <w:rsid w:val="004E4EB6"/>
    <w:rsid w:val="004E5069"/>
    <w:rsid w:val="004E506C"/>
    <w:rsid w:val="004E5092"/>
    <w:rsid w:val="004E515B"/>
    <w:rsid w:val="004E51D4"/>
    <w:rsid w:val="004E579C"/>
    <w:rsid w:val="004E5810"/>
    <w:rsid w:val="004E592F"/>
    <w:rsid w:val="004E59E1"/>
    <w:rsid w:val="004E5A56"/>
    <w:rsid w:val="004E5B2F"/>
    <w:rsid w:val="004E5B33"/>
    <w:rsid w:val="004E5E5C"/>
    <w:rsid w:val="004E6501"/>
    <w:rsid w:val="004E66AB"/>
    <w:rsid w:val="004E66B0"/>
    <w:rsid w:val="004E6855"/>
    <w:rsid w:val="004E68CC"/>
    <w:rsid w:val="004E6A57"/>
    <w:rsid w:val="004E6AC6"/>
    <w:rsid w:val="004E6CAA"/>
    <w:rsid w:val="004E7028"/>
    <w:rsid w:val="004E71F2"/>
    <w:rsid w:val="004E7216"/>
    <w:rsid w:val="004E73BA"/>
    <w:rsid w:val="004E74EA"/>
    <w:rsid w:val="004E778B"/>
    <w:rsid w:val="004E779E"/>
    <w:rsid w:val="004E7C9C"/>
    <w:rsid w:val="004F0020"/>
    <w:rsid w:val="004F060B"/>
    <w:rsid w:val="004F0661"/>
    <w:rsid w:val="004F06FA"/>
    <w:rsid w:val="004F070B"/>
    <w:rsid w:val="004F0714"/>
    <w:rsid w:val="004F0810"/>
    <w:rsid w:val="004F0817"/>
    <w:rsid w:val="004F084A"/>
    <w:rsid w:val="004F0973"/>
    <w:rsid w:val="004F0AC6"/>
    <w:rsid w:val="004F0BE7"/>
    <w:rsid w:val="004F0C19"/>
    <w:rsid w:val="004F0F9D"/>
    <w:rsid w:val="004F10AD"/>
    <w:rsid w:val="004F11E7"/>
    <w:rsid w:val="004F12EB"/>
    <w:rsid w:val="004F16E6"/>
    <w:rsid w:val="004F1A9B"/>
    <w:rsid w:val="004F1EB9"/>
    <w:rsid w:val="004F2072"/>
    <w:rsid w:val="004F21E8"/>
    <w:rsid w:val="004F2884"/>
    <w:rsid w:val="004F2ADB"/>
    <w:rsid w:val="004F2E6F"/>
    <w:rsid w:val="004F2EDC"/>
    <w:rsid w:val="004F325A"/>
    <w:rsid w:val="004F342D"/>
    <w:rsid w:val="004F365B"/>
    <w:rsid w:val="004F366D"/>
    <w:rsid w:val="004F3950"/>
    <w:rsid w:val="004F3C5D"/>
    <w:rsid w:val="004F3E4D"/>
    <w:rsid w:val="004F3FCF"/>
    <w:rsid w:val="004F3FE5"/>
    <w:rsid w:val="004F43C5"/>
    <w:rsid w:val="004F444D"/>
    <w:rsid w:val="004F45B5"/>
    <w:rsid w:val="004F46A8"/>
    <w:rsid w:val="004F4720"/>
    <w:rsid w:val="004F4818"/>
    <w:rsid w:val="004F48B5"/>
    <w:rsid w:val="004F4934"/>
    <w:rsid w:val="004F4C36"/>
    <w:rsid w:val="004F4C5A"/>
    <w:rsid w:val="004F514A"/>
    <w:rsid w:val="004F52E8"/>
    <w:rsid w:val="004F560C"/>
    <w:rsid w:val="004F56FE"/>
    <w:rsid w:val="004F59AC"/>
    <w:rsid w:val="004F5B80"/>
    <w:rsid w:val="004F5D63"/>
    <w:rsid w:val="004F5DCB"/>
    <w:rsid w:val="004F5DD7"/>
    <w:rsid w:val="004F609E"/>
    <w:rsid w:val="004F60A1"/>
    <w:rsid w:val="004F635B"/>
    <w:rsid w:val="004F6558"/>
    <w:rsid w:val="004F65AA"/>
    <w:rsid w:val="004F668C"/>
    <w:rsid w:val="004F6AA5"/>
    <w:rsid w:val="004F6CB7"/>
    <w:rsid w:val="004F6E5E"/>
    <w:rsid w:val="004F7179"/>
    <w:rsid w:val="004F7554"/>
    <w:rsid w:val="004F7687"/>
    <w:rsid w:val="004F785B"/>
    <w:rsid w:val="004F7A5E"/>
    <w:rsid w:val="004F7A95"/>
    <w:rsid w:val="005002FD"/>
    <w:rsid w:val="00500426"/>
    <w:rsid w:val="0050067D"/>
    <w:rsid w:val="00500DAC"/>
    <w:rsid w:val="00500EB4"/>
    <w:rsid w:val="00500F53"/>
    <w:rsid w:val="005011EF"/>
    <w:rsid w:val="0050151B"/>
    <w:rsid w:val="005015EC"/>
    <w:rsid w:val="0050166E"/>
    <w:rsid w:val="00501A4C"/>
    <w:rsid w:val="00501B2F"/>
    <w:rsid w:val="00501D65"/>
    <w:rsid w:val="005021BC"/>
    <w:rsid w:val="0050226B"/>
    <w:rsid w:val="005023A4"/>
    <w:rsid w:val="00502A47"/>
    <w:rsid w:val="00502C2F"/>
    <w:rsid w:val="00502CD3"/>
    <w:rsid w:val="00502F8A"/>
    <w:rsid w:val="0050326A"/>
    <w:rsid w:val="0050338A"/>
    <w:rsid w:val="0050358E"/>
    <w:rsid w:val="00503BBC"/>
    <w:rsid w:val="00503E2A"/>
    <w:rsid w:val="00503F18"/>
    <w:rsid w:val="0050409D"/>
    <w:rsid w:val="0050428D"/>
    <w:rsid w:val="00504363"/>
    <w:rsid w:val="005043DB"/>
    <w:rsid w:val="00504534"/>
    <w:rsid w:val="005045D0"/>
    <w:rsid w:val="00504A00"/>
    <w:rsid w:val="00504A2C"/>
    <w:rsid w:val="00504A6C"/>
    <w:rsid w:val="00504BF9"/>
    <w:rsid w:val="00504D4D"/>
    <w:rsid w:val="00504E15"/>
    <w:rsid w:val="00504F21"/>
    <w:rsid w:val="00505222"/>
    <w:rsid w:val="00505523"/>
    <w:rsid w:val="00505881"/>
    <w:rsid w:val="0050593C"/>
    <w:rsid w:val="00505A98"/>
    <w:rsid w:val="00505FBA"/>
    <w:rsid w:val="005060AC"/>
    <w:rsid w:val="0050612A"/>
    <w:rsid w:val="00506887"/>
    <w:rsid w:val="00506C88"/>
    <w:rsid w:val="00506C9A"/>
    <w:rsid w:val="00506D1C"/>
    <w:rsid w:val="0050706A"/>
    <w:rsid w:val="0050721A"/>
    <w:rsid w:val="00507305"/>
    <w:rsid w:val="00507404"/>
    <w:rsid w:val="005074EB"/>
    <w:rsid w:val="005075A5"/>
    <w:rsid w:val="00507A98"/>
    <w:rsid w:val="00507C72"/>
    <w:rsid w:val="00510010"/>
    <w:rsid w:val="0051004C"/>
    <w:rsid w:val="00510131"/>
    <w:rsid w:val="00510705"/>
    <w:rsid w:val="0051090F"/>
    <w:rsid w:val="00510A47"/>
    <w:rsid w:val="00510B2A"/>
    <w:rsid w:val="00510BFE"/>
    <w:rsid w:val="00510C3F"/>
    <w:rsid w:val="00510C51"/>
    <w:rsid w:val="00510E83"/>
    <w:rsid w:val="00510FC1"/>
    <w:rsid w:val="00511177"/>
    <w:rsid w:val="0051121E"/>
    <w:rsid w:val="00511343"/>
    <w:rsid w:val="00511671"/>
    <w:rsid w:val="0051177C"/>
    <w:rsid w:val="005117AC"/>
    <w:rsid w:val="00512002"/>
    <w:rsid w:val="00512087"/>
    <w:rsid w:val="005123A7"/>
    <w:rsid w:val="00512660"/>
    <w:rsid w:val="005127B1"/>
    <w:rsid w:val="005127DC"/>
    <w:rsid w:val="00512B92"/>
    <w:rsid w:val="00512BA5"/>
    <w:rsid w:val="00512BE7"/>
    <w:rsid w:val="00512C2E"/>
    <w:rsid w:val="00512C84"/>
    <w:rsid w:val="005134DB"/>
    <w:rsid w:val="00513894"/>
    <w:rsid w:val="0051389F"/>
    <w:rsid w:val="005138AF"/>
    <w:rsid w:val="00513C3F"/>
    <w:rsid w:val="00513DF1"/>
    <w:rsid w:val="00513E08"/>
    <w:rsid w:val="005142D7"/>
    <w:rsid w:val="005144EC"/>
    <w:rsid w:val="0051462B"/>
    <w:rsid w:val="0051477E"/>
    <w:rsid w:val="00514B91"/>
    <w:rsid w:val="00514C43"/>
    <w:rsid w:val="00514DFD"/>
    <w:rsid w:val="00514EEA"/>
    <w:rsid w:val="00514F1C"/>
    <w:rsid w:val="00514FDE"/>
    <w:rsid w:val="00515354"/>
    <w:rsid w:val="005156E6"/>
    <w:rsid w:val="0051577D"/>
    <w:rsid w:val="005158FA"/>
    <w:rsid w:val="00515A84"/>
    <w:rsid w:val="00515B38"/>
    <w:rsid w:val="00515B60"/>
    <w:rsid w:val="00515B98"/>
    <w:rsid w:val="00515C17"/>
    <w:rsid w:val="00515C2A"/>
    <w:rsid w:val="00515E89"/>
    <w:rsid w:val="00516022"/>
    <w:rsid w:val="0051636E"/>
    <w:rsid w:val="005164CF"/>
    <w:rsid w:val="005165E2"/>
    <w:rsid w:val="005166F1"/>
    <w:rsid w:val="00516754"/>
    <w:rsid w:val="00516759"/>
    <w:rsid w:val="005168D5"/>
    <w:rsid w:val="00516CF9"/>
    <w:rsid w:val="00516ED7"/>
    <w:rsid w:val="00516F7D"/>
    <w:rsid w:val="00517220"/>
    <w:rsid w:val="0051733A"/>
    <w:rsid w:val="00517494"/>
    <w:rsid w:val="00517BD4"/>
    <w:rsid w:val="00517E29"/>
    <w:rsid w:val="00517F78"/>
    <w:rsid w:val="00520057"/>
    <w:rsid w:val="0052017D"/>
    <w:rsid w:val="00520207"/>
    <w:rsid w:val="005202E5"/>
    <w:rsid w:val="0052049D"/>
    <w:rsid w:val="005204E8"/>
    <w:rsid w:val="005206D0"/>
    <w:rsid w:val="00520A49"/>
    <w:rsid w:val="00520B61"/>
    <w:rsid w:val="00520C69"/>
    <w:rsid w:val="00520E70"/>
    <w:rsid w:val="00521256"/>
    <w:rsid w:val="0052129E"/>
    <w:rsid w:val="00521519"/>
    <w:rsid w:val="00521678"/>
    <w:rsid w:val="00521AB9"/>
    <w:rsid w:val="00521C44"/>
    <w:rsid w:val="00522100"/>
    <w:rsid w:val="0052211F"/>
    <w:rsid w:val="005221F7"/>
    <w:rsid w:val="00522809"/>
    <w:rsid w:val="00522891"/>
    <w:rsid w:val="0052291E"/>
    <w:rsid w:val="00522AB4"/>
    <w:rsid w:val="00522B96"/>
    <w:rsid w:val="00522E94"/>
    <w:rsid w:val="00523006"/>
    <w:rsid w:val="005230A7"/>
    <w:rsid w:val="0052333C"/>
    <w:rsid w:val="00523701"/>
    <w:rsid w:val="005237F0"/>
    <w:rsid w:val="00523827"/>
    <w:rsid w:val="005239C8"/>
    <w:rsid w:val="005239EB"/>
    <w:rsid w:val="00523AAF"/>
    <w:rsid w:val="0052410D"/>
    <w:rsid w:val="00524160"/>
    <w:rsid w:val="0052418E"/>
    <w:rsid w:val="00524253"/>
    <w:rsid w:val="00524315"/>
    <w:rsid w:val="00524791"/>
    <w:rsid w:val="005248A6"/>
    <w:rsid w:val="0052549E"/>
    <w:rsid w:val="00525680"/>
    <w:rsid w:val="005256C1"/>
    <w:rsid w:val="005258BF"/>
    <w:rsid w:val="00525AC9"/>
    <w:rsid w:val="00525D63"/>
    <w:rsid w:val="00525E39"/>
    <w:rsid w:val="005266C1"/>
    <w:rsid w:val="00526761"/>
    <w:rsid w:val="005268F0"/>
    <w:rsid w:val="00526DF4"/>
    <w:rsid w:val="00526E42"/>
    <w:rsid w:val="00526EC4"/>
    <w:rsid w:val="00527486"/>
    <w:rsid w:val="005276A7"/>
    <w:rsid w:val="005277BF"/>
    <w:rsid w:val="0052780A"/>
    <w:rsid w:val="00527B2C"/>
    <w:rsid w:val="00527B38"/>
    <w:rsid w:val="00527CD5"/>
    <w:rsid w:val="00527D1E"/>
    <w:rsid w:val="00527E9A"/>
    <w:rsid w:val="00530162"/>
    <w:rsid w:val="0053046D"/>
    <w:rsid w:val="0053066E"/>
    <w:rsid w:val="005306EC"/>
    <w:rsid w:val="00530790"/>
    <w:rsid w:val="00530797"/>
    <w:rsid w:val="005307D5"/>
    <w:rsid w:val="0053091B"/>
    <w:rsid w:val="00530F69"/>
    <w:rsid w:val="005311BD"/>
    <w:rsid w:val="0053133F"/>
    <w:rsid w:val="0053135B"/>
    <w:rsid w:val="00531A03"/>
    <w:rsid w:val="00531C42"/>
    <w:rsid w:val="00531C5D"/>
    <w:rsid w:val="0053247C"/>
    <w:rsid w:val="005324D7"/>
    <w:rsid w:val="00532963"/>
    <w:rsid w:val="00532B0A"/>
    <w:rsid w:val="00532DA2"/>
    <w:rsid w:val="00532F96"/>
    <w:rsid w:val="005332B8"/>
    <w:rsid w:val="0053355C"/>
    <w:rsid w:val="005336DA"/>
    <w:rsid w:val="005338DF"/>
    <w:rsid w:val="005338F2"/>
    <w:rsid w:val="00533B6E"/>
    <w:rsid w:val="00533E72"/>
    <w:rsid w:val="00534164"/>
    <w:rsid w:val="005341C0"/>
    <w:rsid w:val="00534425"/>
    <w:rsid w:val="005344A6"/>
    <w:rsid w:val="005344D9"/>
    <w:rsid w:val="0053453D"/>
    <w:rsid w:val="005347F6"/>
    <w:rsid w:val="00534946"/>
    <w:rsid w:val="00534AB9"/>
    <w:rsid w:val="00534D9B"/>
    <w:rsid w:val="00534DB9"/>
    <w:rsid w:val="00534E57"/>
    <w:rsid w:val="00534E9F"/>
    <w:rsid w:val="00534F63"/>
    <w:rsid w:val="005352A2"/>
    <w:rsid w:val="005352C5"/>
    <w:rsid w:val="0053536D"/>
    <w:rsid w:val="00535562"/>
    <w:rsid w:val="00535906"/>
    <w:rsid w:val="00535930"/>
    <w:rsid w:val="005359C0"/>
    <w:rsid w:val="00535EF6"/>
    <w:rsid w:val="005362C1"/>
    <w:rsid w:val="00536538"/>
    <w:rsid w:val="00536582"/>
    <w:rsid w:val="0053668D"/>
    <w:rsid w:val="005367A3"/>
    <w:rsid w:val="005367D6"/>
    <w:rsid w:val="00536D53"/>
    <w:rsid w:val="00536E05"/>
    <w:rsid w:val="00536E61"/>
    <w:rsid w:val="00536EC2"/>
    <w:rsid w:val="00536ED5"/>
    <w:rsid w:val="00537046"/>
    <w:rsid w:val="0053714F"/>
    <w:rsid w:val="005371D6"/>
    <w:rsid w:val="0053731F"/>
    <w:rsid w:val="0053753C"/>
    <w:rsid w:val="00537742"/>
    <w:rsid w:val="00537788"/>
    <w:rsid w:val="005377AE"/>
    <w:rsid w:val="00537A10"/>
    <w:rsid w:val="00537AD0"/>
    <w:rsid w:val="00537B49"/>
    <w:rsid w:val="00537B7C"/>
    <w:rsid w:val="00537D0B"/>
    <w:rsid w:val="00537D82"/>
    <w:rsid w:val="0054003A"/>
    <w:rsid w:val="005401F8"/>
    <w:rsid w:val="005403AE"/>
    <w:rsid w:val="005409BF"/>
    <w:rsid w:val="005409E5"/>
    <w:rsid w:val="00540CF7"/>
    <w:rsid w:val="00540F28"/>
    <w:rsid w:val="00541139"/>
    <w:rsid w:val="0054139E"/>
    <w:rsid w:val="00541425"/>
    <w:rsid w:val="0054144B"/>
    <w:rsid w:val="00541539"/>
    <w:rsid w:val="00541567"/>
    <w:rsid w:val="0054170D"/>
    <w:rsid w:val="00541B48"/>
    <w:rsid w:val="00541C00"/>
    <w:rsid w:val="005420B5"/>
    <w:rsid w:val="005420C4"/>
    <w:rsid w:val="0054229D"/>
    <w:rsid w:val="005422B5"/>
    <w:rsid w:val="005423AD"/>
    <w:rsid w:val="005424F0"/>
    <w:rsid w:val="005426D8"/>
    <w:rsid w:val="005427F9"/>
    <w:rsid w:val="00542913"/>
    <w:rsid w:val="00542C17"/>
    <w:rsid w:val="00542DA8"/>
    <w:rsid w:val="00542EA5"/>
    <w:rsid w:val="00542FA9"/>
    <w:rsid w:val="0054302B"/>
    <w:rsid w:val="005430C3"/>
    <w:rsid w:val="00543110"/>
    <w:rsid w:val="005431FB"/>
    <w:rsid w:val="005432BA"/>
    <w:rsid w:val="0054334A"/>
    <w:rsid w:val="00543411"/>
    <w:rsid w:val="0054349B"/>
    <w:rsid w:val="005434F9"/>
    <w:rsid w:val="005435DD"/>
    <w:rsid w:val="005438A4"/>
    <w:rsid w:val="00543AD9"/>
    <w:rsid w:val="00543AE9"/>
    <w:rsid w:val="00543B57"/>
    <w:rsid w:val="00543C6E"/>
    <w:rsid w:val="00543F24"/>
    <w:rsid w:val="0054405D"/>
    <w:rsid w:val="0054416F"/>
    <w:rsid w:val="005442B2"/>
    <w:rsid w:val="0054442D"/>
    <w:rsid w:val="00544723"/>
    <w:rsid w:val="005447A3"/>
    <w:rsid w:val="005447D4"/>
    <w:rsid w:val="005448BE"/>
    <w:rsid w:val="00544966"/>
    <w:rsid w:val="005450AC"/>
    <w:rsid w:val="00545118"/>
    <w:rsid w:val="005451D2"/>
    <w:rsid w:val="00545394"/>
    <w:rsid w:val="00545BBD"/>
    <w:rsid w:val="00545DF3"/>
    <w:rsid w:val="00546440"/>
    <w:rsid w:val="005468BE"/>
    <w:rsid w:val="00546E0A"/>
    <w:rsid w:val="00547145"/>
    <w:rsid w:val="005471E8"/>
    <w:rsid w:val="00547255"/>
    <w:rsid w:val="005473EC"/>
    <w:rsid w:val="00547531"/>
    <w:rsid w:val="00547BF5"/>
    <w:rsid w:val="00547C4F"/>
    <w:rsid w:val="00547D93"/>
    <w:rsid w:val="00547F50"/>
    <w:rsid w:val="00547FA7"/>
    <w:rsid w:val="005500FD"/>
    <w:rsid w:val="0055014D"/>
    <w:rsid w:val="00550263"/>
    <w:rsid w:val="0055029D"/>
    <w:rsid w:val="00550A26"/>
    <w:rsid w:val="00550ABC"/>
    <w:rsid w:val="00550B0C"/>
    <w:rsid w:val="00550EED"/>
    <w:rsid w:val="00551062"/>
    <w:rsid w:val="00551184"/>
    <w:rsid w:val="0055146D"/>
    <w:rsid w:val="00551CAC"/>
    <w:rsid w:val="00551F45"/>
    <w:rsid w:val="00551FF3"/>
    <w:rsid w:val="00552046"/>
    <w:rsid w:val="00552349"/>
    <w:rsid w:val="005523A6"/>
    <w:rsid w:val="005523E5"/>
    <w:rsid w:val="005525BB"/>
    <w:rsid w:val="0055286D"/>
    <w:rsid w:val="005528A7"/>
    <w:rsid w:val="005528FF"/>
    <w:rsid w:val="00552C8F"/>
    <w:rsid w:val="00553029"/>
    <w:rsid w:val="00553281"/>
    <w:rsid w:val="0055330E"/>
    <w:rsid w:val="00553362"/>
    <w:rsid w:val="00553896"/>
    <w:rsid w:val="00553AA5"/>
    <w:rsid w:val="00553DC7"/>
    <w:rsid w:val="00553E8A"/>
    <w:rsid w:val="00553E92"/>
    <w:rsid w:val="00553F26"/>
    <w:rsid w:val="005540C2"/>
    <w:rsid w:val="00554B40"/>
    <w:rsid w:val="00554C67"/>
    <w:rsid w:val="00554F18"/>
    <w:rsid w:val="00555075"/>
    <w:rsid w:val="00555838"/>
    <w:rsid w:val="00555D0D"/>
    <w:rsid w:val="00555EA3"/>
    <w:rsid w:val="00555F76"/>
    <w:rsid w:val="0055625C"/>
    <w:rsid w:val="005562F0"/>
    <w:rsid w:val="00556690"/>
    <w:rsid w:val="00556926"/>
    <w:rsid w:val="00556E29"/>
    <w:rsid w:val="00556F9E"/>
    <w:rsid w:val="00556FDF"/>
    <w:rsid w:val="0055719C"/>
    <w:rsid w:val="005574D0"/>
    <w:rsid w:val="005574D1"/>
    <w:rsid w:val="0055765E"/>
    <w:rsid w:val="00557722"/>
    <w:rsid w:val="005579E5"/>
    <w:rsid w:val="00557B86"/>
    <w:rsid w:val="0056001A"/>
    <w:rsid w:val="0056007C"/>
    <w:rsid w:val="00560081"/>
    <w:rsid w:val="005602E3"/>
    <w:rsid w:val="005603C4"/>
    <w:rsid w:val="00560408"/>
    <w:rsid w:val="00560441"/>
    <w:rsid w:val="005605A6"/>
    <w:rsid w:val="005607F6"/>
    <w:rsid w:val="005608DF"/>
    <w:rsid w:val="00560FD1"/>
    <w:rsid w:val="005610CF"/>
    <w:rsid w:val="0056133D"/>
    <w:rsid w:val="00561400"/>
    <w:rsid w:val="0056168A"/>
    <w:rsid w:val="00561AE8"/>
    <w:rsid w:val="00561C61"/>
    <w:rsid w:val="00561D62"/>
    <w:rsid w:val="00561F53"/>
    <w:rsid w:val="005624E7"/>
    <w:rsid w:val="005625C1"/>
    <w:rsid w:val="005627DB"/>
    <w:rsid w:val="0056287D"/>
    <w:rsid w:val="00562D1F"/>
    <w:rsid w:val="00562EFA"/>
    <w:rsid w:val="00562FF2"/>
    <w:rsid w:val="0056317C"/>
    <w:rsid w:val="005631CB"/>
    <w:rsid w:val="005631E9"/>
    <w:rsid w:val="0056361B"/>
    <w:rsid w:val="005637F9"/>
    <w:rsid w:val="00563852"/>
    <w:rsid w:val="00563A27"/>
    <w:rsid w:val="00563FA4"/>
    <w:rsid w:val="0056406D"/>
    <w:rsid w:val="00564218"/>
    <w:rsid w:val="0056427C"/>
    <w:rsid w:val="005643B1"/>
    <w:rsid w:val="005645CD"/>
    <w:rsid w:val="005648BA"/>
    <w:rsid w:val="00564BA4"/>
    <w:rsid w:val="00564D16"/>
    <w:rsid w:val="00564FAE"/>
    <w:rsid w:val="0056503C"/>
    <w:rsid w:val="00565120"/>
    <w:rsid w:val="00565368"/>
    <w:rsid w:val="0056560E"/>
    <w:rsid w:val="005656A9"/>
    <w:rsid w:val="00565A00"/>
    <w:rsid w:val="00565B2C"/>
    <w:rsid w:val="00565C37"/>
    <w:rsid w:val="00565F86"/>
    <w:rsid w:val="0056696E"/>
    <w:rsid w:val="00566AFE"/>
    <w:rsid w:val="00566B54"/>
    <w:rsid w:val="00566BD6"/>
    <w:rsid w:val="00566BF7"/>
    <w:rsid w:val="00567013"/>
    <w:rsid w:val="005670AE"/>
    <w:rsid w:val="0056718B"/>
    <w:rsid w:val="0056720E"/>
    <w:rsid w:val="00567277"/>
    <w:rsid w:val="005676E9"/>
    <w:rsid w:val="0056778C"/>
    <w:rsid w:val="00567BA0"/>
    <w:rsid w:val="00567D32"/>
    <w:rsid w:val="00567D4D"/>
    <w:rsid w:val="00567DE6"/>
    <w:rsid w:val="00567F93"/>
    <w:rsid w:val="00570097"/>
    <w:rsid w:val="005700AF"/>
    <w:rsid w:val="00570115"/>
    <w:rsid w:val="00570147"/>
    <w:rsid w:val="005702F0"/>
    <w:rsid w:val="005706A9"/>
    <w:rsid w:val="00570765"/>
    <w:rsid w:val="005709FE"/>
    <w:rsid w:val="00570EBB"/>
    <w:rsid w:val="00570FF0"/>
    <w:rsid w:val="005712E9"/>
    <w:rsid w:val="00571353"/>
    <w:rsid w:val="00571406"/>
    <w:rsid w:val="005714D1"/>
    <w:rsid w:val="005718C3"/>
    <w:rsid w:val="005718E7"/>
    <w:rsid w:val="00571B78"/>
    <w:rsid w:val="00571D05"/>
    <w:rsid w:val="00571F02"/>
    <w:rsid w:val="00571FF8"/>
    <w:rsid w:val="005720F1"/>
    <w:rsid w:val="00572298"/>
    <w:rsid w:val="0057283F"/>
    <w:rsid w:val="00572B05"/>
    <w:rsid w:val="00572C05"/>
    <w:rsid w:val="00572EEF"/>
    <w:rsid w:val="00572F18"/>
    <w:rsid w:val="00572F68"/>
    <w:rsid w:val="00573064"/>
    <w:rsid w:val="00573512"/>
    <w:rsid w:val="00573518"/>
    <w:rsid w:val="0057378A"/>
    <w:rsid w:val="0057391A"/>
    <w:rsid w:val="00573AC9"/>
    <w:rsid w:val="00573B15"/>
    <w:rsid w:val="00573C0B"/>
    <w:rsid w:val="00573F5C"/>
    <w:rsid w:val="00574227"/>
    <w:rsid w:val="0057467A"/>
    <w:rsid w:val="005749A0"/>
    <w:rsid w:val="00574B1E"/>
    <w:rsid w:val="00574CEA"/>
    <w:rsid w:val="00574E09"/>
    <w:rsid w:val="0057501C"/>
    <w:rsid w:val="00575255"/>
    <w:rsid w:val="0057545E"/>
    <w:rsid w:val="00575530"/>
    <w:rsid w:val="00575885"/>
    <w:rsid w:val="005759C6"/>
    <w:rsid w:val="00575A86"/>
    <w:rsid w:val="00575C43"/>
    <w:rsid w:val="00575D66"/>
    <w:rsid w:val="00575E8A"/>
    <w:rsid w:val="00575FC5"/>
    <w:rsid w:val="0057634A"/>
    <w:rsid w:val="00576730"/>
    <w:rsid w:val="00576831"/>
    <w:rsid w:val="00576985"/>
    <w:rsid w:val="005769ED"/>
    <w:rsid w:val="00576B33"/>
    <w:rsid w:val="00576E4B"/>
    <w:rsid w:val="00577023"/>
    <w:rsid w:val="00577114"/>
    <w:rsid w:val="00577120"/>
    <w:rsid w:val="00577177"/>
    <w:rsid w:val="00577577"/>
    <w:rsid w:val="0057762F"/>
    <w:rsid w:val="005779A3"/>
    <w:rsid w:val="005779B1"/>
    <w:rsid w:val="00577D5D"/>
    <w:rsid w:val="00577DA5"/>
    <w:rsid w:val="00577E3F"/>
    <w:rsid w:val="00577F8D"/>
    <w:rsid w:val="00580001"/>
    <w:rsid w:val="005800DE"/>
    <w:rsid w:val="00580494"/>
    <w:rsid w:val="0058050E"/>
    <w:rsid w:val="00580671"/>
    <w:rsid w:val="00580812"/>
    <w:rsid w:val="005808FC"/>
    <w:rsid w:val="00580931"/>
    <w:rsid w:val="00580AAE"/>
    <w:rsid w:val="00580C39"/>
    <w:rsid w:val="00580CA1"/>
    <w:rsid w:val="00580F50"/>
    <w:rsid w:val="00581456"/>
    <w:rsid w:val="005814FD"/>
    <w:rsid w:val="0058156B"/>
    <w:rsid w:val="005817BA"/>
    <w:rsid w:val="00581871"/>
    <w:rsid w:val="00581911"/>
    <w:rsid w:val="005819E0"/>
    <w:rsid w:val="00581C9F"/>
    <w:rsid w:val="00581ED2"/>
    <w:rsid w:val="00581FAC"/>
    <w:rsid w:val="0058211C"/>
    <w:rsid w:val="005823A6"/>
    <w:rsid w:val="00582778"/>
    <w:rsid w:val="005829C5"/>
    <w:rsid w:val="00582CA0"/>
    <w:rsid w:val="005832C4"/>
    <w:rsid w:val="0058331C"/>
    <w:rsid w:val="005835A6"/>
    <w:rsid w:val="0058382A"/>
    <w:rsid w:val="0058387D"/>
    <w:rsid w:val="00583929"/>
    <w:rsid w:val="00583A7D"/>
    <w:rsid w:val="00583FD2"/>
    <w:rsid w:val="00584001"/>
    <w:rsid w:val="00584288"/>
    <w:rsid w:val="0058448C"/>
    <w:rsid w:val="00584490"/>
    <w:rsid w:val="005844B5"/>
    <w:rsid w:val="00584807"/>
    <w:rsid w:val="00584CC7"/>
    <w:rsid w:val="00585213"/>
    <w:rsid w:val="0058530F"/>
    <w:rsid w:val="0058531F"/>
    <w:rsid w:val="00585587"/>
    <w:rsid w:val="005856AD"/>
    <w:rsid w:val="0058581D"/>
    <w:rsid w:val="005858F5"/>
    <w:rsid w:val="00585F55"/>
    <w:rsid w:val="00585F6C"/>
    <w:rsid w:val="00585FE5"/>
    <w:rsid w:val="00586250"/>
    <w:rsid w:val="0058628B"/>
    <w:rsid w:val="0058657A"/>
    <w:rsid w:val="00586B6A"/>
    <w:rsid w:val="00586FBA"/>
    <w:rsid w:val="00587005"/>
    <w:rsid w:val="00587295"/>
    <w:rsid w:val="005875C0"/>
    <w:rsid w:val="005877B4"/>
    <w:rsid w:val="00587B41"/>
    <w:rsid w:val="00587E80"/>
    <w:rsid w:val="00587F92"/>
    <w:rsid w:val="00590186"/>
    <w:rsid w:val="005903F9"/>
    <w:rsid w:val="005905FE"/>
    <w:rsid w:val="005907DA"/>
    <w:rsid w:val="005909A9"/>
    <w:rsid w:val="00590EA7"/>
    <w:rsid w:val="0059168E"/>
    <w:rsid w:val="00591C2E"/>
    <w:rsid w:val="00591FE9"/>
    <w:rsid w:val="00592131"/>
    <w:rsid w:val="005922F6"/>
    <w:rsid w:val="005924D2"/>
    <w:rsid w:val="00592602"/>
    <w:rsid w:val="005926A6"/>
    <w:rsid w:val="00592890"/>
    <w:rsid w:val="00592C86"/>
    <w:rsid w:val="00592C88"/>
    <w:rsid w:val="00592DD1"/>
    <w:rsid w:val="00592E26"/>
    <w:rsid w:val="005933AF"/>
    <w:rsid w:val="005933CA"/>
    <w:rsid w:val="0059351D"/>
    <w:rsid w:val="00593587"/>
    <w:rsid w:val="005937DF"/>
    <w:rsid w:val="00593839"/>
    <w:rsid w:val="00593977"/>
    <w:rsid w:val="00593CF1"/>
    <w:rsid w:val="00593D2F"/>
    <w:rsid w:val="00593DCE"/>
    <w:rsid w:val="0059401F"/>
    <w:rsid w:val="0059439B"/>
    <w:rsid w:val="005943FE"/>
    <w:rsid w:val="0059449B"/>
    <w:rsid w:val="0059453F"/>
    <w:rsid w:val="0059455C"/>
    <w:rsid w:val="00594642"/>
    <w:rsid w:val="005948B2"/>
    <w:rsid w:val="005949BF"/>
    <w:rsid w:val="00594CA2"/>
    <w:rsid w:val="00594CC3"/>
    <w:rsid w:val="00594E98"/>
    <w:rsid w:val="00595378"/>
    <w:rsid w:val="005955C1"/>
    <w:rsid w:val="00595A68"/>
    <w:rsid w:val="00595BDB"/>
    <w:rsid w:val="00595E37"/>
    <w:rsid w:val="005962E5"/>
    <w:rsid w:val="005964C1"/>
    <w:rsid w:val="005964FB"/>
    <w:rsid w:val="00596804"/>
    <w:rsid w:val="005968E2"/>
    <w:rsid w:val="00596A22"/>
    <w:rsid w:val="00596B29"/>
    <w:rsid w:val="00596DA3"/>
    <w:rsid w:val="0059741E"/>
    <w:rsid w:val="00597498"/>
    <w:rsid w:val="005976B8"/>
    <w:rsid w:val="00597B2F"/>
    <w:rsid w:val="00597B54"/>
    <w:rsid w:val="00597F39"/>
    <w:rsid w:val="00597FB2"/>
    <w:rsid w:val="005A0119"/>
    <w:rsid w:val="005A03E9"/>
    <w:rsid w:val="005A0468"/>
    <w:rsid w:val="005A05A1"/>
    <w:rsid w:val="005A079B"/>
    <w:rsid w:val="005A0815"/>
    <w:rsid w:val="005A0F37"/>
    <w:rsid w:val="005A129E"/>
    <w:rsid w:val="005A1353"/>
    <w:rsid w:val="005A14A9"/>
    <w:rsid w:val="005A1575"/>
    <w:rsid w:val="005A1B27"/>
    <w:rsid w:val="005A1CB4"/>
    <w:rsid w:val="005A1EF4"/>
    <w:rsid w:val="005A210E"/>
    <w:rsid w:val="005A246C"/>
    <w:rsid w:val="005A255C"/>
    <w:rsid w:val="005A2580"/>
    <w:rsid w:val="005A2C1A"/>
    <w:rsid w:val="005A2EB6"/>
    <w:rsid w:val="005A341E"/>
    <w:rsid w:val="005A3C93"/>
    <w:rsid w:val="005A3D36"/>
    <w:rsid w:val="005A3D5B"/>
    <w:rsid w:val="005A41BA"/>
    <w:rsid w:val="005A4438"/>
    <w:rsid w:val="005A4504"/>
    <w:rsid w:val="005A4E5C"/>
    <w:rsid w:val="005A4EDE"/>
    <w:rsid w:val="005A5476"/>
    <w:rsid w:val="005A55FC"/>
    <w:rsid w:val="005A58AD"/>
    <w:rsid w:val="005A5A3B"/>
    <w:rsid w:val="005A632F"/>
    <w:rsid w:val="005A6585"/>
    <w:rsid w:val="005A683E"/>
    <w:rsid w:val="005A6922"/>
    <w:rsid w:val="005A6984"/>
    <w:rsid w:val="005A6C21"/>
    <w:rsid w:val="005A7063"/>
    <w:rsid w:val="005A7195"/>
    <w:rsid w:val="005A7674"/>
    <w:rsid w:val="005A7769"/>
    <w:rsid w:val="005A7810"/>
    <w:rsid w:val="005A7824"/>
    <w:rsid w:val="005A7B74"/>
    <w:rsid w:val="005A7BB3"/>
    <w:rsid w:val="005A7C88"/>
    <w:rsid w:val="005A7D81"/>
    <w:rsid w:val="005A7F40"/>
    <w:rsid w:val="005A7F60"/>
    <w:rsid w:val="005B0160"/>
    <w:rsid w:val="005B02EC"/>
    <w:rsid w:val="005B08B4"/>
    <w:rsid w:val="005B09DB"/>
    <w:rsid w:val="005B104A"/>
    <w:rsid w:val="005B15DA"/>
    <w:rsid w:val="005B1BD2"/>
    <w:rsid w:val="005B1DE2"/>
    <w:rsid w:val="005B20BA"/>
    <w:rsid w:val="005B21C4"/>
    <w:rsid w:val="005B23BF"/>
    <w:rsid w:val="005B252C"/>
    <w:rsid w:val="005B268D"/>
    <w:rsid w:val="005B2701"/>
    <w:rsid w:val="005B2733"/>
    <w:rsid w:val="005B2796"/>
    <w:rsid w:val="005B28D6"/>
    <w:rsid w:val="005B2E7D"/>
    <w:rsid w:val="005B2FC6"/>
    <w:rsid w:val="005B3122"/>
    <w:rsid w:val="005B31E0"/>
    <w:rsid w:val="005B3B38"/>
    <w:rsid w:val="005B3F3F"/>
    <w:rsid w:val="005B407F"/>
    <w:rsid w:val="005B4122"/>
    <w:rsid w:val="005B4530"/>
    <w:rsid w:val="005B46CF"/>
    <w:rsid w:val="005B4A1D"/>
    <w:rsid w:val="005B4C13"/>
    <w:rsid w:val="005B4CAA"/>
    <w:rsid w:val="005B4DA9"/>
    <w:rsid w:val="005B4DDB"/>
    <w:rsid w:val="005B546A"/>
    <w:rsid w:val="005B5612"/>
    <w:rsid w:val="005B57B5"/>
    <w:rsid w:val="005B5BB3"/>
    <w:rsid w:val="005B5DE9"/>
    <w:rsid w:val="005B5FE9"/>
    <w:rsid w:val="005B6103"/>
    <w:rsid w:val="005B617B"/>
    <w:rsid w:val="005B63D2"/>
    <w:rsid w:val="005B6547"/>
    <w:rsid w:val="005B663E"/>
    <w:rsid w:val="005B6885"/>
    <w:rsid w:val="005B6893"/>
    <w:rsid w:val="005B6C54"/>
    <w:rsid w:val="005B75F0"/>
    <w:rsid w:val="005B764C"/>
    <w:rsid w:val="005B79EC"/>
    <w:rsid w:val="005B7A55"/>
    <w:rsid w:val="005B7AF0"/>
    <w:rsid w:val="005B7D55"/>
    <w:rsid w:val="005C0449"/>
    <w:rsid w:val="005C0608"/>
    <w:rsid w:val="005C0AF1"/>
    <w:rsid w:val="005C0BAA"/>
    <w:rsid w:val="005C0C34"/>
    <w:rsid w:val="005C0C86"/>
    <w:rsid w:val="005C0F57"/>
    <w:rsid w:val="005C0FEA"/>
    <w:rsid w:val="005C11A8"/>
    <w:rsid w:val="005C1218"/>
    <w:rsid w:val="005C1222"/>
    <w:rsid w:val="005C126E"/>
    <w:rsid w:val="005C1586"/>
    <w:rsid w:val="005C1B70"/>
    <w:rsid w:val="005C1C02"/>
    <w:rsid w:val="005C2318"/>
    <w:rsid w:val="005C2452"/>
    <w:rsid w:val="005C2599"/>
    <w:rsid w:val="005C2777"/>
    <w:rsid w:val="005C29F1"/>
    <w:rsid w:val="005C2B4A"/>
    <w:rsid w:val="005C2CA4"/>
    <w:rsid w:val="005C2CCE"/>
    <w:rsid w:val="005C3079"/>
    <w:rsid w:val="005C30C6"/>
    <w:rsid w:val="005C320A"/>
    <w:rsid w:val="005C32FD"/>
    <w:rsid w:val="005C34B7"/>
    <w:rsid w:val="005C3634"/>
    <w:rsid w:val="005C364D"/>
    <w:rsid w:val="005C39E2"/>
    <w:rsid w:val="005C3BA4"/>
    <w:rsid w:val="005C3E80"/>
    <w:rsid w:val="005C405E"/>
    <w:rsid w:val="005C4177"/>
    <w:rsid w:val="005C423D"/>
    <w:rsid w:val="005C4283"/>
    <w:rsid w:val="005C42A7"/>
    <w:rsid w:val="005C43FC"/>
    <w:rsid w:val="005C452F"/>
    <w:rsid w:val="005C4B3F"/>
    <w:rsid w:val="005C4CCC"/>
    <w:rsid w:val="005C5290"/>
    <w:rsid w:val="005C532A"/>
    <w:rsid w:val="005C56CC"/>
    <w:rsid w:val="005C576D"/>
    <w:rsid w:val="005C5AB3"/>
    <w:rsid w:val="005C5C2B"/>
    <w:rsid w:val="005C6000"/>
    <w:rsid w:val="005C64CF"/>
    <w:rsid w:val="005C6518"/>
    <w:rsid w:val="005C6A81"/>
    <w:rsid w:val="005C6B06"/>
    <w:rsid w:val="005C6B35"/>
    <w:rsid w:val="005C6D98"/>
    <w:rsid w:val="005C6EA7"/>
    <w:rsid w:val="005C6F97"/>
    <w:rsid w:val="005C7039"/>
    <w:rsid w:val="005C7295"/>
    <w:rsid w:val="005C72CB"/>
    <w:rsid w:val="005C72CE"/>
    <w:rsid w:val="005C72E1"/>
    <w:rsid w:val="005C749A"/>
    <w:rsid w:val="005C758C"/>
    <w:rsid w:val="005C76C1"/>
    <w:rsid w:val="005C78A6"/>
    <w:rsid w:val="005C7C3C"/>
    <w:rsid w:val="005D0144"/>
    <w:rsid w:val="005D03C9"/>
    <w:rsid w:val="005D076B"/>
    <w:rsid w:val="005D09BD"/>
    <w:rsid w:val="005D0C9A"/>
    <w:rsid w:val="005D0F28"/>
    <w:rsid w:val="005D0FCD"/>
    <w:rsid w:val="005D1164"/>
    <w:rsid w:val="005D130A"/>
    <w:rsid w:val="005D16E0"/>
    <w:rsid w:val="005D27AE"/>
    <w:rsid w:val="005D2917"/>
    <w:rsid w:val="005D2C00"/>
    <w:rsid w:val="005D2DC1"/>
    <w:rsid w:val="005D2E01"/>
    <w:rsid w:val="005D2E12"/>
    <w:rsid w:val="005D2E5B"/>
    <w:rsid w:val="005D3053"/>
    <w:rsid w:val="005D3169"/>
    <w:rsid w:val="005D32D7"/>
    <w:rsid w:val="005D3840"/>
    <w:rsid w:val="005D3911"/>
    <w:rsid w:val="005D39EB"/>
    <w:rsid w:val="005D3A24"/>
    <w:rsid w:val="005D3A58"/>
    <w:rsid w:val="005D3C28"/>
    <w:rsid w:val="005D3D62"/>
    <w:rsid w:val="005D3DCE"/>
    <w:rsid w:val="005D4353"/>
    <w:rsid w:val="005D439E"/>
    <w:rsid w:val="005D468A"/>
    <w:rsid w:val="005D46D2"/>
    <w:rsid w:val="005D47E9"/>
    <w:rsid w:val="005D4877"/>
    <w:rsid w:val="005D4AC4"/>
    <w:rsid w:val="005D4D11"/>
    <w:rsid w:val="005D5212"/>
    <w:rsid w:val="005D52F1"/>
    <w:rsid w:val="005D54F0"/>
    <w:rsid w:val="005D557F"/>
    <w:rsid w:val="005D5A43"/>
    <w:rsid w:val="005D60D1"/>
    <w:rsid w:val="005D60DD"/>
    <w:rsid w:val="005D65C2"/>
    <w:rsid w:val="005D6619"/>
    <w:rsid w:val="005D6883"/>
    <w:rsid w:val="005D6BEE"/>
    <w:rsid w:val="005D6E12"/>
    <w:rsid w:val="005D74A3"/>
    <w:rsid w:val="005D774C"/>
    <w:rsid w:val="005D7855"/>
    <w:rsid w:val="005D78D1"/>
    <w:rsid w:val="005D78D7"/>
    <w:rsid w:val="005D7951"/>
    <w:rsid w:val="005D795D"/>
    <w:rsid w:val="005D7980"/>
    <w:rsid w:val="005D7F25"/>
    <w:rsid w:val="005E096A"/>
    <w:rsid w:val="005E0A1C"/>
    <w:rsid w:val="005E0CFA"/>
    <w:rsid w:val="005E0DFF"/>
    <w:rsid w:val="005E0E2F"/>
    <w:rsid w:val="005E0E9E"/>
    <w:rsid w:val="005E10BD"/>
    <w:rsid w:val="005E1185"/>
    <w:rsid w:val="005E1631"/>
    <w:rsid w:val="005E1763"/>
    <w:rsid w:val="005E17A9"/>
    <w:rsid w:val="005E17C5"/>
    <w:rsid w:val="005E1B49"/>
    <w:rsid w:val="005E1EE5"/>
    <w:rsid w:val="005E1F0F"/>
    <w:rsid w:val="005E1F44"/>
    <w:rsid w:val="005E21B7"/>
    <w:rsid w:val="005E21F4"/>
    <w:rsid w:val="005E224B"/>
    <w:rsid w:val="005E226D"/>
    <w:rsid w:val="005E2462"/>
    <w:rsid w:val="005E27D5"/>
    <w:rsid w:val="005E29AC"/>
    <w:rsid w:val="005E2A12"/>
    <w:rsid w:val="005E2EBB"/>
    <w:rsid w:val="005E2FB2"/>
    <w:rsid w:val="005E3221"/>
    <w:rsid w:val="005E3270"/>
    <w:rsid w:val="005E372E"/>
    <w:rsid w:val="005E3775"/>
    <w:rsid w:val="005E3BB1"/>
    <w:rsid w:val="005E3DBE"/>
    <w:rsid w:val="005E3EB6"/>
    <w:rsid w:val="005E4054"/>
    <w:rsid w:val="005E4118"/>
    <w:rsid w:val="005E4277"/>
    <w:rsid w:val="005E4375"/>
    <w:rsid w:val="005E441B"/>
    <w:rsid w:val="005E4587"/>
    <w:rsid w:val="005E472A"/>
    <w:rsid w:val="005E47B9"/>
    <w:rsid w:val="005E48B2"/>
    <w:rsid w:val="005E4A6C"/>
    <w:rsid w:val="005E4A99"/>
    <w:rsid w:val="005E4BA2"/>
    <w:rsid w:val="005E4CC6"/>
    <w:rsid w:val="005E5101"/>
    <w:rsid w:val="005E5128"/>
    <w:rsid w:val="005E5592"/>
    <w:rsid w:val="005E56C5"/>
    <w:rsid w:val="005E5718"/>
    <w:rsid w:val="005E57E5"/>
    <w:rsid w:val="005E5ACF"/>
    <w:rsid w:val="005E5C52"/>
    <w:rsid w:val="005E625B"/>
    <w:rsid w:val="005E636D"/>
    <w:rsid w:val="005E63BB"/>
    <w:rsid w:val="005E647E"/>
    <w:rsid w:val="005E6832"/>
    <w:rsid w:val="005E6865"/>
    <w:rsid w:val="005E6A3D"/>
    <w:rsid w:val="005E6BBA"/>
    <w:rsid w:val="005E6F44"/>
    <w:rsid w:val="005E71CD"/>
    <w:rsid w:val="005E7607"/>
    <w:rsid w:val="005E76C2"/>
    <w:rsid w:val="005F0525"/>
    <w:rsid w:val="005F06D9"/>
    <w:rsid w:val="005F0888"/>
    <w:rsid w:val="005F0A6A"/>
    <w:rsid w:val="005F0C69"/>
    <w:rsid w:val="005F15B6"/>
    <w:rsid w:val="005F1B10"/>
    <w:rsid w:val="005F1EDC"/>
    <w:rsid w:val="005F20A8"/>
    <w:rsid w:val="005F21E9"/>
    <w:rsid w:val="005F2329"/>
    <w:rsid w:val="005F23C0"/>
    <w:rsid w:val="005F264A"/>
    <w:rsid w:val="005F26D9"/>
    <w:rsid w:val="005F27C5"/>
    <w:rsid w:val="005F29A2"/>
    <w:rsid w:val="005F2BD9"/>
    <w:rsid w:val="005F2BF4"/>
    <w:rsid w:val="005F2F3D"/>
    <w:rsid w:val="005F31E8"/>
    <w:rsid w:val="005F335B"/>
    <w:rsid w:val="005F35D3"/>
    <w:rsid w:val="005F36A2"/>
    <w:rsid w:val="005F38B3"/>
    <w:rsid w:val="005F39E7"/>
    <w:rsid w:val="005F3DD7"/>
    <w:rsid w:val="005F3EE8"/>
    <w:rsid w:val="005F3F3E"/>
    <w:rsid w:val="005F4255"/>
    <w:rsid w:val="005F4324"/>
    <w:rsid w:val="005F432D"/>
    <w:rsid w:val="005F4922"/>
    <w:rsid w:val="005F4E79"/>
    <w:rsid w:val="005F4F1B"/>
    <w:rsid w:val="005F5167"/>
    <w:rsid w:val="005F5757"/>
    <w:rsid w:val="005F57B4"/>
    <w:rsid w:val="005F57D7"/>
    <w:rsid w:val="005F5A5D"/>
    <w:rsid w:val="005F5C03"/>
    <w:rsid w:val="005F5C37"/>
    <w:rsid w:val="005F5D82"/>
    <w:rsid w:val="005F5EF4"/>
    <w:rsid w:val="005F66C5"/>
    <w:rsid w:val="005F66F2"/>
    <w:rsid w:val="005F673D"/>
    <w:rsid w:val="005F6820"/>
    <w:rsid w:val="005F6C38"/>
    <w:rsid w:val="005F6C7C"/>
    <w:rsid w:val="005F6D55"/>
    <w:rsid w:val="005F6F0D"/>
    <w:rsid w:val="005F6F29"/>
    <w:rsid w:val="005F6F83"/>
    <w:rsid w:val="005F7281"/>
    <w:rsid w:val="005F7554"/>
    <w:rsid w:val="005F7D31"/>
    <w:rsid w:val="006000C5"/>
    <w:rsid w:val="006006C4"/>
    <w:rsid w:val="00600767"/>
    <w:rsid w:val="006008FD"/>
    <w:rsid w:val="0060100C"/>
    <w:rsid w:val="006011B0"/>
    <w:rsid w:val="0060144A"/>
    <w:rsid w:val="0060160C"/>
    <w:rsid w:val="006017A1"/>
    <w:rsid w:val="0060196C"/>
    <w:rsid w:val="00601AE9"/>
    <w:rsid w:val="00601C02"/>
    <w:rsid w:val="00601DC0"/>
    <w:rsid w:val="006023E7"/>
    <w:rsid w:val="0060266D"/>
    <w:rsid w:val="00602ACE"/>
    <w:rsid w:val="00602CA2"/>
    <w:rsid w:val="00602F88"/>
    <w:rsid w:val="00602FD5"/>
    <w:rsid w:val="006030DC"/>
    <w:rsid w:val="00603118"/>
    <w:rsid w:val="006033AE"/>
    <w:rsid w:val="006033F5"/>
    <w:rsid w:val="0060353B"/>
    <w:rsid w:val="0060355C"/>
    <w:rsid w:val="0060359F"/>
    <w:rsid w:val="0060366D"/>
    <w:rsid w:val="00603963"/>
    <w:rsid w:val="006039F6"/>
    <w:rsid w:val="00603F63"/>
    <w:rsid w:val="006040BF"/>
    <w:rsid w:val="006043EF"/>
    <w:rsid w:val="0060451A"/>
    <w:rsid w:val="006049C2"/>
    <w:rsid w:val="00604A5D"/>
    <w:rsid w:val="00604AAF"/>
    <w:rsid w:val="00604F8F"/>
    <w:rsid w:val="0060537A"/>
    <w:rsid w:val="00605611"/>
    <w:rsid w:val="0060587C"/>
    <w:rsid w:val="006059F9"/>
    <w:rsid w:val="00605D68"/>
    <w:rsid w:val="00605E1C"/>
    <w:rsid w:val="00605E98"/>
    <w:rsid w:val="00605F44"/>
    <w:rsid w:val="00605F66"/>
    <w:rsid w:val="00605F68"/>
    <w:rsid w:val="00605FEC"/>
    <w:rsid w:val="006062A1"/>
    <w:rsid w:val="006063A2"/>
    <w:rsid w:val="00606483"/>
    <w:rsid w:val="006065E2"/>
    <w:rsid w:val="006067F9"/>
    <w:rsid w:val="006069CE"/>
    <w:rsid w:val="00606A1C"/>
    <w:rsid w:val="00606A5B"/>
    <w:rsid w:val="00606F7B"/>
    <w:rsid w:val="006071D6"/>
    <w:rsid w:val="006072EA"/>
    <w:rsid w:val="006073C7"/>
    <w:rsid w:val="006075D6"/>
    <w:rsid w:val="006075EC"/>
    <w:rsid w:val="006077A9"/>
    <w:rsid w:val="00607C57"/>
    <w:rsid w:val="00607D4B"/>
    <w:rsid w:val="00607DDC"/>
    <w:rsid w:val="00610073"/>
    <w:rsid w:val="0061027E"/>
    <w:rsid w:val="0061074E"/>
    <w:rsid w:val="00610956"/>
    <w:rsid w:val="00610A55"/>
    <w:rsid w:val="00610D51"/>
    <w:rsid w:val="0061113C"/>
    <w:rsid w:val="006111A4"/>
    <w:rsid w:val="00611425"/>
    <w:rsid w:val="006115E4"/>
    <w:rsid w:val="0061163A"/>
    <w:rsid w:val="006118CD"/>
    <w:rsid w:val="006118D8"/>
    <w:rsid w:val="0061191B"/>
    <w:rsid w:val="00611B75"/>
    <w:rsid w:val="00611C12"/>
    <w:rsid w:val="00611C67"/>
    <w:rsid w:val="00611F84"/>
    <w:rsid w:val="00612512"/>
    <w:rsid w:val="00612560"/>
    <w:rsid w:val="006129A2"/>
    <w:rsid w:val="006129E9"/>
    <w:rsid w:val="00612B1B"/>
    <w:rsid w:val="00612C21"/>
    <w:rsid w:val="00612C3A"/>
    <w:rsid w:val="00612D19"/>
    <w:rsid w:val="00612EAA"/>
    <w:rsid w:val="00612FD2"/>
    <w:rsid w:val="0061313C"/>
    <w:rsid w:val="006132C3"/>
    <w:rsid w:val="006136E4"/>
    <w:rsid w:val="00613907"/>
    <w:rsid w:val="00613C9B"/>
    <w:rsid w:val="00613D38"/>
    <w:rsid w:val="00613D4A"/>
    <w:rsid w:val="00613DEF"/>
    <w:rsid w:val="00613FAB"/>
    <w:rsid w:val="00614431"/>
    <w:rsid w:val="0061448A"/>
    <w:rsid w:val="006144DA"/>
    <w:rsid w:val="00614511"/>
    <w:rsid w:val="00614605"/>
    <w:rsid w:val="00614756"/>
    <w:rsid w:val="00614805"/>
    <w:rsid w:val="00614D62"/>
    <w:rsid w:val="00614DBB"/>
    <w:rsid w:val="00614F82"/>
    <w:rsid w:val="00614F92"/>
    <w:rsid w:val="00615013"/>
    <w:rsid w:val="00615508"/>
    <w:rsid w:val="006155CA"/>
    <w:rsid w:val="006157EC"/>
    <w:rsid w:val="00615899"/>
    <w:rsid w:val="00615A66"/>
    <w:rsid w:val="00615CAB"/>
    <w:rsid w:val="00615F20"/>
    <w:rsid w:val="00616239"/>
    <w:rsid w:val="00616309"/>
    <w:rsid w:val="00616329"/>
    <w:rsid w:val="00616394"/>
    <w:rsid w:val="006165D6"/>
    <w:rsid w:val="006166F2"/>
    <w:rsid w:val="006168C1"/>
    <w:rsid w:val="00616CF4"/>
    <w:rsid w:val="00616E40"/>
    <w:rsid w:val="00616E5A"/>
    <w:rsid w:val="006172F8"/>
    <w:rsid w:val="00617464"/>
    <w:rsid w:val="006179C9"/>
    <w:rsid w:val="00617A91"/>
    <w:rsid w:val="00617C3D"/>
    <w:rsid w:val="00617DB5"/>
    <w:rsid w:val="006202AF"/>
    <w:rsid w:val="00620514"/>
    <w:rsid w:val="0062061B"/>
    <w:rsid w:val="0062062E"/>
    <w:rsid w:val="0062079F"/>
    <w:rsid w:val="00620C4B"/>
    <w:rsid w:val="00620DB1"/>
    <w:rsid w:val="00620E41"/>
    <w:rsid w:val="00620F18"/>
    <w:rsid w:val="006211B4"/>
    <w:rsid w:val="00621233"/>
    <w:rsid w:val="0062158A"/>
    <w:rsid w:val="00621A44"/>
    <w:rsid w:val="00621B31"/>
    <w:rsid w:val="00621B59"/>
    <w:rsid w:val="00621BB4"/>
    <w:rsid w:val="00621CD9"/>
    <w:rsid w:val="0062220A"/>
    <w:rsid w:val="006223E0"/>
    <w:rsid w:val="0062240E"/>
    <w:rsid w:val="006226C9"/>
    <w:rsid w:val="00622965"/>
    <w:rsid w:val="00622CEA"/>
    <w:rsid w:val="00622E50"/>
    <w:rsid w:val="00622F26"/>
    <w:rsid w:val="00622F9A"/>
    <w:rsid w:val="00622FED"/>
    <w:rsid w:val="006231BE"/>
    <w:rsid w:val="006232C7"/>
    <w:rsid w:val="0062336F"/>
    <w:rsid w:val="006233EB"/>
    <w:rsid w:val="0062347D"/>
    <w:rsid w:val="00623893"/>
    <w:rsid w:val="00624192"/>
    <w:rsid w:val="00624208"/>
    <w:rsid w:val="00624371"/>
    <w:rsid w:val="006243D0"/>
    <w:rsid w:val="0062481E"/>
    <w:rsid w:val="00624A12"/>
    <w:rsid w:val="00624F5B"/>
    <w:rsid w:val="00625026"/>
    <w:rsid w:val="0062511C"/>
    <w:rsid w:val="00625164"/>
    <w:rsid w:val="006253A7"/>
    <w:rsid w:val="006256CA"/>
    <w:rsid w:val="006256ED"/>
    <w:rsid w:val="00625977"/>
    <w:rsid w:val="006261AE"/>
    <w:rsid w:val="00626333"/>
    <w:rsid w:val="0062636A"/>
    <w:rsid w:val="0062638A"/>
    <w:rsid w:val="00626481"/>
    <w:rsid w:val="00626DAB"/>
    <w:rsid w:val="00626E41"/>
    <w:rsid w:val="00626E82"/>
    <w:rsid w:val="0062711C"/>
    <w:rsid w:val="00627248"/>
    <w:rsid w:val="006272D7"/>
    <w:rsid w:val="00627305"/>
    <w:rsid w:val="0062735B"/>
    <w:rsid w:val="0062737B"/>
    <w:rsid w:val="00627993"/>
    <w:rsid w:val="00627B8C"/>
    <w:rsid w:val="00627CC5"/>
    <w:rsid w:val="00627E95"/>
    <w:rsid w:val="00630089"/>
    <w:rsid w:val="006300DB"/>
    <w:rsid w:val="00630497"/>
    <w:rsid w:val="00630870"/>
    <w:rsid w:val="00630B08"/>
    <w:rsid w:val="00630B80"/>
    <w:rsid w:val="00631038"/>
    <w:rsid w:val="00631230"/>
    <w:rsid w:val="00631840"/>
    <w:rsid w:val="00631997"/>
    <w:rsid w:val="00631EBA"/>
    <w:rsid w:val="006322C5"/>
    <w:rsid w:val="006323A9"/>
    <w:rsid w:val="00632512"/>
    <w:rsid w:val="0063262C"/>
    <w:rsid w:val="00632A5F"/>
    <w:rsid w:val="00632AD0"/>
    <w:rsid w:val="00632B11"/>
    <w:rsid w:val="00633118"/>
    <w:rsid w:val="00633157"/>
    <w:rsid w:val="00633497"/>
    <w:rsid w:val="0063349F"/>
    <w:rsid w:val="0063357E"/>
    <w:rsid w:val="006337F6"/>
    <w:rsid w:val="00633ACD"/>
    <w:rsid w:val="00633EDB"/>
    <w:rsid w:val="00634119"/>
    <w:rsid w:val="006341E0"/>
    <w:rsid w:val="00634627"/>
    <w:rsid w:val="00634747"/>
    <w:rsid w:val="00634A41"/>
    <w:rsid w:val="00634A43"/>
    <w:rsid w:val="00634C36"/>
    <w:rsid w:val="00634C7D"/>
    <w:rsid w:val="00634D11"/>
    <w:rsid w:val="00634FC5"/>
    <w:rsid w:val="0063537F"/>
    <w:rsid w:val="00635385"/>
    <w:rsid w:val="0063545D"/>
    <w:rsid w:val="006354A3"/>
    <w:rsid w:val="0063572B"/>
    <w:rsid w:val="0063592F"/>
    <w:rsid w:val="00635A1C"/>
    <w:rsid w:val="00635B4D"/>
    <w:rsid w:val="00635B99"/>
    <w:rsid w:val="00635C42"/>
    <w:rsid w:val="00635F75"/>
    <w:rsid w:val="006360B4"/>
    <w:rsid w:val="006362F4"/>
    <w:rsid w:val="0063654B"/>
    <w:rsid w:val="0063667D"/>
    <w:rsid w:val="006367E1"/>
    <w:rsid w:val="0063684F"/>
    <w:rsid w:val="00636BC4"/>
    <w:rsid w:val="00636E36"/>
    <w:rsid w:val="00637035"/>
    <w:rsid w:val="006372E0"/>
    <w:rsid w:val="0063736C"/>
    <w:rsid w:val="0063738A"/>
    <w:rsid w:val="006373B2"/>
    <w:rsid w:val="006376C8"/>
    <w:rsid w:val="006376D2"/>
    <w:rsid w:val="00637933"/>
    <w:rsid w:val="0063798D"/>
    <w:rsid w:val="00637A1D"/>
    <w:rsid w:val="0064021A"/>
    <w:rsid w:val="006402B1"/>
    <w:rsid w:val="00640464"/>
    <w:rsid w:val="0064077A"/>
    <w:rsid w:val="006407CC"/>
    <w:rsid w:val="006408DF"/>
    <w:rsid w:val="00640B3D"/>
    <w:rsid w:val="00640DED"/>
    <w:rsid w:val="0064116D"/>
    <w:rsid w:val="006415B2"/>
    <w:rsid w:val="006415E6"/>
    <w:rsid w:val="00641C5C"/>
    <w:rsid w:val="00641FBC"/>
    <w:rsid w:val="00642294"/>
    <w:rsid w:val="00642398"/>
    <w:rsid w:val="006425A8"/>
    <w:rsid w:val="00642626"/>
    <w:rsid w:val="00642658"/>
    <w:rsid w:val="00642725"/>
    <w:rsid w:val="00642996"/>
    <w:rsid w:val="00642B12"/>
    <w:rsid w:val="00642B7E"/>
    <w:rsid w:val="00642E09"/>
    <w:rsid w:val="00643441"/>
    <w:rsid w:val="00643A8B"/>
    <w:rsid w:val="00643D69"/>
    <w:rsid w:val="00644024"/>
    <w:rsid w:val="00644053"/>
    <w:rsid w:val="00644055"/>
    <w:rsid w:val="00644388"/>
    <w:rsid w:val="0064440D"/>
    <w:rsid w:val="00644E47"/>
    <w:rsid w:val="00644EB6"/>
    <w:rsid w:val="00644EFE"/>
    <w:rsid w:val="00644F20"/>
    <w:rsid w:val="00644F67"/>
    <w:rsid w:val="006451C0"/>
    <w:rsid w:val="006453D7"/>
    <w:rsid w:val="006455EF"/>
    <w:rsid w:val="006455F7"/>
    <w:rsid w:val="00645628"/>
    <w:rsid w:val="006456E0"/>
    <w:rsid w:val="00645802"/>
    <w:rsid w:val="00645A31"/>
    <w:rsid w:val="00645D05"/>
    <w:rsid w:val="00645D4B"/>
    <w:rsid w:val="006469C0"/>
    <w:rsid w:val="0064727C"/>
    <w:rsid w:val="006472D0"/>
    <w:rsid w:val="00647D25"/>
    <w:rsid w:val="00647E51"/>
    <w:rsid w:val="006500D0"/>
    <w:rsid w:val="00650327"/>
    <w:rsid w:val="006507EE"/>
    <w:rsid w:val="006509EA"/>
    <w:rsid w:val="00650AB4"/>
    <w:rsid w:val="00650D81"/>
    <w:rsid w:val="00651362"/>
    <w:rsid w:val="00651460"/>
    <w:rsid w:val="006515C9"/>
    <w:rsid w:val="0065162F"/>
    <w:rsid w:val="00651856"/>
    <w:rsid w:val="006519A5"/>
    <w:rsid w:val="00651A8F"/>
    <w:rsid w:val="00651FCE"/>
    <w:rsid w:val="006521DE"/>
    <w:rsid w:val="006521F5"/>
    <w:rsid w:val="006522FB"/>
    <w:rsid w:val="00652306"/>
    <w:rsid w:val="006525F3"/>
    <w:rsid w:val="006526AA"/>
    <w:rsid w:val="0065273E"/>
    <w:rsid w:val="006527A2"/>
    <w:rsid w:val="0065326D"/>
    <w:rsid w:val="00653526"/>
    <w:rsid w:val="00653A28"/>
    <w:rsid w:val="00653CD5"/>
    <w:rsid w:val="00653D49"/>
    <w:rsid w:val="00653DF7"/>
    <w:rsid w:val="00653E9B"/>
    <w:rsid w:val="00654251"/>
    <w:rsid w:val="006547E6"/>
    <w:rsid w:val="00654813"/>
    <w:rsid w:val="00654A17"/>
    <w:rsid w:val="00654A21"/>
    <w:rsid w:val="00654A8F"/>
    <w:rsid w:val="00654C43"/>
    <w:rsid w:val="00654D91"/>
    <w:rsid w:val="00655054"/>
    <w:rsid w:val="006551BD"/>
    <w:rsid w:val="00655787"/>
    <w:rsid w:val="0065583A"/>
    <w:rsid w:val="006558FA"/>
    <w:rsid w:val="00655DC0"/>
    <w:rsid w:val="00655F34"/>
    <w:rsid w:val="00656130"/>
    <w:rsid w:val="00656B92"/>
    <w:rsid w:val="00656C0E"/>
    <w:rsid w:val="00656ED7"/>
    <w:rsid w:val="006570F1"/>
    <w:rsid w:val="00657242"/>
    <w:rsid w:val="006574EC"/>
    <w:rsid w:val="00657739"/>
    <w:rsid w:val="00657929"/>
    <w:rsid w:val="006579E4"/>
    <w:rsid w:val="00657B4A"/>
    <w:rsid w:val="00657CA2"/>
    <w:rsid w:val="00657D15"/>
    <w:rsid w:val="00657D66"/>
    <w:rsid w:val="00660280"/>
    <w:rsid w:val="00660809"/>
    <w:rsid w:val="006609E0"/>
    <w:rsid w:val="00660A19"/>
    <w:rsid w:val="00660D71"/>
    <w:rsid w:val="00660E4A"/>
    <w:rsid w:val="0066116F"/>
    <w:rsid w:val="006613AB"/>
    <w:rsid w:val="00661CE8"/>
    <w:rsid w:val="00662130"/>
    <w:rsid w:val="00662142"/>
    <w:rsid w:val="00662357"/>
    <w:rsid w:val="00662500"/>
    <w:rsid w:val="006625E9"/>
    <w:rsid w:val="006626DA"/>
    <w:rsid w:val="006628FE"/>
    <w:rsid w:val="00662AA8"/>
    <w:rsid w:val="00662AD5"/>
    <w:rsid w:val="00662C89"/>
    <w:rsid w:val="00662CAE"/>
    <w:rsid w:val="00662CDB"/>
    <w:rsid w:val="00662DE7"/>
    <w:rsid w:val="00663074"/>
    <w:rsid w:val="006630EC"/>
    <w:rsid w:val="0066334F"/>
    <w:rsid w:val="0066350D"/>
    <w:rsid w:val="00663675"/>
    <w:rsid w:val="00663B7E"/>
    <w:rsid w:val="00663C99"/>
    <w:rsid w:val="00663D6F"/>
    <w:rsid w:val="00663D85"/>
    <w:rsid w:val="00663FEE"/>
    <w:rsid w:val="0066401C"/>
    <w:rsid w:val="00664671"/>
    <w:rsid w:val="006649C9"/>
    <w:rsid w:val="00664A99"/>
    <w:rsid w:val="00664E26"/>
    <w:rsid w:val="00664FD2"/>
    <w:rsid w:val="00665119"/>
    <w:rsid w:val="006651E1"/>
    <w:rsid w:val="0066527A"/>
    <w:rsid w:val="00665387"/>
    <w:rsid w:val="006655FC"/>
    <w:rsid w:val="006656A4"/>
    <w:rsid w:val="00665801"/>
    <w:rsid w:val="006660FB"/>
    <w:rsid w:val="0066614D"/>
    <w:rsid w:val="0066646D"/>
    <w:rsid w:val="006664E1"/>
    <w:rsid w:val="00666918"/>
    <w:rsid w:val="00666921"/>
    <w:rsid w:val="00666ABA"/>
    <w:rsid w:val="00666E12"/>
    <w:rsid w:val="00666F20"/>
    <w:rsid w:val="00667953"/>
    <w:rsid w:val="006679A3"/>
    <w:rsid w:val="006679BE"/>
    <w:rsid w:val="00667BDB"/>
    <w:rsid w:val="00667F7F"/>
    <w:rsid w:val="006703B1"/>
    <w:rsid w:val="00670502"/>
    <w:rsid w:val="006707B8"/>
    <w:rsid w:val="0067081B"/>
    <w:rsid w:val="00670BC7"/>
    <w:rsid w:val="00670C19"/>
    <w:rsid w:val="00670FDD"/>
    <w:rsid w:val="0067166C"/>
    <w:rsid w:val="006718A4"/>
    <w:rsid w:val="006719A1"/>
    <w:rsid w:val="006719F4"/>
    <w:rsid w:val="00671CE5"/>
    <w:rsid w:val="00671E22"/>
    <w:rsid w:val="006720D8"/>
    <w:rsid w:val="006722B0"/>
    <w:rsid w:val="006726B6"/>
    <w:rsid w:val="00672883"/>
    <w:rsid w:val="00672A06"/>
    <w:rsid w:val="00672A35"/>
    <w:rsid w:val="00672C29"/>
    <w:rsid w:val="00672C7C"/>
    <w:rsid w:val="00672D8D"/>
    <w:rsid w:val="00672EE3"/>
    <w:rsid w:val="00672F47"/>
    <w:rsid w:val="006730F6"/>
    <w:rsid w:val="006734BC"/>
    <w:rsid w:val="00673B68"/>
    <w:rsid w:val="00673BC8"/>
    <w:rsid w:val="00673CCE"/>
    <w:rsid w:val="00673D35"/>
    <w:rsid w:val="00673DBD"/>
    <w:rsid w:val="00673ED9"/>
    <w:rsid w:val="00674225"/>
    <w:rsid w:val="006743B5"/>
    <w:rsid w:val="006744BF"/>
    <w:rsid w:val="006747F9"/>
    <w:rsid w:val="006748A1"/>
    <w:rsid w:val="00674B3B"/>
    <w:rsid w:val="00674CC2"/>
    <w:rsid w:val="00674CFA"/>
    <w:rsid w:val="0067505D"/>
    <w:rsid w:val="00675148"/>
    <w:rsid w:val="00675431"/>
    <w:rsid w:val="00675553"/>
    <w:rsid w:val="00675765"/>
    <w:rsid w:val="00675CEE"/>
    <w:rsid w:val="00675CFB"/>
    <w:rsid w:val="00675ED5"/>
    <w:rsid w:val="006760A1"/>
    <w:rsid w:val="00676158"/>
    <w:rsid w:val="00676159"/>
    <w:rsid w:val="0067620E"/>
    <w:rsid w:val="0067633C"/>
    <w:rsid w:val="0067657C"/>
    <w:rsid w:val="0067671B"/>
    <w:rsid w:val="00676811"/>
    <w:rsid w:val="00676BCF"/>
    <w:rsid w:val="00676CDE"/>
    <w:rsid w:val="00676E2E"/>
    <w:rsid w:val="00676F1D"/>
    <w:rsid w:val="00676F96"/>
    <w:rsid w:val="006779A7"/>
    <w:rsid w:val="00677D35"/>
    <w:rsid w:val="00677F7E"/>
    <w:rsid w:val="006800E5"/>
    <w:rsid w:val="00680155"/>
    <w:rsid w:val="00680363"/>
    <w:rsid w:val="006803F1"/>
    <w:rsid w:val="00680650"/>
    <w:rsid w:val="0068068D"/>
    <w:rsid w:val="006807E4"/>
    <w:rsid w:val="00680818"/>
    <w:rsid w:val="00680853"/>
    <w:rsid w:val="006809A0"/>
    <w:rsid w:val="00680B7A"/>
    <w:rsid w:val="00680D30"/>
    <w:rsid w:val="00681054"/>
    <w:rsid w:val="006810D8"/>
    <w:rsid w:val="0068160B"/>
    <w:rsid w:val="006816D2"/>
    <w:rsid w:val="006818DE"/>
    <w:rsid w:val="00681A37"/>
    <w:rsid w:val="00681C7D"/>
    <w:rsid w:val="00681D23"/>
    <w:rsid w:val="00681FF8"/>
    <w:rsid w:val="00682039"/>
    <w:rsid w:val="00682060"/>
    <w:rsid w:val="00682115"/>
    <w:rsid w:val="0068215F"/>
    <w:rsid w:val="00682201"/>
    <w:rsid w:val="0068224B"/>
    <w:rsid w:val="006824E5"/>
    <w:rsid w:val="006825BF"/>
    <w:rsid w:val="0068267C"/>
    <w:rsid w:val="006826A3"/>
    <w:rsid w:val="006828DD"/>
    <w:rsid w:val="00682973"/>
    <w:rsid w:val="006829F0"/>
    <w:rsid w:val="00682D5E"/>
    <w:rsid w:val="00682E1E"/>
    <w:rsid w:val="00682E36"/>
    <w:rsid w:val="00683079"/>
    <w:rsid w:val="00683691"/>
    <w:rsid w:val="00683867"/>
    <w:rsid w:val="00683BFE"/>
    <w:rsid w:val="00683CFF"/>
    <w:rsid w:val="00683D0C"/>
    <w:rsid w:val="006842F5"/>
    <w:rsid w:val="00684362"/>
    <w:rsid w:val="006843CC"/>
    <w:rsid w:val="006846D4"/>
    <w:rsid w:val="00684811"/>
    <w:rsid w:val="0068489A"/>
    <w:rsid w:val="00684B5E"/>
    <w:rsid w:val="00684BA8"/>
    <w:rsid w:val="00684C3C"/>
    <w:rsid w:val="00684E4A"/>
    <w:rsid w:val="00684ED4"/>
    <w:rsid w:val="006851E3"/>
    <w:rsid w:val="006852C9"/>
    <w:rsid w:val="0068534E"/>
    <w:rsid w:val="00685382"/>
    <w:rsid w:val="0068576C"/>
    <w:rsid w:val="006859B1"/>
    <w:rsid w:val="00685A3B"/>
    <w:rsid w:val="00685B31"/>
    <w:rsid w:val="00685F51"/>
    <w:rsid w:val="00685FF4"/>
    <w:rsid w:val="00686032"/>
    <w:rsid w:val="0068618B"/>
    <w:rsid w:val="006862B0"/>
    <w:rsid w:val="006865AC"/>
    <w:rsid w:val="006865E3"/>
    <w:rsid w:val="006867F6"/>
    <w:rsid w:val="00686F1E"/>
    <w:rsid w:val="006870A0"/>
    <w:rsid w:val="00687232"/>
    <w:rsid w:val="0068728C"/>
    <w:rsid w:val="006872DF"/>
    <w:rsid w:val="00687328"/>
    <w:rsid w:val="00687505"/>
    <w:rsid w:val="00687506"/>
    <w:rsid w:val="006877A7"/>
    <w:rsid w:val="00687A00"/>
    <w:rsid w:val="00687ADF"/>
    <w:rsid w:val="0069001A"/>
    <w:rsid w:val="00690022"/>
    <w:rsid w:val="0069021C"/>
    <w:rsid w:val="00690224"/>
    <w:rsid w:val="006904AD"/>
    <w:rsid w:val="00690569"/>
    <w:rsid w:val="0069060E"/>
    <w:rsid w:val="00690A61"/>
    <w:rsid w:val="00690B4C"/>
    <w:rsid w:val="00690B9B"/>
    <w:rsid w:val="00691236"/>
    <w:rsid w:val="006914EB"/>
    <w:rsid w:val="006915F6"/>
    <w:rsid w:val="0069177B"/>
    <w:rsid w:val="006917BA"/>
    <w:rsid w:val="0069182B"/>
    <w:rsid w:val="00691B19"/>
    <w:rsid w:val="00691B47"/>
    <w:rsid w:val="00692239"/>
    <w:rsid w:val="0069270B"/>
    <w:rsid w:val="0069279E"/>
    <w:rsid w:val="006929B5"/>
    <w:rsid w:val="00692A95"/>
    <w:rsid w:val="00692CC2"/>
    <w:rsid w:val="00692D11"/>
    <w:rsid w:val="00693A77"/>
    <w:rsid w:val="00693B4F"/>
    <w:rsid w:val="00693FEF"/>
    <w:rsid w:val="00694149"/>
    <w:rsid w:val="006948C0"/>
    <w:rsid w:val="0069496B"/>
    <w:rsid w:val="00694B01"/>
    <w:rsid w:val="00694C45"/>
    <w:rsid w:val="00694C98"/>
    <w:rsid w:val="00694DE6"/>
    <w:rsid w:val="00694E11"/>
    <w:rsid w:val="00694FBD"/>
    <w:rsid w:val="00695127"/>
    <w:rsid w:val="006952BA"/>
    <w:rsid w:val="006954F1"/>
    <w:rsid w:val="00695583"/>
    <w:rsid w:val="00695646"/>
    <w:rsid w:val="006958FD"/>
    <w:rsid w:val="00695997"/>
    <w:rsid w:val="00695A6D"/>
    <w:rsid w:val="00695E55"/>
    <w:rsid w:val="00696070"/>
    <w:rsid w:val="006964A8"/>
    <w:rsid w:val="006964BD"/>
    <w:rsid w:val="006969EA"/>
    <w:rsid w:val="00696B10"/>
    <w:rsid w:val="00696BE8"/>
    <w:rsid w:val="00696CCB"/>
    <w:rsid w:val="00696CCD"/>
    <w:rsid w:val="00696D5C"/>
    <w:rsid w:val="00697013"/>
    <w:rsid w:val="00697172"/>
    <w:rsid w:val="0069738A"/>
    <w:rsid w:val="006974BC"/>
    <w:rsid w:val="00697A16"/>
    <w:rsid w:val="00697AEC"/>
    <w:rsid w:val="00697CD7"/>
    <w:rsid w:val="00697DE5"/>
    <w:rsid w:val="00697E20"/>
    <w:rsid w:val="00697F63"/>
    <w:rsid w:val="006A0125"/>
    <w:rsid w:val="006A0134"/>
    <w:rsid w:val="006A0237"/>
    <w:rsid w:val="006A0300"/>
    <w:rsid w:val="006A08FE"/>
    <w:rsid w:val="006A0919"/>
    <w:rsid w:val="006A0A8B"/>
    <w:rsid w:val="006A0B99"/>
    <w:rsid w:val="006A0C73"/>
    <w:rsid w:val="006A0D9C"/>
    <w:rsid w:val="006A0F25"/>
    <w:rsid w:val="006A10C7"/>
    <w:rsid w:val="006A110A"/>
    <w:rsid w:val="006A112C"/>
    <w:rsid w:val="006A12DF"/>
    <w:rsid w:val="006A15CA"/>
    <w:rsid w:val="006A161F"/>
    <w:rsid w:val="006A16E9"/>
    <w:rsid w:val="006A18BD"/>
    <w:rsid w:val="006A1A55"/>
    <w:rsid w:val="006A1C7E"/>
    <w:rsid w:val="006A2072"/>
    <w:rsid w:val="006A213B"/>
    <w:rsid w:val="006A229B"/>
    <w:rsid w:val="006A23FB"/>
    <w:rsid w:val="006A24C2"/>
    <w:rsid w:val="006A2654"/>
    <w:rsid w:val="006A2702"/>
    <w:rsid w:val="006A270C"/>
    <w:rsid w:val="006A272D"/>
    <w:rsid w:val="006A2AF4"/>
    <w:rsid w:val="006A2D81"/>
    <w:rsid w:val="006A2DD0"/>
    <w:rsid w:val="006A2E29"/>
    <w:rsid w:val="006A2F61"/>
    <w:rsid w:val="006A2F7F"/>
    <w:rsid w:val="006A2FBB"/>
    <w:rsid w:val="006A3059"/>
    <w:rsid w:val="006A31E6"/>
    <w:rsid w:val="006A363B"/>
    <w:rsid w:val="006A3A32"/>
    <w:rsid w:val="006A3BB3"/>
    <w:rsid w:val="006A3DC1"/>
    <w:rsid w:val="006A3EBE"/>
    <w:rsid w:val="006A3ED6"/>
    <w:rsid w:val="006A400C"/>
    <w:rsid w:val="006A432B"/>
    <w:rsid w:val="006A4431"/>
    <w:rsid w:val="006A48F7"/>
    <w:rsid w:val="006A4C17"/>
    <w:rsid w:val="006A4F37"/>
    <w:rsid w:val="006A4F96"/>
    <w:rsid w:val="006A5092"/>
    <w:rsid w:val="006A529A"/>
    <w:rsid w:val="006A5657"/>
    <w:rsid w:val="006A5AE7"/>
    <w:rsid w:val="006A5D05"/>
    <w:rsid w:val="006A5E0A"/>
    <w:rsid w:val="006A5F39"/>
    <w:rsid w:val="006A601E"/>
    <w:rsid w:val="006A6133"/>
    <w:rsid w:val="006A61AC"/>
    <w:rsid w:val="006A6230"/>
    <w:rsid w:val="006A6371"/>
    <w:rsid w:val="006A655A"/>
    <w:rsid w:val="006A65D6"/>
    <w:rsid w:val="006A6660"/>
    <w:rsid w:val="006A6AC2"/>
    <w:rsid w:val="006A6F2D"/>
    <w:rsid w:val="006A6F40"/>
    <w:rsid w:val="006A7207"/>
    <w:rsid w:val="006A769F"/>
    <w:rsid w:val="006A7716"/>
    <w:rsid w:val="006A78DB"/>
    <w:rsid w:val="006A7C9D"/>
    <w:rsid w:val="006A7D73"/>
    <w:rsid w:val="006A7DD1"/>
    <w:rsid w:val="006A7F9D"/>
    <w:rsid w:val="006B0689"/>
    <w:rsid w:val="006B0945"/>
    <w:rsid w:val="006B0D0E"/>
    <w:rsid w:val="006B0F0D"/>
    <w:rsid w:val="006B0F26"/>
    <w:rsid w:val="006B11D3"/>
    <w:rsid w:val="006B11E1"/>
    <w:rsid w:val="006B1721"/>
    <w:rsid w:val="006B1DD7"/>
    <w:rsid w:val="006B1F6F"/>
    <w:rsid w:val="006B2087"/>
    <w:rsid w:val="006B21FF"/>
    <w:rsid w:val="006B22B2"/>
    <w:rsid w:val="006B23C4"/>
    <w:rsid w:val="006B23CE"/>
    <w:rsid w:val="006B2458"/>
    <w:rsid w:val="006B24E2"/>
    <w:rsid w:val="006B272A"/>
    <w:rsid w:val="006B2B76"/>
    <w:rsid w:val="006B2DA9"/>
    <w:rsid w:val="006B3062"/>
    <w:rsid w:val="006B36EE"/>
    <w:rsid w:val="006B3DF4"/>
    <w:rsid w:val="006B42CC"/>
    <w:rsid w:val="006B4A03"/>
    <w:rsid w:val="006B4C14"/>
    <w:rsid w:val="006B4D8C"/>
    <w:rsid w:val="006B5165"/>
    <w:rsid w:val="006B5320"/>
    <w:rsid w:val="006B53A5"/>
    <w:rsid w:val="006B55FF"/>
    <w:rsid w:val="006B5644"/>
    <w:rsid w:val="006B5BF3"/>
    <w:rsid w:val="006B5D16"/>
    <w:rsid w:val="006B63DD"/>
    <w:rsid w:val="006B6589"/>
    <w:rsid w:val="006B6601"/>
    <w:rsid w:val="006B6E3F"/>
    <w:rsid w:val="006B6E9F"/>
    <w:rsid w:val="006B7037"/>
    <w:rsid w:val="006B7230"/>
    <w:rsid w:val="006B72F0"/>
    <w:rsid w:val="006B73A1"/>
    <w:rsid w:val="006B73FF"/>
    <w:rsid w:val="006B74B9"/>
    <w:rsid w:val="006B7501"/>
    <w:rsid w:val="006B76C7"/>
    <w:rsid w:val="006B76D1"/>
    <w:rsid w:val="006B7B46"/>
    <w:rsid w:val="006B7B6E"/>
    <w:rsid w:val="006B7BB7"/>
    <w:rsid w:val="006B7BE9"/>
    <w:rsid w:val="006B7D53"/>
    <w:rsid w:val="006B7D58"/>
    <w:rsid w:val="006B7DFF"/>
    <w:rsid w:val="006C02D7"/>
    <w:rsid w:val="006C0797"/>
    <w:rsid w:val="006C0824"/>
    <w:rsid w:val="006C0989"/>
    <w:rsid w:val="006C0AFE"/>
    <w:rsid w:val="006C0B94"/>
    <w:rsid w:val="006C0CC2"/>
    <w:rsid w:val="006C0D64"/>
    <w:rsid w:val="006C0DB2"/>
    <w:rsid w:val="006C0DBA"/>
    <w:rsid w:val="006C1813"/>
    <w:rsid w:val="006C198A"/>
    <w:rsid w:val="006C1AA8"/>
    <w:rsid w:val="006C1BE4"/>
    <w:rsid w:val="006C1CAA"/>
    <w:rsid w:val="006C1DDC"/>
    <w:rsid w:val="006C2223"/>
    <w:rsid w:val="006C27E5"/>
    <w:rsid w:val="006C2A0E"/>
    <w:rsid w:val="006C2DCB"/>
    <w:rsid w:val="006C2F16"/>
    <w:rsid w:val="006C3021"/>
    <w:rsid w:val="006C34D7"/>
    <w:rsid w:val="006C365B"/>
    <w:rsid w:val="006C3C15"/>
    <w:rsid w:val="006C3D7B"/>
    <w:rsid w:val="006C3E1C"/>
    <w:rsid w:val="006C40DE"/>
    <w:rsid w:val="006C40ED"/>
    <w:rsid w:val="006C4109"/>
    <w:rsid w:val="006C4261"/>
    <w:rsid w:val="006C43B7"/>
    <w:rsid w:val="006C4485"/>
    <w:rsid w:val="006C451C"/>
    <w:rsid w:val="006C46B3"/>
    <w:rsid w:val="006C4862"/>
    <w:rsid w:val="006C4A57"/>
    <w:rsid w:val="006C531A"/>
    <w:rsid w:val="006C53D0"/>
    <w:rsid w:val="006C557D"/>
    <w:rsid w:val="006C5722"/>
    <w:rsid w:val="006C5734"/>
    <w:rsid w:val="006C5F0B"/>
    <w:rsid w:val="006C6188"/>
    <w:rsid w:val="006C6211"/>
    <w:rsid w:val="006C63B9"/>
    <w:rsid w:val="006C6484"/>
    <w:rsid w:val="006C6CEA"/>
    <w:rsid w:val="006C6D3E"/>
    <w:rsid w:val="006C6D40"/>
    <w:rsid w:val="006C7161"/>
    <w:rsid w:val="006C7252"/>
    <w:rsid w:val="006C734D"/>
    <w:rsid w:val="006C73C6"/>
    <w:rsid w:val="006C74B6"/>
    <w:rsid w:val="006C75C2"/>
    <w:rsid w:val="006C75F4"/>
    <w:rsid w:val="006C7635"/>
    <w:rsid w:val="006C777E"/>
    <w:rsid w:val="006C7905"/>
    <w:rsid w:val="006C7908"/>
    <w:rsid w:val="006C7AE9"/>
    <w:rsid w:val="006C7D26"/>
    <w:rsid w:val="006C7DED"/>
    <w:rsid w:val="006C7E0B"/>
    <w:rsid w:val="006D01C6"/>
    <w:rsid w:val="006D0288"/>
    <w:rsid w:val="006D0333"/>
    <w:rsid w:val="006D063C"/>
    <w:rsid w:val="006D0657"/>
    <w:rsid w:val="006D16DE"/>
    <w:rsid w:val="006D18A5"/>
    <w:rsid w:val="006D197D"/>
    <w:rsid w:val="006D1991"/>
    <w:rsid w:val="006D2277"/>
    <w:rsid w:val="006D2296"/>
    <w:rsid w:val="006D22B7"/>
    <w:rsid w:val="006D248E"/>
    <w:rsid w:val="006D2999"/>
    <w:rsid w:val="006D2AFA"/>
    <w:rsid w:val="006D2C27"/>
    <w:rsid w:val="006D3277"/>
    <w:rsid w:val="006D34D6"/>
    <w:rsid w:val="006D379D"/>
    <w:rsid w:val="006D37D0"/>
    <w:rsid w:val="006D387D"/>
    <w:rsid w:val="006D3B71"/>
    <w:rsid w:val="006D3B9A"/>
    <w:rsid w:val="006D3D3F"/>
    <w:rsid w:val="006D44ED"/>
    <w:rsid w:val="006D4513"/>
    <w:rsid w:val="006D4864"/>
    <w:rsid w:val="006D4869"/>
    <w:rsid w:val="006D4A80"/>
    <w:rsid w:val="006D4AC2"/>
    <w:rsid w:val="006D50AF"/>
    <w:rsid w:val="006D512E"/>
    <w:rsid w:val="006D517A"/>
    <w:rsid w:val="006D51D4"/>
    <w:rsid w:val="006D538B"/>
    <w:rsid w:val="006D56A1"/>
    <w:rsid w:val="006D571D"/>
    <w:rsid w:val="006D59C8"/>
    <w:rsid w:val="006D6107"/>
    <w:rsid w:val="006D6181"/>
    <w:rsid w:val="006D64CA"/>
    <w:rsid w:val="006D6AEC"/>
    <w:rsid w:val="006D6B0E"/>
    <w:rsid w:val="006D6E0A"/>
    <w:rsid w:val="006D6F23"/>
    <w:rsid w:val="006D720C"/>
    <w:rsid w:val="006D72C2"/>
    <w:rsid w:val="006D7395"/>
    <w:rsid w:val="006D7528"/>
    <w:rsid w:val="006D7866"/>
    <w:rsid w:val="006D7A07"/>
    <w:rsid w:val="006D7A44"/>
    <w:rsid w:val="006D7B2B"/>
    <w:rsid w:val="006D7C0A"/>
    <w:rsid w:val="006D7E77"/>
    <w:rsid w:val="006E011E"/>
    <w:rsid w:val="006E046C"/>
    <w:rsid w:val="006E0519"/>
    <w:rsid w:val="006E0698"/>
    <w:rsid w:val="006E09BA"/>
    <w:rsid w:val="006E0B31"/>
    <w:rsid w:val="006E0DA5"/>
    <w:rsid w:val="006E12F0"/>
    <w:rsid w:val="006E143A"/>
    <w:rsid w:val="006E17BC"/>
    <w:rsid w:val="006E188F"/>
    <w:rsid w:val="006E1B80"/>
    <w:rsid w:val="006E1F68"/>
    <w:rsid w:val="006E2441"/>
    <w:rsid w:val="006E2569"/>
    <w:rsid w:val="006E2644"/>
    <w:rsid w:val="006E26C9"/>
    <w:rsid w:val="006E27F1"/>
    <w:rsid w:val="006E28E8"/>
    <w:rsid w:val="006E30CB"/>
    <w:rsid w:val="006E31CD"/>
    <w:rsid w:val="006E362A"/>
    <w:rsid w:val="006E36A9"/>
    <w:rsid w:val="006E3A3D"/>
    <w:rsid w:val="006E3BE8"/>
    <w:rsid w:val="006E3CD2"/>
    <w:rsid w:val="006E3F73"/>
    <w:rsid w:val="006E41BD"/>
    <w:rsid w:val="006E4217"/>
    <w:rsid w:val="006E43B4"/>
    <w:rsid w:val="006E46E9"/>
    <w:rsid w:val="006E4A01"/>
    <w:rsid w:val="006E4B00"/>
    <w:rsid w:val="006E4C9A"/>
    <w:rsid w:val="006E4DF2"/>
    <w:rsid w:val="006E4E3E"/>
    <w:rsid w:val="006E4EE3"/>
    <w:rsid w:val="006E53F3"/>
    <w:rsid w:val="006E55A2"/>
    <w:rsid w:val="006E56AF"/>
    <w:rsid w:val="006E5A3A"/>
    <w:rsid w:val="006E5D49"/>
    <w:rsid w:val="006E6127"/>
    <w:rsid w:val="006E63F3"/>
    <w:rsid w:val="006E645E"/>
    <w:rsid w:val="006E64CD"/>
    <w:rsid w:val="006E6C68"/>
    <w:rsid w:val="006E6CF5"/>
    <w:rsid w:val="006E6CF8"/>
    <w:rsid w:val="006E6F75"/>
    <w:rsid w:val="006E6FC0"/>
    <w:rsid w:val="006E7458"/>
    <w:rsid w:val="006E75D4"/>
    <w:rsid w:val="006E7828"/>
    <w:rsid w:val="006E7D01"/>
    <w:rsid w:val="006E7D62"/>
    <w:rsid w:val="006F01D4"/>
    <w:rsid w:val="006F02E2"/>
    <w:rsid w:val="006F0951"/>
    <w:rsid w:val="006F0972"/>
    <w:rsid w:val="006F0A0E"/>
    <w:rsid w:val="006F0AD7"/>
    <w:rsid w:val="006F0C85"/>
    <w:rsid w:val="006F0E73"/>
    <w:rsid w:val="006F0EAE"/>
    <w:rsid w:val="006F0EEC"/>
    <w:rsid w:val="006F168B"/>
    <w:rsid w:val="006F1790"/>
    <w:rsid w:val="006F17B1"/>
    <w:rsid w:val="006F1982"/>
    <w:rsid w:val="006F1A6E"/>
    <w:rsid w:val="006F1F7B"/>
    <w:rsid w:val="006F237C"/>
    <w:rsid w:val="006F24D4"/>
    <w:rsid w:val="006F268D"/>
    <w:rsid w:val="006F2695"/>
    <w:rsid w:val="006F29F2"/>
    <w:rsid w:val="006F2B32"/>
    <w:rsid w:val="006F2B57"/>
    <w:rsid w:val="006F2B75"/>
    <w:rsid w:val="006F2C9B"/>
    <w:rsid w:val="006F2DE1"/>
    <w:rsid w:val="006F2E17"/>
    <w:rsid w:val="006F2E43"/>
    <w:rsid w:val="006F2F37"/>
    <w:rsid w:val="006F2FDB"/>
    <w:rsid w:val="006F3007"/>
    <w:rsid w:val="006F30C9"/>
    <w:rsid w:val="006F31AF"/>
    <w:rsid w:val="006F3476"/>
    <w:rsid w:val="006F34F6"/>
    <w:rsid w:val="006F4069"/>
    <w:rsid w:val="006F4145"/>
    <w:rsid w:val="006F4744"/>
    <w:rsid w:val="006F4A6F"/>
    <w:rsid w:val="006F4B23"/>
    <w:rsid w:val="006F4C91"/>
    <w:rsid w:val="006F4D32"/>
    <w:rsid w:val="006F4DD8"/>
    <w:rsid w:val="006F5051"/>
    <w:rsid w:val="006F5203"/>
    <w:rsid w:val="006F560B"/>
    <w:rsid w:val="006F570B"/>
    <w:rsid w:val="006F5916"/>
    <w:rsid w:val="006F59E3"/>
    <w:rsid w:val="006F5EE1"/>
    <w:rsid w:val="006F5FA3"/>
    <w:rsid w:val="006F6087"/>
    <w:rsid w:val="006F61EE"/>
    <w:rsid w:val="006F63CD"/>
    <w:rsid w:val="006F65B8"/>
    <w:rsid w:val="006F679F"/>
    <w:rsid w:val="006F67DE"/>
    <w:rsid w:val="006F680F"/>
    <w:rsid w:val="006F69FE"/>
    <w:rsid w:val="006F6B59"/>
    <w:rsid w:val="006F75E0"/>
    <w:rsid w:val="006F75E7"/>
    <w:rsid w:val="006F762C"/>
    <w:rsid w:val="006F774A"/>
    <w:rsid w:val="006F7926"/>
    <w:rsid w:val="006F7A28"/>
    <w:rsid w:val="006F7AD2"/>
    <w:rsid w:val="006F7BE9"/>
    <w:rsid w:val="006F7CCF"/>
    <w:rsid w:val="006F7F62"/>
    <w:rsid w:val="0070001B"/>
    <w:rsid w:val="00700270"/>
    <w:rsid w:val="007003AA"/>
    <w:rsid w:val="0070053C"/>
    <w:rsid w:val="00700576"/>
    <w:rsid w:val="0070059F"/>
    <w:rsid w:val="0070063F"/>
    <w:rsid w:val="0070064C"/>
    <w:rsid w:val="00700BFC"/>
    <w:rsid w:val="00700D05"/>
    <w:rsid w:val="00700D1D"/>
    <w:rsid w:val="00700D6C"/>
    <w:rsid w:val="00700E66"/>
    <w:rsid w:val="00701061"/>
    <w:rsid w:val="007012CF"/>
    <w:rsid w:val="0070171E"/>
    <w:rsid w:val="0070188B"/>
    <w:rsid w:val="00701A13"/>
    <w:rsid w:val="00701AD8"/>
    <w:rsid w:val="00701B11"/>
    <w:rsid w:val="00701C2A"/>
    <w:rsid w:val="00701F4B"/>
    <w:rsid w:val="0070200B"/>
    <w:rsid w:val="007020AC"/>
    <w:rsid w:val="007020C1"/>
    <w:rsid w:val="007020DA"/>
    <w:rsid w:val="0070226D"/>
    <w:rsid w:val="0070231F"/>
    <w:rsid w:val="007023ED"/>
    <w:rsid w:val="007025A5"/>
    <w:rsid w:val="00702B0E"/>
    <w:rsid w:val="00702BC8"/>
    <w:rsid w:val="00702CA9"/>
    <w:rsid w:val="00702F71"/>
    <w:rsid w:val="0070301A"/>
    <w:rsid w:val="0070336B"/>
    <w:rsid w:val="0070338F"/>
    <w:rsid w:val="007035E1"/>
    <w:rsid w:val="00703E5C"/>
    <w:rsid w:val="00704129"/>
    <w:rsid w:val="00704338"/>
    <w:rsid w:val="00704898"/>
    <w:rsid w:val="00704983"/>
    <w:rsid w:val="007049D3"/>
    <w:rsid w:val="00704CA6"/>
    <w:rsid w:val="00704E1D"/>
    <w:rsid w:val="00704F7F"/>
    <w:rsid w:val="00704FAE"/>
    <w:rsid w:val="007050F4"/>
    <w:rsid w:val="00705406"/>
    <w:rsid w:val="00705735"/>
    <w:rsid w:val="00705C0D"/>
    <w:rsid w:val="00705D74"/>
    <w:rsid w:val="00705DC6"/>
    <w:rsid w:val="00705DDA"/>
    <w:rsid w:val="00705E1F"/>
    <w:rsid w:val="007061A9"/>
    <w:rsid w:val="00706414"/>
    <w:rsid w:val="0070644C"/>
    <w:rsid w:val="007066B3"/>
    <w:rsid w:val="007066FC"/>
    <w:rsid w:val="00706916"/>
    <w:rsid w:val="00706B62"/>
    <w:rsid w:val="00706BC2"/>
    <w:rsid w:val="00706EAC"/>
    <w:rsid w:val="00707048"/>
    <w:rsid w:val="007071B4"/>
    <w:rsid w:val="007071CB"/>
    <w:rsid w:val="007073A6"/>
    <w:rsid w:val="007074D5"/>
    <w:rsid w:val="0070762C"/>
    <w:rsid w:val="00707849"/>
    <w:rsid w:val="0070797F"/>
    <w:rsid w:val="00707AE8"/>
    <w:rsid w:val="00707CA3"/>
    <w:rsid w:val="00707D14"/>
    <w:rsid w:val="00707D15"/>
    <w:rsid w:val="00707D1F"/>
    <w:rsid w:val="00710092"/>
    <w:rsid w:val="007100E1"/>
    <w:rsid w:val="007100F9"/>
    <w:rsid w:val="00710B9D"/>
    <w:rsid w:val="00711076"/>
    <w:rsid w:val="00711284"/>
    <w:rsid w:val="00711765"/>
    <w:rsid w:val="007118C0"/>
    <w:rsid w:val="007119D3"/>
    <w:rsid w:val="00711A5B"/>
    <w:rsid w:val="00711B93"/>
    <w:rsid w:val="00711BA8"/>
    <w:rsid w:val="00711EE3"/>
    <w:rsid w:val="0071209A"/>
    <w:rsid w:val="00712250"/>
    <w:rsid w:val="0071226D"/>
    <w:rsid w:val="00712373"/>
    <w:rsid w:val="0071259A"/>
    <w:rsid w:val="007129EB"/>
    <w:rsid w:val="007129FE"/>
    <w:rsid w:val="00712CDF"/>
    <w:rsid w:val="00712D41"/>
    <w:rsid w:val="00712E13"/>
    <w:rsid w:val="00713190"/>
    <w:rsid w:val="00713288"/>
    <w:rsid w:val="00713568"/>
    <w:rsid w:val="00713569"/>
    <w:rsid w:val="007136A4"/>
    <w:rsid w:val="0071382B"/>
    <w:rsid w:val="00713C9B"/>
    <w:rsid w:val="00713CC4"/>
    <w:rsid w:val="007143C2"/>
    <w:rsid w:val="007146ED"/>
    <w:rsid w:val="0071480A"/>
    <w:rsid w:val="0071492B"/>
    <w:rsid w:val="007149AB"/>
    <w:rsid w:val="00714A0D"/>
    <w:rsid w:val="00714AC0"/>
    <w:rsid w:val="00714B3B"/>
    <w:rsid w:val="00714CD2"/>
    <w:rsid w:val="00714EB5"/>
    <w:rsid w:val="007151D6"/>
    <w:rsid w:val="0071521B"/>
    <w:rsid w:val="007155C8"/>
    <w:rsid w:val="00715761"/>
    <w:rsid w:val="00715805"/>
    <w:rsid w:val="00715F82"/>
    <w:rsid w:val="0071610B"/>
    <w:rsid w:val="007162CF"/>
    <w:rsid w:val="00716421"/>
    <w:rsid w:val="00716607"/>
    <w:rsid w:val="0071661F"/>
    <w:rsid w:val="00716880"/>
    <w:rsid w:val="00716960"/>
    <w:rsid w:val="007169C9"/>
    <w:rsid w:val="00716B1F"/>
    <w:rsid w:val="00716CA6"/>
    <w:rsid w:val="007170D8"/>
    <w:rsid w:val="00717260"/>
    <w:rsid w:val="00717566"/>
    <w:rsid w:val="007175FE"/>
    <w:rsid w:val="00717733"/>
    <w:rsid w:val="007177D8"/>
    <w:rsid w:val="007179EA"/>
    <w:rsid w:val="00717C44"/>
    <w:rsid w:val="00717F2B"/>
    <w:rsid w:val="0072017F"/>
    <w:rsid w:val="00720208"/>
    <w:rsid w:val="0072029E"/>
    <w:rsid w:val="007202F4"/>
    <w:rsid w:val="0072051D"/>
    <w:rsid w:val="0072071D"/>
    <w:rsid w:val="00720758"/>
    <w:rsid w:val="00720759"/>
    <w:rsid w:val="007207DE"/>
    <w:rsid w:val="007208F4"/>
    <w:rsid w:val="00720BAA"/>
    <w:rsid w:val="00720D17"/>
    <w:rsid w:val="00720E92"/>
    <w:rsid w:val="00720F20"/>
    <w:rsid w:val="00721147"/>
    <w:rsid w:val="0072121B"/>
    <w:rsid w:val="00721642"/>
    <w:rsid w:val="00721959"/>
    <w:rsid w:val="00721B8B"/>
    <w:rsid w:val="00721D27"/>
    <w:rsid w:val="00721D4A"/>
    <w:rsid w:val="00721D73"/>
    <w:rsid w:val="0072204B"/>
    <w:rsid w:val="00722516"/>
    <w:rsid w:val="00722675"/>
    <w:rsid w:val="0072290A"/>
    <w:rsid w:val="00722E40"/>
    <w:rsid w:val="00723101"/>
    <w:rsid w:val="00723275"/>
    <w:rsid w:val="007234DA"/>
    <w:rsid w:val="0072360F"/>
    <w:rsid w:val="00723718"/>
    <w:rsid w:val="007239CA"/>
    <w:rsid w:val="00723A1A"/>
    <w:rsid w:val="00723E69"/>
    <w:rsid w:val="0072434D"/>
    <w:rsid w:val="007243F9"/>
    <w:rsid w:val="00724538"/>
    <w:rsid w:val="00724693"/>
    <w:rsid w:val="007246BE"/>
    <w:rsid w:val="00724A2C"/>
    <w:rsid w:val="00725267"/>
    <w:rsid w:val="007253F7"/>
    <w:rsid w:val="0072543E"/>
    <w:rsid w:val="00725454"/>
    <w:rsid w:val="007259AC"/>
    <w:rsid w:val="00725AC0"/>
    <w:rsid w:val="00725B15"/>
    <w:rsid w:val="00725FDC"/>
    <w:rsid w:val="007262C6"/>
    <w:rsid w:val="00726347"/>
    <w:rsid w:val="00726600"/>
    <w:rsid w:val="00726646"/>
    <w:rsid w:val="00726A17"/>
    <w:rsid w:val="00726F46"/>
    <w:rsid w:val="00727889"/>
    <w:rsid w:val="00727B93"/>
    <w:rsid w:val="00727D00"/>
    <w:rsid w:val="00730067"/>
    <w:rsid w:val="0073006A"/>
    <w:rsid w:val="007301F9"/>
    <w:rsid w:val="007304D9"/>
    <w:rsid w:val="00730763"/>
    <w:rsid w:val="0073080A"/>
    <w:rsid w:val="00730CAD"/>
    <w:rsid w:val="00730F69"/>
    <w:rsid w:val="0073111C"/>
    <w:rsid w:val="007312D7"/>
    <w:rsid w:val="00731314"/>
    <w:rsid w:val="007315DD"/>
    <w:rsid w:val="007317E0"/>
    <w:rsid w:val="0073182F"/>
    <w:rsid w:val="007319A4"/>
    <w:rsid w:val="00731D75"/>
    <w:rsid w:val="0073206E"/>
    <w:rsid w:val="0073226C"/>
    <w:rsid w:val="0073232E"/>
    <w:rsid w:val="007323C4"/>
    <w:rsid w:val="0073251F"/>
    <w:rsid w:val="00732535"/>
    <w:rsid w:val="00732B16"/>
    <w:rsid w:val="00732C99"/>
    <w:rsid w:val="00732E0F"/>
    <w:rsid w:val="0073322D"/>
    <w:rsid w:val="007336B7"/>
    <w:rsid w:val="00733862"/>
    <w:rsid w:val="0073399F"/>
    <w:rsid w:val="007339D3"/>
    <w:rsid w:val="00733B28"/>
    <w:rsid w:val="00733CA8"/>
    <w:rsid w:val="00733CF8"/>
    <w:rsid w:val="00733F6A"/>
    <w:rsid w:val="00734048"/>
    <w:rsid w:val="00734196"/>
    <w:rsid w:val="0073421F"/>
    <w:rsid w:val="00734239"/>
    <w:rsid w:val="007342BB"/>
    <w:rsid w:val="007343A2"/>
    <w:rsid w:val="007345FE"/>
    <w:rsid w:val="00734618"/>
    <w:rsid w:val="007347DA"/>
    <w:rsid w:val="0073495B"/>
    <w:rsid w:val="00734A1D"/>
    <w:rsid w:val="00734C98"/>
    <w:rsid w:val="00734CEC"/>
    <w:rsid w:val="0073540C"/>
    <w:rsid w:val="007354AA"/>
    <w:rsid w:val="007355A6"/>
    <w:rsid w:val="0073588A"/>
    <w:rsid w:val="00735912"/>
    <w:rsid w:val="00735C0E"/>
    <w:rsid w:val="00735D3B"/>
    <w:rsid w:val="007360D8"/>
    <w:rsid w:val="007361A6"/>
    <w:rsid w:val="007362DA"/>
    <w:rsid w:val="00736405"/>
    <w:rsid w:val="0073641F"/>
    <w:rsid w:val="00736637"/>
    <w:rsid w:val="007366C5"/>
    <w:rsid w:val="00736A8D"/>
    <w:rsid w:val="00736AB4"/>
    <w:rsid w:val="00736AC2"/>
    <w:rsid w:val="00736B78"/>
    <w:rsid w:val="00736BF8"/>
    <w:rsid w:val="00736C85"/>
    <w:rsid w:val="00736D02"/>
    <w:rsid w:val="00736F9B"/>
    <w:rsid w:val="007370A2"/>
    <w:rsid w:val="007370CC"/>
    <w:rsid w:val="0073716E"/>
    <w:rsid w:val="00737475"/>
    <w:rsid w:val="007374DF"/>
    <w:rsid w:val="007376C8"/>
    <w:rsid w:val="007376DC"/>
    <w:rsid w:val="00737A7B"/>
    <w:rsid w:val="00737F27"/>
    <w:rsid w:val="007401AE"/>
    <w:rsid w:val="007403D6"/>
    <w:rsid w:val="007405B1"/>
    <w:rsid w:val="0074069B"/>
    <w:rsid w:val="007407E9"/>
    <w:rsid w:val="00740BAF"/>
    <w:rsid w:val="00740C3C"/>
    <w:rsid w:val="00740E1B"/>
    <w:rsid w:val="0074109A"/>
    <w:rsid w:val="0074115C"/>
    <w:rsid w:val="007417FB"/>
    <w:rsid w:val="0074180B"/>
    <w:rsid w:val="007418A9"/>
    <w:rsid w:val="00741D29"/>
    <w:rsid w:val="00741DF3"/>
    <w:rsid w:val="00742074"/>
    <w:rsid w:val="0074214A"/>
    <w:rsid w:val="00742463"/>
    <w:rsid w:val="007425BF"/>
    <w:rsid w:val="007425EB"/>
    <w:rsid w:val="00742CD8"/>
    <w:rsid w:val="00742D53"/>
    <w:rsid w:val="00742E5E"/>
    <w:rsid w:val="00742F13"/>
    <w:rsid w:val="00742F44"/>
    <w:rsid w:val="0074328D"/>
    <w:rsid w:val="00743399"/>
    <w:rsid w:val="00743432"/>
    <w:rsid w:val="00743506"/>
    <w:rsid w:val="007439AD"/>
    <w:rsid w:val="00743B72"/>
    <w:rsid w:val="00743F45"/>
    <w:rsid w:val="00744016"/>
    <w:rsid w:val="0074402D"/>
    <w:rsid w:val="007441A3"/>
    <w:rsid w:val="007444CA"/>
    <w:rsid w:val="007446BD"/>
    <w:rsid w:val="00744768"/>
    <w:rsid w:val="007447A2"/>
    <w:rsid w:val="00744E4A"/>
    <w:rsid w:val="00744FB3"/>
    <w:rsid w:val="00745004"/>
    <w:rsid w:val="0074519A"/>
    <w:rsid w:val="007451C3"/>
    <w:rsid w:val="007453EF"/>
    <w:rsid w:val="0074573D"/>
    <w:rsid w:val="00745779"/>
    <w:rsid w:val="007459BB"/>
    <w:rsid w:val="00745E9E"/>
    <w:rsid w:val="0074622D"/>
    <w:rsid w:val="00746243"/>
    <w:rsid w:val="0074638B"/>
    <w:rsid w:val="00746616"/>
    <w:rsid w:val="00746736"/>
    <w:rsid w:val="00746869"/>
    <w:rsid w:val="0074698E"/>
    <w:rsid w:val="00746C7E"/>
    <w:rsid w:val="00746CA4"/>
    <w:rsid w:val="00746F5C"/>
    <w:rsid w:val="00746F6E"/>
    <w:rsid w:val="00747452"/>
    <w:rsid w:val="00747526"/>
    <w:rsid w:val="0074752E"/>
    <w:rsid w:val="0074756C"/>
    <w:rsid w:val="007477E3"/>
    <w:rsid w:val="007477F7"/>
    <w:rsid w:val="00747879"/>
    <w:rsid w:val="00747A26"/>
    <w:rsid w:val="00747BCB"/>
    <w:rsid w:val="00747FA6"/>
    <w:rsid w:val="007501F5"/>
    <w:rsid w:val="0075020E"/>
    <w:rsid w:val="007507C7"/>
    <w:rsid w:val="0075080C"/>
    <w:rsid w:val="00750C5A"/>
    <w:rsid w:val="00750CF1"/>
    <w:rsid w:val="0075155F"/>
    <w:rsid w:val="00751A94"/>
    <w:rsid w:val="00751AAA"/>
    <w:rsid w:val="00751AC6"/>
    <w:rsid w:val="00751B83"/>
    <w:rsid w:val="00751BCD"/>
    <w:rsid w:val="00751E72"/>
    <w:rsid w:val="00751E91"/>
    <w:rsid w:val="00751F2B"/>
    <w:rsid w:val="0075200A"/>
    <w:rsid w:val="00752037"/>
    <w:rsid w:val="00752232"/>
    <w:rsid w:val="007522D1"/>
    <w:rsid w:val="0075248C"/>
    <w:rsid w:val="007524E7"/>
    <w:rsid w:val="0075275C"/>
    <w:rsid w:val="007529D5"/>
    <w:rsid w:val="00752A4D"/>
    <w:rsid w:val="00752BE0"/>
    <w:rsid w:val="00752E45"/>
    <w:rsid w:val="00752FA5"/>
    <w:rsid w:val="00752FDD"/>
    <w:rsid w:val="00753039"/>
    <w:rsid w:val="00753088"/>
    <w:rsid w:val="00753138"/>
    <w:rsid w:val="007531DB"/>
    <w:rsid w:val="00753566"/>
    <w:rsid w:val="0075369F"/>
    <w:rsid w:val="00753752"/>
    <w:rsid w:val="00754482"/>
    <w:rsid w:val="007545EF"/>
    <w:rsid w:val="00754620"/>
    <w:rsid w:val="00754854"/>
    <w:rsid w:val="007548C1"/>
    <w:rsid w:val="00754B56"/>
    <w:rsid w:val="00754B61"/>
    <w:rsid w:val="00754C5D"/>
    <w:rsid w:val="00754F77"/>
    <w:rsid w:val="00755133"/>
    <w:rsid w:val="007553A0"/>
    <w:rsid w:val="00755643"/>
    <w:rsid w:val="007556F8"/>
    <w:rsid w:val="00755908"/>
    <w:rsid w:val="00755CA6"/>
    <w:rsid w:val="00755ED2"/>
    <w:rsid w:val="007565F9"/>
    <w:rsid w:val="0075666E"/>
    <w:rsid w:val="00756704"/>
    <w:rsid w:val="0075680D"/>
    <w:rsid w:val="007568A4"/>
    <w:rsid w:val="00756DAD"/>
    <w:rsid w:val="007571B0"/>
    <w:rsid w:val="007572B9"/>
    <w:rsid w:val="00757329"/>
    <w:rsid w:val="00757544"/>
    <w:rsid w:val="00757678"/>
    <w:rsid w:val="007578DB"/>
    <w:rsid w:val="0075792F"/>
    <w:rsid w:val="00757AEC"/>
    <w:rsid w:val="00757E08"/>
    <w:rsid w:val="00757FCC"/>
    <w:rsid w:val="00760286"/>
    <w:rsid w:val="007607E0"/>
    <w:rsid w:val="0076092E"/>
    <w:rsid w:val="007609B5"/>
    <w:rsid w:val="007615C9"/>
    <w:rsid w:val="00761692"/>
    <w:rsid w:val="007617E7"/>
    <w:rsid w:val="00761852"/>
    <w:rsid w:val="00761B17"/>
    <w:rsid w:val="00761E71"/>
    <w:rsid w:val="00761F67"/>
    <w:rsid w:val="00762032"/>
    <w:rsid w:val="0076221B"/>
    <w:rsid w:val="00762483"/>
    <w:rsid w:val="007626BF"/>
    <w:rsid w:val="0076270F"/>
    <w:rsid w:val="00762D9B"/>
    <w:rsid w:val="00762E3A"/>
    <w:rsid w:val="00762F08"/>
    <w:rsid w:val="007630C8"/>
    <w:rsid w:val="0076311D"/>
    <w:rsid w:val="007631D7"/>
    <w:rsid w:val="00763200"/>
    <w:rsid w:val="007632D0"/>
    <w:rsid w:val="007634DD"/>
    <w:rsid w:val="00763508"/>
    <w:rsid w:val="00763557"/>
    <w:rsid w:val="00763796"/>
    <w:rsid w:val="0076396B"/>
    <w:rsid w:val="00763A53"/>
    <w:rsid w:val="0076415D"/>
    <w:rsid w:val="00764324"/>
    <w:rsid w:val="007646A4"/>
    <w:rsid w:val="00764857"/>
    <w:rsid w:val="007648FF"/>
    <w:rsid w:val="00764980"/>
    <w:rsid w:val="00764992"/>
    <w:rsid w:val="00764BF5"/>
    <w:rsid w:val="00764C87"/>
    <w:rsid w:val="00765288"/>
    <w:rsid w:val="0076558C"/>
    <w:rsid w:val="00765662"/>
    <w:rsid w:val="0076567D"/>
    <w:rsid w:val="00765856"/>
    <w:rsid w:val="007658FC"/>
    <w:rsid w:val="007659AC"/>
    <w:rsid w:val="00765AC8"/>
    <w:rsid w:val="00765C99"/>
    <w:rsid w:val="00766342"/>
    <w:rsid w:val="0076639B"/>
    <w:rsid w:val="0076663E"/>
    <w:rsid w:val="007666EB"/>
    <w:rsid w:val="00766863"/>
    <w:rsid w:val="007668BB"/>
    <w:rsid w:val="00766BF5"/>
    <w:rsid w:val="00766E53"/>
    <w:rsid w:val="00766F83"/>
    <w:rsid w:val="00766FDD"/>
    <w:rsid w:val="00767211"/>
    <w:rsid w:val="00767239"/>
    <w:rsid w:val="007672C0"/>
    <w:rsid w:val="007673E2"/>
    <w:rsid w:val="00767B87"/>
    <w:rsid w:val="00767BB5"/>
    <w:rsid w:val="00767D4D"/>
    <w:rsid w:val="00767F7E"/>
    <w:rsid w:val="00767FBC"/>
    <w:rsid w:val="00770455"/>
    <w:rsid w:val="007705F4"/>
    <w:rsid w:val="007706BC"/>
    <w:rsid w:val="007709DF"/>
    <w:rsid w:val="00770C21"/>
    <w:rsid w:val="00770D51"/>
    <w:rsid w:val="00770E80"/>
    <w:rsid w:val="007710F0"/>
    <w:rsid w:val="00771203"/>
    <w:rsid w:val="00771277"/>
    <w:rsid w:val="007712BC"/>
    <w:rsid w:val="00771433"/>
    <w:rsid w:val="00771705"/>
    <w:rsid w:val="00771877"/>
    <w:rsid w:val="00771C82"/>
    <w:rsid w:val="00771F1B"/>
    <w:rsid w:val="00772079"/>
    <w:rsid w:val="0077239F"/>
    <w:rsid w:val="0077240A"/>
    <w:rsid w:val="007726FE"/>
    <w:rsid w:val="0077288F"/>
    <w:rsid w:val="0077294C"/>
    <w:rsid w:val="00772A0C"/>
    <w:rsid w:val="00772AEB"/>
    <w:rsid w:val="0077358A"/>
    <w:rsid w:val="007736AE"/>
    <w:rsid w:val="0077397B"/>
    <w:rsid w:val="00773A99"/>
    <w:rsid w:val="00773AC5"/>
    <w:rsid w:val="00773B5C"/>
    <w:rsid w:val="00773F7E"/>
    <w:rsid w:val="00773F82"/>
    <w:rsid w:val="0077469C"/>
    <w:rsid w:val="0077474D"/>
    <w:rsid w:val="007748FB"/>
    <w:rsid w:val="00774985"/>
    <w:rsid w:val="00774A14"/>
    <w:rsid w:val="00774B95"/>
    <w:rsid w:val="00775069"/>
    <w:rsid w:val="0077546E"/>
    <w:rsid w:val="0077573C"/>
    <w:rsid w:val="00775777"/>
    <w:rsid w:val="00775B0A"/>
    <w:rsid w:val="00775DF2"/>
    <w:rsid w:val="00775EC6"/>
    <w:rsid w:val="00775F21"/>
    <w:rsid w:val="0077607E"/>
    <w:rsid w:val="007764C2"/>
    <w:rsid w:val="007764DD"/>
    <w:rsid w:val="0077658B"/>
    <w:rsid w:val="007766D4"/>
    <w:rsid w:val="00776F98"/>
    <w:rsid w:val="007773E8"/>
    <w:rsid w:val="00777537"/>
    <w:rsid w:val="0077768B"/>
    <w:rsid w:val="0077775B"/>
    <w:rsid w:val="007778CC"/>
    <w:rsid w:val="007779D7"/>
    <w:rsid w:val="00777A82"/>
    <w:rsid w:val="00777ED2"/>
    <w:rsid w:val="00780171"/>
    <w:rsid w:val="0078030A"/>
    <w:rsid w:val="007804AC"/>
    <w:rsid w:val="00780725"/>
    <w:rsid w:val="00780B50"/>
    <w:rsid w:val="00780CBE"/>
    <w:rsid w:val="00781010"/>
    <w:rsid w:val="007810C4"/>
    <w:rsid w:val="007811AF"/>
    <w:rsid w:val="00781450"/>
    <w:rsid w:val="007814FF"/>
    <w:rsid w:val="007815A6"/>
    <w:rsid w:val="00781802"/>
    <w:rsid w:val="00781818"/>
    <w:rsid w:val="0078187B"/>
    <w:rsid w:val="00781BD7"/>
    <w:rsid w:val="00781CB0"/>
    <w:rsid w:val="00781FD1"/>
    <w:rsid w:val="00782025"/>
    <w:rsid w:val="00782133"/>
    <w:rsid w:val="00782227"/>
    <w:rsid w:val="007823CC"/>
    <w:rsid w:val="007826EF"/>
    <w:rsid w:val="00782F9A"/>
    <w:rsid w:val="0078318C"/>
    <w:rsid w:val="0078337B"/>
    <w:rsid w:val="007833B1"/>
    <w:rsid w:val="007835CE"/>
    <w:rsid w:val="007839AE"/>
    <w:rsid w:val="007839D3"/>
    <w:rsid w:val="00783A9A"/>
    <w:rsid w:val="00783B19"/>
    <w:rsid w:val="00783BA4"/>
    <w:rsid w:val="0078405B"/>
    <w:rsid w:val="0078407C"/>
    <w:rsid w:val="00784229"/>
    <w:rsid w:val="007842D8"/>
    <w:rsid w:val="00784303"/>
    <w:rsid w:val="0078439D"/>
    <w:rsid w:val="007843B4"/>
    <w:rsid w:val="00784589"/>
    <w:rsid w:val="0078468F"/>
    <w:rsid w:val="0078477A"/>
    <w:rsid w:val="00784906"/>
    <w:rsid w:val="00784D1D"/>
    <w:rsid w:val="00784DB9"/>
    <w:rsid w:val="00784DED"/>
    <w:rsid w:val="00784E5C"/>
    <w:rsid w:val="0078501D"/>
    <w:rsid w:val="0078530C"/>
    <w:rsid w:val="0078531C"/>
    <w:rsid w:val="00785757"/>
    <w:rsid w:val="0078579F"/>
    <w:rsid w:val="0078594C"/>
    <w:rsid w:val="00785B24"/>
    <w:rsid w:val="00785D45"/>
    <w:rsid w:val="00785E2A"/>
    <w:rsid w:val="00785E45"/>
    <w:rsid w:val="00785E74"/>
    <w:rsid w:val="00785F46"/>
    <w:rsid w:val="00785FAA"/>
    <w:rsid w:val="007861DB"/>
    <w:rsid w:val="007866E5"/>
    <w:rsid w:val="00786A7F"/>
    <w:rsid w:val="00786C5D"/>
    <w:rsid w:val="00786C6F"/>
    <w:rsid w:val="00786D56"/>
    <w:rsid w:val="00786EE9"/>
    <w:rsid w:val="0078702E"/>
    <w:rsid w:val="0078707C"/>
    <w:rsid w:val="007875BC"/>
    <w:rsid w:val="007876C7"/>
    <w:rsid w:val="007876F8"/>
    <w:rsid w:val="007878BE"/>
    <w:rsid w:val="00787D10"/>
    <w:rsid w:val="00787DFF"/>
    <w:rsid w:val="00787EE0"/>
    <w:rsid w:val="00787F7A"/>
    <w:rsid w:val="0079009E"/>
    <w:rsid w:val="007901EE"/>
    <w:rsid w:val="00790549"/>
    <w:rsid w:val="00790626"/>
    <w:rsid w:val="007906AB"/>
    <w:rsid w:val="007909F5"/>
    <w:rsid w:val="00790A7D"/>
    <w:rsid w:val="00791131"/>
    <w:rsid w:val="007912EE"/>
    <w:rsid w:val="007912F3"/>
    <w:rsid w:val="00791322"/>
    <w:rsid w:val="0079145D"/>
    <w:rsid w:val="007914CF"/>
    <w:rsid w:val="007914F4"/>
    <w:rsid w:val="00791553"/>
    <w:rsid w:val="00791A34"/>
    <w:rsid w:val="00791A64"/>
    <w:rsid w:val="0079212B"/>
    <w:rsid w:val="00792386"/>
    <w:rsid w:val="0079259C"/>
    <w:rsid w:val="007927B9"/>
    <w:rsid w:val="00792AA5"/>
    <w:rsid w:val="00792CA5"/>
    <w:rsid w:val="00792CF5"/>
    <w:rsid w:val="00792DFD"/>
    <w:rsid w:val="00792E3D"/>
    <w:rsid w:val="00793043"/>
    <w:rsid w:val="0079304D"/>
    <w:rsid w:val="0079313C"/>
    <w:rsid w:val="0079316E"/>
    <w:rsid w:val="00793237"/>
    <w:rsid w:val="007932E5"/>
    <w:rsid w:val="00793711"/>
    <w:rsid w:val="00793995"/>
    <w:rsid w:val="00794212"/>
    <w:rsid w:val="00794255"/>
    <w:rsid w:val="00794334"/>
    <w:rsid w:val="00794458"/>
    <w:rsid w:val="007944F5"/>
    <w:rsid w:val="00794571"/>
    <w:rsid w:val="00794864"/>
    <w:rsid w:val="00794A21"/>
    <w:rsid w:val="00794D8B"/>
    <w:rsid w:val="00794E20"/>
    <w:rsid w:val="00795062"/>
    <w:rsid w:val="007951B3"/>
    <w:rsid w:val="007951B9"/>
    <w:rsid w:val="00795233"/>
    <w:rsid w:val="00795573"/>
    <w:rsid w:val="007956AE"/>
    <w:rsid w:val="00795763"/>
    <w:rsid w:val="0079596B"/>
    <w:rsid w:val="00795D7D"/>
    <w:rsid w:val="00795E3D"/>
    <w:rsid w:val="00796071"/>
    <w:rsid w:val="007962A8"/>
    <w:rsid w:val="007968E0"/>
    <w:rsid w:val="00796AC0"/>
    <w:rsid w:val="00796B61"/>
    <w:rsid w:val="00797294"/>
    <w:rsid w:val="007973F8"/>
    <w:rsid w:val="00797889"/>
    <w:rsid w:val="00797B3D"/>
    <w:rsid w:val="00797B53"/>
    <w:rsid w:val="007A0024"/>
    <w:rsid w:val="007A0311"/>
    <w:rsid w:val="007A032C"/>
    <w:rsid w:val="007A0342"/>
    <w:rsid w:val="007A0650"/>
    <w:rsid w:val="007A07B4"/>
    <w:rsid w:val="007A0A77"/>
    <w:rsid w:val="007A0DDF"/>
    <w:rsid w:val="007A119F"/>
    <w:rsid w:val="007A14A0"/>
    <w:rsid w:val="007A1716"/>
    <w:rsid w:val="007A187D"/>
    <w:rsid w:val="007A1BB7"/>
    <w:rsid w:val="007A1D8D"/>
    <w:rsid w:val="007A1DA2"/>
    <w:rsid w:val="007A24B6"/>
    <w:rsid w:val="007A2B33"/>
    <w:rsid w:val="007A2C2F"/>
    <w:rsid w:val="007A2CD8"/>
    <w:rsid w:val="007A2E48"/>
    <w:rsid w:val="007A32B1"/>
    <w:rsid w:val="007A3374"/>
    <w:rsid w:val="007A3446"/>
    <w:rsid w:val="007A34EC"/>
    <w:rsid w:val="007A3502"/>
    <w:rsid w:val="007A354B"/>
    <w:rsid w:val="007A393D"/>
    <w:rsid w:val="007A3ADD"/>
    <w:rsid w:val="007A3AE5"/>
    <w:rsid w:val="007A3C5A"/>
    <w:rsid w:val="007A3CBC"/>
    <w:rsid w:val="007A3DA3"/>
    <w:rsid w:val="007A3E37"/>
    <w:rsid w:val="007A3E6C"/>
    <w:rsid w:val="007A4477"/>
    <w:rsid w:val="007A4628"/>
    <w:rsid w:val="007A47B2"/>
    <w:rsid w:val="007A47C2"/>
    <w:rsid w:val="007A47D5"/>
    <w:rsid w:val="007A4868"/>
    <w:rsid w:val="007A4DB7"/>
    <w:rsid w:val="007A5076"/>
    <w:rsid w:val="007A51B4"/>
    <w:rsid w:val="007A5706"/>
    <w:rsid w:val="007A5A9D"/>
    <w:rsid w:val="007A5D96"/>
    <w:rsid w:val="007A5E57"/>
    <w:rsid w:val="007A5E66"/>
    <w:rsid w:val="007A6093"/>
    <w:rsid w:val="007A60D9"/>
    <w:rsid w:val="007A6205"/>
    <w:rsid w:val="007A633A"/>
    <w:rsid w:val="007A64BE"/>
    <w:rsid w:val="007A64FC"/>
    <w:rsid w:val="007A6578"/>
    <w:rsid w:val="007A692A"/>
    <w:rsid w:val="007A69DA"/>
    <w:rsid w:val="007A6A85"/>
    <w:rsid w:val="007A6A93"/>
    <w:rsid w:val="007A6A99"/>
    <w:rsid w:val="007A6BBF"/>
    <w:rsid w:val="007A6C7D"/>
    <w:rsid w:val="007A7187"/>
    <w:rsid w:val="007A7338"/>
    <w:rsid w:val="007A76FE"/>
    <w:rsid w:val="007A778D"/>
    <w:rsid w:val="007A78AA"/>
    <w:rsid w:val="007A78C8"/>
    <w:rsid w:val="007A7AC4"/>
    <w:rsid w:val="007A7B5A"/>
    <w:rsid w:val="007A7D12"/>
    <w:rsid w:val="007B0044"/>
    <w:rsid w:val="007B026B"/>
    <w:rsid w:val="007B0327"/>
    <w:rsid w:val="007B0513"/>
    <w:rsid w:val="007B09F4"/>
    <w:rsid w:val="007B0A7F"/>
    <w:rsid w:val="007B0BD1"/>
    <w:rsid w:val="007B0F37"/>
    <w:rsid w:val="007B1065"/>
    <w:rsid w:val="007B11C0"/>
    <w:rsid w:val="007B11D9"/>
    <w:rsid w:val="007B13C6"/>
    <w:rsid w:val="007B1548"/>
    <w:rsid w:val="007B169C"/>
    <w:rsid w:val="007B1721"/>
    <w:rsid w:val="007B18AE"/>
    <w:rsid w:val="007B1C78"/>
    <w:rsid w:val="007B1C8E"/>
    <w:rsid w:val="007B202F"/>
    <w:rsid w:val="007B20AF"/>
    <w:rsid w:val="007B20BE"/>
    <w:rsid w:val="007B22DC"/>
    <w:rsid w:val="007B22FC"/>
    <w:rsid w:val="007B2408"/>
    <w:rsid w:val="007B24A1"/>
    <w:rsid w:val="007B2871"/>
    <w:rsid w:val="007B2B33"/>
    <w:rsid w:val="007B2B67"/>
    <w:rsid w:val="007B2C77"/>
    <w:rsid w:val="007B2CFB"/>
    <w:rsid w:val="007B317E"/>
    <w:rsid w:val="007B323A"/>
    <w:rsid w:val="007B3240"/>
    <w:rsid w:val="007B34E3"/>
    <w:rsid w:val="007B361C"/>
    <w:rsid w:val="007B3727"/>
    <w:rsid w:val="007B3AE5"/>
    <w:rsid w:val="007B3E13"/>
    <w:rsid w:val="007B3F18"/>
    <w:rsid w:val="007B4420"/>
    <w:rsid w:val="007B444E"/>
    <w:rsid w:val="007B45B2"/>
    <w:rsid w:val="007B463F"/>
    <w:rsid w:val="007B476A"/>
    <w:rsid w:val="007B4780"/>
    <w:rsid w:val="007B485E"/>
    <w:rsid w:val="007B492C"/>
    <w:rsid w:val="007B4BBF"/>
    <w:rsid w:val="007B5185"/>
    <w:rsid w:val="007B519E"/>
    <w:rsid w:val="007B54B1"/>
    <w:rsid w:val="007B587D"/>
    <w:rsid w:val="007B59D0"/>
    <w:rsid w:val="007B5AB4"/>
    <w:rsid w:val="007B5BE0"/>
    <w:rsid w:val="007B5EF9"/>
    <w:rsid w:val="007B6805"/>
    <w:rsid w:val="007B6A01"/>
    <w:rsid w:val="007B6A89"/>
    <w:rsid w:val="007B6B23"/>
    <w:rsid w:val="007B6DB6"/>
    <w:rsid w:val="007B6DCD"/>
    <w:rsid w:val="007B75B5"/>
    <w:rsid w:val="007B76BB"/>
    <w:rsid w:val="007B77C8"/>
    <w:rsid w:val="007B78F2"/>
    <w:rsid w:val="007B7988"/>
    <w:rsid w:val="007B7C87"/>
    <w:rsid w:val="007C0083"/>
    <w:rsid w:val="007C00BC"/>
    <w:rsid w:val="007C00C8"/>
    <w:rsid w:val="007C02A2"/>
    <w:rsid w:val="007C0533"/>
    <w:rsid w:val="007C0605"/>
    <w:rsid w:val="007C0BD7"/>
    <w:rsid w:val="007C0C8B"/>
    <w:rsid w:val="007C0F4B"/>
    <w:rsid w:val="007C148B"/>
    <w:rsid w:val="007C1736"/>
    <w:rsid w:val="007C1938"/>
    <w:rsid w:val="007C202F"/>
    <w:rsid w:val="007C22AC"/>
    <w:rsid w:val="007C29E2"/>
    <w:rsid w:val="007C2A99"/>
    <w:rsid w:val="007C2CD4"/>
    <w:rsid w:val="007C2D12"/>
    <w:rsid w:val="007C2D89"/>
    <w:rsid w:val="007C2F29"/>
    <w:rsid w:val="007C3029"/>
    <w:rsid w:val="007C31BE"/>
    <w:rsid w:val="007C3269"/>
    <w:rsid w:val="007C3518"/>
    <w:rsid w:val="007C35F2"/>
    <w:rsid w:val="007C3667"/>
    <w:rsid w:val="007C3709"/>
    <w:rsid w:val="007C38BC"/>
    <w:rsid w:val="007C39A2"/>
    <w:rsid w:val="007C3C29"/>
    <w:rsid w:val="007C3C4A"/>
    <w:rsid w:val="007C3C9E"/>
    <w:rsid w:val="007C3E8C"/>
    <w:rsid w:val="007C4042"/>
    <w:rsid w:val="007C40DF"/>
    <w:rsid w:val="007C4529"/>
    <w:rsid w:val="007C4759"/>
    <w:rsid w:val="007C4799"/>
    <w:rsid w:val="007C49A5"/>
    <w:rsid w:val="007C4A83"/>
    <w:rsid w:val="007C4AE1"/>
    <w:rsid w:val="007C4AF2"/>
    <w:rsid w:val="007C4C92"/>
    <w:rsid w:val="007C4FD7"/>
    <w:rsid w:val="007C51B4"/>
    <w:rsid w:val="007C5286"/>
    <w:rsid w:val="007C53EC"/>
    <w:rsid w:val="007C55DA"/>
    <w:rsid w:val="007C57ED"/>
    <w:rsid w:val="007C5A76"/>
    <w:rsid w:val="007C606D"/>
    <w:rsid w:val="007C60F6"/>
    <w:rsid w:val="007C636A"/>
    <w:rsid w:val="007C6585"/>
    <w:rsid w:val="007C662C"/>
    <w:rsid w:val="007C668E"/>
    <w:rsid w:val="007C68A8"/>
    <w:rsid w:val="007C6C71"/>
    <w:rsid w:val="007C6CC9"/>
    <w:rsid w:val="007C6E1A"/>
    <w:rsid w:val="007C77E7"/>
    <w:rsid w:val="007C7C52"/>
    <w:rsid w:val="007C7C9C"/>
    <w:rsid w:val="007C7C9E"/>
    <w:rsid w:val="007C7D2D"/>
    <w:rsid w:val="007C7F06"/>
    <w:rsid w:val="007C7F35"/>
    <w:rsid w:val="007D0872"/>
    <w:rsid w:val="007D0DC4"/>
    <w:rsid w:val="007D0DF9"/>
    <w:rsid w:val="007D0E4A"/>
    <w:rsid w:val="007D0F59"/>
    <w:rsid w:val="007D1008"/>
    <w:rsid w:val="007D10FA"/>
    <w:rsid w:val="007D11DA"/>
    <w:rsid w:val="007D11F3"/>
    <w:rsid w:val="007D13D2"/>
    <w:rsid w:val="007D1849"/>
    <w:rsid w:val="007D1DF3"/>
    <w:rsid w:val="007D24FD"/>
    <w:rsid w:val="007D25F2"/>
    <w:rsid w:val="007D2907"/>
    <w:rsid w:val="007D2972"/>
    <w:rsid w:val="007D29E6"/>
    <w:rsid w:val="007D2A55"/>
    <w:rsid w:val="007D2E20"/>
    <w:rsid w:val="007D3041"/>
    <w:rsid w:val="007D33B3"/>
    <w:rsid w:val="007D3716"/>
    <w:rsid w:val="007D3A39"/>
    <w:rsid w:val="007D3B78"/>
    <w:rsid w:val="007D43CB"/>
    <w:rsid w:val="007D4731"/>
    <w:rsid w:val="007D4825"/>
    <w:rsid w:val="007D49EA"/>
    <w:rsid w:val="007D4AE7"/>
    <w:rsid w:val="007D511E"/>
    <w:rsid w:val="007D5264"/>
    <w:rsid w:val="007D5443"/>
    <w:rsid w:val="007D55C6"/>
    <w:rsid w:val="007D565F"/>
    <w:rsid w:val="007D603B"/>
    <w:rsid w:val="007D6552"/>
    <w:rsid w:val="007D6E6D"/>
    <w:rsid w:val="007D6F93"/>
    <w:rsid w:val="007D751E"/>
    <w:rsid w:val="007D7727"/>
    <w:rsid w:val="007D7B0A"/>
    <w:rsid w:val="007D7B69"/>
    <w:rsid w:val="007D7C75"/>
    <w:rsid w:val="007D7D61"/>
    <w:rsid w:val="007D7E83"/>
    <w:rsid w:val="007D7E91"/>
    <w:rsid w:val="007D7EC8"/>
    <w:rsid w:val="007E009B"/>
    <w:rsid w:val="007E049B"/>
    <w:rsid w:val="007E0517"/>
    <w:rsid w:val="007E08F6"/>
    <w:rsid w:val="007E0B30"/>
    <w:rsid w:val="007E0CB3"/>
    <w:rsid w:val="007E0D7E"/>
    <w:rsid w:val="007E0F10"/>
    <w:rsid w:val="007E103D"/>
    <w:rsid w:val="007E106B"/>
    <w:rsid w:val="007E1443"/>
    <w:rsid w:val="007E16A1"/>
    <w:rsid w:val="007E1C31"/>
    <w:rsid w:val="007E1EA1"/>
    <w:rsid w:val="007E2182"/>
    <w:rsid w:val="007E22C7"/>
    <w:rsid w:val="007E29A8"/>
    <w:rsid w:val="007E2B49"/>
    <w:rsid w:val="007E2CD6"/>
    <w:rsid w:val="007E3051"/>
    <w:rsid w:val="007E31C8"/>
    <w:rsid w:val="007E325C"/>
    <w:rsid w:val="007E32DE"/>
    <w:rsid w:val="007E3784"/>
    <w:rsid w:val="007E37DF"/>
    <w:rsid w:val="007E3950"/>
    <w:rsid w:val="007E399F"/>
    <w:rsid w:val="007E3B19"/>
    <w:rsid w:val="007E3C3D"/>
    <w:rsid w:val="007E3C68"/>
    <w:rsid w:val="007E3F48"/>
    <w:rsid w:val="007E3F8A"/>
    <w:rsid w:val="007E4223"/>
    <w:rsid w:val="007E42F6"/>
    <w:rsid w:val="007E4301"/>
    <w:rsid w:val="007E4387"/>
    <w:rsid w:val="007E460D"/>
    <w:rsid w:val="007E47C1"/>
    <w:rsid w:val="007E4974"/>
    <w:rsid w:val="007E4A70"/>
    <w:rsid w:val="007E4BF5"/>
    <w:rsid w:val="007E4D1F"/>
    <w:rsid w:val="007E4EC9"/>
    <w:rsid w:val="007E5051"/>
    <w:rsid w:val="007E50E4"/>
    <w:rsid w:val="007E52F1"/>
    <w:rsid w:val="007E557B"/>
    <w:rsid w:val="007E57E7"/>
    <w:rsid w:val="007E584A"/>
    <w:rsid w:val="007E592C"/>
    <w:rsid w:val="007E5CE5"/>
    <w:rsid w:val="007E6014"/>
    <w:rsid w:val="007E6093"/>
    <w:rsid w:val="007E6345"/>
    <w:rsid w:val="007E6361"/>
    <w:rsid w:val="007E69D0"/>
    <w:rsid w:val="007E6D40"/>
    <w:rsid w:val="007E6F82"/>
    <w:rsid w:val="007E6FDE"/>
    <w:rsid w:val="007E7343"/>
    <w:rsid w:val="007E7513"/>
    <w:rsid w:val="007E79A0"/>
    <w:rsid w:val="007E7A4F"/>
    <w:rsid w:val="007E7A93"/>
    <w:rsid w:val="007E7AB2"/>
    <w:rsid w:val="007E7BAE"/>
    <w:rsid w:val="007F005B"/>
    <w:rsid w:val="007F0261"/>
    <w:rsid w:val="007F0558"/>
    <w:rsid w:val="007F0648"/>
    <w:rsid w:val="007F09F6"/>
    <w:rsid w:val="007F0B16"/>
    <w:rsid w:val="007F0B60"/>
    <w:rsid w:val="007F0DBF"/>
    <w:rsid w:val="007F0F25"/>
    <w:rsid w:val="007F1049"/>
    <w:rsid w:val="007F10EC"/>
    <w:rsid w:val="007F1236"/>
    <w:rsid w:val="007F1349"/>
    <w:rsid w:val="007F16A8"/>
    <w:rsid w:val="007F172E"/>
    <w:rsid w:val="007F1AE5"/>
    <w:rsid w:val="007F1AFE"/>
    <w:rsid w:val="007F1DD9"/>
    <w:rsid w:val="007F1F7A"/>
    <w:rsid w:val="007F2165"/>
    <w:rsid w:val="007F218F"/>
    <w:rsid w:val="007F21AB"/>
    <w:rsid w:val="007F22DB"/>
    <w:rsid w:val="007F232C"/>
    <w:rsid w:val="007F250F"/>
    <w:rsid w:val="007F25B2"/>
    <w:rsid w:val="007F26DB"/>
    <w:rsid w:val="007F2A44"/>
    <w:rsid w:val="007F2ADC"/>
    <w:rsid w:val="007F2C78"/>
    <w:rsid w:val="007F2F4F"/>
    <w:rsid w:val="007F3146"/>
    <w:rsid w:val="007F33F0"/>
    <w:rsid w:val="007F34F8"/>
    <w:rsid w:val="007F3785"/>
    <w:rsid w:val="007F38E9"/>
    <w:rsid w:val="007F394A"/>
    <w:rsid w:val="007F3B34"/>
    <w:rsid w:val="007F3DD9"/>
    <w:rsid w:val="007F3E8A"/>
    <w:rsid w:val="007F41D8"/>
    <w:rsid w:val="007F438A"/>
    <w:rsid w:val="007F462D"/>
    <w:rsid w:val="007F46F9"/>
    <w:rsid w:val="007F49D7"/>
    <w:rsid w:val="007F4EE3"/>
    <w:rsid w:val="007F4FC1"/>
    <w:rsid w:val="007F5189"/>
    <w:rsid w:val="007F5202"/>
    <w:rsid w:val="007F520D"/>
    <w:rsid w:val="007F5366"/>
    <w:rsid w:val="007F5654"/>
    <w:rsid w:val="007F56B0"/>
    <w:rsid w:val="007F5939"/>
    <w:rsid w:val="007F5BAD"/>
    <w:rsid w:val="007F5BF9"/>
    <w:rsid w:val="007F5C32"/>
    <w:rsid w:val="007F5D22"/>
    <w:rsid w:val="007F5EF7"/>
    <w:rsid w:val="007F630D"/>
    <w:rsid w:val="007F6661"/>
    <w:rsid w:val="007F6A61"/>
    <w:rsid w:val="007F6C97"/>
    <w:rsid w:val="007F6E49"/>
    <w:rsid w:val="007F7149"/>
    <w:rsid w:val="007F714A"/>
    <w:rsid w:val="007F743B"/>
    <w:rsid w:val="007F74A1"/>
    <w:rsid w:val="007F781E"/>
    <w:rsid w:val="007F7892"/>
    <w:rsid w:val="007F7987"/>
    <w:rsid w:val="007F79DF"/>
    <w:rsid w:val="007F7AFC"/>
    <w:rsid w:val="007F7BED"/>
    <w:rsid w:val="007F7D21"/>
    <w:rsid w:val="00800283"/>
    <w:rsid w:val="0080032A"/>
    <w:rsid w:val="008003EF"/>
    <w:rsid w:val="00800612"/>
    <w:rsid w:val="00800AEC"/>
    <w:rsid w:val="00800C10"/>
    <w:rsid w:val="00800E6D"/>
    <w:rsid w:val="008010C4"/>
    <w:rsid w:val="00801245"/>
    <w:rsid w:val="0080127F"/>
    <w:rsid w:val="008012C0"/>
    <w:rsid w:val="00801582"/>
    <w:rsid w:val="00801598"/>
    <w:rsid w:val="00801D56"/>
    <w:rsid w:val="00801F81"/>
    <w:rsid w:val="00802127"/>
    <w:rsid w:val="008022C3"/>
    <w:rsid w:val="008023F3"/>
    <w:rsid w:val="008027BD"/>
    <w:rsid w:val="00802924"/>
    <w:rsid w:val="00802F04"/>
    <w:rsid w:val="008033A2"/>
    <w:rsid w:val="008035FA"/>
    <w:rsid w:val="00803626"/>
    <w:rsid w:val="0080381E"/>
    <w:rsid w:val="00803A1A"/>
    <w:rsid w:val="00803E34"/>
    <w:rsid w:val="00803EF7"/>
    <w:rsid w:val="008041E4"/>
    <w:rsid w:val="00804821"/>
    <w:rsid w:val="00804828"/>
    <w:rsid w:val="00804AE7"/>
    <w:rsid w:val="00804B8E"/>
    <w:rsid w:val="00804C89"/>
    <w:rsid w:val="00804C9C"/>
    <w:rsid w:val="00804D82"/>
    <w:rsid w:val="00804DDA"/>
    <w:rsid w:val="0080524F"/>
    <w:rsid w:val="008052EA"/>
    <w:rsid w:val="0080555E"/>
    <w:rsid w:val="00805743"/>
    <w:rsid w:val="008058EF"/>
    <w:rsid w:val="00805D04"/>
    <w:rsid w:val="00806050"/>
    <w:rsid w:val="008062AC"/>
    <w:rsid w:val="008063A2"/>
    <w:rsid w:val="008064C6"/>
    <w:rsid w:val="008065D1"/>
    <w:rsid w:val="008065DF"/>
    <w:rsid w:val="008068AA"/>
    <w:rsid w:val="00806A8E"/>
    <w:rsid w:val="00806E0C"/>
    <w:rsid w:val="00806F18"/>
    <w:rsid w:val="008073DA"/>
    <w:rsid w:val="00807722"/>
    <w:rsid w:val="0080784F"/>
    <w:rsid w:val="0080786A"/>
    <w:rsid w:val="0080795B"/>
    <w:rsid w:val="00807D91"/>
    <w:rsid w:val="00807DC4"/>
    <w:rsid w:val="00807F0C"/>
    <w:rsid w:val="0081015C"/>
    <w:rsid w:val="008101A7"/>
    <w:rsid w:val="00810237"/>
    <w:rsid w:val="008102E9"/>
    <w:rsid w:val="008104FE"/>
    <w:rsid w:val="00810B63"/>
    <w:rsid w:val="00811131"/>
    <w:rsid w:val="00811211"/>
    <w:rsid w:val="00811851"/>
    <w:rsid w:val="00811D91"/>
    <w:rsid w:val="0081256E"/>
    <w:rsid w:val="00812604"/>
    <w:rsid w:val="00812696"/>
    <w:rsid w:val="00812AEE"/>
    <w:rsid w:val="00812E00"/>
    <w:rsid w:val="00812F83"/>
    <w:rsid w:val="00812FF3"/>
    <w:rsid w:val="0081308C"/>
    <w:rsid w:val="00813198"/>
    <w:rsid w:val="00813203"/>
    <w:rsid w:val="0081355C"/>
    <w:rsid w:val="00813776"/>
    <w:rsid w:val="008138FA"/>
    <w:rsid w:val="008139EC"/>
    <w:rsid w:val="00813B4E"/>
    <w:rsid w:val="00813F33"/>
    <w:rsid w:val="008140C6"/>
    <w:rsid w:val="008140DD"/>
    <w:rsid w:val="00814429"/>
    <w:rsid w:val="00814532"/>
    <w:rsid w:val="0081454B"/>
    <w:rsid w:val="00814566"/>
    <w:rsid w:val="008146A4"/>
    <w:rsid w:val="00814910"/>
    <w:rsid w:val="0081494E"/>
    <w:rsid w:val="00814BA0"/>
    <w:rsid w:val="00814BF6"/>
    <w:rsid w:val="00814E5D"/>
    <w:rsid w:val="00814F03"/>
    <w:rsid w:val="00814F73"/>
    <w:rsid w:val="00814FB7"/>
    <w:rsid w:val="00814FCC"/>
    <w:rsid w:val="00815018"/>
    <w:rsid w:val="008150EE"/>
    <w:rsid w:val="00815143"/>
    <w:rsid w:val="008151DE"/>
    <w:rsid w:val="008152E7"/>
    <w:rsid w:val="00815348"/>
    <w:rsid w:val="00815633"/>
    <w:rsid w:val="0081564E"/>
    <w:rsid w:val="00815718"/>
    <w:rsid w:val="00815AA7"/>
    <w:rsid w:val="00815EB4"/>
    <w:rsid w:val="00815F6F"/>
    <w:rsid w:val="00816037"/>
    <w:rsid w:val="0081605F"/>
    <w:rsid w:val="0081610E"/>
    <w:rsid w:val="0081621C"/>
    <w:rsid w:val="008162C7"/>
    <w:rsid w:val="008163E2"/>
    <w:rsid w:val="008164CC"/>
    <w:rsid w:val="0081684F"/>
    <w:rsid w:val="00816858"/>
    <w:rsid w:val="0081686E"/>
    <w:rsid w:val="00816B62"/>
    <w:rsid w:val="00816C91"/>
    <w:rsid w:val="00816C98"/>
    <w:rsid w:val="00816FB0"/>
    <w:rsid w:val="008170CC"/>
    <w:rsid w:val="0081739B"/>
    <w:rsid w:val="0081744D"/>
    <w:rsid w:val="0081751D"/>
    <w:rsid w:val="008175C1"/>
    <w:rsid w:val="008177D4"/>
    <w:rsid w:val="00817983"/>
    <w:rsid w:val="00817F8A"/>
    <w:rsid w:val="00820099"/>
    <w:rsid w:val="008200A7"/>
    <w:rsid w:val="008201D9"/>
    <w:rsid w:val="008204E2"/>
    <w:rsid w:val="008209B3"/>
    <w:rsid w:val="00820B1B"/>
    <w:rsid w:val="00820E8D"/>
    <w:rsid w:val="00820EFF"/>
    <w:rsid w:val="0082129F"/>
    <w:rsid w:val="008212CC"/>
    <w:rsid w:val="00821501"/>
    <w:rsid w:val="00821775"/>
    <w:rsid w:val="00821787"/>
    <w:rsid w:val="008218B8"/>
    <w:rsid w:val="008218DA"/>
    <w:rsid w:val="00821A2B"/>
    <w:rsid w:val="00821B1A"/>
    <w:rsid w:val="00821B44"/>
    <w:rsid w:val="00821B70"/>
    <w:rsid w:val="00821BA9"/>
    <w:rsid w:val="00821C11"/>
    <w:rsid w:val="00821D39"/>
    <w:rsid w:val="0082228A"/>
    <w:rsid w:val="008223BB"/>
    <w:rsid w:val="0082246D"/>
    <w:rsid w:val="008224A9"/>
    <w:rsid w:val="00822C52"/>
    <w:rsid w:val="00822D3E"/>
    <w:rsid w:val="00822FA7"/>
    <w:rsid w:val="0082372D"/>
    <w:rsid w:val="00823B60"/>
    <w:rsid w:val="00823BBC"/>
    <w:rsid w:val="00824036"/>
    <w:rsid w:val="00824370"/>
    <w:rsid w:val="00824441"/>
    <w:rsid w:val="00824585"/>
    <w:rsid w:val="008245DF"/>
    <w:rsid w:val="00824978"/>
    <w:rsid w:val="00824A3F"/>
    <w:rsid w:val="00824DF3"/>
    <w:rsid w:val="00824F2E"/>
    <w:rsid w:val="00825494"/>
    <w:rsid w:val="00825846"/>
    <w:rsid w:val="0082599E"/>
    <w:rsid w:val="00825C23"/>
    <w:rsid w:val="00825D91"/>
    <w:rsid w:val="00825F59"/>
    <w:rsid w:val="00826035"/>
    <w:rsid w:val="0082604A"/>
    <w:rsid w:val="00826156"/>
    <w:rsid w:val="00826162"/>
    <w:rsid w:val="008261F1"/>
    <w:rsid w:val="0082629E"/>
    <w:rsid w:val="008262B6"/>
    <w:rsid w:val="0082636C"/>
    <w:rsid w:val="0082652E"/>
    <w:rsid w:val="008266F4"/>
    <w:rsid w:val="00826BE9"/>
    <w:rsid w:val="00826D03"/>
    <w:rsid w:val="00826E61"/>
    <w:rsid w:val="00827161"/>
    <w:rsid w:val="008271D0"/>
    <w:rsid w:val="00827624"/>
    <w:rsid w:val="00827706"/>
    <w:rsid w:val="00827721"/>
    <w:rsid w:val="008277FA"/>
    <w:rsid w:val="00827A86"/>
    <w:rsid w:val="00827D51"/>
    <w:rsid w:val="00827E3A"/>
    <w:rsid w:val="00827F80"/>
    <w:rsid w:val="008300C5"/>
    <w:rsid w:val="00830247"/>
    <w:rsid w:val="00830248"/>
    <w:rsid w:val="008303EF"/>
    <w:rsid w:val="00830554"/>
    <w:rsid w:val="00830618"/>
    <w:rsid w:val="0083075A"/>
    <w:rsid w:val="0083088F"/>
    <w:rsid w:val="00830A1A"/>
    <w:rsid w:val="00830B50"/>
    <w:rsid w:val="00830B9F"/>
    <w:rsid w:val="00830DCB"/>
    <w:rsid w:val="00830ED3"/>
    <w:rsid w:val="00830EDB"/>
    <w:rsid w:val="008313D7"/>
    <w:rsid w:val="00831519"/>
    <w:rsid w:val="008315D3"/>
    <w:rsid w:val="008317F4"/>
    <w:rsid w:val="0083193C"/>
    <w:rsid w:val="00831C02"/>
    <w:rsid w:val="00831C9A"/>
    <w:rsid w:val="00831D7E"/>
    <w:rsid w:val="00831F30"/>
    <w:rsid w:val="0083273A"/>
    <w:rsid w:val="00832749"/>
    <w:rsid w:val="00832870"/>
    <w:rsid w:val="00832A16"/>
    <w:rsid w:val="00832A8C"/>
    <w:rsid w:val="00832B28"/>
    <w:rsid w:val="00832B49"/>
    <w:rsid w:val="00833137"/>
    <w:rsid w:val="00833687"/>
    <w:rsid w:val="008336F9"/>
    <w:rsid w:val="0083372C"/>
    <w:rsid w:val="00833AC1"/>
    <w:rsid w:val="00833C40"/>
    <w:rsid w:val="00833D93"/>
    <w:rsid w:val="00833E8A"/>
    <w:rsid w:val="00834023"/>
    <w:rsid w:val="0083409B"/>
    <w:rsid w:val="0083422E"/>
    <w:rsid w:val="0083448B"/>
    <w:rsid w:val="00834580"/>
    <w:rsid w:val="00834652"/>
    <w:rsid w:val="008346FA"/>
    <w:rsid w:val="00834972"/>
    <w:rsid w:val="00834B67"/>
    <w:rsid w:val="00834C61"/>
    <w:rsid w:val="00834CC0"/>
    <w:rsid w:val="00834D6C"/>
    <w:rsid w:val="00834DC9"/>
    <w:rsid w:val="00834F99"/>
    <w:rsid w:val="008350AC"/>
    <w:rsid w:val="00835208"/>
    <w:rsid w:val="00835214"/>
    <w:rsid w:val="00835455"/>
    <w:rsid w:val="008356C9"/>
    <w:rsid w:val="00835ADE"/>
    <w:rsid w:val="00835E2D"/>
    <w:rsid w:val="00836100"/>
    <w:rsid w:val="008361EE"/>
    <w:rsid w:val="008362B5"/>
    <w:rsid w:val="0083633D"/>
    <w:rsid w:val="0083639B"/>
    <w:rsid w:val="008363D3"/>
    <w:rsid w:val="00836449"/>
    <w:rsid w:val="008364C8"/>
    <w:rsid w:val="0083666F"/>
    <w:rsid w:val="0083673E"/>
    <w:rsid w:val="00836B83"/>
    <w:rsid w:val="00837117"/>
    <w:rsid w:val="008374CA"/>
    <w:rsid w:val="00837551"/>
    <w:rsid w:val="00837647"/>
    <w:rsid w:val="00837650"/>
    <w:rsid w:val="00837708"/>
    <w:rsid w:val="00837871"/>
    <w:rsid w:val="00837C57"/>
    <w:rsid w:val="00837FD6"/>
    <w:rsid w:val="00840031"/>
    <w:rsid w:val="008401F4"/>
    <w:rsid w:val="00840204"/>
    <w:rsid w:val="008402F4"/>
    <w:rsid w:val="00840316"/>
    <w:rsid w:val="0084076F"/>
    <w:rsid w:val="00840BEC"/>
    <w:rsid w:val="00841477"/>
    <w:rsid w:val="0084172E"/>
    <w:rsid w:val="00841BF1"/>
    <w:rsid w:val="00841E57"/>
    <w:rsid w:val="0084232C"/>
    <w:rsid w:val="0084250E"/>
    <w:rsid w:val="00842568"/>
    <w:rsid w:val="008427CC"/>
    <w:rsid w:val="00842BDF"/>
    <w:rsid w:val="00842C5F"/>
    <w:rsid w:val="00842C8C"/>
    <w:rsid w:val="00842F40"/>
    <w:rsid w:val="00842FF3"/>
    <w:rsid w:val="0084350D"/>
    <w:rsid w:val="0084352E"/>
    <w:rsid w:val="0084360B"/>
    <w:rsid w:val="00843A80"/>
    <w:rsid w:val="00843BD4"/>
    <w:rsid w:val="00843F41"/>
    <w:rsid w:val="0084411E"/>
    <w:rsid w:val="00844617"/>
    <w:rsid w:val="00844AC8"/>
    <w:rsid w:val="00844DBC"/>
    <w:rsid w:val="00844EEA"/>
    <w:rsid w:val="00845021"/>
    <w:rsid w:val="008451F7"/>
    <w:rsid w:val="00845251"/>
    <w:rsid w:val="008455EF"/>
    <w:rsid w:val="0084562D"/>
    <w:rsid w:val="008458BB"/>
    <w:rsid w:val="0084594F"/>
    <w:rsid w:val="00845D4D"/>
    <w:rsid w:val="00845E06"/>
    <w:rsid w:val="00845EA5"/>
    <w:rsid w:val="00845F62"/>
    <w:rsid w:val="00846012"/>
    <w:rsid w:val="0084687C"/>
    <w:rsid w:val="00846B49"/>
    <w:rsid w:val="00846EF6"/>
    <w:rsid w:val="00847094"/>
    <w:rsid w:val="0084755C"/>
    <w:rsid w:val="008475A0"/>
    <w:rsid w:val="00847CA9"/>
    <w:rsid w:val="00847E4F"/>
    <w:rsid w:val="0085013F"/>
    <w:rsid w:val="008501FD"/>
    <w:rsid w:val="0085043B"/>
    <w:rsid w:val="0085081D"/>
    <w:rsid w:val="008509D1"/>
    <w:rsid w:val="00850B45"/>
    <w:rsid w:val="00850B7B"/>
    <w:rsid w:val="00850C58"/>
    <w:rsid w:val="00850E88"/>
    <w:rsid w:val="00850ED6"/>
    <w:rsid w:val="0085107F"/>
    <w:rsid w:val="008510B3"/>
    <w:rsid w:val="008511CB"/>
    <w:rsid w:val="00851232"/>
    <w:rsid w:val="0085133E"/>
    <w:rsid w:val="00851650"/>
    <w:rsid w:val="0085182A"/>
    <w:rsid w:val="00851A14"/>
    <w:rsid w:val="00851A2A"/>
    <w:rsid w:val="00851A2D"/>
    <w:rsid w:val="00851B78"/>
    <w:rsid w:val="00851C01"/>
    <w:rsid w:val="00852081"/>
    <w:rsid w:val="0085209D"/>
    <w:rsid w:val="008520DC"/>
    <w:rsid w:val="008525B7"/>
    <w:rsid w:val="008529CC"/>
    <w:rsid w:val="00853006"/>
    <w:rsid w:val="00853064"/>
    <w:rsid w:val="008531ED"/>
    <w:rsid w:val="008534D5"/>
    <w:rsid w:val="008538DA"/>
    <w:rsid w:val="0085398C"/>
    <w:rsid w:val="00853B8A"/>
    <w:rsid w:val="00853CA5"/>
    <w:rsid w:val="00853F20"/>
    <w:rsid w:val="00854F2E"/>
    <w:rsid w:val="00855152"/>
    <w:rsid w:val="0085520E"/>
    <w:rsid w:val="00855543"/>
    <w:rsid w:val="00855953"/>
    <w:rsid w:val="008559AC"/>
    <w:rsid w:val="00855C83"/>
    <w:rsid w:val="00855E6D"/>
    <w:rsid w:val="00855EF9"/>
    <w:rsid w:val="00855F94"/>
    <w:rsid w:val="00856023"/>
    <w:rsid w:val="00856181"/>
    <w:rsid w:val="00856216"/>
    <w:rsid w:val="0085660D"/>
    <w:rsid w:val="0085677F"/>
    <w:rsid w:val="00856A85"/>
    <w:rsid w:val="00856B52"/>
    <w:rsid w:val="00856CA5"/>
    <w:rsid w:val="00856E2B"/>
    <w:rsid w:val="00857257"/>
    <w:rsid w:val="0085729E"/>
    <w:rsid w:val="0085735E"/>
    <w:rsid w:val="0085743A"/>
    <w:rsid w:val="00857BA5"/>
    <w:rsid w:val="00857C79"/>
    <w:rsid w:val="00857CB0"/>
    <w:rsid w:val="00857EA2"/>
    <w:rsid w:val="00857F8A"/>
    <w:rsid w:val="008600AD"/>
    <w:rsid w:val="008601AA"/>
    <w:rsid w:val="008602CC"/>
    <w:rsid w:val="008602E2"/>
    <w:rsid w:val="0086054C"/>
    <w:rsid w:val="008606D6"/>
    <w:rsid w:val="008606DA"/>
    <w:rsid w:val="0086098A"/>
    <w:rsid w:val="0086098D"/>
    <w:rsid w:val="0086113D"/>
    <w:rsid w:val="008612B5"/>
    <w:rsid w:val="0086156D"/>
    <w:rsid w:val="00861635"/>
    <w:rsid w:val="0086165E"/>
    <w:rsid w:val="008618B0"/>
    <w:rsid w:val="008619AC"/>
    <w:rsid w:val="00861A8F"/>
    <w:rsid w:val="00861DB8"/>
    <w:rsid w:val="00861EE7"/>
    <w:rsid w:val="00861F0E"/>
    <w:rsid w:val="00861F4D"/>
    <w:rsid w:val="008621D9"/>
    <w:rsid w:val="00862245"/>
    <w:rsid w:val="00862836"/>
    <w:rsid w:val="00862B6B"/>
    <w:rsid w:val="00862CA6"/>
    <w:rsid w:val="00862D84"/>
    <w:rsid w:val="00862DF3"/>
    <w:rsid w:val="00862E24"/>
    <w:rsid w:val="00863132"/>
    <w:rsid w:val="00863206"/>
    <w:rsid w:val="008632B6"/>
    <w:rsid w:val="0086344F"/>
    <w:rsid w:val="0086349D"/>
    <w:rsid w:val="0086350C"/>
    <w:rsid w:val="008636A0"/>
    <w:rsid w:val="008637AF"/>
    <w:rsid w:val="0086381A"/>
    <w:rsid w:val="00863881"/>
    <w:rsid w:val="00863AC8"/>
    <w:rsid w:val="00863D3F"/>
    <w:rsid w:val="00864099"/>
    <w:rsid w:val="0086413B"/>
    <w:rsid w:val="008641B8"/>
    <w:rsid w:val="008641DD"/>
    <w:rsid w:val="008644C0"/>
    <w:rsid w:val="00864566"/>
    <w:rsid w:val="0086469C"/>
    <w:rsid w:val="008646AE"/>
    <w:rsid w:val="008646F9"/>
    <w:rsid w:val="008647D5"/>
    <w:rsid w:val="00864E5F"/>
    <w:rsid w:val="008650CE"/>
    <w:rsid w:val="00865196"/>
    <w:rsid w:val="008651B5"/>
    <w:rsid w:val="008651DC"/>
    <w:rsid w:val="008656EB"/>
    <w:rsid w:val="00865E38"/>
    <w:rsid w:val="00865EE1"/>
    <w:rsid w:val="00865F59"/>
    <w:rsid w:val="008660B9"/>
    <w:rsid w:val="00866118"/>
    <w:rsid w:val="00866457"/>
    <w:rsid w:val="0086646D"/>
    <w:rsid w:val="0086670F"/>
    <w:rsid w:val="0086682C"/>
    <w:rsid w:val="0086684F"/>
    <w:rsid w:val="00866892"/>
    <w:rsid w:val="008668BE"/>
    <w:rsid w:val="00866B97"/>
    <w:rsid w:val="00866CC7"/>
    <w:rsid w:val="00866D6E"/>
    <w:rsid w:val="00866ED7"/>
    <w:rsid w:val="0086726D"/>
    <w:rsid w:val="00867752"/>
    <w:rsid w:val="0086793F"/>
    <w:rsid w:val="008679C4"/>
    <w:rsid w:val="00867BDA"/>
    <w:rsid w:val="00867C7E"/>
    <w:rsid w:val="00867E97"/>
    <w:rsid w:val="00867F79"/>
    <w:rsid w:val="00870347"/>
    <w:rsid w:val="0087038A"/>
    <w:rsid w:val="0087039A"/>
    <w:rsid w:val="0087058E"/>
    <w:rsid w:val="00870869"/>
    <w:rsid w:val="00870ADA"/>
    <w:rsid w:val="00870B42"/>
    <w:rsid w:val="00870D81"/>
    <w:rsid w:val="008711DE"/>
    <w:rsid w:val="00871670"/>
    <w:rsid w:val="008716EB"/>
    <w:rsid w:val="008719A9"/>
    <w:rsid w:val="00871B43"/>
    <w:rsid w:val="00871CA7"/>
    <w:rsid w:val="00871CFD"/>
    <w:rsid w:val="00871DF4"/>
    <w:rsid w:val="00871E4D"/>
    <w:rsid w:val="00871EF2"/>
    <w:rsid w:val="008722DB"/>
    <w:rsid w:val="00872386"/>
    <w:rsid w:val="008725A3"/>
    <w:rsid w:val="00872801"/>
    <w:rsid w:val="00872907"/>
    <w:rsid w:val="00872A08"/>
    <w:rsid w:val="00872DF6"/>
    <w:rsid w:val="008733A7"/>
    <w:rsid w:val="0087345E"/>
    <w:rsid w:val="0087367B"/>
    <w:rsid w:val="0087378E"/>
    <w:rsid w:val="00873A14"/>
    <w:rsid w:val="00873A5E"/>
    <w:rsid w:val="00873AEC"/>
    <w:rsid w:val="00873D3D"/>
    <w:rsid w:val="00873D51"/>
    <w:rsid w:val="00874012"/>
    <w:rsid w:val="00874197"/>
    <w:rsid w:val="00874411"/>
    <w:rsid w:val="00874627"/>
    <w:rsid w:val="0087465B"/>
    <w:rsid w:val="00874732"/>
    <w:rsid w:val="008749CC"/>
    <w:rsid w:val="00874B9C"/>
    <w:rsid w:val="0087513D"/>
    <w:rsid w:val="00875D91"/>
    <w:rsid w:val="00875EC9"/>
    <w:rsid w:val="00875FED"/>
    <w:rsid w:val="00876055"/>
    <w:rsid w:val="0087616F"/>
    <w:rsid w:val="00876271"/>
    <w:rsid w:val="00876273"/>
    <w:rsid w:val="00876573"/>
    <w:rsid w:val="008768A1"/>
    <w:rsid w:val="00876A09"/>
    <w:rsid w:val="00876D44"/>
    <w:rsid w:val="00876FF8"/>
    <w:rsid w:val="008770F7"/>
    <w:rsid w:val="008771EE"/>
    <w:rsid w:val="00877246"/>
    <w:rsid w:val="0087778F"/>
    <w:rsid w:val="008777A4"/>
    <w:rsid w:val="008777F1"/>
    <w:rsid w:val="00877A6A"/>
    <w:rsid w:val="00877ECB"/>
    <w:rsid w:val="00877F1C"/>
    <w:rsid w:val="00880268"/>
    <w:rsid w:val="00880791"/>
    <w:rsid w:val="008808A9"/>
    <w:rsid w:val="00880A2C"/>
    <w:rsid w:val="00880A67"/>
    <w:rsid w:val="00880B56"/>
    <w:rsid w:val="00880B7A"/>
    <w:rsid w:val="00881132"/>
    <w:rsid w:val="0088178C"/>
    <w:rsid w:val="00881ACF"/>
    <w:rsid w:val="00881C26"/>
    <w:rsid w:val="00881C47"/>
    <w:rsid w:val="00881D82"/>
    <w:rsid w:val="00882233"/>
    <w:rsid w:val="0088241E"/>
    <w:rsid w:val="00882578"/>
    <w:rsid w:val="00882591"/>
    <w:rsid w:val="008826DA"/>
    <w:rsid w:val="008828A5"/>
    <w:rsid w:val="008828F4"/>
    <w:rsid w:val="008829FE"/>
    <w:rsid w:val="00882FD4"/>
    <w:rsid w:val="0088315B"/>
    <w:rsid w:val="0088338B"/>
    <w:rsid w:val="008835C4"/>
    <w:rsid w:val="008836F5"/>
    <w:rsid w:val="00883772"/>
    <w:rsid w:val="00883A5E"/>
    <w:rsid w:val="00883BB6"/>
    <w:rsid w:val="00884069"/>
    <w:rsid w:val="0088477D"/>
    <w:rsid w:val="00884841"/>
    <w:rsid w:val="00884ADF"/>
    <w:rsid w:val="00884BE3"/>
    <w:rsid w:val="00884CB9"/>
    <w:rsid w:val="00884FB4"/>
    <w:rsid w:val="0088550B"/>
    <w:rsid w:val="00885557"/>
    <w:rsid w:val="008857C0"/>
    <w:rsid w:val="00885890"/>
    <w:rsid w:val="008858B2"/>
    <w:rsid w:val="00885C42"/>
    <w:rsid w:val="00885D74"/>
    <w:rsid w:val="00886420"/>
    <w:rsid w:val="0088648B"/>
    <w:rsid w:val="00886493"/>
    <w:rsid w:val="0088651C"/>
    <w:rsid w:val="0088677B"/>
    <w:rsid w:val="0088678C"/>
    <w:rsid w:val="00886BB6"/>
    <w:rsid w:val="00886D76"/>
    <w:rsid w:val="008870F6"/>
    <w:rsid w:val="008873B8"/>
    <w:rsid w:val="0088747C"/>
    <w:rsid w:val="0088768D"/>
    <w:rsid w:val="00887799"/>
    <w:rsid w:val="00887B23"/>
    <w:rsid w:val="00887D67"/>
    <w:rsid w:val="00887E57"/>
    <w:rsid w:val="00887EDC"/>
    <w:rsid w:val="00890435"/>
    <w:rsid w:val="008904CF"/>
    <w:rsid w:val="008904EC"/>
    <w:rsid w:val="00890859"/>
    <w:rsid w:val="0089091B"/>
    <w:rsid w:val="00890B8C"/>
    <w:rsid w:val="00890FDD"/>
    <w:rsid w:val="0089113A"/>
    <w:rsid w:val="008913CC"/>
    <w:rsid w:val="0089148A"/>
    <w:rsid w:val="008914D7"/>
    <w:rsid w:val="00891AD3"/>
    <w:rsid w:val="00891C75"/>
    <w:rsid w:val="00891CE4"/>
    <w:rsid w:val="00891D3A"/>
    <w:rsid w:val="00891EE0"/>
    <w:rsid w:val="00892002"/>
    <w:rsid w:val="00892229"/>
    <w:rsid w:val="00892353"/>
    <w:rsid w:val="008924C3"/>
    <w:rsid w:val="00892A0D"/>
    <w:rsid w:val="0089336E"/>
    <w:rsid w:val="00893440"/>
    <w:rsid w:val="008934B0"/>
    <w:rsid w:val="00893875"/>
    <w:rsid w:val="008938A1"/>
    <w:rsid w:val="00893AE7"/>
    <w:rsid w:val="00893C0F"/>
    <w:rsid w:val="00893E63"/>
    <w:rsid w:val="008945FA"/>
    <w:rsid w:val="00894694"/>
    <w:rsid w:val="0089469D"/>
    <w:rsid w:val="008947B0"/>
    <w:rsid w:val="00894DFB"/>
    <w:rsid w:val="0089507A"/>
    <w:rsid w:val="00895109"/>
    <w:rsid w:val="008951BB"/>
    <w:rsid w:val="008951F7"/>
    <w:rsid w:val="0089523E"/>
    <w:rsid w:val="00895261"/>
    <w:rsid w:val="008954FD"/>
    <w:rsid w:val="00895A29"/>
    <w:rsid w:val="00895AB8"/>
    <w:rsid w:val="00895F5C"/>
    <w:rsid w:val="0089609D"/>
    <w:rsid w:val="00896A2F"/>
    <w:rsid w:val="00896BB7"/>
    <w:rsid w:val="00897059"/>
    <w:rsid w:val="0089713B"/>
    <w:rsid w:val="008973C6"/>
    <w:rsid w:val="008974B2"/>
    <w:rsid w:val="00897912"/>
    <w:rsid w:val="00897B41"/>
    <w:rsid w:val="008A039E"/>
    <w:rsid w:val="008A0498"/>
    <w:rsid w:val="008A06F6"/>
    <w:rsid w:val="008A0847"/>
    <w:rsid w:val="008A0AE1"/>
    <w:rsid w:val="008A0BDC"/>
    <w:rsid w:val="008A0F17"/>
    <w:rsid w:val="008A10BD"/>
    <w:rsid w:val="008A110F"/>
    <w:rsid w:val="008A1287"/>
    <w:rsid w:val="008A12FC"/>
    <w:rsid w:val="008A134F"/>
    <w:rsid w:val="008A1681"/>
    <w:rsid w:val="008A1937"/>
    <w:rsid w:val="008A1AF4"/>
    <w:rsid w:val="008A1EFB"/>
    <w:rsid w:val="008A21E9"/>
    <w:rsid w:val="008A2691"/>
    <w:rsid w:val="008A28A1"/>
    <w:rsid w:val="008A2D47"/>
    <w:rsid w:val="008A3447"/>
    <w:rsid w:val="008A34CC"/>
    <w:rsid w:val="008A3544"/>
    <w:rsid w:val="008A35F8"/>
    <w:rsid w:val="008A3747"/>
    <w:rsid w:val="008A3830"/>
    <w:rsid w:val="008A3A8B"/>
    <w:rsid w:val="008A3D8A"/>
    <w:rsid w:val="008A3F17"/>
    <w:rsid w:val="008A41AE"/>
    <w:rsid w:val="008A4245"/>
    <w:rsid w:val="008A4313"/>
    <w:rsid w:val="008A45AA"/>
    <w:rsid w:val="008A469B"/>
    <w:rsid w:val="008A4862"/>
    <w:rsid w:val="008A4F36"/>
    <w:rsid w:val="008A52E5"/>
    <w:rsid w:val="008A591B"/>
    <w:rsid w:val="008A59CF"/>
    <w:rsid w:val="008A5AC4"/>
    <w:rsid w:val="008A621A"/>
    <w:rsid w:val="008A640E"/>
    <w:rsid w:val="008A643E"/>
    <w:rsid w:val="008A6533"/>
    <w:rsid w:val="008A6584"/>
    <w:rsid w:val="008A65E7"/>
    <w:rsid w:val="008A6603"/>
    <w:rsid w:val="008A67CD"/>
    <w:rsid w:val="008A67D3"/>
    <w:rsid w:val="008A69C3"/>
    <w:rsid w:val="008A6C23"/>
    <w:rsid w:val="008A746E"/>
    <w:rsid w:val="008A74F8"/>
    <w:rsid w:val="008A767D"/>
    <w:rsid w:val="008A776C"/>
    <w:rsid w:val="008A7AFF"/>
    <w:rsid w:val="008A7C3F"/>
    <w:rsid w:val="008A7F16"/>
    <w:rsid w:val="008B02A7"/>
    <w:rsid w:val="008B0473"/>
    <w:rsid w:val="008B063E"/>
    <w:rsid w:val="008B0760"/>
    <w:rsid w:val="008B0C2A"/>
    <w:rsid w:val="008B0DD2"/>
    <w:rsid w:val="008B0EA1"/>
    <w:rsid w:val="008B105F"/>
    <w:rsid w:val="008B1114"/>
    <w:rsid w:val="008B137B"/>
    <w:rsid w:val="008B18E6"/>
    <w:rsid w:val="008B1A61"/>
    <w:rsid w:val="008B1C14"/>
    <w:rsid w:val="008B1D25"/>
    <w:rsid w:val="008B1F8C"/>
    <w:rsid w:val="008B1FEE"/>
    <w:rsid w:val="008B2142"/>
    <w:rsid w:val="008B21C7"/>
    <w:rsid w:val="008B2588"/>
    <w:rsid w:val="008B2878"/>
    <w:rsid w:val="008B2908"/>
    <w:rsid w:val="008B29A0"/>
    <w:rsid w:val="008B2B38"/>
    <w:rsid w:val="008B2C7F"/>
    <w:rsid w:val="008B2E99"/>
    <w:rsid w:val="008B2F17"/>
    <w:rsid w:val="008B2FB7"/>
    <w:rsid w:val="008B3053"/>
    <w:rsid w:val="008B30EB"/>
    <w:rsid w:val="008B30F3"/>
    <w:rsid w:val="008B3152"/>
    <w:rsid w:val="008B32C5"/>
    <w:rsid w:val="008B36ED"/>
    <w:rsid w:val="008B3C3A"/>
    <w:rsid w:val="008B3D78"/>
    <w:rsid w:val="008B3EF9"/>
    <w:rsid w:val="008B40AE"/>
    <w:rsid w:val="008B423E"/>
    <w:rsid w:val="008B442D"/>
    <w:rsid w:val="008B457F"/>
    <w:rsid w:val="008B482A"/>
    <w:rsid w:val="008B48F7"/>
    <w:rsid w:val="008B491E"/>
    <w:rsid w:val="008B4AF4"/>
    <w:rsid w:val="008B4C3D"/>
    <w:rsid w:val="008B4F2E"/>
    <w:rsid w:val="008B50CE"/>
    <w:rsid w:val="008B5137"/>
    <w:rsid w:val="008B515C"/>
    <w:rsid w:val="008B51A4"/>
    <w:rsid w:val="008B520E"/>
    <w:rsid w:val="008B58D7"/>
    <w:rsid w:val="008B5BF9"/>
    <w:rsid w:val="008B5D24"/>
    <w:rsid w:val="008B5E00"/>
    <w:rsid w:val="008B6256"/>
    <w:rsid w:val="008B6405"/>
    <w:rsid w:val="008B64CE"/>
    <w:rsid w:val="008B66FB"/>
    <w:rsid w:val="008B6773"/>
    <w:rsid w:val="008B67C5"/>
    <w:rsid w:val="008B67CC"/>
    <w:rsid w:val="008B71E0"/>
    <w:rsid w:val="008B7518"/>
    <w:rsid w:val="008B7533"/>
    <w:rsid w:val="008B7543"/>
    <w:rsid w:val="008B767C"/>
    <w:rsid w:val="008B773D"/>
    <w:rsid w:val="008B7821"/>
    <w:rsid w:val="008B7BCE"/>
    <w:rsid w:val="008B7D5A"/>
    <w:rsid w:val="008B7E9B"/>
    <w:rsid w:val="008B7F3E"/>
    <w:rsid w:val="008C0028"/>
    <w:rsid w:val="008C0282"/>
    <w:rsid w:val="008C02A4"/>
    <w:rsid w:val="008C0925"/>
    <w:rsid w:val="008C0C41"/>
    <w:rsid w:val="008C0ED6"/>
    <w:rsid w:val="008C1018"/>
    <w:rsid w:val="008C1209"/>
    <w:rsid w:val="008C1256"/>
    <w:rsid w:val="008C12E5"/>
    <w:rsid w:val="008C12E9"/>
    <w:rsid w:val="008C138C"/>
    <w:rsid w:val="008C14AE"/>
    <w:rsid w:val="008C1581"/>
    <w:rsid w:val="008C1A87"/>
    <w:rsid w:val="008C1C02"/>
    <w:rsid w:val="008C1D36"/>
    <w:rsid w:val="008C203F"/>
    <w:rsid w:val="008C2251"/>
    <w:rsid w:val="008C230F"/>
    <w:rsid w:val="008C23F9"/>
    <w:rsid w:val="008C273C"/>
    <w:rsid w:val="008C2AFE"/>
    <w:rsid w:val="008C2E6F"/>
    <w:rsid w:val="008C2E89"/>
    <w:rsid w:val="008C2E98"/>
    <w:rsid w:val="008C30BE"/>
    <w:rsid w:val="008C3221"/>
    <w:rsid w:val="008C34EE"/>
    <w:rsid w:val="008C3548"/>
    <w:rsid w:val="008C3553"/>
    <w:rsid w:val="008C3698"/>
    <w:rsid w:val="008C3777"/>
    <w:rsid w:val="008C395E"/>
    <w:rsid w:val="008C3AC0"/>
    <w:rsid w:val="008C3E38"/>
    <w:rsid w:val="008C4054"/>
    <w:rsid w:val="008C4450"/>
    <w:rsid w:val="008C4498"/>
    <w:rsid w:val="008C44B7"/>
    <w:rsid w:val="008C45A7"/>
    <w:rsid w:val="008C49A0"/>
    <w:rsid w:val="008C4A6E"/>
    <w:rsid w:val="008C4E33"/>
    <w:rsid w:val="008C4E52"/>
    <w:rsid w:val="008C4F0F"/>
    <w:rsid w:val="008C4FF8"/>
    <w:rsid w:val="008C5000"/>
    <w:rsid w:val="008C510B"/>
    <w:rsid w:val="008C51F9"/>
    <w:rsid w:val="008C52A4"/>
    <w:rsid w:val="008C5308"/>
    <w:rsid w:val="008C590A"/>
    <w:rsid w:val="008C5BA3"/>
    <w:rsid w:val="008C5BB5"/>
    <w:rsid w:val="008C5CD5"/>
    <w:rsid w:val="008C5EFD"/>
    <w:rsid w:val="008C6164"/>
    <w:rsid w:val="008C6323"/>
    <w:rsid w:val="008C6562"/>
    <w:rsid w:val="008C65D9"/>
    <w:rsid w:val="008C6984"/>
    <w:rsid w:val="008C69A5"/>
    <w:rsid w:val="008C6A19"/>
    <w:rsid w:val="008C6C5D"/>
    <w:rsid w:val="008C6E05"/>
    <w:rsid w:val="008C6EB3"/>
    <w:rsid w:val="008C7834"/>
    <w:rsid w:val="008C7914"/>
    <w:rsid w:val="008C7E88"/>
    <w:rsid w:val="008D00FC"/>
    <w:rsid w:val="008D01C3"/>
    <w:rsid w:val="008D048C"/>
    <w:rsid w:val="008D05DF"/>
    <w:rsid w:val="008D0D11"/>
    <w:rsid w:val="008D0DB8"/>
    <w:rsid w:val="008D0E01"/>
    <w:rsid w:val="008D0E5F"/>
    <w:rsid w:val="008D0F69"/>
    <w:rsid w:val="008D0FAE"/>
    <w:rsid w:val="008D1039"/>
    <w:rsid w:val="008D11C3"/>
    <w:rsid w:val="008D1250"/>
    <w:rsid w:val="008D12E9"/>
    <w:rsid w:val="008D14D0"/>
    <w:rsid w:val="008D161C"/>
    <w:rsid w:val="008D1889"/>
    <w:rsid w:val="008D1BA3"/>
    <w:rsid w:val="008D1BA9"/>
    <w:rsid w:val="008D1C66"/>
    <w:rsid w:val="008D1F20"/>
    <w:rsid w:val="008D207B"/>
    <w:rsid w:val="008D217B"/>
    <w:rsid w:val="008D21F8"/>
    <w:rsid w:val="008D24F0"/>
    <w:rsid w:val="008D2657"/>
    <w:rsid w:val="008D277C"/>
    <w:rsid w:val="008D280A"/>
    <w:rsid w:val="008D285F"/>
    <w:rsid w:val="008D2C39"/>
    <w:rsid w:val="008D2C9B"/>
    <w:rsid w:val="008D2F74"/>
    <w:rsid w:val="008D313D"/>
    <w:rsid w:val="008D33BE"/>
    <w:rsid w:val="008D39A9"/>
    <w:rsid w:val="008D3B76"/>
    <w:rsid w:val="008D3C69"/>
    <w:rsid w:val="008D3DFE"/>
    <w:rsid w:val="008D4041"/>
    <w:rsid w:val="008D44A0"/>
    <w:rsid w:val="008D44DD"/>
    <w:rsid w:val="008D46E0"/>
    <w:rsid w:val="008D46F3"/>
    <w:rsid w:val="008D4737"/>
    <w:rsid w:val="008D4A16"/>
    <w:rsid w:val="008D4D00"/>
    <w:rsid w:val="008D511D"/>
    <w:rsid w:val="008D5142"/>
    <w:rsid w:val="008D5195"/>
    <w:rsid w:val="008D533C"/>
    <w:rsid w:val="008D5790"/>
    <w:rsid w:val="008D582B"/>
    <w:rsid w:val="008D587D"/>
    <w:rsid w:val="008D58F4"/>
    <w:rsid w:val="008D5AFD"/>
    <w:rsid w:val="008D5B2E"/>
    <w:rsid w:val="008D5B75"/>
    <w:rsid w:val="008D5C0A"/>
    <w:rsid w:val="008D5C51"/>
    <w:rsid w:val="008D6005"/>
    <w:rsid w:val="008D602B"/>
    <w:rsid w:val="008D6201"/>
    <w:rsid w:val="008D6416"/>
    <w:rsid w:val="008D64F4"/>
    <w:rsid w:val="008D656E"/>
    <w:rsid w:val="008D65CA"/>
    <w:rsid w:val="008D6626"/>
    <w:rsid w:val="008D66B9"/>
    <w:rsid w:val="008D67A6"/>
    <w:rsid w:val="008D6805"/>
    <w:rsid w:val="008D68CF"/>
    <w:rsid w:val="008D6A82"/>
    <w:rsid w:val="008D70E6"/>
    <w:rsid w:val="008D714A"/>
    <w:rsid w:val="008D71BE"/>
    <w:rsid w:val="008D7436"/>
    <w:rsid w:val="008D7679"/>
    <w:rsid w:val="008D781D"/>
    <w:rsid w:val="008D79EA"/>
    <w:rsid w:val="008D7A66"/>
    <w:rsid w:val="008D7B43"/>
    <w:rsid w:val="008D7FFC"/>
    <w:rsid w:val="008E0192"/>
    <w:rsid w:val="008E08FA"/>
    <w:rsid w:val="008E0979"/>
    <w:rsid w:val="008E0CB6"/>
    <w:rsid w:val="008E127E"/>
    <w:rsid w:val="008E14CD"/>
    <w:rsid w:val="008E17B5"/>
    <w:rsid w:val="008E17E3"/>
    <w:rsid w:val="008E188E"/>
    <w:rsid w:val="008E1B2F"/>
    <w:rsid w:val="008E1FFB"/>
    <w:rsid w:val="008E2025"/>
    <w:rsid w:val="008E2361"/>
    <w:rsid w:val="008E267F"/>
    <w:rsid w:val="008E3249"/>
    <w:rsid w:val="008E3347"/>
    <w:rsid w:val="008E342E"/>
    <w:rsid w:val="008E35F8"/>
    <w:rsid w:val="008E3AAD"/>
    <w:rsid w:val="008E3CAD"/>
    <w:rsid w:val="008E3E62"/>
    <w:rsid w:val="008E3F3B"/>
    <w:rsid w:val="008E3FF5"/>
    <w:rsid w:val="008E404C"/>
    <w:rsid w:val="008E40CC"/>
    <w:rsid w:val="008E43E6"/>
    <w:rsid w:val="008E4547"/>
    <w:rsid w:val="008E45E3"/>
    <w:rsid w:val="008E4812"/>
    <w:rsid w:val="008E4862"/>
    <w:rsid w:val="008E4A77"/>
    <w:rsid w:val="008E4B6C"/>
    <w:rsid w:val="008E4E5A"/>
    <w:rsid w:val="008E4FDC"/>
    <w:rsid w:val="008E502E"/>
    <w:rsid w:val="008E5065"/>
    <w:rsid w:val="008E58A1"/>
    <w:rsid w:val="008E5B2B"/>
    <w:rsid w:val="008E5E22"/>
    <w:rsid w:val="008E6131"/>
    <w:rsid w:val="008E61AF"/>
    <w:rsid w:val="008E6440"/>
    <w:rsid w:val="008E6450"/>
    <w:rsid w:val="008E6522"/>
    <w:rsid w:val="008E6739"/>
    <w:rsid w:val="008E6CFE"/>
    <w:rsid w:val="008E6F18"/>
    <w:rsid w:val="008E6FD4"/>
    <w:rsid w:val="008E7382"/>
    <w:rsid w:val="008E7400"/>
    <w:rsid w:val="008E754C"/>
    <w:rsid w:val="008E75CF"/>
    <w:rsid w:val="008E795B"/>
    <w:rsid w:val="008E7CCA"/>
    <w:rsid w:val="008E7CFD"/>
    <w:rsid w:val="008E7ED2"/>
    <w:rsid w:val="008F0030"/>
    <w:rsid w:val="008F023C"/>
    <w:rsid w:val="008F04DE"/>
    <w:rsid w:val="008F068E"/>
    <w:rsid w:val="008F0877"/>
    <w:rsid w:val="008F0E8C"/>
    <w:rsid w:val="008F0EA6"/>
    <w:rsid w:val="008F0F71"/>
    <w:rsid w:val="008F1028"/>
    <w:rsid w:val="008F1055"/>
    <w:rsid w:val="008F10E4"/>
    <w:rsid w:val="008F110C"/>
    <w:rsid w:val="008F115E"/>
    <w:rsid w:val="008F11E1"/>
    <w:rsid w:val="008F12BE"/>
    <w:rsid w:val="008F1514"/>
    <w:rsid w:val="008F1750"/>
    <w:rsid w:val="008F1921"/>
    <w:rsid w:val="008F194C"/>
    <w:rsid w:val="008F1DFE"/>
    <w:rsid w:val="008F1EBB"/>
    <w:rsid w:val="008F1F0E"/>
    <w:rsid w:val="008F20DD"/>
    <w:rsid w:val="008F2140"/>
    <w:rsid w:val="008F233C"/>
    <w:rsid w:val="008F2761"/>
    <w:rsid w:val="008F2A4D"/>
    <w:rsid w:val="008F2D3E"/>
    <w:rsid w:val="008F2D9D"/>
    <w:rsid w:val="008F2E38"/>
    <w:rsid w:val="008F2E77"/>
    <w:rsid w:val="008F325E"/>
    <w:rsid w:val="008F3919"/>
    <w:rsid w:val="008F399B"/>
    <w:rsid w:val="008F3A8B"/>
    <w:rsid w:val="008F3DD4"/>
    <w:rsid w:val="008F40D5"/>
    <w:rsid w:val="008F41C6"/>
    <w:rsid w:val="008F42BD"/>
    <w:rsid w:val="008F455F"/>
    <w:rsid w:val="008F49D9"/>
    <w:rsid w:val="008F5268"/>
    <w:rsid w:val="008F5350"/>
    <w:rsid w:val="008F5931"/>
    <w:rsid w:val="008F5A88"/>
    <w:rsid w:val="008F5AE0"/>
    <w:rsid w:val="008F61CB"/>
    <w:rsid w:val="008F6252"/>
    <w:rsid w:val="008F626E"/>
    <w:rsid w:val="008F63D2"/>
    <w:rsid w:val="008F6483"/>
    <w:rsid w:val="008F67CD"/>
    <w:rsid w:val="008F69F3"/>
    <w:rsid w:val="008F6B9C"/>
    <w:rsid w:val="008F6D32"/>
    <w:rsid w:val="008F6E2F"/>
    <w:rsid w:val="008F7411"/>
    <w:rsid w:val="008F75A4"/>
    <w:rsid w:val="008F7604"/>
    <w:rsid w:val="008F7BED"/>
    <w:rsid w:val="008F7C06"/>
    <w:rsid w:val="008F7DD8"/>
    <w:rsid w:val="0090034E"/>
    <w:rsid w:val="00900650"/>
    <w:rsid w:val="00900A0C"/>
    <w:rsid w:val="00900AB9"/>
    <w:rsid w:val="009010D1"/>
    <w:rsid w:val="0090118D"/>
    <w:rsid w:val="00901277"/>
    <w:rsid w:val="009014BC"/>
    <w:rsid w:val="00901509"/>
    <w:rsid w:val="009016F6"/>
    <w:rsid w:val="009018A9"/>
    <w:rsid w:val="00901A2E"/>
    <w:rsid w:val="00901F6C"/>
    <w:rsid w:val="009022E6"/>
    <w:rsid w:val="009023F8"/>
    <w:rsid w:val="00902923"/>
    <w:rsid w:val="00902E6A"/>
    <w:rsid w:val="00902E98"/>
    <w:rsid w:val="00902F48"/>
    <w:rsid w:val="009031B1"/>
    <w:rsid w:val="00903480"/>
    <w:rsid w:val="0090354A"/>
    <w:rsid w:val="0090374E"/>
    <w:rsid w:val="009038C6"/>
    <w:rsid w:val="00903B68"/>
    <w:rsid w:val="00903B6D"/>
    <w:rsid w:val="00903C7E"/>
    <w:rsid w:val="00903E4A"/>
    <w:rsid w:val="00903FFB"/>
    <w:rsid w:val="00904073"/>
    <w:rsid w:val="00904168"/>
    <w:rsid w:val="0090421E"/>
    <w:rsid w:val="0090428D"/>
    <w:rsid w:val="00904390"/>
    <w:rsid w:val="00904394"/>
    <w:rsid w:val="00904460"/>
    <w:rsid w:val="009048D0"/>
    <w:rsid w:val="009048D6"/>
    <w:rsid w:val="00904C71"/>
    <w:rsid w:val="00904C8F"/>
    <w:rsid w:val="00904E39"/>
    <w:rsid w:val="00904FE8"/>
    <w:rsid w:val="009052EC"/>
    <w:rsid w:val="009052F0"/>
    <w:rsid w:val="009053A1"/>
    <w:rsid w:val="00905559"/>
    <w:rsid w:val="009055FA"/>
    <w:rsid w:val="0090563E"/>
    <w:rsid w:val="00905706"/>
    <w:rsid w:val="00905715"/>
    <w:rsid w:val="00905A21"/>
    <w:rsid w:val="00905A75"/>
    <w:rsid w:val="00905B66"/>
    <w:rsid w:val="00905BE4"/>
    <w:rsid w:val="00906006"/>
    <w:rsid w:val="0090639E"/>
    <w:rsid w:val="00906429"/>
    <w:rsid w:val="009065AE"/>
    <w:rsid w:val="00906A95"/>
    <w:rsid w:val="00906AC4"/>
    <w:rsid w:val="00906B4E"/>
    <w:rsid w:val="00906C02"/>
    <w:rsid w:val="00906DF5"/>
    <w:rsid w:val="00906F03"/>
    <w:rsid w:val="009070F8"/>
    <w:rsid w:val="009071F3"/>
    <w:rsid w:val="00907398"/>
    <w:rsid w:val="009075C3"/>
    <w:rsid w:val="00907641"/>
    <w:rsid w:val="009076EA"/>
    <w:rsid w:val="0090776F"/>
    <w:rsid w:val="0090785B"/>
    <w:rsid w:val="00907B08"/>
    <w:rsid w:val="00907DB2"/>
    <w:rsid w:val="00907DB5"/>
    <w:rsid w:val="0091002E"/>
    <w:rsid w:val="0091023B"/>
    <w:rsid w:val="009102CD"/>
    <w:rsid w:val="0091036C"/>
    <w:rsid w:val="0091062B"/>
    <w:rsid w:val="009109DF"/>
    <w:rsid w:val="00910B0A"/>
    <w:rsid w:val="00910E44"/>
    <w:rsid w:val="00910F60"/>
    <w:rsid w:val="00911149"/>
    <w:rsid w:val="00911194"/>
    <w:rsid w:val="009112D7"/>
    <w:rsid w:val="00911875"/>
    <w:rsid w:val="00911CDB"/>
    <w:rsid w:val="00911E91"/>
    <w:rsid w:val="00911F9E"/>
    <w:rsid w:val="00911FA7"/>
    <w:rsid w:val="0091206A"/>
    <w:rsid w:val="0091229A"/>
    <w:rsid w:val="0091245C"/>
    <w:rsid w:val="0091275F"/>
    <w:rsid w:val="00912BE2"/>
    <w:rsid w:val="00912C12"/>
    <w:rsid w:val="00912F9F"/>
    <w:rsid w:val="00913559"/>
    <w:rsid w:val="00913579"/>
    <w:rsid w:val="00913670"/>
    <w:rsid w:val="00913AEB"/>
    <w:rsid w:val="00913C78"/>
    <w:rsid w:val="00913CB1"/>
    <w:rsid w:val="00914162"/>
    <w:rsid w:val="00914169"/>
    <w:rsid w:val="0091423D"/>
    <w:rsid w:val="00914274"/>
    <w:rsid w:val="00914641"/>
    <w:rsid w:val="0091483B"/>
    <w:rsid w:val="00914D61"/>
    <w:rsid w:val="00914DC7"/>
    <w:rsid w:val="00914DED"/>
    <w:rsid w:val="00914F77"/>
    <w:rsid w:val="009150F2"/>
    <w:rsid w:val="0091521A"/>
    <w:rsid w:val="009152A5"/>
    <w:rsid w:val="009152BE"/>
    <w:rsid w:val="0091557C"/>
    <w:rsid w:val="0091561A"/>
    <w:rsid w:val="00915A36"/>
    <w:rsid w:val="00915B45"/>
    <w:rsid w:val="00915B8D"/>
    <w:rsid w:val="00915E5A"/>
    <w:rsid w:val="00915F85"/>
    <w:rsid w:val="00916137"/>
    <w:rsid w:val="009162B6"/>
    <w:rsid w:val="0091640A"/>
    <w:rsid w:val="00916855"/>
    <w:rsid w:val="009169C2"/>
    <w:rsid w:val="00916AFB"/>
    <w:rsid w:val="00916BAE"/>
    <w:rsid w:val="00916CFF"/>
    <w:rsid w:val="00916EE2"/>
    <w:rsid w:val="00916FE8"/>
    <w:rsid w:val="009170A1"/>
    <w:rsid w:val="00917112"/>
    <w:rsid w:val="00917228"/>
    <w:rsid w:val="009175C5"/>
    <w:rsid w:val="00917639"/>
    <w:rsid w:val="009178FA"/>
    <w:rsid w:val="00917939"/>
    <w:rsid w:val="009179CE"/>
    <w:rsid w:val="00917E9B"/>
    <w:rsid w:val="00920026"/>
    <w:rsid w:val="00920284"/>
    <w:rsid w:val="00920434"/>
    <w:rsid w:val="00920515"/>
    <w:rsid w:val="00920598"/>
    <w:rsid w:val="009205F2"/>
    <w:rsid w:val="00920667"/>
    <w:rsid w:val="00920694"/>
    <w:rsid w:val="00920778"/>
    <w:rsid w:val="00920792"/>
    <w:rsid w:val="009207EE"/>
    <w:rsid w:val="00920B1B"/>
    <w:rsid w:val="0092109D"/>
    <w:rsid w:val="00921771"/>
    <w:rsid w:val="00921998"/>
    <w:rsid w:val="00921A65"/>
    <w:rsid w:val="00921BF6"/>
    <w:rsid w:val="00921DB9"/>
    <w:rsid w:val="00922856"/>
    <w:rsid w:val="009228E5"/>
    <w:rsid w:val="00922EBE"/>
    <w:rsid w:val="00923052"/>
    <w:rsid w:val="00923491"/>
    <w:rsid w:val="00923560"/>
    <w:rsid w:val="00923912"/>
    <w:rsid w:val="00923AA3"/>
    <w:rsid w:val="00923CD2"/>
    <w:rsid w:val="00924126"/>
    <w:rsid w:val="00924129"/>
    <w:rsid w:val="0092415F"/>
    <w:rsid w:val="00924A41"/>
    <w:rsid w:val="00924D8D"/>
    <w:rsid w:val="00924E9D"/>
    <w:rsid w:val="00925054"/>
    <w:rsid w:val="00925477"/>
    <w:rsid w:val="00925643"/>
    <w:rsid w:val="0092583D"/>
    <w:rsid w:val="00925D1C"/>
    <w:rsid w:val="00925D5C"/>
    <w:rsid w:val="00925D7E"/>
    <w:rsid w:val="00925F62"/>
    <w:rsid w:val="0092624C"/>
    <w:rsid w:val="009264EF"/>
    <w:rsid w:val="0092659E"/>
    <w:rsid w:val="009265BD"/>
    <w:rsid w:val="00926674"/>
    <w:rsid w:val="009269F8"/>
    <w:rsid w:val="0092709D"/>
    <w:rsid w:val="009272C0"/>
    <w:rsid w:val="009276BF"/>
    <w:rsid w:val="00927C50"/>
    <w:rsid w:val="00927F2E"/>
    <w:rsid w:val="00930240"/>
    <w:rsid w:val="009302B3"/>
    <w:rsid w:val="009303CE"/>
    <w:rsid w:val="00930475"/>
    <w:rsid w:val="009304B6"/>
    <w:rsid w:val="00930604"/>
    <w:rsid w:val="00930654"/>
    <w:rsid w:val="009307C2"/>
    <w:rsid w:val="009307FC"/>
    <w:rsid w:val="00930AA7"/>
    <w:rsid w:val="00930CC8"/>
    <w:rsid w:val="00930CF6"/>
    <w:rsid w:val="00930D6B"/>
    <w:rsid w:val="00930D81"/>
    <w:rsid w:val="00930EA3"/>
    <w:rsid w:val="00930F98"/>
    <w:rsid w:val="009311C4"/>
    <w:rsid w:val="009311C7"/>
    <w:rsid w:val="00931308"/>
    <w:rsid w:val="00931354"/>
    <w:rsid w:val="00931357"/>
    <w:rsid w:val="0093145D"/>
    <w:rsid w:val="00931524"/>
    <w:rsid w:val="0093167B"/>
    <w:rsid w:val="00931A14"/>
    <w:rsid w:val="00931BB0"/>
    <w:rsid w:val="00931C54"/>
    <w:rsid w:val="00931C90"/>
    <w:rsid w:val="00932197"/>
    <w:rsid w:val="009324E9"/>
    <w:rsid w:val="00932773"/>
    <w:rsid w:val="009327C9"/>
    <w:rsid w:val="00932BFB"/>
    <w:rsid w:val="00932CBD"/>
    <w:rsid w:val="00932D5C"/>
    <w:rsid w:val="00932D94"/>
    <w:rsid w:val="00932DBA"/>
    <w:rsid w:val="00933009"/>
    <w:rsid w:val="0093314E"/>
    <w:rsid w:val="00933269"/>
    <w:rsid w:val="0093342D"/>
    <w:rsid w:val="009334AA"/>
    <w:rsid w:val="00933535"/>
    <w:rsid w:val="009335D1"/>
    <w:rsid w:val="009335F2"/>
    <w:rsid w:val="009339D4"/>
    <w:rsid w:val="00933C73"/>
    <w:rsid w:val="00933E0C"/>
    <w:rsid w:val="00934139"/>
    <w:rsid w:val="00934308"/>
    <w:rsid w:val="00934333"/>
    <w:rsid w:val="009344BE"/>
    <w:rsid w:val="009345D9"/>
    <w:rsid w:val="0093465E"/>
    <w:rsid w:val="0093490B"/>
    <w:rsid w:val="0093494C"/>
    <w:rsid w:val="00934A76"/>
    <w:rsid w:val="00934DCA"/>
    <w:rsid w:val="00935223"/>
    <w:rsid w:val="0093564B"/>
    <w:rsid w:val="00935657"/>
    <w:rsid w:val="00935728"/>
    <w:rsid w:val="00935734"/>
    <w:rsid w:val="00935809"/>
    <w:rsid w:val="009359E0"/>
    <w:rsid w:val="009359E7"/>
    <w:rsid w:val="00935AA6"/>
    <w:rsid w:val="00935DC0"/>
    <w:rsid w:val="00935DCD"/>
    <w:rsid w:val="00935F28"/>
    <w:rsid w:val="00935F92"/>
    <w:rsid w:val="00935FE4"/>
    <w:rsid w:val="009362D8"/>
    <w:rsid w:val="0093661A"/>
    <w:rsid w:val="00936859"/>
    <w:rsid w:val="009368D6"/>
    <w:rsid w:val="00936B1E"/>
    <w:rsid w:val="00936CB2"/>
    <w:rsid w:val="00936DF6"/>
    <w:rsid w:val="00936F44"/>
    <w:rsid w:val="0093702B"/>
    <w:rsid w:val="009371B0"/>
    <w:rsid w:val="0093733C"/>
    <w:rsid w:val="009373D3"/>
    <w:rsid w:val="009374C2"/>
    <w:rsid w:val="0093761C"/>
    <w:rsid w:val="009376C1"/>
    <w:rsid w:val="009378C0"/>
    <w:rsid w:val="00937AE6"/>
    <w:rsid w:val="00937C4C"/>
    <w:rsid w:val="00937CD8"/>
    <w:rsid w:val="00937E28"/>
    <w:rsid w:val="00937EE9"/>
    <w:rsid w:val="009405F2"/>
    <w:rsid w:val="00940750"/>
    <w:rsid w:val="00940D4B"/>
    <w:rsid w:val="00940EAA"/>
    <w:rsid w:val="00941158"/>
    <w:rsid w:val="009411A3"/>
    <w:rsid w:val="0094198E"/>
    <w:rsid w:val="00941BA3"/>
    <w:rsid w:val="00941C66"/>
    <w:rsid w:val="00941DB2"/>
    <w:rsid w:val="00941E9D"/>
    <w:rsid w:val="00941EA0"/>
    <w:rsid w:val="00942179"/>
    <w:rsid w:val="00942B8C"/>
    <w:rsid w:val="00942C8D"/>
    <w:rsid w:val="00942D3A"/>
    <w:rsid w:val="00942DBB"/>
    <w:rsid w:val="00942E18"/>
    <w:rsid w:val="00942EAD"/>
    <w:rsid w:val="00943182"/>
    <w:rsid w:val="009431C1"/>
    <w:rsid w:val="0094324A"/>
    <w:rsid w:val="00943619"/>
    <w:rsid w:val="0094366F"/>
    <w:rsid w:val="0094367A"/>
    <w:rsid w:val="009437EC"/>
    <w:rsid w:val="009438F3"/>
    <w:rsid w:val="00943BC0"/>
    <w:rsid w:val="00943BCB"/>
    <w:rsid w:val="00943D7C"/>
    <w:rsid w:val="00943F1C"/>
    <w:rsid w:val="00943F25"/>
    <w:rsid w:val="00944658"/>
    <w:rsid w:val="00944829"/>
    <w:rsid w:val="00944913"/>
    <w:rsid w:val="00944A57"/>
    <w:rsid w:val="00944DFF"/>
    <w:rsid w:val="00944F1F"/>
    <w:rsid w:val="00945163"/>
    <w:rsid w:val="009451D0"/>
    <w:rsid w:val="00945329"/>
    <w:rsid w:val="0094560B"/>
    <w:rsid w:val="0094571A"/>
    <w:rsid w:val="0094575B"/>
    <w:rsid w:val="009458B3"/>
    <w:rsid w:val="00945913"/>
    <w:rsid w:val="009459DF"/>
    <w:rsid w:val="009459F7"/>
    <w:rsid w:val="009459FD"/>
    <w:rsid w:val="00945B3E"/>
    <w:rsid w:val="00945B6F"/>
    <w:rsid w:val="0094616C"/>
    <w:rsid w:val="00946873"/>
    <w:rsid w:val="00946D31"/>
    <w:rsid w:val="00946E18"/>
    <w:rsid w:val="00946F7C"/>
    <w:rsid w:val="00946FDE"/>
    <w:rsid w:val="0094728D"/>
    <w:rsid w:val="009473A7"/>
    <w:rsid w:val="0094762F"/>
    <w:rsid w:val="00947818"/>
    <w:rsid w:val="009478AE"/>
    <w:rsid w:val="00947A58"/>
    <w:rsid w:val="00947B0E"/>
    <w:rsid w:val="00947C50"/>
    <w:rsid w:val="00947C54"/>
    <w:rsid w:val="00947F32"/>
    <w:rsid w:val="0095007A"/>
    <w:rsid w:val="009502D4"/>
    <w:rsid w:val="009504EE"/>
    <w:rsid w:val="0095067B"/>
    <w:rsid w:val="00951022"/>
    <w:rsid w:val="00951097"/>
    <w:rsid w:val="009514AA"/>
    <w:rsid w:val="009515E6"/>
    <w:rsid w:val="0095166B"/>
    <w:rsid w:val="009516A4"/>
    <w:rsid w:val="00951735"/>
    <w:rsid w:val="00951A20"/>
    <w:rsid w:val="00951A56"/>
    <w:rsid w:val="00951A72"/>
    <w:rsid w:val="00951E9F"/>
    <w:rsid w:val="00952146"/>
    <w:rsid w:val="0095248A"/>
    <w:rsid w:val="0095256D"/>
    <w:rsid w:val="00952665"/>
    <w:rsid w:val="009528B1"/>
    <w:rsid w:val="00952973"/>
    <w:rsid w:val="00952E41"/>
    <w:rsid w:val="00952F35"/>
    <w:rsid w:val="00953089"/>
    <w:rsid w:val="00953527"/>
    <w:rsid w:val="0095355A"/>
    <w:rsid w:val="00953568"/>
    <w:rsid w:val="009535DC"/>
    <w:rsid w:val="00953775"/>
    <w:rsid w:val="009538B5"/>
    <w:rsid w:val="0095399E"/>
    <w:rsid w:val="00953F41"/>
    <w:rsid w:val="0095414F"/>
    <w:rsid w:val="00954189"/>
    <w:rsid w:val="009541E6"/>
    <w:rsid w:val="00954690"/>
    <w:rsid w:val="00954709"/>
    <w:rsid w:val="009548EA"/>
    <w:rsid w:val="009549A5"/>
    <w:rsid w:val="00954A00"/>
    <w:rsid w:val="00954B98"/>
    <w:rsid w:val="00955059"/>
    <w:rsid w:val="009550FF"/>
    <w:rsid w:val="0095563B"/>
    <w:rsid w:val="00955A0F"/>
    <w:rsid w:val="00955C00"/>
    <w:rsid w:val="00955C6F"/>
    <w:rsid w:val="00955C7E"/>
    <w:rsid w:val="00956013"/>
    <w:rsid w:val="0095611C"/>
    <w:rsid w:val="009561DD"/>
    <w:rsid w:val="009567E0"/>
    <w:rsid w:val="00956803"/>
    <w:rsid w:val="00956C25"/>
    <w:rsid w:val="00957393"/>
    <w:rsid w:val="0095746A"/>
    <w:rsid w:val="00957746"/>
    <w:rsid w:val="00957954"/>
    <w:rsid w:val="00957B1F"/>
    <w:rsid w:val="00957BEF"/>
    <w:rsid w:val="00957C4C"/>
    <w:rsid w:val="00957DA0"/>
    <w:rsid w:val="00957DCE"/>
    <w:rsid w:val="0096025A"/>
    <w:rsid w:val="00960406"/>
    <w:rsid w:val="009607DD"/>
    <w:rsid w:val="009608A2"/>
    <w:rsid w:val="009608D6"/>
    <w:rsid w:val="009608FF"/>
    <w:rsid w:val="0096092B"/>
    <w:rsid w:val="00960A87"/>
    <w:rsid w:val="00960C0B"/>
    <w:rsid w:val="00960CD7"/>
    <w:rsid w:val="00960F8F"/>
    <w:rsid w:val="009610EE"/>
    <w:rsid w:val="009611DC"/>
    <w:rsid w:val="0096149F"/>
    <w:rsid w:val="0096151C"/>
    <w:rsid w:val="0096161B"/>
    <w:rsid w:val="0096164A"/>
    <w:rsid w:val="0096180C"/>
    <w:rsid w:val="009618FA"/>
    <w:rsid w:val="00961AB6"/>
    <w:rsid w:val="00961EEE"/>
    <w:rsid w:val="00961F48"/>
    <w:rsid w:val="009623FD"/>
    <w:rsid w:val="00962704"/>
    <w:rsid w:val="00962762"/>
    <w:rsid w:val="00962891"/>
    <w:rsid w:val="00962907"/>
    <w:rsid w:val="00962995"/>
    <w:rsid w:val="00962A37"/>
    <w:rsid w:val="00962DBB"/>
    <w:rsid w:val="00963185"/>
    <w:rsid w:val="00963194"/>
    <w:rsid w:val="00963595"/>
    <w:rsid w:val="009637DA"/>
    <w:rsid w:val="0096381B"/>
    <w:rsid w:val="00963D48"/>
    <w:rsid w:val="00963D51"/>
    <w:rsid w:val="00963D7D"/>
    <w:rsid w:val="009640FE"/>
    <w:rsid w:val="00964161"/>
    <w:rsid w:val="009644DD"/>
    <w:rsid w:val="009645A3"/>
    <w:rsid w:val="009645B2"/>
    <w:rsid w:val="00964771"/>
    <w:rsid w:val="00964951"/>
    <w:rsid w:val="009649BA"/>
    <w:rsid w:val="00964C7E"/>
    <w:rsid w:val="00964DEC"/>
    <w:rsid w:val="00964F07"/>
    <w:rsid w:val="00964F52"/>
    <w:rsid w:val="0096509B"/>
    <w:rsid w:val="00965256"/>
    <w:rsid w:val="00965363"/>
    <w:rsid w:val="00965419"/>
    <w:rsid w:val="009657C9"/>
    <w:rsid w:val="009657D4"/>
    <w:rsid w:val="009657FA"/>
    <w:rsid w:val="009658CB"/>
    <w:rsid w:val="009665AF"/>
    <w:rsid w:val="0096699D"/>
    <w:rsid w:val="00966B44"/>
    <w:rsid w:val="00966BAE"/>
    <w:rsid w:val="00966C6B"/>
    <w:rsid w:val="00966F3E"/>
    <w:rsid w:val="00966F71"/>
    <w:rsid w:val="00967057"/>
    <w:rsid w:val="0096719D"/>
    <w:rsid w:val="009671FC"/>
    <w:rsid w:val="00967479"/>
    <w:rsid w:val="00967607"/>
    <w:rsid w:val="009678B6"/>
    <w:rsid w:val="00967DFD"/>
    <w:rsid w:val="00967F00"/>
    <w:rsid w:val="00970199"/>
    <w:rsid w:val="0097095D"/>
    <w:rsid w:val="00970A5B"/>
    <w:rsid w:val="00970B4D"/>
    <w:rsid w:val="00970C53"/>
    <w:rsid w:val="00970DA0"/>
    <w:rsid w:val="00970E45"/>
    <w:rsid w:val="00970F43"/>
    <w:rsid w:val="00971040"/>
    <w:rsid w:val="00971193"/>
    <w:rsid w:val="00971284"/>
    <w:rsid w:val="00971375"/>
    <w:rsid w:val="00971482"/>
    <w:rsid w:val="0097174D"/>
    <w:rsid w:val="0097193D"/>
    <w:rsid w:val="009719BF"/>
    <w:rsid w:val="00971ABD"/>
    <w:rsid w:val="00971C93"/>
    <w:rsid w:val="00971F62"/>
    <w:rsid w:val="00972101"/>
    <w:rsid w:val="00972176"/>
    <w:rsid w:val="009722D9"/>
    <w:rsid w:val="009727FD"/>
    <w:rsid w:val="0097289F"/>
    <w:rsid w:val="00972A18"/>
    <w:rsid w:val="00972B60"/>
    <w:rsid w:val="00972BC5"/>
    <w:rsid w:val="00972CDA"/>
    <w:rsid w:val="00973060"/>
    <w:rsid w:val="00973077"/>
    <w:rsid w:val="00973298"/>
    <w:rsid w:val="00973338"/>
    <w:rsid w:val="0097340F"/>
    <w:rsid w:val="009735AA"/>
    <w:rsid w:val="00973831"/>
    <w:rsid w:val="009738CF"/>
    <w:rsid w:val="00973AEB"/>
    <w:rsid w:val="00973CF2"/>
    <w:rsid w:val="00973DA9"/>
    <w:rsid w:val="00973DB9"/>
    <w:rsid w:val="00973DC1"/>
    <w:rsid w:val="00973EF8"/>
    <w:rsid w:val="009741A2"/>
    <w:rsid w:val="009741AC"/>
    <w:rsid w:val="009744A4"/>
    <w:rsid w:val="0097456A"/>
    <w:rsid w:val="009746FF"/>
    <w:rsid w:val="009747D6"/>
    <w:rsid w:val="009748B7"/>
    <w:rsid w:val="00974C93"/>
    <w:rsid w:val="00974CF7"/>
    <w:rsid w:val="00974EB8"/>
    <w:rsid w:val="00974ECF"/>
    <w:rsid w:val="0097522E"/>
    <w:rsid w:val="009753D6"/>
    <w:rsid w:val="009754AE"/>
    <w:rsid w:val="00975569"/>
    <w:rsid w:val="009757B0"/>
    <w:rsid w:val="00975E9C"/>
    <w:rsid w:val="00975EE7"/>
    <w:rsid w:val="00976052"/>
    <w:rsid w:val="0097633B"/>
    <w:rsid w:val="00976453"/>
    <w:rsid w:val="0097649F"/>
    <w:rsid w:val="0097664D"/>
    <w:rsid w:val="009768DB"/>
    <w:rsid w:val="00976AA7"/>
    <w:rsid w:val="00976AAC"/>
    <w:rsid w:val="00976C2F"/>
    <w:rsid w:val="0097712E"/>
    <w:rsid w:val="0097713D"/>
    <w:rsid w:val="00977361"/>
    <w:rsid w:val="00977383"/>
    <w:rsid w:val="009778E1"/>
    <w:rsid w:val="00977D4E"/>
    <w:rsid w:val="00977E69"/>
    <w:rsid w:val="009800C4"/>
    <w:rsid w:val="0098043B"/>
    <w:rsid w:val="00980479"/>
    <w:rsid w:val="009804CD"/>
    <w:rsid w:val="0098056D"/>
    <w:rsid w:val="009805AE"/>
    <w:rsid w:val="00980635"/>
    <w:rsid w:val="00980887"/>
    <w:rsid w:val="00980DBB"/>
    <w:rsid w:val="0098105B"/>
    <w:rsid w:val="00981433"/>
    <w:rsid w:val="00981461"/>
    <w:rsid w:val="0098150D"/>
    <w:rsid w:val="009816CB"/>
    <w:rsid w:val="00981FFA"/>
    <w:rsid w:val="009822F9"/>
    <w:rsid w:val="009823C4"/>
    <w:rsid w:val="009826EB"/>
    <w:rsid w:val="009827FD"/>
    <w:rsid w:val="0098282E"/>
    <w:rsid w:val="009828DE"/>
    <w:rsid w:val="0098298B"/>
    <w:rsid w:val="00982B32"/>
    <w:rsid w:val="00982C0D"/>
    <w:rsid w:val="00982FDC"/>
    <w:rsid w:val="00983182"/>
    <w:rsid w:val="009831CA"/>
    <w:rsid w:val="00983356"/>
    <w:rsid w:val="009835B0"/>
    <w:rsid w:val="009838ED"/>
    <w:rsid w:val="009839C0"/>
    <w:rsid w:val="00983AC3"/>
    <w:rsid w:val="00983B2E"/>
    <w:rsid w:val="00983F9A"/>
    <w:rsid w:val="00984201"/>
    <w:rsid w:val="00984315"/>
    <w:rsid w:val="00984337"/>
    <w:rsid w:val="009843FD"/>
    <w:rsid w:val="00984603"/>
    <w:rsid w:val="00984705"/>
    <w:rsid w:val="00984892"/>
    <w:rsid w:val="009848A2"/>
    <w:rsid w:val="009848D3"/>
    <w:rsid w:val="0098498A"/>
    <w:rsid w:val="00984CB9"/>
    <w:rsid w:val="00984D60"/>
    <w:rsid w:val="00984FC9"/>
    <w:rsid w:val="009850DE"/>
    <w:rsid w:val="00985206"/>
    <w:rsid w:val="00985215"/>
    <w:rsid w:val="009854E9"/>
    <w:rsid w:val="0098579E"/>
    <w:rsid w:val="00985EE8"/>
    <w:rsid w:val="009867F6"/>
    <w:rsid w:val="00986927"/>
    <w:rsid w:val="00986AD6"/>
    <w:rsid w:val="00986CBE"/>
    <w:rsid w:val="00986CE2"/>
    <w:rsid w:val="00986D5B"/>
    <w:rsid w:val="00986F5F"/>
    <w:rsid w:val="00987139"/>
    <w:rsid w:val="009874A8"/>
    <w:rsid w:val="009874CE"/>
    <w:rsid w:val="0098765F"/>
    <w:rsid w:val="009879C1"/>
    <w:rsid w:val="00987CC2"/>
    <w:rsid w:val="00987D88"/>
    <w:rsid w:val="0099048A"/>
    <w:rsid w:val="009904BE"/>
    <w:rsid w:val="00990545"/>
    <w:rsid w:val="009905F1"/>
    <w:rsid w:val="009907AB"/>
    <w:rsid w:val="009907CD"/>
    <w:rsid w:val="00990810"/>
    <w:rsid w:val="00990A01"/>
    <w:rsid w:val="00990DFD"/>
    <w:rsid w:val="00991385"/>
    <w:rsid w:val="009913A6"/>
    <w:rsid w:val="0099165B"/>
    <w:rsid w:val="0099183A"/>
    <w:rsid w:val="009919B9"/>
    <w:rsid w:val="00991A16"/>
    <w:rsid w:val="00991AD0"/>
    <w:rsid w:val="00991B58"/>
    <w:rsid w:val="00991C33"/>
    <w:rsid w:val="00991CD9"/>
    <w:rsid w:val="00991CE8"/>
    <w:rsid w:val="009922EF"/>
    <w:rsid w:val="0099241E"/>
    <w:rsid w:val="009924DB"/>
    <w:rsid w:val="0099283A"/>
    <w:rsid w:val="0099288B"/>
    <w:rsid w:val="00992DBF"/>
    <w:rsid w:val="00992E2B"/>
    <w:rsid w:val="009932BC"/>
    <w:rsid w:val="0099382E"/>
    <w:rsid w:val="00993917"/>
    <w:rsid w:val="0099399A"/>
    <w:rsid w:val="00994032"/>
    <w:rsid w:val="009941F8"/>
    <w:rsid w:val="0099431A"/>
    <w:rsid w:val="00994452"/>
    <w:rsid w:val="00994600"/>
    <w:rsid w:val="009948A9"/>
    <w:rsid w:val="0099496B"/>
    <w:rsid w:val="00994B47"/>
    <w:rsid w:val="00994B64"/>
    <w:rsid w:val="00994E69"/>
    <w:rsid w:val="009950ED"/>
    <w:rsid w:val="009951E0"/>
    <w:rsid w:val="00995283"/>
    <w:rsid w:val="00995581"/>
    <w:rsid w:val="009955D7"/>
    <w:rsid w:val="00995658"/>
    <w:rsid w:val="00995A24"/>
    <w:rsid w:val="00995AF6"/>
    <w:rsid w:val="00995BB7"/>
    <w:rsid w:val="00995C04"/>
    <w:rsid w:val="00995EFC"/>
    <w:rsid w:val="00996068"/>
    <w:rsid w:val="00996804"/>
    <w:rsid w:val="00996994"/>
    <w:rsid w:val="00996BBA"/>
    <w:rsid w:val="00996C0C"/>
    <w:rsid w:val="00997355"/>
    <w:rsid w:val="00997485"/>
    <w:rsid w:val="0099751F"/>
    <w:rsid w:val="00997652"/>
    <w:rsid w:val="0099786D"/>
    <w:rsid w:val="00997892"/>
    <w:rsid w:val="00997BDC"/>
    <w:rsid w:val="00997C70"/>
    <w:rsid w:val="00997E18"/>
    <w:rsid w:val="00997E50"/>
    <w:rsid w:val="00997F67"/>
    <w:rsid w:val="009A00AB"/>
    <w:rsid w:val="009A0272"/>
    <w:rsid w:val="009A06E9"/>
    <w:rsid w:val="009A085F"/>
    <w:rsid w:val="009A0A0B"/>
    <w:rsid w:val="009A0AE3"/>
    <w:rsid w:val="009A0B56"/>
    <w:rsid w:val="009A0C3C"/>
    <w:rsid w:val="009A0DFC"/>
    <w:rsid w:val="009A116F"/>
    <w:rsid w:val="009A1289"/>
    <w:rsid w:val="009A1398"/>
    <w:rsid w:val="009A13B9"/>
    <w:rsid w:val="009A1428"/>
    <w:rsid w:val="009A1456"/>
    <w:rsid w:val="009A15A4"/>
    <w:rsid w:val="009A1817"/>
    <w:rsid w:val="009A1B20"/>
    <w:rsid w:val="009A1DA4"/>
    <w:rsid w:val="009A1E84"/>
    <w:rsid w:val="009A2017"/>
    <w:rsid w:val="009A21B4"/>
    <w:rsid w:val="009A2583"/>
    <w:rsid w:val="009A25ED"/>
    <w:rsid w:val="009A28C1"/>
    <w:rsid w:val="009A2A01"/>
    <w:rsid w:val="009A2CA8"/>
    <w:rsid w:val="009A2EBC"/>
    <w:rsid w:val="009A2FA4"/>
    <w:rsid w:val="009A3AC3"/>
    <w:rsid w:val="009A3C65"/>
    <w:rsid w:val="009A3C96"/>
    <w:rsid w:val="009A3D59"/>
    <w:rsid w:val="009A3E15"/>
    <w:rsid w:val="009A3EED"/>
    <w:rsid w:val="009A4400"/>
    <w:rsid w:val="009A4505"/>
    <w:rsid w:val="009A4590"/>
    <w:rsid w:val="009A487D"/>
    <w:rsid w:val="009A4995"/>
    <w:rsid w:val="009A49B0"/>
    <w:rsid w:val="009A4EC9"/>
    <w:rsid w:val="009A5073"/>
    <w:rsid w:val="009A5199"/>
    <w:rsid w:val="009A5485"/>
    <w:rsid w:val="009A558C"/>
    <w:rsid w:val="009A5842"/>
    <w:rsid w:val="009A587F"/>
    <w:rsid w:val="009A5A54"/>
    <w:rsid w:val="009A5AB8"/>
    <w:rsid w:val="009A5B60"/>
    <w:rsid w:val="009A5D53"/>
    <w:rsid w:val="009A67BB"/>
    <w:rsid w:val="009A6863"/>
    <w:rsid w:val="009A6C94"/>
    <w:rsid w:val="009A6F32"/>
    <w:rsid w:val="009A6F74"/>
    <w:rsid w:val="009A6F98"/>
    <w:rsid w:val="009A701C"/>
    <w:rsid w:val="009A711C"/>
    <w:rsid w:val="009A712B"/>
    <w:rsid w:val="009A71BB"/>
    <w:rsid w:val="009A72AA"/>
    <w:rsid w:val="009A7478"/>
    <w:rsid w:val="009A7775"/>
    <w:rsid w:val="009A79C7"/>
    <w:rsid w:val="009B0122"/>
    <w:rsid w:val="009B014F"/>
    <w:rsid w:val="009B0270"/>
    <w:rsid w:val="009B06FA"/>
    <w:rsid w:val="009B092D"/>
    <w:rsid w:val="009B0D41"/>
    <w:rsid w:val="009B1915"/>
    <w:rsid w:val="009B1B9D"/>
    <w:rsid w:val="009B1D55"/>
    <w:rsid w:val="009B20A0"/>
    <w:rsid w:val="009B222A"/>
    <w:rsid w:val="009B2263"/>
    <w:rsid w:val="009B26FC"/>
    <w:rsid w:val="009B279D"/>
    <w:rsid w:val="009B27AC"/>
    <w:rsid w:val="009B2883"/>
    <w:rsid w:val="009B2A03"/>
    <w:rsid w:val="009B2A5C"/>
    <w:rsid w:val="009B2B90"/>
    <w:rsid w:val="009B2F82"/>
    <w:rsid w:val="009B3053"/>
    <w:rsid w:val="009B30D3"/>
    <w:rsid w:val="009B3350"/>
    <w:rsid w:val="009B3369"/>
    <w:rsid w:val="009B33ED"/>
    <w:rsid w:val="009B3751"/>
    <w:rsid w:val="009B3878"/>
    <w:rsid w:val="009B395E"/>
    <w:rsid w:val="009B3E73"/>
    <w:rsid w:val="009B4247"/>
    <w:rsid w:val="009B43A1"/>
    <w:rsid w:val="009B466A"/>
    <w:rsid w:val="009B48C8"/>
    <w:rsid w:val="009B4933"/>
    <w:rsid w:val="009B4B0A"/>
    <w:rsid w:val="009B4F02"/>
    <w:rsid w:val="009B4F22"/>
    <w:rsid w:val="009B5013"/>
    <w:rsid w:val="009B50F5"/>
    <w:rsid w:val="009B5480"/>
    <w:rsid w:val="009B5646"/>
    <w:rsid w:val="009B611B"/>
    <w:rsid w:val="009B66BB"/>
    <w:rsid w:val="009B6784"/>
    <w:rsid w:val="009B67C3"/>
    <w:rsid w:val="009B699C"/>
    <w:rsid w:val="009B6FB1"/>
    <w:rsid w:val="009B700A"/>
    <w:rsid w:val="009B71C9"/>
    <w:rsid w:val="009B740C"/>
    <w:rsid w:val="009B7458"/>
    <w:rsid w:val="009B7634"/>
    <w:rsid w:val="009B776D"/>
    <w:rsid w:val="009B779C"/>
    <w:rsid w:val="009B7831"/>
    <w:rsid w:val="009B7A23"/>
    <w:rsid w:val="009B7D37"/>
    <w:rsid w:val="009B7D46"/>
    <w:rsid w:val="009C0310"/>
    <w:rsid w:val="009C03B9"/>
    <w:rsid w:val="009C0A48"/>
    <w:rsid w:val="009C0B4D"/>
    <w:rsid w:val="009C0DBE"/>
    <w:rsid w:val="009C0EB2"/>
    <w:rsid w:val="009C105B"/>
    <w:rsid w:val="009C11BA"/>
    <w:rsid w:val="009C1203"/>
    <w:rsid w:val="009C1370"/>
    <w:rsid w:val="009C1473"/>
    <w:rsid w:val="009C1551"/>
    <w:rsid w:val="009C197A"/>
    <w:rsid w:val="009C1A3C"/>
    <w:rsid w:val="009C1A4B"/>
    <w:rsid w:val="009C1B83"/>
    <w:rsid w:val="009C1F70"/>
    <w:rsid w:val="009C2009"/>
    <w:rsid w:val="009C208C"/>
    <w:rsid w:val="009C2131"/>
    <w:rsid w:val="009C2641"/>
    <w:rsid w:val="009C27DA"/>
    <w:rsid w:val="009C2A8B"/>
    <w:rsid w:val="009C2B1C"/>
    <w:rsid w:val="009C2C80"/>
    <w:rsid w:val="009C2D85"/>
    <w:rsid w:val="009C2EDC"/>
    <w:rsid w:val="009C2F2E"/>
    <w:rsid w:val="009C3017"/>
    <w:rsid w:val="009C3029"/>
    <w:rsid w:val="009C30D7"/>
    <w:rsid w:val="009C3372"/>
    <w:rsid w:val="009C33A2"/>
    <w:rsid w:val="009C3821"/>
    <w:rsid w:val="009C3836"/>
    <w:rsid w:val="009C3896"/>
    <w:rsid w:val="009C399B"/>
    <w:rsid w:val="009C39E0"/>
    <w:rsid w:val="009C39F2"/>
    <w:rsid w:val="009C3B14"/>
    <w:rsid w:val="009C3B55"/>
    <w:rsid w:val="009C3D7A"/>
    <w:rsid w:val="009C3FA7"/>
    <w:rsid w:val="009C3FE3"/>
    <w:rsid w:val="009C4225"/>
    <w:rsid w:val="009C44DE"/>
    <w:rsid w:val="009C4502"/>
    <w:rsid w:val="009C467C"/>
    <w:rsid w:val="009C4708"/>
    <w:rsid w:val="009C4797"/>
    <w:rsid w:val="009C47B3"/>
    <w:rsid w:val="009C4882"/>
    <w:rsid w:val="009C4BF6"/>
    <w:rsid w:val="009C4DCF"/>
    <w:rsid w:val="009C5305"/>
    <w:rsid w:val="009C5863"/>
    <w:rsid w:val="009C58E9"/>
    <w:rsid w:val="009C5D9A"/>
    <w:rsid w:val="009C5DBD"/>
    <w:rsid w:val="009C5ECF"/>
    <w:rsid w:val="009C62BA"/>
    <w:rsid w:val="009C63E6"/>
    <w:rsid w:val="009C6578"/>
    <w:rsid w:val="009C67F8"/>
    <w:rsid w:val="009C69A8"/>
    <w:rsid w:val="009C6E95"/>
    <w:rsid w:val="009C7031"/>
    <w:rsid w:val="009C7C11"/>
    <w:rsid w:val="009C7C68"/>
    <w:rsid w:val="009D00F6"/>
    <w:rsid w:val="009D0155"/>
    <w:rsid w:val="009D03AA"/>
    <w:rsid w:val="009D0495"/>
    <w:rsid w:val="009D06BD"/>
    <w:rsid w:val="009D081A"/>
    <w:rsid w:val="009D0D51"/>
    <w:rsid w:val="009D13D2"/>
    <w:rsid w:val="009D1CB7"/>
    <w:rsid w:val="009D1D22"/>
    <w:rsid w:val="009D1D66"/>
    <w:rsid w:val="009D201F"/>
    <w:rsid w:val="009D2418"/>
    <w:rsid w:val="009D244F"/>
    <w:rsid w:val="009D257E"/>
    <w:rsid w:val="009D26BA"/>
    <w:rsid w:val="009D2A30"/>
    <w:rsid w:val="009D2A44"/>
    <w:rsid w:val="009D2D5A"/>
    <w:rsid w:val="009D3198"/>
    <w:rsid w:val="009D33A4"/>
    <w:rsid w:val="009D380E"/>
    <w:rsid w:val="009D386C"/>
    <w:rsid w:val="009D3882"/>
    <w:rsid w:val="009D3E95"/>
    <w:rsid w:val="009D3EB8"/>
    <w:rsid w:val="009D4219"/>
    <w:rsid w:val="009D437A"/>
    <w:rsid w:val="009D4460"/>
    <w:rsid w:val="009D44D6"/>
    <w:rsid w:val="009D4598"/>
    <w:rsid w:val="009D46E7"/>
    <w:rsid w:val="009D48D6"/>
    <w:rsid w:val="009D49A4"/>
    <w:rsid w:val="009D4F09"/>
    <w:rsid w:val="009D5074"/>
    <w:rsid w:val="009D50E1"/>
    <w:rsid w:val="009D51CF"/>
    <w:rsid w:val="009D53C2"/>
    <w:rsid w:val="009D542B"/>
    <w:rsid w:val="009D56F2"/>
    <w:rsid w:val="009D58F3"/>
    <w:rsid w:val="009D5CD5"/>
    <w:rsid w:val="009D60CC"/>
    <w:rsid w:val="009D619B"/>
    <w:rsid w:val="009D6252"/>
    <w:rsid w:val="009D649A"/>
    <w:rsid w:val="009D6549"/>
    <w:rsid w:val="009D6789"/>
    <w:rsid w:val="009D75B5"/>
    <w:rsid w:val="009D75C0"/>
    <w:rsid w:val="009D7E0D"/>
    <w:rsid w:val="009D7E2C"/>
    <w:rsid w:val="009E0199"/>
    <w:rsid w:val="009E029A"/>
    <w:rsid w:val="009E03E2"/>
    <w:rsid w:val="009E0434"/>
    <w:rsid w:val="009E05AF"/>
    <w:rsid w:val="009E073D"/>
    <w:rsid w:val="009E08F2"/>
    <w:rsid w:val="009E0BA2"/>
    <w:rsid w:val="009E0C6A"/>
    <w:rsid w:val="009E0FDD"/>
    <w:rsid w:val="009E1052"/>
    <w:rsid w:val="009E111B"/>
    <w:rsid w:val="009E1172"/>
    <w:rsid w:val="009E14C1"/>
    <w:rsid w:val="009E177D"/>
    <w:rsid w:val="009E1D65"/>
    <w:rsid w:val="009E1DE8"/>
    <w:rsid w:val="009E21B9"/>
    <w:rsid w:val="009E21C0"/>
    <w:rsid w:val="009E2420"/>
    <w:rsid w:val="009E2625"/>
    <w:rsid w:val="009E298A"/>
    <w:rsid w:val="009E2EB3"/>
    <w:rsid w:val="009E37E4"/>
    <w:rsid w:val="009E3846"/>
    <w:rsid w:val="009E3AD6"/>
    <w:rsid w:val="009E3EB1"/>
    <w:rsid w:val="009E3F3D"/>
    <w:rsid w:val="009E4052"/>
    <w:rsid w:val="009E44B5"/>
    <w:rsid w:val="009E4719"/>
    <w:rsid w:val="009E47F3"/>
    <w:rsid w:val="009E4992"/>
    <w:rsid w:val="009E4B16"/>
    <w:rsid w:val="009E4B26"/>
    <w:rsid w:val="009E4E3A"/>
    <w:rsid w:val="009E533A"/>
    <w:rsid w:val="009E5397"/>
    <w:rsid w:val="009E54DF"/>
    <w:rsid w:val="009E5648"/>
    <w:rsid w:val="009E56A8"/>
    <w:rsid w:val="009E58C2"/>
    <w:rsid w:val="009E5B89"/>
    <w:rsid w:val="009E5D6C"/>
    <w:rsid w:val="009E614A"/>
    <w:rsid w:val="009E61B7"/>
    <w:rsid w:val="009E6498"/>
    <w:rsid w:val="009E688A"/>
    <w:rsid w:val="009E6A34"/>
    <w:rsid w:val="009E6BA3"/>
    <w:rsid w:val="009E6C46"/>
    <w:rsid w:val="009E7164"/>
    <w:rsid w:val="009E724C"/>
    <w:rsid w:val="009E791A"/>
    <w:rsid w:val="009E7BBB"/>
    <w:rsid w:val="009E7C96"/>
    <w:rsid w:val="009E7E50"/>
    <w:rsid w:val="009F0014"/>
    <w:rsid w:val="009F01E8"/>
    <w:rsid w:val="009F0421"/>
    <w:rsid w:val="009F07D4"/>
    <w:rsid w:val="009F0B3E"/>
    <w:rsid w:val="009F0B40"/>
    <w:rsid w:val="009F0C9D"/>
    <w:rsid w:val="009F0D99"/>
    <w:rsid w:val="009F0F3D"/>
    <w:rsid w:val="009F0F4A"/>
    <w:rsid w:val="009F128A"/>
    <w:rsid w:val="009F1510"/>
    <w:rsid w:val="009F15D4"/>
    <w:rsid w:val="009F1993"/>
    <w:rsid w:val="009F19EA"/>
    <w:rsid w:val="009F1A53"/>
    <w:rsid w:val="009F1B95"/>
    <w:rsid w:val="009F1C24"/>
    <w:rsid w:val="009F1C2C"/>
    <w:rsid w:val="009F1CC6"/>
    <w:rsid w:val="009F1E65"/>
    <w:rsid w:val="009F1E70"/>
    <w:rsid w:val="009F20B8"/>
    <w:rsid w:val="009F23DF"/>
    <w:rsid w:val="009F29BB"/>
    <w:rsid w:val="009F2B40"/>
    <w:rsid w:val="009F2B53"/>
    <w:rsid w:val="009F2BFA"/>
    <w:rsid w:val="009F2C47"/>
    <w:rsid w:val="009F2E43"/>
    <w:rsid w:val="009F2F63"/>
    <w:rsid w:val="009F3287"/>
    <w:rsid w:val="009F3620"/>
    <w:rsid w:val="009F382F"/>
    <w:rsid w:val="009F3D24"/>
    <w:rsid w:val="009F3D62"/>
    <w:rsid w:val="009F3F8C"/>
    <w:rsid w:val="009F4091"/>
    <w:rsid w:val="009F4173"/>
    <w:rsid w:val="009F41B6"/>
    <w:rsid w:val="009F45A3"/>
    <w:rsid w:val="009F45FC"/>
    <w:rsid w:val="009F461C"/>
    <w:rsid w:val="009F4B46"/>
    <w:rsid w:val="009F4B85"/>
    <w:rsid w:val="009F4C67"/>
    <w:rsid w:val="009F4EA3"/>
    <w:rsid w:val="009F4F75"/>
    <w:rsid w:val="009F547C"/>
    <w:rsid w:val="009F5484"/>
    <w:rsid w:val="009F5551"/>
    <w:rsid w:val="009F55B0"/>
    <w:rsid w:val="009F5A90"/>
    <w:rsid w:val="009F5F04"/>
    <w:rsid w:val="009F609B"/>
    <w:rsid w:val="009F6496"/>
    <w:rsid w:val="009F674A"/>
    <w:rsid w:val="009F67EC"/>
    <w:rsid w:val="009F6B39"/>
    <w:rsid w:val="009F6EAE"/>
    <w:rsid w:val="009F72B8"/>
    <w:rsid w:val="009F7478"/>
    <w:rsid w:val="009F782E"/>
    <w:rsid w:val="009F79E6"/>
    <w:rsid w:val="009F7B37"/>
    <w:rsid w:val="009F7C4D"/>
    <w:rsid w:val="00A00035"/>
    <w:rsid w:val="00A00422"/>
    <w:rsid w:val="00A006F3"/>
    <w:rsid w:val="00A009E1"/>
    <w:rsid w:val="00A00AD9"/>
    <w:rsid w:val="00A00B12"/>
    <w:rsid w:val="00A00E65"/>
    <w:rsid w:val="00A01084"/>
    <w:rsid w:val="00A01179"/>
    <w:rsid w:val="00A0123A"/>
    <w:rsid w:val="00A0123D"/>
    <w:rsid w:val="00A01702"/>
    <w:rsid w:val="00A0179E"/>
    <w:rsid w:val="00A019C8"/>
    <w:rsid w:val="00A01B48"/>
    <w:rsid w:val="00A01C31"/>
    <w:rsid w:val="00A01C4E"/>
    <w:rsid w:val="00A01DD5"/>
    <w:rsid w:val="00A01DEF"/>
    <w:rsid w:val="00A01EC5"/>
    <w:rsid w:val="00A01F3F"/>
    <w:rsid w:val="00A020EE"/>
    <w:rsid w:val="00A02178"/>
    <w:rsid w:val="00A021C7"/>
    <w:rsid w:val="00A02638"/>
    <w:rsid w:val="00A026C3"/>
    <w:rsid w:val="00A02806"/>
    <w:rsid w:val="00A02A24"/>
    <w:rsid w:val="00A02AF2"/>
    <w:rsid w:val="00A02AF5"/>
    <w:rsid w:val="00A02BEB"/>
    <w:rsid w:val="00A02C03"/>
    <w:rsid w:val="00A02EEC"/>
    <w:rsid w:val="00A032B1"/>
    <w:rsid w:val="00A0334E"/>
    <w:rsid w:val="00A0353C"/>
    <w:rsid w:val="00A0365A"/>
    <w:rsid w:val="00A03695"/>
    <w:rsid w:val="00A0379F"/>
    <w:rsid w:val="00A03E09"/>
    <w:rsid w:val="00A040B7"/>
    <w:rsid w:val="00A0427A"/>
    <w:rsid w:val="00A0428D"/>
    <w:rsid w:val="00A04375"/>
    <w:rsid w:val="00A04448"/>
    <w:rsid w:val="00A04761"/>
    <w:rsid w:val="00A0492F"/>
    <w:rsid w:val="00A049E7"/>
    <w:rsid w:val="00A04A83"/>
    <w:rsid w:val="00A04B28"/>
    <w:rsid w:val="00A04C25"/>
    <w:rsid w:val="00A04F4C"/>
    <w:rsid w:val="00A051A3"/>
    <w:rsid w:val="00A0520F"/>
    <w:rsid w:val="00A05264"/>
    <w:rsid w:val="00A0531D"/>
    <w:rsid w:val="00A0546A"/>
    <w:rsid w:val="00A055F3"/>
    <w:rsid w:val="00A057FA"/>
    <w:rsid w:val="00A05AF0"/>
    <w:rsid w:val="00A05B02"/>
    <w:rsid w:val="00A05B66"/>
    <w:rsid w:val="00A05F41"/>
    <w:rsid w:val="00A0683F"/>
    <w:rsid w:val="00A06ABC"/>
    <w:rsid w:val="00A06DCC"/>
    <w:rsid w:val="00A06E98"/>
    <w:rsid w:val="00A06F45"/>
    <w:rsid w:val="00A06F66"/>
    <w:rsid w:val="00A06FF7"/>
    <w:rsid w:val="00A0731B"/>
    <w:rsid w:val="00A075A2"/>
    <w:rsid w:val="00A07754"/>
    <w:rsid w:val="00A077F1"/>
    <w:rsid w:val="00A07869"/>
    <w:rsid w:val="00A079FB"/>
    <w:rsid w:val="00A07CFE"/>
    <w:rsid w:val="00A07FDD"/>
    <w:rsid w:val="00A10446"/>
    <w:rsid w:val="00A106FE"/>
    <w:rsid w:val="00A107B0"/>
    <w:rsid w:val="00A10CB1"/>
    <w:rsid w:val="00A10F8D"/>
    <w:rsid w:val="00A11013"/>
    <w:rsid w:val="00A11097"/>
    <w:rsid w:val="00A11116"/>
    <w:rsid w:val="00A111A0"/>
    <w:rsid w:val="00A11ABC"/>
    <w:rsid w:val="00A11DE7"/>
    <w:rsid w:val="00A11EA1"/>
    <w:rsid w:val="00A1209B"/>
    <w:rsid w:val="00A12112"/>
    <w:rsid w:val="00A122FB"/>
    <w:rsid w:val="00A12306"/>
    <w:rsid w:val="00A12416"/>
    <w:rsid w:val="00A124A9"/>
    <w:rsid w:val="00A124C6"/>
    <w:rsid w:val="00A128AA"/>
    <w:rsid w:val="00A128AE"/>
    <w:rsid w:val="00A129D8"/>
    <w:rsid w:val="00A12E4F"/>
    <w:rsid w:val="00A1324B"/>
    <w:rsid w:val="00A13392"/>
    <w:rsid w:val="00A136A7"/>
    <w:rsid w:val="00A1383C"/>
    <w:rsid w:val="00A1427D"/>
    <w:rsid w:val="00A1433C"/>
    <w:rsid w:val="00A1453B"/>
    <w:rsid w:val="00A14646"/>
    <w:rsid w:val="00A148ED"/>
    <w:rsid w:val="00A14A4E"/>
    <w:rsid w:val="00A14E43"/>
    <w:rsid w:val="00A15136"/>
    <w:rsid w:val="00A15142"/>
    <w:rsid w:val="00A15AA5"/>
    <w:rsid w:val="00A15ABE"/>
    <w:rsid w:val="00A15AE3"/>
    <w:rsid w:val="00A15BE4"/>
    <w:rsid w:val="00A15E55"/>
    <w:rsid w:val="00A15EDC"/>
    <w:rsid w:val="00A1605B"/>
    <w:rsid w:val="00A16987"/>
    <w:rsid w:val="00A169BD"/>
    <w:rsid w:val="00A16E3F"/>
    <w:rsid w:val="00A16F53"/>
    <w:rsid w:val="00A17011"/>
    <w:rsid w:val="00A170A8"/>
    <w:rsid w:val="00A170E6"/>
    <w:rsid w:val="00A17408"/>
    <w:rsid w:val="00A1745B"/>
    <w:rsid w:val="00A1758A"/>
    <w:rsid w:val="00A176E6"/>
    <w:rsid w:val="00A17B3C"/>
    <w:rsid w:val="00A17C94"/>
    <w:rsid w:val="00A17CC8"/>
    <w:rsid w:val="00A17D8A"/>
    <w:rsid w:val="00A17DEF"/>
    <w:rsid w:val="00A17EA7"/>
    <w:rsid w:val="00A17EEB"/>
    <w:rsid w:val="00A2039F"/>
    <w:rsid w:val="00A203CB"/>
    <w:rsid w:val="00A2062A"/>
    <w:rsid w:val="00A206CA"/>
    <w:rsid w:val="00A2073C"/>
    <w:rsid w:val="00A2079E"/>
    <w:rsid w:val="00A20945"/>
    <w:rsid w:val="00A20BE8"/>
    <w:rsid w:val="00A20D9E"/>
    <w:rsid w:val="00A211B8"/>
    <w:rsid w:val="00A21240"/>
    <w:rsid w:val="00A21898"/>
    <w:rsid w:val="00A219E4"/>
    <w:rsid w:val="00A21B48"/>
    <w:rsid w:val="00A21C39"/>
    <w:rsid w:val="00A22355"/>
    <w:rsid w:val="00A22481"/>
    <w:rsid w:val="00A22722"/>
    <w:rsid w:val="00A229E7"/>
    <w:rsid w:val="00A22B18"/>
    <w:rsid w:val="00A22B45"/>
    <w:rsid w:val="00A22C4B"/>
    <w:rsid w:val="00A22CBB"/>
    <w:rsid w:val="00A22FFA"/>
    <w:rsid w:val="00A230B2"/>
    <w:rsid w:val="00A23145"/>
    <w:rsid w:val="00A2348C"/>
    <w:rsid w:val="00A23607"/>
    <w:rsid w:val="00A23AE4"/>
    <w:rsid w:val="00A23C22"/>
    <w:rsid w:val="00A23D7C"/>
    <w:rsid w:val="00A23DD8"/>
    <w:rsid w:val="00A23DF8"/>
    <w:rsid w:val="00A23F18"/>
    <w:rsid w:val="00A23F89"/>
    <w:rsid w:val="00A243F6"/>
    <w:rsid w:val="00A24417"/>
    <w:rsid w:val="00A24487"/>
    <w:rsid w:val="00A244BA"/>
    <w:rsid w:val="00A24662"/>
    <w:rsid w:val="00A24DC0"/>
    <w:rsid w:val="00A24DCD"/>
    <w:rsid w:val="00A24E5A"/>
    <w:rsid w:val="00A24F8B"/>
    <w:rsid w:val="00A25921"/>
    <w:rsid w:val="00A25D5E"/>
    <w:rsid w:val="00A25D7E"/>
    <w:rsid w:val="00A25DC3"/>
    <w:rsid w:val="00A2601D"/>
    <w:rsid w:val="00A2618C"/>
    <w:rsid w:val="00A26685"/>
    <w:rsid w:val="00A266A5"/>
    <w:rsid w:val="00A26905"/>
    <w:rsid w:val="00A26C04"/>
    <w:rsid w:val="00A26F21"/>
    <w:rsid w:val="00A2703D"/>
    <w:rsid w:val="00A27870"/>
    <w:rsid w:val="00A27C17"/>
    <w:rsid w:val="00A27CE6"/>
    <w:rsid w:val="00A3003C"/>
    <w:rsid w:val="00A30090"/>
    <w:rsid w:val="00A30600"/>
    <w:rsid w:val="00A30689"/>
    <w:rsid w:val="00A308C3"/>
    <w:rsid w:val="00A30B9D"/>
    <w:rsid w:val="00A30C75"/>
    <w:rsid w:val="00A31074"/>
    <w:rsid w:val="00A3126E"/>
    <w:rsid w:val="00A31339"/>
    <w:rsid w:val="00A31387"/>
    <w:rsid w:val="00A3170F"/>
    <w:rsid w:val="00A317CB"/>
    <w:rsid w:val="00A31A9F"/>
    <w:rsid w:val="00A32706"/>
    <w:rsid w:val="00A3277A"/>
    <w:rsid w:val="00A32824"/>
    <w:rsid w:val="00A32961"/>
    <w:rsid w:val="00A32A08"/>
    <w:rsid w:val="00A32CB6"/>
    <w:rsid w:val="00A32D67"/>
    <w:rsid w:val="00A32D7B"/>
    <w:rsid w:val="00A32F8A"/>
    <w:rsid w:val="00A33111"/>
    <w:rsid w:val="00A33303"/>
    <w:rsid w:val="00A33423"/>
    <w:rsid w:val="00A335C0"/>
    <w:rsid w:val="00A33BFB"/>
    <w:rsid w:val="00A33C06"/>
    <w:rsid w:val="00A33E93"/>
    <w:rsid w:val="00A341CE"/>
    <w:rsid w:val="00A342B8"/>
    <w:rsid w:val="00A34550"/>
    <w:rsid w:val="00A346B0"/>
    <w:rsid w:val="00A34866"/>
    <w:rsid w:val="00A34869"/>
    <w:rsid w:val="00A34E99"/>
    <w:rsid w:val="00A34F8A"/>
    <w:rsid w:val="00A3577C"/>
    <w:rsid w:val="00A358F3"/>
    <w:rsid w:val="00A35AEF"/>
    <w:rsid w:val="00A35D19"/>
    <w:rsid w:val="00A362E4"/>
    <w:rsid w:val="00A3639C"/>
    <w:rsid w:val="00A366CC"/>
    <w:rsid w:val="00A36786"/>
    <w:rsid w:val="00A36B74"/>
    <w:rsid w:val="00A36C1C"/>
    <w:rsid w:val="00A36CF2"/>
    <w:rsid w:val="00A37286"/>
    <w:rsid w:val="00A37396"/>
    <w:rsid w:val="00A373CC"/>
    <w:rsid w:val="00A376AA"/>
    <w:rsid w:val="00A378C7"/>
    <w:rsid w:val="00A37BB0"/>
    <w:rsid w:val="00A37EE7"/>
    <w:rsid w:val="00A40098"/>
    <w:rsid w:val="00A4053B"/>
    <w:rsid w:val="00A4091E"/>
    <w:rsid w:val="00A409C9"/>
    <w:rsid w:val="00A40AD9"/>
    <w:rsid w:val="00A40D5F"/>
    <w:rsid w:val="00A40DC2"/>
    <w:rsid w:val="00A40ED5"/>
    <w:rsid w:val="00A413EC"/>
    <w:rsid w:val="00A4140D"/>
    <w:rsid w:val="00A41663"/>
    <w:rsid w:val="00A416FD"/>
    <w:rsid w:val="00A419A3"/>
    <w:rsid w:val="00A42022"/>
    <w:rsid w:val="00A421D3"/>
    <w:rsid w:val="00A42BE3"/>
    <w:rsid w:val="00A42DD0"/>
    <w:rsid w:val="00A43283"/>
    <w:rsid w:val="00A435F9"/>
    <w:rsid w:val="00A441AA"/>
    <w:rsid w:val="00A44366"/>
    <w:rsid w:val="00A44636"/>
    <w:rsid w:val="00A44AB4"/>
    <w:rsid w:val="00A44FB3"/>
    <w:rsid w:val="00A45027"/>
    <w:rsid w:val="00A45032"/>
    <w:rsid w:val="00A45182"/>
    <w:rsid w:val="00A451CE"/>
    <w:rsid w:val="00A45719"/>
    <w:rsid w:val="00A45A04"/>
    <w:rsid w:val="00A45C80"/>
    <w:rsid w:val="00A45F02"/>
    <w:rsid w:val="00A462E1"/>
    <w:rsid w:val="00A467F9"/>
    <w:rsid w:val="00A4681A"/>
    <w:rsid w:val="00A46A5F"/>
    <w:rsid w:val="00A46A90"/>
    <w:rsid w:val="00A46AB1"/>
    <w:rsid w:val="00A46D00"/>
    <w:rsid w:val="00A46D05"/>
    <w:rsid w:val="00A46DBC"/>
    <w:rsid w:val="00A46FD1"/>
    <w:rsid w:val="00A47007"/>
    <w:rsid w:val="00A47067"/>
    <w:rsid w:val="00A4734E"/>
    <w:rsid w:val="00A475D8"/>
    <w:rsid w:val="00A4775D"/>
    <w:rsid w:val="00A47969"/>
    <w:rsid w:val="00A47987"/>
    <w:rsid w:val="00A47ABF"/>
    <w:rsid w:val="00A47C04"/>
    <w:rsid w:val="00A47D85"/>
    <w:rsid w:val="00A47E7D"/>
    <w:rsid w:val="00A47E81"/>
    <w:rsid w:val="00A47E8C"/>
    <w:rsid w:val="00A47E8F"/>
    <w:rsid w:val="00A47F9B"/>
    <w:rsid w:val="00A50100"/>
    <w:rsid w:val="00A50157"/>
    <w:rsid w:val="00A5027A"/>
    <w:rsid w:val="00A505E9"/>
    <w:rsid w:val="00A506C4"/>
    <w:rsid w:val="00A5086C"/>
    <w:rsid w:val="00A50928"/>
    <w:rsid w:val="00A50A21"/>
    <w:rsid w:val="00A51070"/>
    <w:rsid w:val="00A5115B"/>
    <w:rsid w:val="00A5117D"/>
    <w:rsid w:val="00A512D8"/>
    <w:rsid w:val="00A51579"/>
    <w:rsid w:val="00A516F1"/>
    <w:rsid w:val="00A51D16"/>
    <w:rsid w:val="00A51F9D"/>
    <w:rsid w:val="00A52004"/>
    <w:rsid w:val="00A5200E"/>
    <w:rsid w:val="00A52063"/>
    <w:rsid w:val="00A52521"/>
    <w:rsid w:val="00A52775"/>
    <w:rsid w:val="00A528D6"/>
    <w:rsid w:val="00A52AF5"/>
    <w:rsid w:val="00A52B5E"/>
    <w:rsid w:val="00A52D74"/>
    <w:rsid w:val="00A52E37"/>
    <w:rsid w:val="00A52F9D"/>
    <w:rsid w:val="00A53956"/>
    <w:rsid w:val="00A53E39"/>
    <w:rsid w:val="00A53FEE"/>
    <w:rsid w:val="00A5434E"/>
    <w:rsid w:val="00A544A7"/>
    <w:rsid w:val="00A54573"/>
    <w:rsid w:val="00A546A7"/>
    <w:rsid w:val="00A546D3"/>
    <w:rsid w:val="00A547CF"/>
    <w:rsid w:val="00A548A2"/>
    <w:rsid w:val="00A54C83"/>
    <w:rsid w:val="00A54CC0"/>
    <w:rsid w:val="00A54E77"/>
    <w:rsid w:val="00A55600"/>
    <w:rsid w:val="00A55705"/>
    <w:rsid w:val="00A55766"/>
    <w:rsid w:val="00A55791"/>
    <w:rsid w:val="00A55F7D"/>
    <w:rsid w:val="00A562EC"/>
    <w:rsid w:val="00A56365"/>
    <w:rsid w:val="00A567BC"/>
    <w:rsid w:val="00A567E8"/>
    <w:rsid w:val="00A56867"/>
    <w:rsid w:val="00A569AD"/>
    <w:rsid w:val="00A56ADF"/>
    <w:rsid w:val="00A56B35"/>
    <w:rsid w:val="00A56D4F"/>
    <w:rsid w:val="00A56E2B"/>
    <w:rsid w:val="00A570D7"/>
    <w:rsid w:val="00A5715F"/>
    <w:rsid w:val="00A57292"/>
    <w:rsid w:val="00A574F7"/>
    <w:rsid w:val="00A5759B"/>
    <w:rsid w:val="00A57732"/>
    <w:rsid w:val="00A57903"/>
    <w:rsid w:val="00A57A48"/>
    <w:rsid w:val="00A57C83"/>
    <w:rsid w:val="00A57DC4"/>
    <w:rsid w:val="00A601FD"/>
    <w:rsid w:val="00A60496"/>
    <w:rsid w:val="00A60ABF"/>
    <w:rsid w:val="00A60AC9"/>
    <w:rsid w:val="00A60B78"/>
    <w:rsid w:val="00A60E7A"/>
    <w:rsid w:val="00A60ECC"/>
    <w:rsid w:val="00A60F8E"/>
    <w:rsid w:val="00A6132A"/>
    <w:rsid w:val="00A61495"/>
    <w:rsid w:val="00A615EA"/>
    <w:rsid w:val="00A618A4"/>
    <w:rsid w:val="00A61BE4"/>
    <w:rsid w:val="00A61DD8"/>
    <w:rsid w:val="00A61E47"/>
    <w:rsid w:val="00A61F6D"/>
    <w:rsid w:val="00A62057"/>
    <w:rsid w:val="00A6217F"/>
    <w:rsid w:val="00A622D8"/>
    <w:rsid w:val="00A6234E"/>
    <w:rsid w:val="00A6241A"/>
    <w:rsid w:val="00A6265A"/>
    <w:rsid w:val="00A6280A"/>
    <w:rsid w:val="00A62922"/>
    <w:rsid w:val="00A62940"/>
    <w:rsid w:val="00A62949"/>
    <w:rsid w:val="00A62F10"/>
    <w:rsid w:val="00A62F35"/>
    <w:rsid w:val="00A63017"/>
    <w:rsid w:val="00A63018"/>
    <w:rsid w:val="00A6311B"/>
    <w:rsid w:val="00A634A7"/>
    <w:rsid w:val="00A634F8"/>
    <w:rsid w:val="00A635D5"/>
    <w:rsid w:val="00A635F5"/>
    <w:rsid w:val="00A638DA"/>
    <w:rsid w:val="00A63B74"/>
    <w:rsid w:val="00A63C63"/>
    <w:rsid w:val="00A63CF4"/>
    <w:rsid w:val="00A63D9B"/>
    <w:rsid w:val="00A63F09"/>
    <w:rsid w:val="00A64015"/>
    <w:rsid w:val="00A645EF"/>
    <w:rsid w:val="00A648DA"/>
    <w:rsid w:val="00A64936"/>
    <w:rsid w:val="00A64A20"/>
    <w:rsid w:val="00A64CF3"/>
    <w:rsid w:val="00A64DB7"/>
    <w:rsid w:val="00A64DE8"/>
    <w:rsid w:val="00A64FA2"/>
    <w:rsid w:val="00A653E1"/>
    <w:rsid w:val="00A65538"/>
    <w:rsid w:val="00A65567"/>
    <w:rsid w:val="00A65678"/>
    <w:rsid w:val="00A65D68"/>
    <w:rsid w:val="00A65E43"/>
    <w:rsid w:val="00A66511"/>
    <w:rsid w:val="00A6676C"/>
    <w:rsid w:val="00A6687E"/>
    <w:rsid w:val="00A668B1"/>
    <w:rsid w:val="00A66939"/>
    <w:rsid w:val="00A66F45"/>
    <w:rsid w:val="00A66F69"/>
    <w:rsid w:val="00A6701C"/>
    <w:rsid w:val="00A671B8"/>
    <w:rsid w:val="00A67268"/>
    <w:rsid w:val="00A67364"/>
    <w:rsid w:val="00A673D3"/>
    <w:rsid w:val="00A67811"/>
    <w:rsid w:val="00A678AD"/>
    <w:rsid w:val="00A6796F"/>
    <w:rsid w:val="00A6798C"/>
    <w:rsid w:val="00A67C98"/>
    <w:rsid w:val="00A67D0B"/>
    <w:rsid w:val="00A67D81"/>
    <w:rsid w:val="00A67EA2"/>
    <w:rsid w:val="00A67F2B"/>
    <w:rsid w:val="00A701F2"/>
    <w:rsid w:val="00A7069E"/>
    <w:rsid w:val="00A70714"/>
    <w:rsid w:val="00A70739"/>
    <w:rsid w:val="00A70740"/>
    <w:rsid w:val="00A7078B"/>
    <w:rsid w:val="00A70A8E"/>
    <w:rsid w:val="00A70B98"/>
    <w:rsid w:val="00A70F1E"/>
    <w:rsid w:val="00A71022"/>
    <w:rsid w:val="00A71057"/>
    <w:rsid w:val="00A71182"/>
    <w:rsid w:val="00A71260"/>
    <w:rsid w:val="00A71552"/>
    <w:rsid w:val="00A7188E"/>
    <w:rsid w:val="00A71A02"/>
    <w:rsid w:val="00A71A8B"/>
    <w:rsid w:val="00A71B78"/>
    <w:rsid w:val="00A71C6A"/>
    <w:rsid w:val="00A71CD4"/>
    <w:rsid w:val="00A71CDF"/>
    <w:rsid w:val="00A71D3E"/>
    <w:rsid w:val="00A71F9A"/>
    <w:rsid w:val="00A72082"/>
    <w:rsid w:val="00A720A2"/>
    <w:rsid w:val="00A72424"/>
    <w:rsid w:val="00A72513"/>
    <w:rsid w:val="00A7253A"/>
    <w:rsid w:val="00A728E6"/>
    <w:rsid w:val="00A7297A"/>
    <w:rsid w:val="00A72ACF"/>
    <w:rsid w:val="00A72B56"/>
    <w:rsid w:val="00A72CB5"/>
    <w:rsid w:val="00A7313D"/>
    <w:rsid w:val="00A73148"/>
    <w:rsid w:val="00A732E6"/>
    <w:rsid w:val="00A7343B"/>
    <w:rsid w:val="00A73495"/>
    <w:rsid w:val="00A73497"/>
    <w:rsid w:val="00A734BE"/>
    <w:rsid w:val="00A738CA"/>
    <w:rsid w:val="00A73927"/>
    <w:rsid w:val="00A739BA"/>
    <w:rsid w:val="00A73AE0"/>
    <w:rsid w:val="00A73BEC"/>
    <w:rsid w:val="00A73BF3"/>
    <w:rsid w:val="00A73E36"/>
    <w:rsid w:val="00A73EDA"/>
    <w:rsid w:val="00A747DD"/>
    <w:rsid w:val="00A748D0"/>
    <w:rsid w:val="00A749D6"/>
    <w:rsid w:val="00A74D2B"/>
    <w:rsid w:val="00A74DFD"/>
    <w:rsid w:val="00A75056"/>
    <w:rsid w:val="00A75128"/>
    <w:rsid w:val="00A75492"/>
    <w:rsid w:val="00A75571"/>
    <w:rsid w:val="00A75674"/>
    <w:rsid w:val="00A75AA8"/>
    <w:rsid w:val="00A75C26"/>
    <w:rsid w:val="00A75D40"/>
    <w:rsid w:val="00A75DE7"/>
    <w:rsid w:val="00A7614F"/>
    <w:rsid w:val="00A762C3"/>
    <w:rsid w:val="00A76972"/>
    <w:rsid w:val="00A76C9E"/>
    <w:rsid w:val="00A76CC6"/>
    <w:rsid w:val="00A76D7E"/>
    <w:rsid w:val="00A76E03"/>
    <w:rsid w:val="00A76EAE"/>
    <w:rsid w:val="00A76F7F"/>
    <w:rsid w:val="00A7721B"/>
    <w:rsid w:val="00A772EA"/>
    <w:rsid w:val="00A7736D"/>
    <w:rsid w:val="00A77619"/>
    <w:rsid w:val="00A77661"/>
    <w:rsid w:val="00A777C4"/>
    <w:rsid w:val="00A777C5"/>
    <w:rsid w:val="00A77AF1"/>
    <w:rsid w:val="00A77B4B"/>
    <w:rsid w:val="00A77C9D"/>
    <w:rsid w:val="00A77DEB"/>
    <w:rsid w:val="00A77DFF"/>
    <w:rsid w:val="00A801FD"/>
    <w:rsid w:val="00A803ED"/>
    <w:rsid w:val="00A8049B"/>
    <w:rsid w:val="00A806BE"/>
    <w:rsid w:val="00A80AAA"/>
    <w:rsid w:val="00A80F0F"/>
    <w:rsid w:val="00A811AD"/>
    <w:rsid w:val="00A81516"/>
    <w:rsid w:val="00A8182F"/>
    <w:rsid w:val="00A81A7A"/>
    <w:rsid w:val="00A81BA7"/>
    <w:rsid w:val="00A82265"/>
    <w:rsid w:val="00A823DD"/>
    <w:rsid w:val="00A82601"/>
    <w:rsid w:val="00A827BA"/>
    <w:rsid w:val="00A82983"/>
    <w:rsid w:val="00A82BAF"/>
    <w:rsid w:val="00A82D2D"/>
    <w:rsid w:val="00A82E8E"/>
    <w:rsid w:val="00A82E93"/>
    <w:rsid w:val="00A8316C"/>
    <w:rsid w:val="00A837F1"/>
    <w:rsid w:val="00A838FE"/>
    <w:rsid w:val="00A839F1"/>
    <w:rsid w:val="00A83B47"/>
    <w:rsid w:val="00A83EB1"/>
    <w:rsid w:val="00A83EF4"/>
    <w:rsid w:val="00A83FB2"/>
    <w:rsid w:val="00A8415F"/>
    <w:rsid w:val="00A8444D"/>
    <w:rsid w:val="00A844DB"/>
    <w:rsid w:val="00A84542"/>
    <w:rsid w:val="00A84881"/>
    <w:rsid w:val="00A84977"/>
    <w:rsid w:val="00A84E2F"/>
    <w:rsid w:val="00A8504E"/>
    <w:rsid w:val="00A851F1"/>
    <w:rsid w:val="00A856C8"/>
    <w:rsid w:val="00A8619C"/>
    <w:rsid w:val="00A8624A"/>
    <w:rsid w:val="00A86270"/>
    <w:rsid w:val="00A862AF"/>
    <w:rsid w:val="00A86440"/>
    <w:rsid w:val="00A866AE"/>
    <w:rsid w:val="00A86768"/>
    <w:rsid w:val="00A869C9"/>
    <w:rsid w:val="00A86ABD"/>
    <w:rsid w:val="00A8727A"/>
    <w:rsid w:val="00A8732F"/>
    <w:rsid w:val="00A87332"/>
    <w:rsid w:val="00A8785C"/>
    <w:rsid w:val="00A87950"/>
    <w:rsid w:val="00A87A38"/>
    <w:rsid w:val="00A87D73"/>
    <w:rsid w:val="00A87E40"/>
    <w:rsid w:val="00A90414"/>
    <w:rsid w:val="00A904CA"/>
    <w:rsid w:val="00A90814"/>
    <w:rsid w:val="00A90D79"/>
    <w:rsid w:val="00A90F94"/>
    <w:rsid w:val="00A910CB"/>
    <w:rsid w:val="00A91537"/>
    <w:rsid w:val="00A916C8"/>
    <w:rsid w:val="00A9184E"/>
    <w:rsid w:val="00A91DE3"/>
    <w:rsid w:val="00A91EC6"/>
    <w:rsid w:val="00A91F51"/>
    <w:rsid w:val="00A92159"/>
    <w:rsid w:val="00A92ED5"/>
    <w:rsid w:val="00A92F1A"/>
    <w:rsid w:val="00A92FE4"/>
    <w:rsid w:val="00A93048"/>
    <w:rsid w:val="00A93110"/>
    <w:rsid w:val="00A9312A"/>
    <w:rsid w:val="00A932DC"/>
    <w:rsid w:val="00A93411"/>
    <w:rsid w:val="00A93820"/>
    <w:rsid w:val="00A938F0"/>
    <w:rsid w:val="00A9395C"/>
    <w:rsid w:val="00A93987"/>
    <w:rsid w:val="00A93CFB"/>
    <w:rsid w:val="00A93DDA"/>
    <w:rsid w:val="00A93F11"/>
    <w:rsid w:val="00A94096"/>
    <w:rsid w:val="00A943ED"/>
    <w:rsid w:val="00A944DB"/>
    <w:rsid w:val="00A946D2"/>
    <w:rsid w:val="00A94CE3"/>
    <w:rsid w:val="00A94D86"/>
    <w:rsid w:val="00A94E37"/>
    <w:rsid w:val="00A9522C"/>
    <w:rsid w:val="00A95481"/>
    <w:rsid w:val="00A9548E"/>
    <w:rsid w:val="00A95558"/>
    <w:rsid w:val="00A95889"/>
    <w:rsid w:val="00A959A9"/>
    <w:rsid w:val="00A960B8"/>
    <w:rsid w:val="00A964FC"/>
    <w:rsid w:val="00A96636"/>
    <w:rsid w:val="00A966F4"/>
    <w:rsid w:val="00A967B3"/>
    <w:rsid w:val="00A967F2"/>
    <w:rsid w:val="00A96DB0"/>
    <w:rsid w:val="00A96F19"/>
    <w:rsid w:val="00A9717E"/>
    <w:rsid w:val="00A97300"/>
    <w:rsid w:val="00A973A2"/>
    <w:rsid w:val="00A979E8"/>
    <w:rsid w:val="00A97F88"/>
    <w:rsid w:val="00AA04C4"/>
    <w:rsid w:val="00AA04F2"/>
    <w:rsid w:val="00AA08F8"/>
    <w:rsid w:val="00AA0B98"/>
    <w:rsid w:val="00AA0C23"/>
    <w:rsid w:val="00AA0CA2"/>
    <w:rsid w:val="00AA0E1D"/>
    <w:rsid w:val="00AA0FD9"/>
    <w:rsid w:val="00AA1180"/>
    <w:rsid w:val="00AA12AA"/>
    <w:rsid w:val="00AA1448"/>
    <w:rsid w:val="00AA15C0"/>
    <w:rsid w:val="00AA1865"/>
    <w:rsid w:val="00AA19B1"/>
    <w:rsid w:val="00AA1CA8"/>
    <w:rsid w:val="00AA1FD6"/>
    <w:rsid w:val="00AA2401"/>
    <w:rsid w:val="00AA25E8"/>
    <w:rsid w:val="00AA299E"/>
    <w:rsid w:val="00AA2A44"/>
    <w:rsid w:val="00AA2CFB"/>
    <w:rsid w:val="00AA2F24"/>
    <w:rsid w:val="00AA3432"/>
    <w:rsid w:val="00AA34DF"/>
    <w:rsid w:val="00AA357B"/>
    <w:rsid w:val="00AA3694"/>
    <w:rsid w:val="00AA3AF1"/>
    <w:rsid w:val="00AA3BFF"/>
    <w:rsid w:val="00AA3CC5"/>
    <w:rsid w:val="00AA3D1A"/>
    <w:rsid w:val="00AA3F60"/>
    <w:rsid w:val="00AA4185"/>
    <w:rsid w:val="00AA45D9"/>
    <w:rsid w:val="00AA47E5"/>
    <w:rsid w:val="00AA4DFD"/>
    <w:rsid w:val="00AA4E97"/>
    <w:rsid w:val="00AA517B"/>
    <w:rsid w:val="00AA5313"/>
    <w:rsid w:val="00AA53CA"/>
    <w:rsid w:val="00AA53D2"/>
    <w:rsid w:val="00AA5522"/>
    <w:rsid w:val="00AA5625"/>
    <w:rsid w:val="00AA5C83"/>
    <w:rsid w:val="00AA5D2C"/>
    <w:rsid w:val="00AA5E3D"/>
    <w:rsid w:val="00AA6047"/>
    <w:rsid w:val="00AA65D0"/>
    <w:rsid w:val="00AA68EE"/>
    <w:rsid w:val="00AA6EF3"/>
    <w:rsid w:val="00AA7043"/>
    <w:rsid w:val="00AA70B3"/>
    <w:rsid w:val="00AA72D1"/>
    <w:rsid w:val="00AA72E0"/>
    <w:rsid w:val="00AA7355"/>
    <w:rsid w:val="00AA7468"/>
    <w:rsid w:val="00AA7489"/>
    <w:rsid w:val="00AA773F"/>
    <w:rsid w:val="00AA78C6"/>
    <w:rsid w:val="00AA7AC1"/>
    <w:rsid w:val="00AA7ACC"/>
    <w:rsid w:val="00AA7D07"/>
    <w:rsid w:val="00AA7DB5"/>
    <w:rsid w:val="00AA7DD3"/>
    <w:rsid w:val="00AA7E4E"/>
    <w:rsid w:val="00AA7EAA"/>
    <w:rsid w:val="00AA7F7C"/>
    <w:rsid w:val="00AB02C0"/>
    <w:rsid w:val="00AB0616"/>
    <w:rsid w:val="00AB0642"/>
    <w:rsid w:val="00AB0726"/>
    <w:rsid w:val="00AB08F2"/>
    <w:rsid w:val="00AB0CA4"/>
    <w:rsid w:val="00AB0D8D"/>
    <w:rsid w:val="00AB0FBE"/>
    <w:rsid w:val="00AB0FC4"/>
    <w:rsid w:val="00AB0FFC"/>
    <w:rsid w:val="00AB1084"/>
    <w:rsid w:val="00AB143E"/>
    <w:rsid w:val="00AB14D9"/>
    <w:rsid w:val="00AB191D"/>
    <w:rsid w:val="00AB1935"/>
    <w:rsid w:val="00AB1AD5"/>
    <w:rsid w:val="00AB1C46"/>
    <w:rsid w:val="00AB1C62"/>
    <w:rsid w:val="00AB1D14"/>
    <w:rsid w:val="00AB1E15"/>
    <w:rsid w:val="00AB2770"/>
    <w:rsid w:val="00AB2922"/>
    <w:rsid w:val="00AB2A80"/>
    <w:rsid w:val="00AB2AD4"/>
    <w:rsid w:val="00AB2C3B"/>
    <w:rsid w:val="00AB307C"/>
    <w:rsid w:val="00AB31CA"/>
    <w:rsid w:val="00AB3566"/>
    <w:rsid w:val="00AB372C"/>
    <w:rsid w:val="00AB37DC"/>
    <w:rsid w:val="00AB3E3B"/>
    <w:rsid w:val="00AB3FAC"/>
    <w:rsid w:val="00AB4223"/>
    <w:rsid w:val="00AB43BE"/>
    <w:rsid w:val="00AB45C2"/>
    <w:rsid w:val="00AB4ACF"/>
    <w:rsid w:val="00AB4D04"/>
    <w:rsid w:val="00AB524F"/>
    <w:rsid w:val="00AB52F5"/>
    <w:rsid w:val="00AB58E6"/>
    <w:rsid w:val="00AB5944"/>
    <w:rsid w:val="00AB5F5E"/>
    <w:rsid w:val="00AB6216"/>
    <w:rsid w:val="00AB6325"/>
    <w:rsid w:val="00AB6682"/>
    <w:rsid w:val="00AB66E1"/>
    <w:rsid w:val="00AB6C5D"/>
    <w:rsid w:val="00AB6C68"/>
    <w:rsid w:val="00AB6E46"/>
    <w:rsid w:val="00AB717D"/>
    <w:rsid w:val="00AB7381"/>
    <w:rsid w:val="00AB73D3"/>
    <w:rsid w:val="00AB7878"/>
    <w:rsid w:val="00AB7A50"/>
    <w:rsid w:val="00AB7BF6"/>
    <w:rsid w:val="00AB7CCE"/>
    <w:rsid w:val="00AB7F0C"/>
    <w:rsid w:val="00AC048A"/>
    <w:rsid w:val="00AC096F"/>
    <w:rsid w:val="00AC0B43"/>
    <w:rsid w:val="00AC1043"/>
    <w:rsid w:val="00AC126D"/>
    <w:rsid w:val="00AC15A1"/>
    <w:rsid w:val="00AC167F"/>
    <w:rsid w:val="00AC1A19"/>
    <w:rsid w:val="00AC1CB2"/>
    <w:rsid w:val="00AC1EBB"/>
    <w:rsid w:val="00AC1F6D"/>
    <w:rsid w:val="00AC1F72"/>
    <w:rsid w:val="00AC2080"/>
    <w:rsid w:val="00AC2254"/>
    <w:rsid w:val="00AC2354"/>
    <w:rsid w:val="00AC23BC"/>
    <w:rsid w:val="00AC2449"/>
    <w:rsid w:val="00AC253B"/>
    <w:rsid w:val="00AC284A"/>
    <w:rsid w:val="00AC289E"/>
    <w:rsid w:val="00AC2E9F"/>
    <w:rsid w:val="00AC311C"/>
    <w:rsid w:val="00AC3591"/>
    <w:rsid w:val="00AC35CC"/>
    <w:rsid w:val="00AC3676"/>
    <w:rsid w:val="00AC378B"/>
    <w:rsid w:val="00AC387D"/>
    <w:rsid w:val="00AC3923"/>
    <w:rsid w:val="00AC3BEA"/>
    <w:rsid w:val="00AC3C43"/>
    <w:rsid w:val="00AC3CFC"/>
    <w:rsid w:val="00AC3D08"/>
    <w:rsid w:val="00AC3DBD"/>
    <w:rsid w:val="00AC401C"/>
    <w:rsid w:val="00AC45E2"/>
    <w:rsid w:val="00AC4845"/>
    <w:rsid w:val="00AC48B0"/>
    <w:rsid w:val="00AC48E0"/>
    <w:rsid w:val="00AC4B0E"/>
    <w:rsid w:val="00AC4B3F"/>
    <w:rsid w:val="00AC4CA5"/>
    <w:rsid w:val="00AC4FC8"/>
    <w:rsid w:val="00AC50C3"/>
    <w:rsid w:val="00AC5309"/>
    <w:rsid w:val="00AC5B6A"/>
    <w:rsid w:val="00AC5C42"/>
    <w:rsid w:val="00AC5F1F"/>
    <w:rsid w:val="00AC61AD"/>
    <w:rsid w:val="00AC6326"/>
    <w:rsid w:val="00AC6409"/>
    <w:rsid w:val="00AC6711"/>
    <w:rsid w:val="00AC6E89"/>
    <w:rsid w:val="00AC6EE3"/>
    <w:rsid w:val="00AC71C9"/>
    <w:rsid w:val="00AC73D7"/>
    <w:rsid w:val="00AC73DE"/>
    <w:rsid w:val="00AC7452"/>
    <w:rsid w:val="00AC758D"/>
    <w:rsid w:val="00AC7769"/>
    <w:rsid w:val="00AC7977"/>
    <w:rsid w:val="00AD003B"/>
    <w:rsid w:val="00AD01D1"/>
    <w:rsid w:val="00AD0336"/>
    <w:rsid w:val="00AD03EC"/>
    <w:rsid w:val="00AD04BE"/>
    <w:rsid w:val="00AD05A1"/>
    <w:rsid w:val="00AD073D"/>
    <w:rsid w:val="00AD0755"/>
    <w:rsid w:val="00AD0CEC"/>
    <w:rsid w:val="00AD1130"/>
    <w:rsid w:val="00AD12C6"/>
    <w:rsid w:val="00AD14A6"/>
    <w:rsid w:val="00AD157F"/>
    <w:rsid w:val="00AD17BD"/>
    <w:rsid w:val="00AD1916"/>
    <w:rsid w:val="00AD22AD"/>
    <w:rsid w:val="00AD27C4"/>
    <w:rsid w:val="00AD28ED"/>
    <w:rsid w:val="00AD29C7"/>
    <w:rsid w:val="00AD2B13"/>
    <w:rsid w:val="00AD2B15"/>
    <w:rsid w:val="00AD2F14"/>
    <w:rsid w:val="00AD3042"/>
    <w:rsid w:val="00AD3152"/>
    <w:rsid w:val="00AD31BD"/>
    <w:rsid w:val="00AD31E5"/>
    <w:rsid w:val="00AD3487"/>
    <w:rsid w:val="00AD367B"/>
    <w:rsid w:val="00AD3778"/>
    <w:rsid w:val="00AD3797"/>
    <w:rsid w:val="00AD387E"/>
    <w:rsid w:val="00AD3C50"/>
    <w:rsid w:val="00AD3ECF"/>
    <w:rsid w:val="00AD420F"/>
    <w:rsid w:val="00AD4310"/>
    <w:rsid w:val="00AD4478"/>
    <w:rsid w:val="00AD4AF4"/>
    <w:rsid w:val="00AD4B1A"/>
    <w:rsid w:val="00AD4B3C"/>
    <w:rsid w:val="00AD4CC6"/>
    <w:rsid w:val="00AD4D7D"/>
    <w:rsid w:val="00AD4F10"/>
    <w:rsid w:val="00AD52BF"/>
    <w:rsid w:val="00AD55DE"/>
    <w:rsid w:val="00AD56A3"/>
    <w:rsid w:val="00AD5A25"/>
    <w:rsid w:val="00AD5D5A"/>
    <w:rsid w:val="00AD5DAF"/>
    <w:rsid w:val="00AD6022"/>
    <w:rsid w:val="00AD6209"/>
    <w:rsid w:val="00AD6213"/>
    <w:rsid w:val="00AD6284"/>
    <w:rsid w:val="00AD67A4"/>
    <w:rsid w:val="00AD697C"/>
    <w:rsid w:val="00AD6BFF"/>
    <w:rsid w:val="00AD6EB9"/>
    <w:rsid w:val="00AD7000"/>
    <w:rsid w:val="00AD71FF"/>
    <w:rsid w:val="00AD7241"/>
    <w:rsid w:val="00AD734D"/>
    <w:rsid w:val="00AD7364"/>
    <w:rsid w:val="00AD7366"/>
    <w:rsid w:val="00AD73CA"/>
    <w:rsid w:val="00AD7872"/>
    <w:rsid w:val="00AD7AD1"/>
    <w:rsid w:val="00AD7B89"/>
    <w:rsid w:val="00AD7FEE"/>
    <w:rsid w:val="00AE01C6"/>
    <w:rsid w:val="00AE02C4"/>
    <w:rsid w:val="00AE0533"/>
    <w:rsid w:val="00AE05F7"/>
    <w:rsid w:val="00AE0914"/>
    <w:rsid w:val="00AE0C09"/>
    <w:rsid w:val="00AE0C4D"/>
    <w:rsid w:val="00AE1302"/>
    <w:rsid w:val="00AE14D4"/>
    <w:rsid w:val="00AE15F1"/>
    <w:rsid w:val="00AE1FF1"/>
    <w:rsid w:val="00AE2625"/>
    <w:rsid w:val="00AE2759"/>
    <w:rsid w:val="00AE2998"/>
    <w:rsid w:val="00AE2BFD"/>
    <w:rsid w:val="00AE2CBF"/>
    <w:rsid w:val="00AE2EA7"/>
    <w:rsid w:val="00AE2F21"/>
    <w:rsid w:val="00AE32D6"/>
    <w:rsid w:val="00AE3799"/>
    <w:rsid w:val="00AE387A"/>
    <w:rsid w:val="00AE3967"/>
    <w:rsid w:val="00AE3A2B"/>
    <w:rsid w:val="00AE3C2F"/>
    <w:rsid w:val="00AE3F86"/>
    <w:rsid w:val="00AE43D2"/>
    <w:rsid w:val="00AE43EF"/>
    <w:rsid w:val="00AE4949"/>
    <w:rsid w:val="00AE4A64"/>
    <w:rsid w:val="00AE4B62"/>
    <w:rsid w:val="00AE4CB5"/>
    <w:rsid w:val="00AE5158"/>
    <w:rsid w:val="00AE5501"/>
    <w:rsid w:val="00AE561C"/>
    <w:rsid w:val="00AE5AF2"/>
    <w:rsid w:val="00AE5C5C"/>
    <w:rsid w:val="00AE6B20"/>
    <w:rsid w:val="00AE6B6C"/>
    <w:rsid w:val="00AE6C1A"/>
    <w:rsid w:val="00AE6DB6"/>
    <w:rsid w:val="00AE6E34"/>
    <w:rsid w:val="00AE6E81"/>
    <w:rsid w:val="00AE70F2"/>
    <w:rsid w:val="00AE7218"/>
    <w:rsid w:val="00AE72B7"/>
    <w:rsid w:val="00AE77A4"/>
    <w:rsid w:val="00AE78CF"/>
    <w:rsid w:val="00AE78EA"/>
    <w:rsid w:val="00AE7900"/>
    <w:rsid w:val="00AE7A16"/>
    <w:rsid w:val="00AE7D22"/>
    <w:rsid w:val="00AE7FAC"/>
    <w:rsid w:val="00AF0081"/>
    <w:rsid w:val="00AF00AC"/>
    <w:rsid w:val="00AF0136"/>
    <w:rsid w:val="00AF023D"/>
    <w:rsid w:val="00AF0482"/>
    <w:rsid w:val="00AF0531"/>
    <w:rsid w:val="00AF087B"/>
    <w:rsid w:val="00AF0C17"/>
    <w:rsid w:val="00AF0C81"/>
    <w:rsid w:val="00AF0CF0"/>
    <w:rsid w:val="00AF0FB7"/>
    <w:rsid w:val="00AF1262"/>
    <w:rsid w:val="00AF12EC"/>
    <w:rsid w:val="00AF1484"/>
    <w:rsid w:val="00AF152C"/>
    <w:rsid w:val="00AF178B"/>
    <w:rsid w:val="00AF1930"/>
    <w:rsid w:val="00AF1A4F"/>
    <w:rsid w:val="00AF1B83"/>
    <w:rsid w:val="00AF1BE1"/>
    <w:rsid w:val="00AF2004"/>
    <w:rsid w:val="00AF20B8"/>
    <w:rsid w:val="00AF2192"/>
    <w:rsid w:val="00AF2208"/>
    <w:rsid w:val="00AF23A0"/>
    <w:rsid w:val="00AF24E7"/>
    <w:rsid w:val="00AF2818"/>
    <w:rsid w:val="00AF28C8"/>
    <w:rsid w:val="00AF2E5E"/>
    <w:rsid w:val="00AF2FC1"/>
    <w:rsid w:val="00AF3245"/>
    <w:rsid w:val="00AF3565"/>
    <w:rsid w:val="00AF36BB"/>
    <w:rsid w:val="00AF372A"/>
    <w:rsid w:val="00AF3938"/>
    <w:rsid w:val="00AF4317"/>
    <w:rsid w:val="00AF4389"/>
    <w:rsid w:val="00AF48B9"/>
    <w:rsid w:val="00AF49D4"/>
    <w:rsid w:val="00AF4AE1"/>
    <w:rsid w:val="00AF4E86"/>
    <w:rsid w:val="00AF4EA1"/>
    <w:rsid w:val="00AF5191"/>
    <w:rsid w:val="00AF53A4"/>
    <w:rsid w:val="00AF555B"/>
    <w:rsid w:val="00AF572E"/>
    <w:rsid w:val="00AF5747"/>
    <w:rsid w:val="00AF648C"/>
    <w:rsid w:val="00AF64ED"/>
    <w:rsid w:val="00AF6550"/>
    <w:rsid w:val="00AF65D4"/>
    <w:rsid w:val="00AF695F"/>
    <w:rsid w:val="00AF6AA8"/>
    <w:rsid w:val="00AF6BC9"/>
    <w:rsid w:val="00AF6C55"/>
    <w:rsid w:val="00AF6CF6"/>
    <w:rsid w:val="00AF6D43"/>
    <w:rsid w:val="00AF6FCD"/>
    <w:rsid w:val="00AF6FD0"/>
    <w:rsid w:val="00AF7224"/>
    <w:rsid w:val="00AF7490"/>
    <w:rsid w:val="00AF7998"/>
    <w:rsid w:val="00B0025B"/>
    <w:rsid w:val="00B00632"/>
    <w:rsid w:val="00B00760"/>
    <w:rsid w:val="00B0085A"/>
    <w:rsid w:val="00B00947"/>
    <w:rsid w:val="00B0129A"/>
    <w:rsid w:val="00B0154D"/>
    <w:rsid w:val="00B0182F"/>
    <w:rsid w:val="00B01854"/>
    <w:rsid w:val="00B01AC1"/>
    <w:rsid w:val="00B0215D"/>
    <w:rsid w:val="00B02223"/>
    <w:rsid w:val="00B02247"/>
    <w:rsid w:val="00B02346"/>
    <w:rsid w:val="00B025C8"/>
    <w:rsid w:val="00B02B59"/>
    <w:rsid w:val="00B0309C"/>
    <w:rsid w:val="00B03400"/>
    <w:rsid w:val="00B03490"/>
    <w:rsid w:val="00B036BB"/>
    <w:rsid w:val="00B03874"/>
    <w:rsid w:val="00B03909"/>
    <w:rsid w:val="00B039FB"/>
    <w:rsid w:val="00B03A87"/>
    <w:rsid w:val="00B03BD4"/>
    <w:rsid w:val="00B03D9B"/>
    <w:rsid w:val="00B03E79"/>
    <w:rsid w:val="00B04054"/>
    <w:rsid w:val="00B04326"/>
    <w:rsid w:val="00B0492A"/>
    <w:rsid w:val="00B04A3E"/>
    <w:rsid w:val="00B04D51"/>
    <w:rsid w:val="00B04F95"/>
    <w:rsid w:val="00B051D0"/>
    <w:rsid w:val="00B0547E"/>
    <w:rsid w:val="00B05545"/>
    <w:rsid w:val="00B058C8"/>
    <w:rsid w:val="00B0602D"/>
    <w:rsid w:val="00B06176"/>
    <w:rsid w:val="00B061F1"/>
    <w:rsid w:val="00B06348"/>
    <w:rsid w:val="00B063D2"/>
    <w:rsid w:val="00B064EE"/>
    <w:rsid w:val="00B0653D"/>
    <w:rsid w:val="00B06643"/>
    <w:rsid w:val="00B06720"/>
    <w:rsid w:val="00B0676B"/>
    <w:rsid w:val="00B0686F"/>
    <w:rsid w:val="00B068BD"/>
    <w:rsid w:val="00B06AA0"/>
    <w:rsid w:val="00B06BAA"/>
    <w:rsid w:val="00B06BFC"/>
    <w:rsid w:val="00B06E92"/>
    <w:rsid w:val="00B06FD3"/>
    <w:rsid w:val="00B07134"/>
    <w:rsid w:val="00B07199"/>
    <w:rsid w:val="00B072A3"/>
    <w:rsid w:val="00B0731C"/>
    <w:rsid w:val="00B073DA"/>
    <w:rsid w:val="00B0754A"/>
    <w:rsid w:val="00B0766A"/>
    <w:rsid w:val="00B076F2"/>
    <w:rsid w:val="00B07736"/>
    <w:rsid w:val="00B079CE"/>
    <w:rsid w:val="00B07B1B"/>
    <w:rsid w:val="00B07B4F"/>
    <w:rsid w:val="00B07B79"/>
    <w:rsid w:val="00B07DD9"/>
    <w:rsid w:val="00B07F21"/>
    <w:rsid w:val="00B07F77"/>
    <w:rsid w:val="00B10639"/>
    <w:rsid w:val="00B106FC"/>
    <w:rsid w:val="00B10BB5"/>
    <w:rsid w:val="00B10E8C"/>
    <w:rsid w:val="00B10EDB"/>
    <w:rsid w:val="00B10FFD"/>
    <w:rsid w:val="00B11018"/>
    <w:rsid w:val="00B11793"/>
    <w:rsid w:val="00B118A5"/>
    <w:rsid w:val="00B11956"/>
    <w:rsid w:val="00B11AC8"/>
    <w:rsid w:val="00B11EC2"/>
    <w:rsid w:val="00B11FB4"/>
    <w:rsid w:val="00B1208C"/>
    <w:rsid w:val="00B12100"/>
    <w:rsid w:val="00B121B0"/>
    <w:rsid w:val="00B121D2"/>
    <w:rsid w:val="00B12215"/>
    <w:rsid w:val="00B12519"/>
    <w:rsid w:val="00B12540"/>
    <w:rsid w:val="00B1261A"/>
    <w:rsid w:val="00B12702"/>
    <w:rsid w:val="00B12966"/>
    <w:rsid w:val="00B12B1B"/>
    <w:rsid w:val="00B12B97"/>
    <w:rsid w:val="00B12E71"/>
    <w:rsid w:val="00B12FC4"/>
    <w:rsid w:val="00B130ED"/>
    <w:rsid w:val="00B132D7"/>
    <w:rsid w:val="00B13345"/>
    <w:rsid w:val="00B13680"/>
    <w:rsid w:val="00B1369C"/>
    <w:rsid w:val="00B137A2"/>
    <w:rsid w:val="00B13AA7"/>
    <w:rsid w:val="00B13ADE"/>
    <w:rsid w:val="00B13B26"/>
    <w:rsid w:val="00B13B8D"/>
    <w:rsid w:val="00B13CDB"/>
    <w:rsid w:val="00B13D62"/>
    <w:rsid w:val="00B13F23"/>
    <w:rsid w:val="00B14049"/>
    <w:rsid w:val="00B142E8"/>
    <w:rsid w:val="00B14516"/>
    <w:rsid w:val="00B146CF"/>
    <w:rsid w:val="00B14800"/>
    <w:rsid w:val="00B149C1"/>
    <w:rsid w:val="00B14E42"/>
    <w:rsid w:val="00B14EB1"/>
    <w:rsid w:val="00B14F51"/>
    <w:rsid w:val="00B14F9D"/>
    <w:rsid w:val="00B1534E"/>
    <w:rsid w:val="00B1546D"/>
    <w:rsid w:val="00B156CF"/>
    <w:rsid w:val="00B15B56"/>
    <w:rsid w:val="00B15C65"/>
    <w:rsid w:val="00B15D44"/>
    <w:rsid w:val="00B15E7D"/>
    <w:rsid w:val="00B160BA"/>
    <w:rsid w:val="00B16389"/>
    <w:rsid w:val="00B1696D"/>
    <w:rsid w:val="00B16A5E"/>
    <w:rsid w:val="00B16B61"/>
    <w:rsid w:val="00B16C0B"/>
    <w:rsid w:val="00B16C4E"/>
    <w:rsid w:val="00B16CE7"/>
    <w:rsid w:val="00B16D00"/>
    <w:rsid w:val="00B16DC9"/>
    <w:rsid w:val="00B16ED3"/>
    <w:rsid w:val="00B17029"/>
    <w:rsid w:val="00B171B9"/>
    <w:rsid w:val="00B17249"/>
    <w:rsid w:val="00B172D6"/>
    <w:rsid w:val="00B17598"/>
    <w:rsid w:val="00B175C0"/>
    <w:rsid w:val="00B17AA7"/>
    <w:rsid w:val="00B17B1C"/>
    <w:rsid w:val="00B17E2C"/>
    <w:rsid w:val="00B17E3C"/>
    <w:rsid w:val="00B17EEC"/>
    <w:rsid w:val="00B2001A"/>
    <w:rsid w:val="00B2019D"/>
    <w:rsid w:val="00B202A4"/>
    <w:rsid w:val="00B2050B"/>
    <w:rsid w:val="00B20694"/>
    <w:rsid w:val="00B207A2"/>
    <w:rsid w:val="00B20963"/>
    <w:rsid w:val="00B20C2E"/>
    <w:rsid w:val="00B20DC0"/>
    <w:rsid w:val="00B20ED4"/>
    <w:rsid w:val="00B21232"/>
    <w:rsid w:val="00B21439"/>
    <w:rsid w:val="00B21546"/>
    <w:rsid w:val="00B216AB"/>
    <w:rsid w:val="00B218C7"/>
    <w:rsid w:val="00B2195E"/>
    <w:rsid w:val="00B21A1B"/>
    <w:rsid w:val="00B21B83"/>
    <w:rsid w:val="00B21E64"/>
    <w:rsid w:val="00B220CA"/>
    <w:rsid w:val="00B226E9"/>
    <w:rsid w:val="00B2281C"/>
    <w:rsid w:val="00B22828"/>
    <w:rsid w:val="00B22911"/>
    <w:rsid w:val="00B229DA"/>
    <w:rsid w:val="00B22A99"/>
    <w:rsid w:val="00B22B1B"/>
    <w:rsid w:val="00B22C39"/>
    <w:rsid w:val="00B22EFE"/>
    <w:rsid w:val="00B22F2C"/>
    <w:rsid w:val="00B22FCC"/>
    <w:rsid w:val="00B23088"/>
    <w:rsid w:val="00B2318D"/>
    <w:rsid w:val="00B23269"/>
    <w:rsid w:val="00B23373"/>
    <w:rsid w:val="00B23395"/>
    <w:rsid w:val="00B233A2"/>
    <w:rsid w:val="00B239C8"/>
    <w:rsid w:val="00B23DDB"/>
    <w:rsid w:val="00B23F0A"/>
    <w:rsid w:val="00B240E8"/>
    <w:rsid w:val="00B24100"/>
    <w:rsid w:val="00B24E9B"/>
    <w:rsid w:val="00B25288"/>
    <w:rsid w:val="00B25B64"/>
    <w:rsid w:val="00B25B69"/>
    <w:rsid w:val="00B25D7F"/>
    <w:rsid w:val="00B25D9A"/>
    <w:rsid w:val="00B25E4F"/>
    <w:rsid w:val="00B26137"/>
    <w:rsid w:val="00B26356"/>
    <w:rsid w:val="00B263BC"/>
    <w:rsid w:val="00B26421"/>
    <w:rsid w:val="00B2651E"/>
    <w:rsid w:val="00B2665E"/>
    <w:rsid w:val="00B26772"/>
    <w:rsid w:val="00B2679E"/>
    <w:rsid w:val="00B267D8"/>
    <w:rsid w:val="00B2697A"/>
    <w:rsid w:val="00B26A1D"/>
    <w:rsid w:val="00B26B3A"/>
    <w:rsid w:val="00B26E0A"/>
    <w:rsid w:val="00B27028"/>
    <w:rsid w:val="00B2705B"/>
    <w:rsid w:val="00B272BF"/>
    <w:rsid w:val="00B275A9"/>
    <w:rsid w:val="00B27793"/>
    <w:rsid w:val="00B27C51"/>
    <w:rsid w:val="00B27D0D"/>
    <w:rsid w:val="00B27E8A"/>
    <w:rsid w:val="00B3025D"/>
    <w:rsid w:val="00B304D5"/>
    <w:rsid w:val="00B30781"/>
    <w:rsid w:val="00B30890"/>
    <w:rsid w:val="00B308C8"/>
    <w:rsid w:val="00B3098E"/>
    <w:rsid w:val="00B30B50"/>
    <w:rsid w:val="00B31550"/>
    <w:rsid w:val="00B3176C"/>
    <w:rsid w:val="00B31984"/>
    <w:rsid w:val="00B31A35"/>
    <w:rsid w:val="00B31BEF"/>
    <w:rsid w:val="00B32309"/>
    <w:rsid w:val="00B323A1"/>
    <w:rsid w:val="00B323D6"/>
    <w:rsid w:val="00B32F99"/>
    <w:rsid w:val="00B33075"/>
    <w:rsid w:val="00B3340F"/>
    <w:rsid w:val="00B334E6"/>
    <w:rsid w:val="00B335A5"/>
    <w:rsid w:val="00B337AA"/>
    <w:rsid w:val="00B3391C"/>
    <w:rsid w:val="00B339ED"/>
    <w:rsid w:val="00B33A5A"/>
    <w:rsid w:val="00B33AAB"/>
    <w:rsid w:val="00B33AAD"/>
    <w:rsid w:val="00B33DE5"/>
    <w:rsid w:val="00B340FC"/>
    <w:rsid w:val="00B341CE"/>
    <w:rsid w:val="00B34292"/>
    <w:rsid w:val="00B34599"/>
    <w:rsid w:val="00B347F2"/>
    <w:rsid w:val="00B3488F"/>
    <w:rsid w:val="00B34A29"/>
    <w:rsid w:val="00B34A53"/>
    <w:rsid w:val="00B34D55"/>
    <w:rsid w:val="00B34D7B"/>
    <w:rsid w:val="00B34E49"/>
    <w:rsid w:val="00B34EE0"/>
    <w:rsid w:val="00B350EA"/>
    <w:rsid w:val="00B351E2"/>
    <w:rsid w:val="00B3538B"/>
    <w:rsid w:val="00B3561F"/>
    <w:rsid w:val="00B35656"/>
    <w:rsid w:val="00B356DD"/>
    <w:rsid w:val="00B35790"/>
    <w:rsid w:val="00B35928"/>
    <w:rsid w:val="00B359CF"/>
    <w:rsid w:val="00B35BE8"/>
    <w:rsid w:val="00B35C6E"/>
    <w:rsid w:val="00B36136"/>
    <w:rsid w:val="00B3626E"/>
    <w:rsid w:val="00B3636F"/>
    <w:rsid w:val="00B3682E"/>
    <w:rsid w:val="00B36943"/>
    <w:rsid w:val="00B36947"/>
    <w:rsid w:val="00B369C1"/>
    <w:rsid w:val="00B36C9F"/>
    <w:rsid w:val="00B36CB1"/>
    <w:rsid w:val="00B36F6E"/>
    <w:rsid w:val="00B37164"/>
    <w:rsid w:val="00B37346"/>
    <w:rsid w:val="00B37426"/>
    <w:rsid w:val="00B37435"/>
    <w:rsid w:val="00B37A8B"/>
    <w:rsid w:val="00B37B93"/>
    <w:rsid w:val="00B40006"/>
    <w:rsid w:val="00B400AD"/>
    <w:rsid w:val="00B4016D"/>
    <w:rsid w:val="00B40343"/>
    <w:rsid w:val="00B405FF"/>
    <w:rsid w:val="00B40704"/>
    <w:rsid w:val="00B4070A"/>
    <w:rsid w:val="00B408FA"/>
    <w:rsid w:val="00B40B35"/>
    <w:rsid w:val="00B40BC9"/>
    <w:rsid w:val="00B40D49"/>
    <w:rsid w:val="00B40E54"/>
    <w:rsid w:val="00B40E74"/>
    <w:rsid w:val="00B411DA"/>
    <w:rsid w:val="00B41608"/>
    <w:rsid w:val="00B417FA"/>
    <w:rsid w:val="00B418CF"/>
    <w:rsid w:val="00B418F1"/>
    <w:rsid w:val="00B41B94"/>
    <w:rsid w:val="00B41CCA"/>
    <w:rsid w:val="00B41DA9"/>
    <w:rsid w:val="00B41DD2"/>
    <w:rsid w:val="00B41E06"/>
    <w:rsid w:val="00B41ECE"/>
    <w:rsid w:val="00B420E5"/>
    <w:rsid w:val="00B42146"/>
    <w:rsid w:val="00B425E9"/>
    <w:rsid w:val="00B42655"/>
    <w:rsid w:val="00B42670"/>
    <w:rsid w:val="00B42AE3"/>
    <w:rsid w:val="00B42FD5"/>
    <w:rsid w:val="00B432EA"/>
    <w:rsid w:val="00B43704"/>
    <w:rsid w:val="00B44362"/>
    <w:rsid w:val="00B44C1E"/>
    <w:rsid w:val="00B44C7D"/>
    <w:rsid w:val="00B44D90"/>
    <w:rsid w:val="00B44F20"/>
    <w:rsid w:val="00B44F9B"/>
    <w:rsid w:val="00B4534C"/>
    <w:rsid w:val="00B45825"/>
    <w:rsid w:val="00B45B4D"/>
    <w:rsid w:val="00B45F0F"/>
    <w:rsid w:val="00B4602F"/>
    <w:rsid w:val="00B46315"/>
    <w:rsid w:val="00B46516"/>
    <w:rsid w:val="00B46608"/>
    <w:rsid w:val="00B46A1C"/>
    <w:rsid w:val="00B46A9E"/>
    <w:rsid w:val="00B46B6D"/>
    <w:rsid w:val="00B46D18"/>
    <w:rsid w:val="00B46E1C"/>
    <w:rsid w:val="00B47722"/>
    <w:rsid w:val="00B47A7A"/>
    <w:rsid w:val="00B47C25"/>
    <w:rsid w:val="00B47DAD"/>
    <w:rsid w:val="00B47F8E"/>
    <w:rsid w:val="00B50A23"/>
    <w:rsid w:val="00B50A5C"/>
    <w:rsid w:val="00B50BC9"/>
    <w:rsid w:val="00B50E24"/>
    <w:rsid w:val="00B51258"/>
    <w:rsid w:val="00B5129D"/>
    <w:rsid w:val="00B51317"/>
    <w:rsid w:val="00B519B3"/>
    <w:rsid w:val="00B51B2D"/>
    <w:rsid w:val="00B51C95"/>
    <w:rsid w:val="00B52031"/>
    <w:rsid w:val="00B5205B"/>
    <w:rsid w:val="00B5206C"/>
    <w:rsid w:val="00B52373"/>
    <w:rsid w:val="00B52414"/>
    <w:rsid w:val="00B525A4"/>
    <w:rsid w:val="00B52884"/>
    <w:rsid w:val="00B52C20"/>
    <w:rsid w:val="00B52C25"/>
    <w:rsid w:val="00B52EA6"/>
    <w:rsid w:val="00B531B9"/>
    <w:rsid w:val="00B533B9"/>
    <w:rsid w:val="00B536A4"/>
    <w:rsid w:val="00B53C67"/>
    <w:rsid w:val="00B53E04"/>
    <w:rsid w:val="00B54077"/>
    <w:rsid w:val="00B540FB"/>
    <w:rsid w:val="00B54328"/>
    <w:rsid w:val="00B543F2"/>
    <w:rsid w:val="00B549A5"/>
    <w:rsid w:val="00B549C2"/>
    <w:rsid w:val="00B549E1"/>
    <w:rsid w:val="00B549E8"/>
    <w:rsid w:val="00B54A13"/>
    <w:rsid w:val="00B54AE1"/>
    <w:rsid w:val="00B54BA7"/>
    <w:rsid w:val="00B54D05"/>
    <w:rsid w:val="00B54F76"/>
    <w:rsid w:val="00B55063"/>
    <w:rsid w:val="00B550EB"/>
    <w:rsid w:val="00B553AB"/>
    <w:rsid w:val="00B5582E"/>
    <w:rsid w:val="00B5596A"/>
    <w:rsid w:val="00B559CF"/>
    <w:rsid w:val="00B56110"/>
    <w:rsid w:val="00B56276"/>
    <w:rsid w:val="00B565C0"/>
    <w:rsid w:val="00B565DB"/>
    <w:rsid w:val="00B568F0"/>
    <w:rsid w:val="00B56A87"/>
    <w:rsid w:val="00B56B27"/>
    <w:rsid w:val="00B57018"/>
    <w:rsid w:val="00B57573"/>
    <w:rsid w:val="00B576DB"/>
    <w:rsid w:val="00B5797E"/>
    <w:rsid w:val="00B57B19"/>
    <w:rsid w:val="00B57BBF"/>
    <w:rsid w:val="00B57BEA"/>
    <w:rsid w:val="00B57C4D"/>
    <w:rsid w:val="00B600EB"/>
    <w:rsid w:val="00B60491"/>
    <w:rsid w:val="00B60669"/>
    <w:rsid w:val="00B6069B"/>
    <w:rsid w:val="00B60731"/>
    <w:rsid w:val="00B6099D"/>
    <w:rsid w:val="00B60A44"/>
    <w:rsid w:val="00B60AE5"/>
    <w:rsid w:val="00B60C41"/>
    <w:rsid w:val="00B60CE9"/>
    <w:rsid w:val="00B60FF5"/>
    <w:rsid w:val="00B61347"/>
    <w:rsid w:val="00B613C1"/>
    <w:rsid w:val="00B61664"/>
    <w:rsid w:val="00B620CD"/>
    <w:rsid w:val="00B62106"/>
    <w:rsid w:val="00B622C2"/>
    <w:rsid w:val="00B62556"/>
    <w:rsid w:val="00B625B5"/>
    <w:rsid w:val="00B62609"/>
    <w:rsid w:val="00B6272D"/>
    <w:rsid w:val="00B62737"/>
    <w:rsid w:val="00B62D20"/>
    <w:rsid w:val="00B62DE5"/>
    <w:rsid w:val="00B62FC9"/>
    <w:rsid w:val="00B6311B"/>
    <w:rsid w:val="00B6311E"/>
    <w:rsid w:val="00B63215"/>
    <w:rsid w:val="00B63388"/>
    <w:rsid w:val="00B63406"/>
    <w:rsid w:val="00B63716"/>
    <w:rsid w:val="00B6373E"/>
    <w:rsid w:val="00B63985"/>
    <w:rsid w:val="00B63B56"/>
    <w:rsid w:val="00B63C15"/>
    <w:rsid w:val="00B63DB0"/>
    <w:rsid w:val="00B63F71"/>
    <w:rsid w:val="00B63FF6"/>
    <w:rsid w:val="00B64179"/>
    <w:rsid w:val="00B6424D"/>
    <w:rsid w:val="00B64517"/>
    <w:rsid w:val="00B645F6"/>
    <w:rsid w:val="00B646A1"/>
    <w:rsid w:val="00B647C8"/>
    <w:rsid w:val="00B64B52"/>
    <w:rsid w:val="00B64BC9"/>
    <w:rsid w:val="00B64E27"/>
    <w:rsid w:val="00B653D8"/>
    <w:rsid w:val="00B65589"/>
    <w:rsid w:val="00B6577B"/>
    <w:rsid w:val="00B658C5"/>
    <w:rsid w:val="00B65929"/>
    <w:rsid w:val="00B6595C"/>
    <w:rsid w:val="00B65985"/>
    <w:rsid w:val="00B65A1D"/>
    <w:rsid w:val="00B663A2"/>
    <w:rsid w:val="00B66429"/>
    <w:rsid w:val="00B66B94"/>
    <w:rsid w:val="00B66BE0"/>
    <w:rsid w:val="00B66BF5"/>
    <w:rsid w:val="00B66C38"/>
    <w:rsid w:val="00B66F9E"/>
    <w:rsid w:val="00B67009"/>
    <w:rsid w:val="00B6726F"/>
    <w:rsid w:val="00B67961"/>
    <w:rsid w:val="00B67A62"/>
    <w:rsid w:val="00B67C3E"/>
    <w:rsid w:val="00B67D78"/>
    <w:rsid w:val="00B67FD9"/>
    <w:rsid w:val="00B7017A"/>
    <w:rsid w:val="00B7057F"/>
    <w:rsid w:val="00B70664"/>
    <w:rsid w:val="00B707F7"/>
    <w:rsid w:val="00B70844"/>
    <w:rsid w:val="00B70A6C"/>
    <w:rsid w:val="00B70BDD"/>
    <w:rsid w:val="00B70D25"/>
    <w:rsid w:val="00B70DCF"/>
    <w:rsid w:val="00B70F2A"/>
    <w:rsid w:val="00B71060"/>
    <w:rsid w:val="00B71162"/>
    <w:rsid w:val="00B71176"/>
    <w:rsid w:val="00B7135A"/>
    <w:rsid w:val="00B71597"/>
    <w:rsid w:val="00B71754"/>
    <w:rsid w:val="00B71C38"/>
    <w:rsid w:val="00B71E4E"/>
    <w:rsid w:val="00B72230"/>
    <w:rsid w:val="00B722B8"/>
    <w:rsid w:val="00B7249F"/>
    <w:rsid w:val="00B72744"/>
    <w:rsid w:val="00B7295C"/>
    <w:rsid w:val="00B72A5A"/>
    <w:rsid w:val="00B72B2C"/>
    <w:rsid w:val="00B72BC2"/>
    <w:rsid w:val="00B72D42"/>
    <w:rsid w:val="00B72F39"/>
    <w:rsid w:val="00B72F48"/>
    <w:rsid w:val="00B7342E"/>
    <w:rsid w:val="00B7381B"/>
    <w:rsid w:val="00B738B4"/>
    <w:rsid w:val="00B739A5"/>
    <w:rsid w:val="00B7427B"/>
    <w:rsid w:val="00B742F0"/>
    <w:rsid w:val="00B74619"/>
    <w:rsid w:val="00B749DA"/>
    <w:rsid w:val="00B74B6B"/>
    <w:rsid w:val="00B74E11"/>
    <w:rsid w:val="00B750D9"/>
    <w:rsid w:val="00B755EB"/>
    <w:rsid w:val="00B755F3"/>
    <w:rsid w:val="00B75758"/>
    <w:rsid w:val="00B75AB3"/>
    <w:rsid w:val="00B75C40"/>
    <w:rsid w:val="00B75CDA"/>
    <w:rsid w:val="00B75E82"/>
    <w:rsid w:val="00B763FC"/>
    <w:rsid w:val="00B76418"/>
    <w:rsid w:val="00B76836"/>
    <w:rsid w:val="00B7693D"/>
    <w:rsid w:val="00B7707D"/>
    <w:rsid w:val="00B77169"/>
    <w:rsid w:val="00B77282"/>
    <w:rsid w:val="00B772C5"/>
    <w:rsid w:val="00B773CB"/>
    <w:rsid w:val="00B773FA"/>
    <w:rsid w:val="00B77406"/>
    <w:rsid w:val="00B77531"/>
    <w:rsid w:val="00B7777E"/>
    <w:rsid w:val="00B7777F"/>
    <w:rsid w:val="00B777DB"/>
    <w:rsid w:val="00B779C8"/>
    <w:rsid w:val="00B77CF5"/>
    <w:rsid w:val="00B80356"/>
    <w:rsid w:val="00B803D3"/>
    <w:rsid w:val="00B80457"/>
    <w:rsid w:val="00B8092F"/>
    <w:rsid w:val="00B80981"/>
    <w:rsid w:val="00B80D52"/>
    <w:rsid w:val="00B80F46"/>
    <w:rsid w:val="00B810BF"/>
    <w:rsid w:val="00B81318"/>
    <w:rsid w:val="00B81547"/>
    <w:rsid w:val="00B8158B"/>
    <w:rsid w:val="00B81715"/>
    <w:rsid w:val="00B8174B"/>
    <w:rsid w:val="00B817C9"/>
    <w:rsid w:val="00B81A4F"/>
    <w:rsid w:val="00B81AD6"/>
    <w:rsid w:val="00B81EF1"/>
    <w:rsid w:val="00B8200E"/>
    <w:rsid w:val="00B82011"/>
    <w:rsid w:val="00B827B8"/>
    <w:rsid w:val="00B82851"/>
    <w:rsid w:val="00B82BA4"/>
    <w:rsid w:val="00B82C59"/>
    <w:rsid w:val="00B82D4F"/>
    <w:rsid w:val="00B82E29"/>
    <w:rsid w:val="00B82ECF"/>
    <w:rsid w:val="00B82FB5"/>
    <w:rsid w:val="00B8302D"/>
    <w:rsid w:val="00B83148"/>
    <w:rsid w:val="00B83363"/>
    <w:rsid w:val="00B835E4"/>
    <w:rsid w:val="00B83628"/>
    <w:rsid w:val="00B837DC"/>
    <w:rsid w:val="00B838BB"/>
    <w:rsid w:val="00B83A84"/>
    <w:rsid w:val="00B83CAF"/>
    <w:rsid w:val="00B84451"/>
    <w:rsid w:val="00B84467"/>
    <w:rsid w:val="00B847C7"/>
    <w:rsid w:val="00B848C0"/>
    <w:rsid w:val="00B84969"/>
    <w:rsid w:val="00B84C60"/>
    <w:rsid w:val="00B84D4D"/>
    <w:rsid w:val="00B84DF7"/>
    <w:rsid w:val="00B84EB4"/>
    <w:rsid w:val="00B84F77"/>
    <w:rsid w:val="00B85000"/>
    <w:rsid w:val="00B85204"/>
    <w:rsid w:val="00B8524E"/>
    <w:rsid w:val="00B852A5"/>
    <w:rsid w:val="00B85375"/>
    <w:rsid w:val="00B854E1"/>
    <w:rsid w:val="00B8579D"/>
    <w:rsid w:val="00B859A8"/>
    <w:rsid w:val="00B85A06"/>
    <w:rsid w:val="00B85A4F"/>
    <w:rsid w:val="00B85AC5"/>
    <w:rsid w:val="00B85AFC"/>
    <w:rsid w:val="00B85FB5"/>
    <w:rsid w:val="00B86054"/>
    <w:rsid w:val="00B860EA"/>
    <w:rsid w:val="00B8625A"/>
    <w:rsid w:val="00B8630A"/>
    <w:rsid w:val="00B86412"/>
    <w:rsid w:val="00B86989"/>
    <w:rsid w:val="00B86A22"/>
    <w:rsid w:val="00B86AEE"/>
    <w:rsid w:val="00B87206"/>
    <w:rsid w:val="00B87385"/>
    <w:rsid w:val="00B876FC"/>
    <w:rsid w:val="00B87A83"/>
    <w:rsid w:val="00B87C28"/>
    <w:rsid w:val="00B87E4B"/>
    <w:rsid w:val="00B901C3"/>
    <w:rsid w:val="00B901D3"/>
    <w:rsid w:val="00B9088D"/>
    <w:rsid w:val="00B9096D"/>
    <w:rsid w:val="00B909F3"/>
    <w:rsid w:val="00B90CE6"/>
    <w:rsid w:val="00B90FAC"/>
    <w:rsid w:val="00B91245"/>
    <w:rsid w:val="00B91252"/>
    <w:rsid w:val="00B91287"/>
    <w:rsid w:val="00B9135C"/>
    <w:rsid w:val="00B9157F"/>
    <w:rsid w:val="00B916AD"/>
    <w:rsid w:val="00B9176C"/>
    <w:rsid w:val="00B91800"/>
    <w:rsid w:val="00B91820"/>
    <w:rsid w:val="00B91921"/>
    <w:rsid w:val="00B91ACF"/>
    <w:rsid w:val="00B91D96"/>
    <w:rsid w:val="00B91F68"/>
    <w:rsid w:val="00B92444"/>
    <w:rsid w:val="00B927D4"/>
    <w:rsid w:val="00B9292F"/>
    <w:rsid w:val="00B92BD0"/>
    <w:rsid w:val="00B92EEC"/>
    <w:rsid w:val="00B930C9"/>
    <w:rsid w:val="00B9319F"/>
    <w:rsid w:val="00B9329D"/>
    <w:rsid w:val="00B9358A"/>
    <w:rsid w:val="00B93593"/>
    <w:rsid w:val="00B9364B"/>
    <w:rsid w:val="00B93757"/>
    <w:rsid w:val="00B93B96"/>
    <w:rsid w:val="00B93C41"/>
    <w:rsid w:val="00B93D69"/>
    <w:rsid w:val="00B93D8E"/>
    <w:rsid w:val="00B94891"/>
    <w:rsid w:val="00B94C32"/>
    <w:rsid w:val="00B94D2F"/>
    <w:rsid w:val="00B94DD6"/>
    <w:rsid w:val="00B950FF"/>
    <w:rsid w:val="00B9525A"/>
    <w:rsid w:val="00B953DE"/>
    <w:rsid w:val="00B95643"/>
    <w:rsid w:val="00B95AA8"/>
    <w:rsid w:val="00B95B37"/>
    <w:rsid w:val="00B95CCD"/>
    <w:rsid w:val="00B95EA0"/>
    <w:rsid w:val="00B9653A"/>
    <w:rsid w:val="00B96744"/>
    <w:rsid w:val="00B967F9"/>
    <w:rsid w:val="00B96BE8"/>
    <w:rsid w:val="00B96C06"/>
    <w:rsid w:val="00B96D63"/>
    <w:rsid w:val="00B97032"/>
    <w:rsid w:val="00B9709B"/>
    <w:rsid w:val="00B974FB"/>
    <w:rsid w:val="00B97719"/>
    <w:rsid w:val="00B977E7"/>
    <w:rsid w:val="00B97867"/>
    <w:rsid w:val="00B978E7"/>
    <w:rsid w:val="00B978F9"/>
    <w:rsid w:val="00B97CD0"/>
    <w:rsid w:val="00B97D1A"/>
    <w:rsid w:val="00B97E2A"/>
    <w:rsid w:val="00B97E93"/>
    <w:rsid w:val="00BA00C9"/>
    <w:rsid w:val="00BA015B"/>
    <w:rsid w:val="00BA023F"/>
    <w:rsid w:val="00BA0308"/>
    <w:rsid w:val="00BA0520"/>
    <w:rsid w:val="00BA0524"/>
    <w:rsid w:val="00BA0577"/>
    <w:rsid w:val="00BA06CC"/>
    <w:rsid w:val="00BA0A60"/>
    <w:rsid w:val="00BA0C5F"/>
    <w:rsid w:val="00BA0F2A"/>
    <w:rsid w:val="00BA0F59"/>
    <w:rsid w:val="00BA0F7B"/>
    <w:rsid w:val="00BA0FFF"/>
    <w:rsid w:val="00BA1115"/>
    <w:rsid w:val="00BA149D"/>
    <w:rsid w:val="00BA1541"/>
    <w:rsid w:val="00BA1988"/>
    <w:rsid w:val="00BA1DE5"/>
    <w:rsid w:val="00BA1E05"/>
    <w:rsid w:val="00BA22C6"/>
    <w:rsid w:val="00BA2373"/>
    <w:rsid w:val="00BA23D2"/>
    <w:rsid w:val="00BA24CC"/>
    <w:rsid w:val="00BA27B1"/>
    <w:rsid w:val="00BA2883"/>
    <w:rsid w:val="00BA2913"/>
    <w:rsid w:val="00BA29B5"/>
    <w:rsid w:val="00BA29B8"/>
    <w:rsid w:val="00BA2A25"/>
    <w:rsid w:val="00BA2E7F"/>
    <w:rsid w:val="00BA2F87"/>
    <w:rsid w:val="00BA3019"/>
    <w:rsid w:val="00BA30C2"/>
    <w:rsid w:val="00BA3191"/>
    <w:rsid w:val="00BA345E"/>
    <w:rsid w:val="00BA348E"/>
    <w:rsid w:val="00BA3BA5"/>
    <w:rsid w:val="00BA3BB5"/>
    <w:rsid w:val="00BA3DD9"/>
    <w:rsid w:val="00BA3DE3"/>
    <w:rsid w:val="00BA3FC8"/>
    <w:rsid w:val="00BA40F9"/>
    <w:rsid w:val="00BA4152"/>
    <w:rsid w:val="00BA434E"/>
    <w:rsid w:val="00BA43D2"/>
    <w:rsid w:val="00BA463E"/>
    <w:rsid w:val="00BA469C"/>
    <w:rsid w:val="00BA49B8"/>
    <w:rsid w:val="00BA4B4A"/>
    <w:rsid w:val="00BA4BAE"/>
    <w:rsid w:val="00BA4C27"/>
    <w:rsid w:val="00BA5195"/>
    <w:rsid w:val="00BA51BA"/>
    <w:rsid w:val="00BA5436"/>
    <w:rsid w:val="00BA551A"/>
    <w:rsid w:val="00BA58B8"/>
    <w:rsid w:val="00BA5DD9"/>
    <w:rsid w:val="00BA5F89"/>
    <w:rsid w:val="00BA605F"/>
    <w:rsid w:val="00BA6AF6"/>
    <w:rsid w:val="00BA6BA4"/>
    <w:rsid w:val="00BA6C95"/>
    <w:rsid w:val="00BA6DF5"/>
    <w:rsid w:val="00BA6E3A"/>
    <w:rsid w:val="00BA6FD5"/>
    <w:rsid w:val="00BA7089"/>
    <w:rsid w:val="00BA745C"/>
    <w:rsid w:val="00BA7824"/>
    <w:rsid w:val="00BA7B4F"/>
    <w:rsid w:val="00BA7D9F"/>
    <w:rsid w:val="00BA7DB4"/>
    <w:rsid w:val="00BA7F43"/>
    <w:rsid w:val="00BB02F6"/>
    <w:rsid w:val="00BB03B5"/>
    <w:rsid w:val="00BB04AD"/>
    <w:rsid w:val="00BB05C9"/>
    <w:rsid w:val="00BB0D13"/>
    <w:rsid w:val="00BB0E69"/>
    <w:rsid w:val="00BB0FCB"/>
    <w:rsid w:val="00BB158C"/>
    <w:rsid w:val="00BB15D1"/>
    <w:rsid w:val="00BB170E"/>
    <w:rsid w:val="00BB1818"/>
    <w:rsid w:val="00BB195B"/>
    <w:rsid w:val="00BB1F52"/>
    <w:rsid w:val="00BB1FA4"/>
    <w:rsid w:val="00BB211F"/>
    <w:rsid w:val="00BB219B"/>
    <w:rsid w:val="00BB23DC"/>
    <w:rsid w:val="00BB23F9"/>
    <w:rsid w:val="00BB2532"/>
    <w:rsid w:val="00BB2651"/>
    <w:rsid w:val="00BB2B98"/>
    <w:rsid w:val="00BB2C83"/>
    <w:rsid w:val="00BB2CCB"/>
    <w:rsid w:val="00BB2D45"/>
    <w:rsid w:val="00BB2D53"/>
    <w:rsid w:val="00BB31FA"/>
    <w:rsid w:val="00BB3373"/>
    <w:rsid w:val="00BB3382"/>
    <w:rsid w:val="00BB360F"/>
    <w:rsid w:val="00BB37F3"/>
    <w:rsid w:val="00BB39C8"/>
    <w:rsid w:val="00BB3A9D"/>
    <w:rsid w:val="00BB3CB0"/>
    <w:rsid w:val="00BB44E3"/>
    <w:rsid w:val="00BB486F"/>
    <w:rsid w:val="00BB48C9"/>
    <w:rsid w:val="00BB4ADE"/>
    <w:rsid w:val="00BB4B12"/>
    <w:rsid w:val="00BB4B54"/>
    <w:rsid w:val="00BB4E8E"/>
    <w:rsid w:val="00BB4ED9"/>
    <w:rsid w:val="00BB52ED"/>
    <w:rsid w:val="00BB539C"/>
    <w:rsid w:val="00BB5467"/>
    <w:rsid w:val="00BB54F4"/>
    <w:rsid w:val="00BB5594"/>
    <w:rsid w:val="00BB55A6"/>
    <w:rsid w:val="00BB59EC"/>
    <w:rsid w:val="00BB5B20"/>
    <w:rsid w:val="00BB5B30"/>
    <w:rsid w:val="00BB5CC2"/>
    <w:rsid w:val="00BB5F08"/>
    <w:rsid w:val="00BB5FBB"/>
    <w:rsid w:val="00BB6100"/>
    <w:rsid w:val="00BB633A"/>
    <w:rsid w:val="00BB6467"/>
    <w:rsid w:val="00BB6569"/>
    <w:rsid w:val="00BB6773"/>
    <w:rsid w:val="00BB6971"/>
    <w:rsid w:val="00BB69CE"/>
    <w:rsid w:val="00BB6A8A"/>
    <w:rsid w:val="00BB6C0C"/>
    <w:rsid w:val="00BB6D17"/>
    <w:rsid w:val="00BB6F43"/>
    <w:rsid w:val="00BB7019"/>
    <w:rsid w:val="00BB7031"/>
    <w:rsid w:val="00BB7139"/>
    <w:rsid w:val="00BB71D1"/>
    <w:rsid w:val="00BB71F8"/>
    <w:rsid w:val="00BB728C"/>
    <w:rsid w:val="00BB7518"/>
    <w:rsid w:val="00BB78E5"/>
    <w:rsid w:val="00BB7CB3"/>
    <w:rsid w:val="00BB7D0C"/>
    <w:rsid w:val="00BC020F"/>
    <w:rsid w:val="00BC02B8"/>
    <w:rsid w:val="00BC02F2"/>
    <w:rsid w:val="00BC0317"/>
    <w:rsid w:val="00BC031A"/>
    <w:rsid w:val="00BC035E"/>
    <w:rsid w:val="00BC04A9"/>
    <w:rsid w:val="00BC0C49"/>
    <w:rsid w:val="00BC0EF0"/>
    <w:rsid w:val="00BC12E3"/>
    <w:rsid w:val="00BC130D"/>
    <w:rsid w:val="00BC150B"/>
    <w:rsid w:val="00BC164F"/>
    <w:rsid w:val="00BC16D5"/>
    <w:rsid w:val="00BC1B65"/>
    <w:rsid w:val="00BC1C9A"/>
    <w:rsid w:val="00BC1CBC"/>
    <w:rsid w:val="00BC21A3"/>
    <w:rsid w:val="00BC2414"/>
    <w:rsid w:val="00BC24F3"/>
    <w:rsid w:val="00BC26E7"/>
    <w:rsid w:val="00BC2795"/>
    <w:rsid w:val="00BC27D9"/>
    <w:rsid w:val="00BC2841"/>
    <w:rsid w:val="00BC28AF"/>
    <w:rsid w:val="00BC2AC0"/>
    <w:rsid w:val="00BC2EB6"/>
    <w:rsid w:val="00BC2FB6"/>
    <w:rsid w:val="00BC3226"/>
    <w:rsid w:val="00BC33DE"/>
    <w:rsid w:val="00BC3697"/>
    <w:rsid w:val="00BC3D11"/>
    <w:rsid w:val="00BC3D52"/>
    <w:rsid w:val="00BC3E42"/>
    <w:rsid w:val="00BC3E8C"/>
    <w:rsid w:val="00BC41D1"/>
    <w:rsid w:val="00BC41D5"/>
    <w:rsid w:val="00BC4960"/>
    <w:rsid w:val="00BC4B56"/>
    <w:rsid w:val="00BC4BAB"/>
    <w:rsid w:val="00BC4D8D"/>
    <w:rsid w:val="00BC4E06"/>
    <w:rsid w:val="00BC4FD9"/>
    <w:rsid w:val="00BC510D"/>
    <w:rsid w:val="00BC5191"/>
    <w:rsid w:val="00BC524C"/>
    <w:rsid w:val="00BC5569"/>
    <w:rsid w:val="00BC569D"/>
    <w:rsid w:val="00BC582A"/>
    <w:rsid w:val="00BC58A4"/>
    <w:rsid w:val="00BC5B08"/>
    <w:rsid w:val="00BC5CFA"/>
    <w:rsid w:val="00BC5D58"/>
    <w:rsid w:val="00BC5EBC"/>
    <w:rsid w:val="00BC6114"/>
    <w:rsid w:val="00BC6126"/>
    <w:rsid w:val="00BC627B"/>
    <w:rsid w:val="00BC642F"/>
    <w:rsid w:val="00BC64A6"/>
    <w:rsid w:val="00BC67B3"/>
    <w:rsid w:val="00BC6801"/>
    <w:rsid w:val="00BC6848"/>
    <w:rsid w:val="00BC68AC"/>
    <w:rsid w:val="00BC6A11"/>
    <w:rsid w:val="00BC6ADE"/>
    <w:rsid w:val="00BC6E80"/>
    <w:rsid w:val="00BC7276"/>
    <w:rsid w:val="00BC73B8"/>
    <w:rsid w:val="00BC74A2"/>
    <w:rsid w:val="00BC773A"/>
    <w:rsid w:val="00BC7958"/>
    <w:rsid w:val="00BC7B95"/>
    <w:rsid w:val="00BD003D"/>
    <w:rsid w:val="00BD0091"/>
    <w:rsid w:val="00BD0206"/>
    <w:rsid w:val="00BD027E"/>
    <w:rsid w:val="00BD030E"/>
    <w:rsid w:val="00BD047A"/>
    <w:rsid w:val="00BD0797"/>
    <w:rsid w:val="00BD087C"/>
    <w:rsid w:val="00BD0AF0"/>
    <w:rsid w:val="00BD0B25"/>
    <w:rsid w:val="00BD0C9F"/>
    <w:rsid w:val="00BD0CD6"/>
    <w:rsid w:val="00BD117A"/>
    <w:rsid w:val="00BD1274"/>
    <w:rsid w:val="00BD1299"/>
    <w:rsid w:val="00BD152B"/>
    <w:rsid w:val="00BD157C"/>
    <w:rsid w:val="00BD18D5"/>
    <w:rsid w:val="00BD1A9F"/>
    <w:rsid w:val="00BD1CD0"/>
    <w:rsid w:val="00BD2036"/>
    <w:rsid w:val="00BD228F"/>
    <w:rsid w:val="00BD22E3"/>
    <w:rsid w:val="00BD2324"/>
    <w:rsid w:val="00BD2334"/>
    <w:rsid w:val="00BD246A"/>
    <w:rsid w:val="00BD25EA"/>
    <w:rsid w:val="00BD2A58"/>
    <w:rsid w:val="00BD2C8B"/>
    <w:rsid w:val="00BD2FF5"/>
    <w:rsid w:val="00BD370D"/>
    <w:rsid w:val="00BD3868"/>
    <w:rsid w:val="00BD393F"/>
    <w:rsid w:val="00BD39A3"/>
    <w:rsid w:val="00BD3B98"/>
    <w:rsid w:val="00BD3C46"/>
    <w:rsid w:val="00BD3C4B"/>
    <w:rsid w:val="00BD3F4C"/>
    <w:rsid w:val="00BD413C"/>
    <w:rsid w:val="00BD4214"/>
    <w:rsid w:val="00BD4711"/>
    <w:rsid w:val="00BD494E"/>
    <w:rsid w:val="00BD4A65"/>
    <w:rsid w:val="00BD4F1E"/>
    <w:rsid w:val="00BD4F85"/>
    <w:rsid w:val="00BD502C"/>
    <w:rsid w:val="00BD51C7"/>
    <w:rsid w:val="00BD51E5"/>
    <w:rsid w:val="00BD54AF"/>
    <w:rsid w:val="00BD54DA"/>
    <w:rsid w:val="00BD5562"/>
    <w:rsid w:val="00BD5CA1"/>
    <w:rsid w:val="00BD6067"/>
    <w:rsid w:val="00BD6155"/>
    <w:rsid w:val="00BD62E0"/>
    <w:rsid w:val="00BD653B"/>
    <w:rsid w:val="00BD6682"/>
    <w:rsid w:val="00BD6803"/>
    <w:rsid w:val="00BD6A32"/>
    <w:rsid w:val="00BD6BEB"/>
    <w:rsid w:val="00BD6E7B"/>
    <w:rsid w:val="00BD6F23"/>
    <w:rsid w:val="00BD6FA2"/>
    <w:rsid w:val="00BD7339"/>
    <w:rsid w:val="00BD73C2"/>
    <w:rsid w:val="00BD7452"/>
    <w:rsid w:val="00BD7677"/>
    <w:rsid w:val="00BD7A32"/>
    <w:rsid w:val="00BD7A76"/>
    <w:rsid w:val="00BD7CD0"/>
    <w:rsid w:val="00BD7F7A"/>
    <w:rsid w:val="00BD7FB6"/>
    <w:rsid w:val="00BE0141"/>
    <w:rsid w:val="00BE02F2"/>
    <w:rsid w:val="00BE03AC"/>
    <w:rsid w:val="00BE040C"/>
    <w:rsid w:val="00BE04B7"/>
    <w:rsid w:val="00BE0635"/>
    <w:rsid w:val="00BE0649"/>
    <w:rsid w:val="00BE0B09"/>
    <w:rsid w:val="00BE0F27"/>
    <w:rsid w:val="00BE1328"/>
    <w:rsid w:val="00BE17A6"/>
    <w:rsid w:val="00BE18EF"/>
    <w:rsid w:val="00BE195D"/>
    <w:rsid w:val="00BE1A40"/>
    <w:rsid w:val="00BE1B16"/>
    <w:rsid w:val="00BE1B3D"/>
    <w:rsid w:val="00BE1B4D"/>
    <w:rsid w:val="00BE1C65"/>
    <w:rsid w:val="00BE1E45"/>
    <w:rsid w:val="00BE2060"/>
    <w:rsid w:val="00BE2583"/>
    <w:rsid w:val="00BE276A"/>
    <w:rsid w:val="00BE290F"/>
    <w:rsid w:val="00BE2C01"/>
    <w:rsid w:val="00BE2E16"/>
    <w:rsid w:val="00BE32E9"/>
    <w:rsid w:val="00BE3772"/>
    <w:rsid w:val="00BE4166"/>
    <w:rsid w:val="00BE4300"/>
    <w:rsid w:val="00BE432B"/>
    <w:rsid w:val="00BE44E9"/>
    <w:rsid w:val="00BE4624"/>
    <w:rsid w:val="00BE49ED"/>
    <w:rsid w:val="00BE4B4A"/>
    <w:rsid w:val="00BE4F4B"/>
    <w:rsid w:val="00BE4FF6"/>
    <w:rsid w:val="00BE5086"/>
    <w:rsid w:val="00BE5775"/>
    <w:rsid w:val="00BE57EA"/>
    <w:rsid w:val="00BE584E"/>
    <w:rsid w:val="00BE5910"/>
    <w:rsid w:val="00BE598D"/>
    <w:rsid w:val="00BE5C18"/>
    <w:rsid w:val="00BE5DC9"/>
    <w:rsid w:val="00BE5DF5"/>
    <w:rsid w:val="00BE6172"/>
    <w:rsid w:val="00BE63E7"/>
    <w:rsid w:val="00BE65DC"/>
    <w:rsid w:val="00BE67BC"/>
    <w:rsid w:val="00BE69F5"/>
    <w:rsid w:val="00BE6B8B"/>
    <w:rsid w:val="00BE6BCA"/>
    <w:rsid w:val="00BE6D16"/>
    <w:rsid w:val="00BE6D64"/>
    <w:rsid w:val="00BE6DAD"/>
    <w:rsid w:val="00BE6FE1"/>
    <w:rsid w:val="00BE7481"/>
    <w:rsid w:val="00BE790D"/>
    <w:rsid w:val="00BE7A7E"/>
    <w:rsid w:val="00BE7DBD"/>
    <w:rsid w:val="00BE7E28"/>
    <w:rsid w:val="00BE7F28"/>
    <w:rsid w:val="00BF0171"/>
    <w:rsid w:val="00BF03A7"/>
    <w:rsid w:val="00BF0663"/>
    <w:rsid w:val="00BF08CC"/>
    <w:rsid w:val="00BF0C69"/>
    <w:rsid w:val="00BF0F0B"/>
    <w:rsid w:val="00BF103E"/>
    <w:rsid w:val="00BF10A7"/>
    <w:rsid w:val="00BF129D"/>
    <w:rsid w:val="00BF1435"/>
    <w:rsid w:val="00BF1699"/>
    <w:rsid w:val="00BF17A9"/>
    <w:rsid w:val="00BF1814"/>
    <w:rsid w:val="00BF18B1"/>
    <w:rsid w:val="00BF1BD0"/>
    <w:rsid w:val="00BF1D69"/>
    <w:rsid w:val="00BF1DBB"/>
    <w:rsid w:val="00BF1E6F"/>
    <w:rsid w:val="00BF215C"/>
    <w:rsid w:val="00BF230C"/>
    <w:rsid w:val="00BF258B"/>
    <w:rsid w:val="00BF2766"/>
    <w:rsid w:val="00BF280D"/>
    <w:rsid w:val="00BF2D93"/>
    <w:rsid w:val="00BF2F67"/>
    <w:rsid w:val="00BF306E"/>
    <w:rsid w:val="00BF3159"/>
    <w:rsid w:val="00BF334D"/>
    <w:rsid w:val="00BF34DA"/>
    <w:rsid w:val="00BF3692"/>
    <w:rsid w:val="00BF36F6"/>
    <w:rsid w:val="00BF37CB"/>
    <w:rsid w:val="00BF3B7F"/>
    <w:rsid w:val="00BF3EF8"/>
    <w:rsid w:val="00BF408C"/>
    <w:rsid w:val="00BF4283"/>
    <w:rsid w:val="00BF45BA"/>
    <w:rsid w:val="00BF4621"/>
    <w:rsid w:val="00BF46DF"/>
    <w:rsid w:val="00BF4BC0"/>
    <w:rsid w:val="00BF4DF7"/>
    <w:rsid w:val="00BF4EBB"/>
    <w:rsid w:val="00BF5136"/>
    <w:rsid w:val="00BF5876"/>
    <w:rsid w:val="00BF5B62"/>
    <w:rsid w:val="00BF5D1D"/>
    <w:rsid w:val="00BF5E1B"/>
    <w:rsid w:val="00BF601F"/>
    <w:rsid w:val="00BF614B"/>
    <w:rsid w:val="00BF639A"/>
    <w:rsid w:val="00BF6507"/>
    <w:rsid w:val="00BF6972"/>
    <w:rsid w:val="00BF6AF6"/>
    <w:rsid w:val="00BF6DA1"/>
    <w:rsid w:val="00BF6FCF"/>
    <w:rsid w:val="00BF7143"/>
    <w:rsid w:val="00BF71AB"/>
    <w:rsid w:val="00BF74C6"/>
    <w:rsid w:val="00BF782F"/>
    <w:rsid w:val="00BF788C"/>
    <w:rsid w:val="00BF78FB"/>
    <w:rsid w:val="00BF791D"/>
    <w:rsid w:val="00BF7A6A"/>
    <w:rsid w:val="00BF7B0B"/>
    <w:rsid w:val="00BF7DA2"/>
    <w:rsid w:val="00BF7E9F"/>
    <w:rsid w:val="00BF7FA0"/>
    <w:rsid w:val="00C0048C"/>
    <w:rsid w:val="00C00494"/>
    <w:rsid w:val="00C00686"/>
    <w:rsid w:val="00C009F8"/>
    <w:rsid w:val="00C00A84"/>
    <w:rsid w:val="00C00F1F"/>
    <w:rsid w:val="00C00F6D"/>
    <w:rsid w:val="00C01415"/>
    <w:rsid w:val="00C016D1"/>
    <w:rsid w:val="00C0178C"/>
    <w:rsid w:val="00C018A6"/>
    <w:rsid w:val="00C01948"/>
    <w:rsid w:val="00C019C3"/>
    <w:rsid w:val="00C019CB"/>
    <w:rsid w:val="00C01AD4"/>
    <w:rsid w:val="00C01BB3"/>
    <w:rsid w:val="00C01D62"/>
    <w:rsid w:val="00C01E83"/>
    <w:rsid w:val="00C0213B"/>
    <w:rsid w:val="00C0233B"/>
    <w:rsid w:val="00C02595"/>
    <w:rsid w:val="00C02908"/>
    <w:rsid w:val="00C0297A"/>
    <w:rsid w:val="00C02A88"/>
    <w:rsid w:val="00C02E2B"/>
    <w:rsid w:val="00C03149"/>
    <w:rsid w:val="00C031C4"/>
    <w:rsid w:val="00C0355A"/>
    <w:rsid w:val="00C03A5D"/>
    <w:rsid w:val="00C03AAF"/>
    <w:rsid w:val="00C03B0B"/>
    <w:rsid w:val="00C040F5"/>
    <w:rsid w:val="00C041BA"/>
    <w:rsid w:val="00C042F3"/>
    <w:rsid w:val="00C04346"/>
    <w:rsid w:val="00C0439E"/>
    <w:rsid w:val="00C043C4"/>
    <w:rsid w:val="00C048A5"/>
    <w:rsid w:val="00C04934"/>
    <w:rsid w:val="00C04C7F"/>
    <w:rsid w:val="00C04CCC"/>
    <w:rsid w:val="00C04FEF"/>
    <w:rsid w:val="00C0503F"/>
    <w:rsid w:val="00C0509C"/>
    <w:rsid w:val="00C05239"/>
    <w:rsid w:val="00C054A4"/>
    <w:rsid w:val="00C0572D"/>
    <w:rsid w:val="00C05BBC"/>
    <w:rsid w:val="00C05BFE"/>
    <w:rsid w:val="00C05CB3"/>
    <w:rsid w:val="00C05FCE"/>
    <w:rsid w:val="00C06277"/>
    <w:rsid w:val="00C06681"/>
    <w:rsid w:val="00C06997"/>
    <w:rsid w:val="00C06A4C"/>
    <w:rsid w:val="00C07465"/>
    <w:rsid w:val="00C0755E"/>
    <w:rsid w:val="00C07C91"/>
    <w:rsid w:val="00C07F06"/>
    <w:rsid w:val="00C07FE4"/>
    <w:rsid w:val="00C101F2"/>
    <w:rsid w:val="00C1030B"/>
    <w:rsid w:val="00C10378"/>
    <w:rsid w:val="00C105B0"/>
    <w:rsid w:val="00C106E2"/>
    <w:rsid w:val="00C10802"/>
    <w:rsid w:val="00C10B6A"/>
    <w:rsid w:val="00C10CA4"/>
    <w:rsid w:val="00C10DBF"/>
    <w:rsid w:val="00C111B8"/>
    <w:rsid w:val="00C1130C"/>
    <w:rsid w:val="00C114C7"/>
    <w:rsid w:val="00C11837"/>
    <w:rsid w:val="00C118BB"/>
    <w:rsid w:val="00C11C80"/>
    <w:rsid w:val="00C11CD0"/>
    <w:rsid w:val="00C11D87"/>
    <w:rsid w:val="00C12329"/>
    <w:rsid w:val="00C12583"/>
    <w:rsid w:val="00C1260E"/>
    <w:rsid w:val="00C126CF"/>
    <w:rsid w:val="00C127A1"/>
    <w:rsid w:val="00C12945"/>
    <w:rsid w:val="00C12C58"/>
    <w:rsid w:val="00C12E63"/>
    <w:rsid w:val="00C12E66"/>
    <w:rsid w:val="00C12ED6"/>
    <w:rsid w:val="00C130EE"/>
    <w:rsid w:val="00C13165"/>
    <w:rsid w:val="00C1346F"/>
    <w:rsid w:val="00C1355C"/>
    <w:rsid w:val="00C13571"/>
    <w:rsid w:val="00C13644"/>
    <w:rsid w:val="00C13CB3"/>
    <w:rsid w:val="00C13E75"/>
    <w:rsid w:val="00C145C6"/>
    <w:rsid w:val="00C147F5"/>
    <w:rsid w:val="00C1497F"/>
    <w:rsid w:val="00C14B08"/>
    <w:rsid w:val="00C14D99"/>
    <w:rsid w:val="00C14FBE"/>
    <w:rsid w:val="00C15242"/>
    <w:rsid w:val="00C154BA"/>
    <w:rsid w:val="00C1565F"/>
    <w:rsid w:val="00C1585C"/>
    <w:rsid w:val="00C15863"/>
    <w:rsid w:val="00C15992"/>
    <w:rsid w:val="00C15C39"/>
    <w:rsid w:val="00C15E95"/>
    <w:rsid w:val="00C16334"/>
    <w:rsid w:val="00C163AF"/>
    <w:rsid w:val="00C164D7"/>
    <w:rsid w:val="00C16507"/>
    <w:rsid w:val="00C166B1"/>
    <w:rsid w:val="00C16702"/>
    <w:rsid w:val="00C16766"/>
    <w:rsid w:val="00C167F1"/>
    <w:rsid w:val="00C1691E"/>
    <w:rsid w:val="00C169D1"/>
    <w:rsid w:val="00C16C06"/>
    <w:rsid w:val="00C16CA6"/>
    <w:rsid w:val="00C16E4A"/>
    <w:rsid w:val="00C16FA7"/>
    <w:rsid w:val="00C1706A"/>
    <w:rsid w:val="00C17378"/>
    <w:rsid w:val="00C175FD"/>
    <w:rsid w:val="00C17798"/>
    <w:rsid w:val="00C17AEC"/>
    <w:rsid w:val="00C17C20"/>
    <w:rsid w:val="00C17C74"/>
    <w:rsid w:val="00C20558"/>
    <w:rsid w:val="00C205D5"/>
    <w:rsid w:val="00C207EC"/>
    <w:rsid w:val="00C2081A"/>
    <w:rsid w:val="00C20952"/>
    <w:rsid w:val="00C20954"/>
    <w:rsid w:val="00C20A9F"/>
    <w:rsid w:val="00C20F92"/>
    <w:rsid w:val="00C21324"/>
    <w:rsid w:val="00C21486"/>
    <w:rsid w:val="00C2156E"/>
    <w:rsid w:val="00C215EF"/>
    <w:rsid w:val="00C216DC"/>
    <w:rsid w:val="00C218A8"/>
    <w:rsid w:val="00C21CBA"/>
    <w:rsid w:val="00C21E12"/>
    <w:rsid w:val="00C21F03"/>
    <w:rsid w:val="00C21F38"/>
    <w:rsid w:val="00C22001"/>
    <w:rsid w:val="00C22363"/>
    <w:rsid w:val="00C2263C"/>
    <w:rsid w:val="00C227CA"/>
    <w:rsid w:val="00C228C9"/>
    <w:rsid w:val="00C22948"/>
    <w:rsid w:val="00C22D78"/>
    <w:rsid w:val="00C22EDF"/>
    <w:rsid w:val="00C232D1"/>
    <w:rsid w:val="00C23410"/>
    <w:rsid w:val="00C23713"/>
    <w:rsid w:val="00C23721"/>
    <w:rsid w:val="00C2390B"/>
    <w:rsid w:val="00C23BB4"/>
    <w:rsid w:val="00C23E15"/>
    <w:rsid w:val="00C23E65"/>
    <w:rsid w:val="00C23FF1"/>
    <w:rsid w:val="00C24069"/>
    <w:rsid w:val="00C24331"/>
    <w:rsid w:val="00C244EA"/>
    <w:rsid w:val="00C24554"/>
    <w:rsid w:val="00C2468C"/>
    <w:rsid w:val="00C2486E"/>
    <w:rsid w:val="00C24ADF"/>
    <w:rsid w:val="00C24D94"/>
    <w:rsid w:val="00C24FFF"/>
    <w:rsid w:val="00C25155"/>
    <w:rsid w:val="00C2524A"/>
    <w:rsid w:val="00C2527E"/>
    <w:rsid w:val="00C252F5"/>
    <w:rsid w:val="00C25328"/>
    <w:rsid w:val="00C255AF"/>
    <w:rsid w:val="00C25939"/>
    <w:rsid w:val="00C25961"/>
    <w:rsid w:val="00C2597F"/>
    <w:rsid w:val="00C25BA0"/>
    <w:rsid w:val="00C26097"/>
    <w:rsid w:val="00C26349"/>
    <w:rsid w:val="00C263C4"/>
    <w:rsid w:val="00C26572"/>
    <w:rsid w:val="00C26614"/>
    <w:rsid w:val="00C26821"/>
    <w:rsid w:val="00C269B8"/>
    <w:rsid w:val="00C2716A"/>
    <w:rsid w:val="00C2787D"/>
    <w:rsid w:val="00C2798C"/>
    <w:rsid w:val="00C27A09"/>
    <w:rsid w:val="00C27B04"/>
    <w:rsid w:val="00C27C19"/>
    <w:rsid w:val="00C27C9F"/>
    <w:rsid w:val="00C27CAC"/>
    <w:rsid w:val="00C30066"/>
    <w:rsid w:val="00C30253"/>
    <w:rsid w:val="00C304FC"/>
    <w:rsid w:val="00C3062F"/>
    <w:rsid w:val="00C30AD2"/>
    <w:rsid w:val="00C30BA8"/>
    <w:rsid w:val="00C30CB1"/>
    <w:rsid w:val="00C30D9F"/>
    <w:rsid w:val="00C3113B"/>
    <w:rsid w:val="00C31490"/>
    <w:rsid w:val="00C3178C"/>
    <w:rsid w:val="00C318FC"/>
    <w:rsid w:val="00C31A75"/>
    <w:rsid w:val="00C31F2D"/>
    <w:rsid w:val="00C31FE3"/>
    <w:rsid w:val="00C32408"/>
    <w:rsid w:val="00C326F1"/>
    <w:rsid w:val="00C32820"/>
    <w:rsid w:val="00C32A89"/>
    <w:rsid w:val="00C32AE7"/>
    <w:rsid w:val="00C32B0A"/>
    <w:rsid w:val="00C32BCD"/>
    <w:rsid w:val="00C32C7B"/>
    <w:rsid w:val="00C32D9F"/>
    <w:rsid w:val="00C32DCF"/>
    <w:rsid w:val="00C32E8E"/>
    <w:rsid w:val="00C33027"/>
    <w:rsid w:val="00C330F9"/>
    <w:rsid w:val="00C33433"/>
    <w:rsid w:val="00C33704"/>
    <w:rsid w:val="00C3377F"/>
    <w:rsid w:val="00C33790"/>
    <w:rsid w:val="00C33888"/>
    <w:rsid w:val="00C33B8E"/>
    <w:rsid w:val="00C33DFB"/>
    <w:rsid w:val="00C33EAC"/>
    <w:rsid w:val="00C33F17"/>
    <w:rsid w:val="00C34274"/>
    <w:rsid w:val="00C3443D"/>
    <w:rsid w:val="00C34562"/>
    <w:rsid w:val="00C34588"/>
    <w:rsid w:val="00C3478C"/>
    <w:rsid w:val="00C347AD"/>
    <w:rsid w:val="00C3484F"/>
    <w:rsid w:val="00C34BE6"/>
    <w:rsid w:val="00C34CBE"/>
    <w:rsid w:val="00C34E04"/>
    <w:rsid w:val="00C35105"/>
    <w:rsid w:val="00C35158"/>
    <w:rsid w:val="00C3517D"/>
    <w:rsid w:val="00C35543"/>
    <w:rsid w:val="00C355D4"/>
    <w:rsid w:val="00C35635"/>
    <w:rsid w:val="00C35AE1"/>
    <w:rsid w:val="00C35CBC"/>
    <w:rsid w:val="00C36296"/>
    <w:rsid w:val="00C367F8"/>
    <w:rsid w:val="00C36809"/>
    <w:rsid w:val="00C36A7F"/>
    <w:rsid w:val="00C36AA3"/>
    <w:rsid w:val="00C36AD2"/>
    <w:rsid w:val="00C36D95"/>
    <w:rsid w:val="00C36DE6"/>
    <w:rsid w:val="00C36E33"/>
    <w:rsid w:val="00C36EBF"/>
    <w:rsid w:val="00C3705E"/>
    <w:rsid w:val="00C3722E"/>
    <w:rsid w:val="00C375B9"/>
    <w:rsid w:val="00C376F4"/>
    <w:rsid w:val="00C3786A"/>
    <w:rsid w:val="00C37C5B"/>
    <w:rsid w:val="00C37EF8"/>
    <w:rsid w:val="00C37F7F"/>
    <w:rsid w:val="00C400AE"/>
    <w:rsid w:val="00C40217"/>
    <w:rsid w:val="00C40905"/>
    <w:rsid w:val="00C40941"/>
    <w:rsid w:val="00C409AC"/>
    <w:rsid w:val="00C409C0"/>
    <w:rsid w:val="00C40A6C"/>
    <w:rsid w:val="00C40EA2"/>
    <w:rsid w:val="00C410AC"/>
    <w:rsid w:val="00C410E9"/>
    <w:rsid w:val="00C41567"/>
    <w:rsid w:val="00C41581"/>
    <w:rsid w:val="00C4159F"/>
    <w:rsid w:val="00C41ABE"/>
    <w:rsid w:val="00C41B0C"/>
    <w:rsid w:val="00C41BC8"/>
    <w:rsid w:val="00C41D9E"/>
    <w:rsid w:val="00C41DCF"/>
    <w:rsid w:val="00C41E42"/>
    <w:rsid w:val="00C41F37"/>
    <w:rsid w:val="00C41FD3"/>
    <w:rsid w:val="00C4209B"/>
    <w:rsid w:val="00C420DE"/>
    <w:rsid w:val="00C42425"/>
    <w:rsid w:val="00C42610"/>
    <w:rsid w:val="00C42D2F"/>
    <w:rsid w:val="00C43164"/>
    <w:rsid w:val="00C43166"/>
    <w:rsid w:val="00C4376A"/>
    <w:rsid w:val="00C43F5E"/>
    <w:rsid w:val="00C44050"/>
    <w:rsid w:val="00C44154"/>
    <w:rsid w:val="00C44160"/>
    <w:rsid w:val="00C445E8"/>
    <w:rsid w:val="00C44705"/>
    <w:rsid w:val="00C448EC"/>
    <w:rsid w:val="00C44A31"/>
    <w:rsid w:val="00C44A84"/>
    <w:rsid w:val="00C44A8B"/>
    <w:rsid w:val="00C44B2C"/>
    <w:rsid w:val="00C44B6C"/>
    <w:rsid w:val="00C44B9E"/>
    <w:rsid w:val="00C44BC9"/>
    <w:rsid w:val="00C44C9E"/>
    <w:rsid w:val="00C44D88"/>
    <w:rsid w:val="00C4500F"/>
    <w:rsid w:val="00C4504D"/>
    <w:rsid w:val="00C45608"/>
    <w:rsid w:val="00C457E9"/>
    <w:rsid w:val="00C45A58"/>
    <w:rsid w:val="00C45AE7"/>
    <w:rsid w:val="00C45D29"/>
    <w:rsid w:val="00C46240"/>
    <w:rsid w:val="00C464D3"/>
    <w:rsid w:val="00C46CAE"/>
    <w:rsid w:val="00C47245"/>
    <w:rsid w:val="00C47347"/>
    <w:rsid w:val="00C47410"/>
    <w:rsid w:val="00C47662"/>
    <w:rsid w:val="00C47686"/>
    <w:rsid w:val="00C47753"/>
    <w:rsid w:val="00C477D8"/>
    <w:rsid w:val="00C479EB"/>
    <w:rsid w:val="00C47A46"/>
    <w:rsid w:val="00C47D1C"/>
    <w:rsid w:val="00C47D6D"/>
    <w:rsid w:val="00C50185"/>
    <w:rsid w:val="00C506AD"/>
    <w:rsid w:val="00C509D9"/>
    <w:rsid w:val="00C509EF"/>
    <w:rsid w:val="00C50B3B"/>
    <w:rsid w:val="00C50BA5"/>
    <w:rsid w:val="00C50C3F"/>
    <w:rsid w:val="00C50CC1"/>
    <w:rsid w:val="00C50EC2"/>
    <w:rsid w:val="00C50FBE"/>
    <w:rsid w:val="00C50FC7"/>
    <w:rsid w:val="00C511A9"/>
    <w:rsid w:val="00C5131C"/>
    <w:rsid w:val="00C51922"/>
    <w:rsid w:val="00C519B5"/>
    <w:rsid w:val="00C51A11"/>
    <w:rsid w:val="00C51B6D"/>
    <w:rsid w:val="00C520A4"/>
    <w:rsid w:val="00C522DD"/>
    <w:rsid w:val="00C525E8"/>
    <w:rsid w:val="00C5279A"/>
    <w:rsid w:val="00C528FD"/>
    <w:rsid w:val="00C52D38"/>
    <w:rsid w:val="00C52E51"/>
    <w:rsid w:val="00C533F4"/>
    <w:rsid w:val="00C53495"/>
    <w:rsid w:val="00C534EA"/>
    <w:rsid w:val="00C535B3"/>
    <w:rsid w:val="00C535D3"/>
    <w:rsid w:val="00C539F7"/>
    <w:rsid w:val="00C53B69"/>
    <w:rsid w:val="00C53CC4"/>
    <w:rsid w:val="00C53FD6"/>
    <w:rsid w:val="00C54015"/>
    <w:rsid w:val="00C54159"/>
    <w:rsid w:val="00C5418A"/>
    <w:rsid w:val="00C5444E"/>
    <w:rsid w:val="00C546EF"/>
    <w:rsid w:val="00C54774"/>
    <w:rsid w:val="00C5491D"/>
    <w:rsid w:val="00C54A9B"/>
    <w:rsid w:val="00C54CD3"/>
    <w:rsid w:val="00C5524F"/>
    <w:rsid w:val="00C55474"/>
    <w:rsid w:val="00C55963"/>
    <w:rsid w:val="00C55CAC"/>
    <w:rsid w:val="00C55EA6"/>
    <w:rsid w:val="00C55F03"/>
    <w:rsid w:val="00C5601B"/>
    <w:rsid w:val="00C563BC"/>
    <w:rsid w:val="00C564E3"/>
    <w:rsid w:val="00C56571"/>
    <w:rsid w:val="00C569E5"/>
    <w:rsid w:val="00C56A0A"/>
    <w:rsid w:val="00C56DC6"/>
    <w:rsid w:val="00C56EE5"/>
    <w:rsid w:val="00C56EFB"/>
    <w:rsid w:val="00C56FCC"/>
    <w:rsid w:val="00C571A8"/>
    <w:rsid w:val="00C571F9"/>
    <w:rsid w:val="00C57438"/>
    <w:rsid w:val="00C5770A"/>
    <w:rsid w:val="00C57AE2"/>
    <w:rsid w:val="00C57F1C"/>
    <w:rsid w:val="00C6009A"/>
    <w:rsid w:val="00C6045C"/>
    <w:rsid w:val="00C60B5C"/>
    <w:rsid w:val="00C60C59"/>
    <w:rsid w:val="00C60C81"/>
    <w:rsid w:val="00C60E54"/>
    <w:rsid w:val="00C610A2"/>
    <w:rsid w:val="00C61268"/>
    <w:rsid w:val="00C612EE"/>
    <w:rsid w:val="00C614D5"/>
    <w:rsid w:val="00C615A2"/>
    <w:rsid w:val="00C61773"/>
    <w:rsid w:val="00C61801"/>
    <w:rsid w:val="00C61DAB"/>
    <w:rsid w:val="00C61DC5"/>
    <w:rsid w:val="00C621C5"/>
    <w:rsid w:val="00C621DE"/>
    <w:rsid w:val="00C622DA"/>
    <w:rsid w:val="00C6262F"/>
    <w:rsid w:val="00C6265D"/>
    <w:rsid w:val="00C627D2"/>
    <w:rsid w:val="00C628F2"/>
    <w:rsid w:val="00C62E61"/>
    <w:rsid w:val="00C6309F"/>
    <w:rsid w:val="00C63191"/>
    <w:rsid w:val="00C63395"/>
    <w:rsid w:val="00C634C0"/>
    <w:rsid w:val="00C636C8"/>
    <w:rsid w:val="00C636D5"/>
    <w:rsid w:val="00C6371D"/>
    <w:rsid w:val="00C637F2"/>
    <w:rsid w:val="00C63C01"/>
    <w:rsid w:val="00C64149"/>
    <w:rsid w:val="00C64775"/>
    <w:rsid w:val="00C649A5"/>
    <w:rsid w:val="00C64ADF"/>
    <w:rsid w:val="00C64DA2"/>
    <w:rsid w:val="00C64DE4"/>
    <w:rsid w:val="00C64FA9"/>
    <w:rsid w:val="00C652C6"/>
    <w:rsid w:val="00C656F2"/>
    <w:rsid w:val="00C65AAC"/>
    <w:rsid w:val="00C65C4F"/>
    <w:rsid w:val="00C65CC4"/>
    <w:rsid w:val="00C65DCE"/>
    <w:rsid w:val="00C65E40"/>
    <w:rsid w:val="00C65F4A"/>
    <w:rsid w:val="00C6648A"/>
    <w:rsid w:val="00C664C4"/>
    <w:rsid w:val="00C666AD"/>
    <w:rsid w:val="00C6699D"/>
    <w:rsid w:val="00C669AB"/>
    <w:rsid w:val="00C66C01"/>
    <w:rsid w:val="00C66ECC"/>
    <w:rsid w:val="00C66F46"/>
    <w:rsid w:val="00C67063"/>
    <w:rsid w:val="00C671F0"/>
    <w:rsid w:val="00C67235"/>
    <w:rsid w:val="00C6724A"/>
    <w:rsid w:val="00C672FC"/>
    <w:rsid w:val="00C67A00"/>
    <w:rsid w:val="00C67A39"/>
    <w:rsid w:val="00C67A64"/>
    <w:rsid w:val="00C67D5D"/>
    <w:rsid w:val="00C7061F"/>
    <w:rsid w:val="00C708C5"/>
    <w:rsid w:val="00C70AC2"/>
    <w:rsid w:val="00C71623"/>
    <w:rsid w:val="00C71A4C"/>
    <w:rsid w:val="00C71FEB"/>
    <w:rsid w:val="00C720AF"/>
    <w:rsid w:val="00C7215C"/>
    <w:rsid w:val="00C72632"/>
    <w:rsid w:val="00C7282E"/>
    <w:rsid w:val="00C728D4"/>
    <w:rsid w:val="00C728F4"/>
    <w:rsid w:val="00C72DE5"/>
    <w:rsid w:val="00C72E67"/>
    <w:rsid w:val="00C72E72"/>
    <w:rsid w:val="00C72EA3"/>
    <w:rsid w:val="00C730E6"/>
    <w:rsid w:val="00C73113"/>
    <w:rsid w:val="00C7359F"/>
    <w:rsid w:val="00C73745"/>
    <w:rsid w:val="00C7394E"/>
    <w:rsid w:val="00C742CB"/>
    <w:rsid w:val="00C742FB"/>
    <w:rsid w:val="00C745B1"/>
    <w:rsid w:val="00C7487F"/>
    <w:rsid w:val="00C74979"/>
    <w:rsid w:val="00C74A12"/>
    <w:rsid w:val="00C74FCA"/>
    <w:rsid w:val="00C74FF2"/>
    <w:rsid w:val="00C75120"/>
    <w:rsid w:val="00C754F1"/>
    <w:rsid w:val="00C754F6"/>
    <w:rsid w:val="00C7552B"/>
    <w:rsid w:val="00C75934"/>
    <w:rsid w:val="00C75974"/>
    <w:rsid w:val="00C75A74"/>
    <w:rsid w:val="00C75C23"/>
    <w:rsid w:val="00C75DAB"/>
    <w:rsid w:val="00C75E48"/>
    <w:rsid w:val="00C75E52"/>
    <w:rsid w:val="00C75FB0"/>
    <w:rsid w:val="00C762A1"/>
    <w:rsid w:val="00C765C3"/>
    <w:rsid w:val="00C76785"/>
    <w:rsid w:val="00C767EF"/>
    <w:rsid w:val="00C76839"/>
    <w:rsid w:val="00C768D2"/>
    <w:rsid w:val="00C76B20"/>
    <w:rsid w:val="00C76CE9"/>
    <w:rsid w:val="00C76F9D"/>
    <w:rsid w:val="00C77082"/>
    <w:rsid w:val="00C772A0"/>
    <w:rsid w:val="00C77420"/>
    <w:rsid w:val="00C774DD"/>
    <w:rsid w:val="00C77684"/>
    <w:rsid w:val="00C77A3D"/>
    <w:rsid w:val="00C77BEE"/>
    <w:rsid w:val="00C77D02"/>
    <w:rsid w:val="00C77D4B"/>
    <w:rsid w:val="00C80848"/>
    <w:rsid w:val="00C808E2"/>
    <w:rsid w:val="00C80A4C"/>
    <w:rsid w:val="00C80DFF"/>
    <w:rsid w:val="00C81099"/>
    <w:rsid w:val="00C811F5"/>
    <w:rsid w:val="00C81284"/>
    <w:rsid w:val="00C81459"/>
    <w:rsid w:val="00C8153C"/>
    <w:rsid w:val="00C81784"/>
    <w:rsid w:val="00C819C9"/>
    <w:rsid w:val="00C81EDF"/>
    <w:rsid w:val="00C82146"/>
    <w:rsid w:val="00C8253D"/>
    <w:rsid w:val="00C825F8"/>
    <w:rsid w:val="00C82BCC"/>
    <w:rsid w:val="00C82D93"/>
    <w:rsid w:val="00C82DB2"/>
    <w:rsid w:val="00C82DBF"/>
    <w:rsid w:val="00C82EE0"/>
    <w:rsid w:val="00C83154"/>
    <w:rsid w:val="00C83244"/>
    <w:rsid w:val="00C83251"/>
    <w:rsid w:val="00C83A77"/>
    <w:rsid w:val="00C83D90"/>
    <w:rsid w:val="00C83DAB"/>
    <w:rsid w:val="00C83E0B"/>
    <w:rsid w:val="00C842B7"/>
    <w:rsid w:val="00C84B93"/>
    <w:rsid w:val="00C84FC3"/>
    <w:rsid w:val="00C85276"/>
    <w:rsid w:val="00C853B4"/>
    <w:rsid w:val="00C854AB"/>
    <w:rsid w:val="00C85891"/>
    <w:rsid w:val="00C859D8"/>
    <w:rsid w:val="00C85BA2"/>
    <w:rsid w:val="00C85C77"/>
    <w:rsid w:val="00C86294"/>
    <w:rsid w:val="00C8640E"/>
    <w:rsid w:val="00C867A2"/>
    <w:rsid w:val="00C869D3"/>
    <w:rsid w:val="00C86B68"/>
    <w:rsid w:val="00C86BB2"/>
    <w:rsid w:val="00C86FDF"/>
    <w:rsid w:val="00C87078"/>
    <w:rsid w:val="00C87227"/>
    <w:rsid w:val="00C8782D"/>
    <w:rsid w:val="00C87951"/>
    <w:rsid w:val="00C879DA"/>
    <w:rsid w:val="00C87A9F"/>
    <w:rsid w:val="00C87B01"/>
    <w:rsid w:val="00C87B0A"/>
    <w:rsid w:val="00C87CB9"/>
    <w:rsid w:val="00C87EB9"/>
    <w:rsid w:val="00C902F9"/>
    <w:rsid w:val="00C9042D"/>
    <w:rsid w:val="00C9059D"/>
    <w:rsid w:val="00C90A9C"/>
    <w:rsid w:val="00C9128C"/>
    <w:rsid w:val="00C915F4"/>
    <w:rsid w:val="00C91925"/>
    <w:rsid w:val="00C9194F"/>
    <w:rsid w:val="00C91B8C"/>
    <w:rsid w:val="00C91E4F"/>
    <w:rsid w:val="00C91F7B"/>
    <w:rsid w:val="00C92210"/>
    <w:rsid w:val="00C9297E"/>
    <w:rsid w:val="00C92AD7"/>
    <w:rsid w:val="00C92BBA"/>
    <w:rsid w:val="00C92F99"/>
    <w:rsid w:val="00C9307E"/>
    <w:rsid w:val="00C931AF"/>
    <w:rsid w:val="00C93206"/>
    <w:rsid w:val="00C932AE"/>
    <w:rsid w:val="00C93366"/>
    <w:rsid w:val="00C9355C"/>
    <w:rsid w:val="00C935E6"/>
    <w:rsid w:val="00C93D9E"/>
    <w:rsid w:val="00C93E74"/>
    <w:rsid w:val="00C94337"/>
    <w:rsid w:val="00C949D4"/>
    <w:rsid w:val="00C94D50"/>
    <w:rsid w:val="00C95044"/>
    <w:rsid w:val="00C95239"/>
    <w:rsid w:val="00C95369"/>
    <w:rsid w:val="00C9586E"/>
    <w:rsid w:val="00C959A9"/>
    <w:rsid w:val="00C95B94"/>
    <w:rsid w:val="00C95F64"/>
    <w:rsid w:val="00C95FA2"/>
    <w:rsid w:val="00C96025"/>
    <w:rsid w:val="00C96443"/>
    <w:rsid w:val="00C96813"/>
    <w:rsid w:val="00C96CDC"/>
    <w:rsid w:val="00C96D49"/>
    <w:rsid w:val="00C96E66"/>
    <w:rsid w:val="00C9713C"/>
    <w:rsid w:val="00C97208"/>
    <w:rsid w:val="00C97402"/>
    <w:rsid w:val="00C97416"/>
    <w:rsid w:val="00C97418"/>
    <w:rsid w:val="00C974C6"/>
    <w:rsid w:val="00C97ADE"/>
    <w:rsid w:val="00C97AF0"/>
    <w:rsid w:val="00C97E42"/>
    <w:rsid w:val="00C97EBD"/>
    <w:rsid w:val="00C97F9C"/>
    <w:rsid w:val="00CA02A8"/>
    <w:rsid w:val="00CA02BC"/>
    <w:rsid w:val="00CA02F1"/>
    <w:rsid w:val="00CA073C"/>
    <w:rsid w:val="00CA0811"/>
    <w:rsid w:val="00CA0849"/>
    <w:rsid w:val="00CA084F"/>
    <w:rsid w:val="00CA0975"/>
    <w:rsid w:val="00CA0A2B"/>
    <w:rsid w:val="00CA0E7A"/>
    <w:rsid w:val="00CA0EA1"/>
    <w:rsid w:val="00CA1004"/>
    <w:rsid w:val="00CA107A"/>
    <w:rsid w:val="00CA1277"/>
    <w:rsid w:val="00CA135F"/>
    <w:rsid w:val="00CA168F"/>
    <w:rsid w:val="00CA175D"/>
    <w:rsid w:val="00CA18C1"/>
    <w:rsid w:val="00CA1AB5"/>
    <w:rsid w:val="00CA1AE6"/>
    <w:rsid w:val="00CA1CF9"/>
    <w:rsid w:val="00CA1EB0"/>
    <w:rsid w:val="00CA1F38"/>
    <w:rsid w:val="00CA23C0"/>
    <w:rsid w:val="00CA2538"/>
    <w:rsid w:val="00CA254A"/>
    <w:rsid w:val="00CA2C35"/>
    <w:rsid w:val="00CA2F13"/>
    <w:rsid w:val="00CA2FC5"/>
    <w:rsid w:val="00CA3246"/>
    <w:rsid w:val="00CA3756"/>
    <w:rsid w:val="00CA3C8E"/>
    <w:rsid w:val="00CA3D06"/>
    <w:rsid w:val="00CA3E6A"/>
    <w:rsid w:val="00CA47D0"/>
    <w:rsid w:val="00CA4AFE"/>
    <w:rsid w:val="00CA4E23"/>
    <w:rsid w:val="00CA4F66"/>
    <w:rsid w:val="00CA5060"/>
    <w:rsid w:val="00CA533B"/>
    <w:rsid w:val="00CA5412"/>
    <w:rsid w:val="00CA5474"/>
    <w:rsid w:val="00CA5CC5"/>
    <w:rsid w:val="00CA5DFD"/>
    <w:rsid w:val="00CA5EB9"/>
    <w:rsid w:val="00CA61CA"/>
    <w:rsid w:val="00CA61EB"/>
    <w:rsid w:val="00CA64D6"/>
    <w:rsid w:val="00CA66D5"/>
    <w:rsid w:val="00CA6A14"/>
    <w:rsid w:val="00CA6B05"/>
    <w:rsid w:val="00CA6FE9"/>
    <w:rsid w:val="00CA7045"/>
    <w:rsid w:val="00CA70C9"/>
    <w:rsid w:val="00CA70F7"/>
    <w:rsid w:val="00CA71F4"/>
    <w:rsid w:val="00CA7388"/>
    <w:rsid w:val="00CA76AD"/>
    <w:rsid w:val="00CA76AF"/>
    <w:rsid w:val="00CA7700"/>
    <w:rsid w:val="00CA77C7"/>
    <w:rsid w:val="00CA7AE2"/>
    <w:rsid w:val="00CA7BD5"/>
    <w:rsid w:val="00CA7CBE"/>
    <w:rsid w:val="00CB00CD"/>
    <w:rsid w:val="00CB03B3"/>
    <w:rsid w:val="00CB03C7"/>
    <w:rsid w:val="00CB052E"/>
    <w:rsid w:val="00CB05E8"/>
    <w:rsid w:val="00CB073A"/>
    <w:rsid w:val="00CB079F"/>
    <w:rsid w:val="00CB07C8"/>
    <w:rsid w:val="00CB0A3D"/>
    <w:rsid w:val="00CB0AB8"/>
    <w:rsid w:val="00CB0E3E"/>
    <w:rsid w:val="00CB1157"/>
    <w:rsid w:val="00CB12A1"/>
    <w:rsid w:val="00CB12BB"/>
    <w:rsid w:val="00CB140B"/>
    <w:rsid w:val="00CB15D1"/>
    <w:rsid w:val="00CB1734"/>
    <w:rsid w:val="00CB18A1"/>
    <w:rsid w:val="00CB19F9"/>
    <w:rsid w:val="00CB1A10"/>
    <w:rsid w:val="00CB1A63"/>
    <w:rsid w:val="00CB1B57"/>
    <w:rsid w:val="00CB1C3C"/>
    <w:rsid w:val="00CB1CA6"/>
    <w:rsid w:val="00CB1D5F"/>
    <w:rsid w:val="00CB1DF7"/>
    <w:rsid w:val="00CB1F02"/>
    <w:rsid w:val="00CB1F95"/>
    <w:rsid w:val="00CB206B"/>
    <w:rsid w:val="00CB2205"/>
    <w:rsid w:val="00CB2299"/>
    <w:rsid w:val="00CB2513"/>
    <w:rsid w:val="00CB266D"/>
    <w:rsid w:val="00CB2820"/>
    <w:rsid w:val="00CB2843"/>
    <w:rsid w:val="00CB2FEE"/>
    <w:rsid w:val="00CB30BD"/>
    <w:rsid w:val="00CB32BC"/>
    <w:rsid w:val="00CB3350"/>
    <w:rsid w:val="00CB33AB"/>
    <w:rsid w:val="00CB352C"/>
    <w:rsid w:val="00CB3714"/>
    <w:rsid w:val="00CB3A40"/>
    <w:rsid w:val="00CB3A9E"/>
    <w:rsid w:val="00CB3DF0"/>
    <w:rsid w:val="00CB403A"/>
    <w:rsid w:val="00CB4078"/>
    <w:rsid w:val="00CB477E"/>
    <w:rsid w:val="00CB490D"/>
    <w:rsid w:val="00CB49E2"/>
    <w:rsid w:val="00CB510F"/>
    <w:rsid w:val="00CB5155"/>
    <w:rsid w:val="00CB51C2"/>
    <w:rsid w:val="00CB52BC"/>
    <w:rsid w:val="00CB56BF"/>
    <w:rsid w:val="00CB5BB5"/>
    <w:rsid w:val="00CB5DE2"/>
    <w:rsid w:val="00CB5FA3"/>
    <w:rsid w:val="00CB616F"/>
    <w:rsid w:val="00CB61F2"/>
    <w:rsid w:val="00CB62F8"/>
    <w:rsid w:val="00CB6835"/>
    <w:rsid w:val="00CB6849"/>
    <w:rsid w:val="00CB6879"/>
    <w:rsid w:val="00CB695D"/>
    <w:rsid w:val="00CB69B3"/>
    <w:rsid w:val="00CB69CE"/>
    <w:rsid w:val="00CB6D42"/>
    <w:rsid w:val="00CB6D4B"/>
    <w:rsid w:val="00CB6ED1"/>
    <w:rsid w:val="00CB7087"/>
    <w:rsid w:val="00CB71A6"/>
    <w:rsid w:val="00CB7299"/>
    <w:rsid w:val="00CB72EE"/>
    <w:rsid w:val="00CB7666"/>
    <w:rsid w:val="00CB7B4F"/>
    <w:rsid w:val="00CB7E0E"/>
    <w:rsid w:val="00CB7F6A"/>
    <w:rsid w:val="00CC005F"/>
    <w:rsid w:val="00CC0256"/>
    <w:rsid w:val="00CC0310"/>
    <w:rsid w:val="00CC0317"/>
    <w:rsid w:val="00CC06EC"/>
    <w:rsid w:val="00CC07A3"/>
    <w:rsid w:val="00CC0935"/>
    <w:rsid w:val="00CC0B5D"/>
    <w:rsid w:val="00CC0B9A"/>
    <w:rsid w:val="00CC0BE3"/>
    <w:rsid w:val="00CC0D09"/>
    <w:rsid w:val="00CC0E38"/>
    <w:rsid w:val="00CC10C3"/>
    <w:rsid w:val="00CC1A9B"/>
    <w:rsid w:val="00CC1BE4"/>
    <w:rsid w:val="00CC1BF1"/>
    <w:rsid w:val="00CC1E10"/>
    <w:rsid w:val="00CC2328"/>
    <w:rsid w:val="00CC2454"/>
    <w:rsid w:val="00CC283D"/>
    <w:rsid w:val="00CC286E"/>
    <w:rsid w:val="00CC2887"/>
    <w:rsid w:val="00CC29EE"/>
    <w:rsid w:val="00CC33F9"/>
    <w:rsid w:val="00CC344B"/>
    <w:rsid w:val="00CC34B8"/>
    <w:rsid w:val="00CC3709"/>
    <w:rsid w:val="00CC397E"/>
    <w:rsid w:val="00CC3B80"/>
    <w:rsid w:val="00CC3E54"/>
    <w:rsid w:val="00CC3EEC"/>
    <w:rsid w:val="00CC3F94"/>
    <w:rsid w:val="00CC41A7"/>
    <w:rsid w:val="00CC42BB"/>
    <w:rsid w:val="00CC4326"/>
    <w:rsid w:val="00CC45E4"/>
    <w:rsid w:val="00CC4869"/>
    <w:rsid w:val="00CC491E"/>
    <w:rsid w:val="00CC4C21"/>
    <w:rsid w:val="00CC4C29"/>
    <w:rsid w:val="00CC4DA6"/>
    <w:rsid w:val="00CC4DFF"/>
    <w:rsid w:val="00CC4E41"/>
    <w:rsid w:val="00CC4E89"/>
    <w:rsid w:val="00CC4FE5"/>
    <w:rsid w:val="00CC5373"/>
    <w:rsid w:val="00CC57EF"/>
    <w:rsid w:val="00CC5899"/>
    <w:rsid w:val="00CC5A3C"/>
    <w:rsid w:val="00CC5C43"/>
    <w:rsid w:val="00CC5D44"/>
    <w:rsid w:val="00CC5F30"/>
    <w:rsid w:val="00CC60B0"/>
    <w:rsid w:val="00CC61D8"/>
    <w:rsid w:val="00CC631E"/>
    <w:rsid w:val="00CC63AE"/>
    <w:rsid w:val="00CC6473"/>
    <w:rsid w:val="00CC6567"/>
    <w:rsid w:val="00CC695F"/>
    <w:rsid w:val="00CC6979"/>
    <w:rsid w:val="00CC69D5"/>
    <w:rsid w:val="00CC6AE9"/>
    <w:rsid w:val="00CC6BE6"/>
    <w:rsid w:val="00CC7006"/>
    <w:rsid w:val="00CC7362"/>
    <w:rsid w:val="00CC75A1"/>
    <w:rsid w:val="00CC7722"/>
    <w:rsid w:val="00CC7A31"/>
    <w:rsid w:val="00CC7B47"/>
    <w:rsid w:val="00CC7C7C"/>
    <w:rsid w:val="00CC7FE5"/>
    <w:rsid w:val="00CD0039"/>
    <w:rsid w:val="00CD006F"/>
    <w:rsid w:val="00CD008C"/>
    <w:rsid w:val="00CD0321"/>
    <w:rsid w:val="00CD0435"/>
    <w:rsid w:val="00CD080F"/>
    <w:rsid w:val="00CD0B35"/>
    <w:rsid w:val="00CD1A0D"/>
    <w:rsid w:val="00CD1F1B"/>
    <w:rsid w:val="00CD207A"/>
    <w:rsid w:val="00CD2109"/>
    <w:rsid w:val="00CD2515"/>
    <w:rsid w:val="00CD259E"/>
    <w:rsid w:val="00CD2614"/>
    <w:rsid w:val="00CD2746"/>
    <w:rsid w:val="00CD277A"/>
    <w:rsid w:val="00CD285F"/>
    <w:rsid w:val="00CD2990"/>
    <w:rsid w:val="00CD29C6"/>
    <w:rsid w:val="00CD2BC0"/>
    <w:rsid w:val="00CD2DF9"/>
    <w:rsid w:val="00CD2E03"/>
    <w:rsid w:val="00CD2E1F"/>
    <w:rsid w:val="00CD31D9"/>
    <w:rsid w:val="00CD3485"/>
    <w:rsid w:val="00CD35B8"/>
    <w:rsid w:val="00CD3C36"/>
    <w:rsid w:val="00CD3CCF"/>
    <w:rsid w:val="00CD3E96"/>
    <w:rsid w:val="00CD3F42"/>
    <w:rsid w:val="00CD44AB"/>
    <w:rsid w:val="00CD4530"/>
    <w:rsid w:val="00CD4617"/>
    <w:rsid w:val="00CD4745"/>
    <w:rsid w:val="00CD476A"/>
    <w:rsid w:val="00CD49BC"/>
    <w:rsid w:val="00CD4AE2"/>
    <w:rsid w:val="00CD4F80"/>
    <w:rsid w:val="00CD5061"/>
    <w:rsid w:val="00CD52D0"/>
    <w:rsid w:val="00CD546E"/>
    <w:rsid w:val="00CD54D2"/>
    <w:rsid w:val="00CD5723"/>
    <w:rsid w:val="00CD57E1"/>
    <w:rsid w:val="00CD5A56"/>
    <w:rsid w:val="00CD5BB2"/>
    <w:rsid w:val="00CD5C7E"/>
    <w:rsid w:val="00CD5E4B"/>
    <w:rsid w:val="00CD60F4"/>
    <w:rsid w:val="00CD60F9"/>
    <w:rsid w:val="00CD6151"/>
    <w:rsid w:val="00CD61A5"/>
    <w:rsid w:val="00CD62C5"/>
    <w:rsid w:val="00CD646B"/>
    <w:rsid w:val="00CD64D4"/>
    <w:rsid w:val="00CD65A8"/>
    <w:rsid w:val="00CD65F4"/>
    <w:rsid w:val="00CD66D3"/>
    <w:rsid w:val="00CD6DE4"/>
    <w:rsid w:val="00CD6DEF"/>
    <w:rsid w:val="00CD6E7B"/>
    <w:rsid w:val="00CD6F99"/>
    <w:rsid w:val="00CD7001"/>
    <w:rsid w:val="00CD712A"/>
    <w:rsid w:val="00CD7220"/>
    <w:rsid w:val="00CD72A3"/>
    <w:rsid w:val="00CD7305"/>
    <w:rsid w:val="00CD7475"/>
    <w:rsid w:val="00CD75D7"/>
    <w:rsid w:val="00CD7646"/>
    <w:rsid w:val="00CD77E0"/>
    <w:rsid w:val="00CD7CEE"/>
    <w:rsid w:val="00CD7F2B"/>
    <w:rsid w:val="00CD7FE6"/>
    <w:rsid w:val="00CE03F5"/>
    <w:rsid w:val="00CE04A5"/>
    <w:rsid w:val="00CE09DB"/>
    <w:rsid w:val="00CE0A53"/>
    <w:rsid w:val="00CE0B7F"/>
    <w:rsid w:val="00CE0EE9"/>
    <w:rsid w:val="00CE10C9"/>
    <w:rsid w:val="00CE1182"/>
    <w:rsid w:val="00CE1700"/>
    <w:rsid w:val="00CE1A0D"/>
    <w:rsid w:val="00CE1CCE"/>
    <w:rsid w:val="00CE1D47"/>
    <w:rsid w:val="00CE1E40"/>
    <w:rsid w:val="00CE1F0E"/>
    <w:rsid w:val="00CE1FBB"/>
    <w:rsid w:val="00CE2002"/>
    <w:rsid w:val="00CE210D"/>
    <w:rsid w:val="00CE22ED"/>
    <w:rsid w:val="00CE2500"/>
    <w:rsid w:val="00CE2619"/>
    <w:rsid w:val="00CE2984"/>
    <w:rsid w:val="00CE2B8A"/>
    <w:rsid w:val="00CE2F5C"/>
    <w:rsid w:val="00CE31A0"/>
    <w:rsid w:val="00CE31EF"/>
    <w:rsid w:val="00CE3220"/>
    <w:rsid w:val="00CE32BB"/>
    <w:rsid w:val="00CE3586"/>
    <w:rsid w:val="00CE3A82"/>
    <w:rsid w:val="00CE3CA0"/>
    <w:rsid w:val="00CE3CED"/>
    <w:rsid w:val="00CE3E5E"/>
    <w:rsid w:val="00CE40B3"/>
    <w:rsid w:val="00CE4128"/>
    <w:rsid w:val="00CE441B"/>
    <w:rsid w:val="00CE443B"/>
    <w:rsid w:val="00CE4DDD"/>
    <w:rsid w:val="00CE5280"/>
    <w:rsid w:val="00CE52AB"/>
    <w:rsid w:val="00CE553D"/>
    <w:rsid w:val="00CE559E"/>
    <w:rsid w:val="00CE55A8"/>
    <w:rsid w:val="00CE568C"/>
    <w:rsid w:val="00CE56C4"/>
    <w:rsid w:val="00CE578C"/>
    <w:rsid w:val="00CE57B3"/>
    <w:rsid w:val="00CE57D3"/>
    <w:rsid w:val="00CE588E"/>
    <w:rsid w:val="00CE5AC5"/>
    <w:rsid w:val="00CE5B6D"/>
    <w:rsid w:val="00CE61A3"/>
    <w:rsid w:val="00CE62C3"/>
    <w:rsid w:val="00CE6552"/>
    <w:rsid w:val="00CE6611"/>
    <w:rsid w:val="00CE7158"/>
    <w:rsid w:val="00CE7352"/>
    <w:rsid w:val="00CE7538"/>
    <w:rsid w:val="00CE755A"/>
    <w:rsid w:val="00CE791D"/>
    <w:rsid w:val="00CE7A86"/>
    <w:rsid w:val="00CE7E02"/>
    <w:rsid w:val="00CE7F02"/>
    <w:rsid w:val="00CF026E"/>
    <w:rsid w:val="00CF0308"/>
    <w:rsid w:val="00CF0625"/>
    <w:rsid w:val="00CF0768"/>
    <w:rsid w:val="00CF0A9E"/>
    <w:rsid w:val="00CF0B37"/>
    <w:rsid w:val="00CF0E4B"/>
    <w:rsid w:val="00CF1018"/>
    <w:rsid w:val="00CF102B"/>
    <w:rsid w:val="00CF105C"/>
    <w:rsid w:val="00CF10F1"/>
    <w:rsid w:val="00CF1233"/>
    <w:rsid w:val="00CF1279"/>
    <w:rsid w:val="00CF132D"/>
    <w:rsid w:val="00CF1745"/>
    <w:rsid w:val="00CF1792"/>
    <w:rsid w:val="00CF17BE"/>
    <w:rsid w:val="00CF19E0"/>
    <w:rsid w:val="00CF1A8D"/>
    <w:rsid w:val="00CF1B90"/>
    <w:rsid w:val="00CF1C4F"/>
    <w:rsid w:val="00CF1DA6"/>
    <w:rsid w:val="00CF1DED"/>
    <w:rsid w:val="00CF1DFC"/>
    <w:rsid w:val="00CF1E0F"/>
    <w:rsid w:val="00CF1E7D"/>
    <w:rsid w:val="00CF1EC9"/>
    <w:rsid w:val="00CF2053"/>
    <w:rsid w:val="00CF21A0"/>
    <w:rsid w:val="00CF21CD"/>
    <w:rsid w:val="00CF227E"/>
    <w:rsid w:val="00CF275A"/>
    <w:rsid w:val="00CF2EFB"/>
    <w:rsid w:val="00CF2F40"/>
    <w:rsid w:val="00CF31F0"/>
    <w:rsid w:val="00CF37C6"/>
    <w:rsid w:val="00CF3D83"/>
    <w:rsid w:val="00CF3F75"/>
    <w:rsid w:val="00CF452A"/>
    <w:rsid w:val="00CF4596"/>
    <w:rsid w:val="00CF466A"/>
    <w:rsid w:val="00CF4B59"/>
    <w:rsid w:val="00CF4C8D"/>
    <w:rsid w:val="00CF4E60"/>
    <w:rsid w:val="00CF53AD"/>
    <w:rsid w:val="00CF558E"/>
    <w:rsid w:val="00CF5629"/>
    <w:rsid w:val="00CF59A5"/>
    <w:rsid w:val="00CF6061"/>
    <w:rsid w:val="00CF6144"/>
    <w:rsid w:val="00CF61A8"/>
    <w:rsid w:val="00CF6264"/>
    <w:rsid w:val="00CF64B2"/>
    <w:rsid w:val="00CF66C1"/>
    <w:rsid w:val="00CF6756"/>
    <w:rsid w:val="00CF69F3"/>
    <w:rsid w:val="00CF6B4D"/>
    <w:rsid w:val="00CF6E58"/>
    <w:rsid w:val="00CF6E5C"/>
    <w:rsid w:val="00CF75FC"/>
    <w:rsid w:val="00CF76CE"/>
    <w:rsid w:val="00CF7950"/>
    <w:rsid w:val="00CF7AA3"/>
    <w:rsid w:val="00CF7B6E"/>
    <w:rsid w:val="00CF7B8C"/>
    <w:rsid w:val="00CF7C67"/>
    <w:rsid w:val="00CF7E8C"/>
    <w:rsid w:val="00D0035D"/>
    <w:rsid w:val="00D0055F"/>
    <w:rsid w:val="00D007B8"/>
    <w:rsid w:val="00D00BBF"/>
    <w:rsid w:val="00D00C98"/>
    <w:rsid w:val="00D00D84"/>
    <w:rsid w:val="00D00E61"/>
    <w:rsid w:val="00D00FDB"/>
    <w:rsid w:val="00D01047"/>
    <w:rsid w:val="00D0104C"/>
    <w:rsid w:val="00D010B3"/>
    <w:rsid w:val="00D011F9"/>
    <w:rsid w:val="00D0124A"/>
    <w:rsid w:val="00D01304"/>
    <w:rsid w:val="00D0152F"/>
    <w:rsid w:val="00D015A2"/>
    <w:rsid w:val="00D019B7"/>
    <w:rsid w:val="00D01B47"/>
    <w:rsid w:val="00D01BB9"/>
    <w:rsid w:val="00D01C44"/>
    <w:rsid w:val="00D01E36"/>
    <w:rsid w:val="00D01E8B"/>
    <w:rsid w:val="00D02071"/>
    <w:rsid w:val="00D020A8"/>
    <w:rsid w:val="00D0239F"/>
    <w:rsid w:val="00D02468"/>
    <w:rsid w:val="00D026C5"/>
    <w:rsid w:val="00D027EB"/>
    <w:rsid w:val="00D0293E"/>
    <w:rsid w:val="00D02A8D"/>
    <w:rsid w:val="00D02AAD"/>
    <w:rsid w:val="00D02EA1"/>
    <w:rsid w:val="00D02FD9"/>
    <w:rsid w:val="00D0310B"/>
    <w:rsid w:val="00D0337E"/>
    <w:rsid w:val="00D03549"/>
    <w:rsid w:val="00D035B6"/>
    <w:rsid w:val="00D036A9"/>
    <w:rsid w:val="00D038F1"/>
    <w:rsid w:val="00D039E8"/>
    <w:rsid w:val="00D039F5"/>
    <w:rsid w:val="00D03B35"/>
    <w:rsid w:val="00D03C06"/>
    <w:rsid w:val="00D03D91"/>
    <w:rsid w:val="00D03E22"/>
    <w:rsid w:val="00D0408F"/>
    <w:rsid w:val="00D040C5"/>
    <w:rsid w:val="00D040C8"/>
    <w:rsid w:val="00D043A1"/>
    <w:rsid w:val="00D044D4"/>
    <w:rsid w:val="00D044E7"/>
    <w:rsid w:val="00D04548"/>
    <w:rsid w:val="00D0463F"/>
    <w:rsid w:val="00D049C4"/>
    <w:rsid w:val="00D04F0D"/>
    <w:rsid w:val="00D0516D"/>
    <w:rsid w:val="00D0546C"/>
    <w:rsid w:val="00D0553C"/>
    <w:rsid w:val="00D055FD"/>
    <w:rsid w:val="00D0565D"/>
    <w:rsid w:val="00D0568C"/>
    <w:rsid w:val="00D057AE"/>
    <w:rsid w:val="00D05993"/>
    <w:rsid w:val="00D05BE0"/>
    <w:rsid w:val="00D05DAB"/>
    <w:rsid w:val="00D05E2F"/>
    <w:rsid w:val="00D05E90"/>
    <w:rsid w:val="00D05F12"/>
    <w:rsid w:val="00D05F84"/>
    <w:rsid w:val="00D05FEE"/>
    <w:rsid w:val="00D062D2"/>
    <w:rsid w:val="00D06686"/>
    <w:rsid w:val="00D066C1"/>
    <w:rsid w:val="00D06A66"/>
    <w:rsid w:val="00D06E4C"/>
    <w:rsid w:val="00D06FCA"/>
    <w:rsid w:val="00D0703B"/>
    <w:rsid w:val="00D070B8"/>
    <w:rsid w:val="00D0714E"/>
    <w:rsid w:val="00D0719B"/>
    <w:rsid w:val="00D0733F"/>
    <w:rsid w:val="00D07590"/>
    <w:rsid w:val="00D07AF5"/>
    <w:rsid w:val="00D07BE3"/>
    <w:rsid w:val="00D07CEF"/>
    <w:rsid w:val="00D07D0B"/>
    <w:rsid w:val="00D103F7"/>
    <w:rsid w:val="00D105AF"/>
    <w:rsid w:val="00D10618"/>
    <w:rsid w:val="00D106E0"/>
    <w:rsid w:val="00D107A6"/>
    <w:rsid w:val="00D108C6"/>
    <w:rsid w:val="00D1098A"/>
    <w:rsid w:val="00D10A7E"/>
    <w:rsid w:val="00D10D26"/>
    <w:rsid w:val="00D10D96"/>
    <w:rsid w:val="00D10DB1"/>
    <w:rsid w:val="00D10E08"/>
    <w:rsid w:val="00D10E60"/>
    <w:rsid w:val="00D10FB0"/>
    <w:rsid w:val="00D1106D"/>
    <w:rsid w:val="00D11223"/>
    <w:rsid w:val="00D112AF"/>
    <w:rsid w:val="00D1160A"/>
    <w:rsid w:val="00D118FD"/>
    <w:rsid w:val="00D11988"/>
    <w:rsid w:val="00D119F1"/>
    <w:rsid w:val="00D11C03"/>
    <w:rsid w:val="00D120EE"/>
    <w:rsid w:val="00D1255B"/>
    <w:rsid w:val="00D125AF"/>
    <w:rsid w:val="00D12732"/>
    <w:rsid w:val="00D128D7"/>
    <w:rsid w:val="00D12954"/>
    <w:rsid w:val="00D129E7"/>
    <w:rsid w:val="00D13004"/>
    <w:rsid w:val="00D1371F"/>
    <w:rsid w:val="00D13891"/>
    <w:rsid w:val="00D138BA"/>
    <w:rsid w:val="00D1393B"/>
    <w:rsid w:val="00D139F8"/>
    <w:rsid w:val="00D13A44"/>
    <w:rsid w:val="00D13AE3"/>
    <w:rsid w:val="00D13C51"/>
    <w:rsid w:val="00D13CFC"/>
    <w:rsid w:val="00D13D0A"/>
    <w:rsid w:val="00D13D97"/>
    <w:rsid w:val="00D142E9"/>
    <w:rsid w:val="00D143FF"/>
    <w:rsid w:val="00D145A7"/>
    <w:rsid w:val="00D146DB"/>
    <w:rsid w:val="00D14781"/>
    <w:rsid w:val="00D14956"/>
    <w:rsid w:val="00D14B81"/>
    <w:rsid w:val="00D14B85"/>
    <w:rsid w:val="00D14DD4"/>
    <w:rsid w:val="00D152BF"/>
    <w:rsid w:val="00D153D0"/>
    <w:rsid w:val="00D1542B"/>
    <w:rsid w:val="00D15546"/>
    <w:rsid w:val="00D156DD"/>
    <w:rsid w:val="00D157C6"/>
    <w:rsid w:val="00D15A93"/>
    <w:rsid w:val="00D15AA1"/>
    <w:rsid w:val="00D15B3E"/>
    <w:rsid w:val="00D15D0B"/>
    <w:rsid w:val="00D16250"/>
    <w:rsid w:val="00D16432"/>
    <w:rsid w:val="00D16822"/>
    <w:rsid w:val="00D16842"/>
    <w:rsid w:val="00D16AAC"/>
    <w:rsid w:val="00D16AED"/>
    <w:rsid w:val="00D16BAB"/>
    <w:rsid w:val="00D170BB"/>
    <w:rsid w:val="00D17195"/>
    <w:rsid w:val="00D171BF"/>
    <w:rsid w:val="00D1759C"/>
    <w:rsid w:val="00D175B0"/>
    <w:rsid w:val="00D17836"/>
    <w:rsid w:val="00D179F5"/>
    <w:rsid w:val="00D17A26"/>
    <w:rsid w:val="00D17B29"/>
    <w:rsid w:val="00D17B44"/>
    <w:rsid w:val="00D17C19"/>
    <w:rsid w:val="00D17C82"/>
    <w:rsid w:val="00D17E71"/>
    <w:rsid w:val="00D17F1B"/>
    <w:rsid w:val="00D17F4B"/>
    <w:rsid w:val="00D203D1"/>
    <w:rsid w:val="00D205DA"/>
    <w:rsid w:val="00D206A6"/>
    <w:rsid w:val="00D207A1"/>
    <w:rsid w:val="00D2083A"/>
    <w:rsid w:val="00D208BA"/>
    <w:rsid w:val="00D209DA"/>
    <w:rsid w:val="00D20AE6"/>
    <w:rsid w:val="00D20CEA"/>
    <w:rsid w:val="00D20F96"/>
    <w:rsid w:val="00D214EA"/>
    <w:rsid w:val="00D21581"/>
    <w:rsid w:val="00D2191F"/>
    <w:rsid w:val="00D21B0F"/>
    <w:rsid w:val="00D21CB1"/>
    <w:rsid w:val="00D21F35"/>
    <w:rsid w:val="00D221A7"/>
    <w:rsid w:val="00D2224F"/>
    <w:rsid w:val="00D22476"/>
    <w:rsid w:val="00D225B3"/>
    <w:rsid w:val="00D22670"/>
    <w:rsid w:val="00D22914"/>
    <w:rsid w:val="00D229B9"/>
    <w:rsid w:val="00D22A09"/>
    <w:rsid w:val="00D22AE9"/>
    <w:rsid w:val="00D22DA5"/>
    <w:rsid w:val="00D23135"/>
    <w:rsid w:val="00D23372"/>
    <w:rsid w:val="00D23449"/>
    <w:rsid w:val="00D2349B"/>
    <w:rsid w:val="00D235D1"/>
    <w:rsid w:val="00D23646"/>
    <w:rsid w:val="00D2388B"/>
    <w:rsid w:val="00D239B8"/>
    <w:rsid w:val="00D239FC"/>
    <w:rsid w:val="00D23FDF"/>
    <w:rsid w:val="00D24350"/>
    <w:rsid w:val="00D24408"/>
    <w:rsid w:val="00D24638"/>
    <w:rsid w:val="00D249E0"/>
    <w:rsid w:val="00D24C90"/>
    <w:rsid w:val="00D24E9A"/>
    <w:rsid w:val="00D251EA"/>
    <w:rsid w:val="00D251F4"/>
    <w:rsid w:val="00D2552D"/>
    <w:rsid w:val="00D25825"/>
    <w:rsid w:val="00D25EB4"/>
    <w:rsid w:val="00D260EB"/>
    <w:rsid w:val="00D26190"/>
    <w:rsid w:val="00D261A5"/>
    <w:rsid w:val="00D261E2"/>
    <w:rsid w:val="00D264A9"/>
    <w:rsid w:val="00D2652F"/>
    <w:rsid w:val="00D2662F"/>
    <w:rsid w:val="00D26706"/>
    <w:rsid w:val="00D269F2"/>
    <w:rsid w:val="00D26C1D"/>
    <w:rsid w:val="00D26FE4"/>
    <w:rsid w:val="00D26FFC"/>
    <w:rsid w:val="00D2796C"/>
    <w:rsid w:val="00D27972"/>
    <w:rsid w:val="00D27D9F"/>
    <w:rsid w:val="00D30129"/>
    <w:rsid w:val="00D3020D"/>
    <w:rsid w:val="00D304A8"/>
    <w:rsid w:val="00D30812"/>
    <w:rsid w:val="00D30B2E"/>
    <w:rsid w:val="00D30C02"/>
    <w:rsid w:val="00D30D28"/>
    <w:rsid w:val="00D30E76"/>
    <w:rsid w:val="00D30EFB"/>
    <w:rsid w:val="00D3137B"/>
    <w:rsid w:val="00D319D6"/>
    <w:rsid w:val="00D319F0"/>
    <w:rsid w:val="00D31A6E"/>
    <w:rsid w:val="00D31B8C"/>
    <w:rsid w:val="00D31C83"/>
    <w:rsid w:val="00D31D23"/>
    <w:rsid w:val="00D31FC8"/>
    <w:rsid w:val="00D323E0"/>
    <w:rsid w:val="00D32485"/>
    <w:rsid w:val="00D324F0"/>
    <w:rsid w:val="00D3299A"/>
    <w:rsid w:val="00D32DA0"/>
    <w:rsid w:val="00D32E9D"/>
    <w:rsid w:val="00D32EAA"/>
    <w:rsid w:val="00D3338B"/>
    <w:rsid w:val="00D33DE4"/>
    <w:rsid w:val="00D33DF0"/>
    <w:rsid w:val="00D33F7B"/>
    <w:rsid w:val="00D340A3"/>
    <w:rsid w:val="00D340CF"/>
    <w:rsid w:val="00D3418A"/>
    <w:rsid w:val="00D342B2"/>
    <w:rsid w:val="00D34629"/>
    <w:rsid w:val="00D34A0A"/>
    <w:rsid w:val="00D34A34"/>
    <w:rsid w:val="00D34BC4"/>
    <w:rsid w:val="00D34C53"/>
    <w:rsid w:val="00D34CF3"/>
    <w:rsid w:val="00D34E92"/>
    <w:rsid w:val="00D34FA8"/>
    <w:rsid w:val="00D34FB2"/>
    <w:rsid w:val="00D3509C"/>
    <w:rsid w:val="00D350D8"/>
    <w:rsid w:val="00D35280"/>
    <w:rsid w:val="00D357AD"/>
    <w:rsid w:val="00D35807"/>
    <w:rsid w:val="00D3581F"/>
    <w:rsid w:val="00D3583D"/>
    <w:rsid w:val="00D35979"/>
    <w:rsid w:val="00D359AA"/>
    <w:rsid w:val="00D35C81"/>
    <w:rsid w:val="00D36081"/>
    <w:rsid w:val="00D36219"/>
    <w:rsid w:val="00D36386"/>
    <w:rsid w:val="00D363AA"/>
    <w:rsid w:val="00D36BF0"/>
    <w:rsid w:val="00D36DCC"/>
    <w:rsid w:val="00D36E28"/>
    <w:rsid w:val="00D36E81"/>
    <w:rsid w:val="00D36F6F"/>
    <w:rsid w:val="00D36FAC"/>
    <w:rsid w:val="00D37051"/>
    <w:rsid w:val="00D3714A"/>
    <w:rsid w:val="00D37487"/>
    <w:rsid w:val="00D37623"/>
    <w:rsid w:val="00D376BB"/>
    <w:rsid w:val="00D3773F"/>
    <w:rsid w:val="00D37A83"/>
    <w:rsid w:val="00D37CC8"/>
    <w:rsid w:val="00D37E06"/>
    <w:rsid w:val="00D40140"/>
    <w:rsid w:val="00D40195"/>
    <w:rsid w:val="00D403B3"/>
    <w:rsid w:val="00D40515"/>
    <w:rsid w:val="00D4079C"/>
    <w:rsid w:val="00D409BB"/>
    <w:rsid w:val="00D40A7B"/>
    <w:rsid w:val="00D40B46"/>
    <w:rsid w:val="00D40C53"/>
    <w:rsid w:val="00D40FB8"/>
    <w:rsid w:val="00D411EC"/>
    <w:rsid w:val="00D4161E"/>
    <w:rsid w:val="00D41B6D"/>
    <w:rsid w:val="00D41BE9"/>
    <w:rsid w:val="00D41C3A"/>
    <w:rsid w:val="00D41FBE"/>
    <w:rsid w:val="00D41FE2"/>
    <w:rsid w:val="00D42192"/>
    <w:rsid w:val="00D42998"/>
    <w:rsid w:val="00D429CB"/>
    <w:rsid w:val="00D42A0B"/>
    <w:rsid w:val="00D42A6F"/>
    <w:rsid w:val="00D42B4E"/>
    <w:rsid w:val="00D42C75"/>
    <w:rsid w:val="00D42D07"/>
    <w:rsid w:val="00D42EA8"/>
    <w:rsid w:val="00D43298"/>
    <w:rsid w:val="00D432A0"/>
    <w:rsid w:val="00D4330F"/>
    <w:rsid w:val="00D4338B"/>
    <w:rsid w:val="00D4343D"/>
    <w:rsid w:val="00D43581"/>
    <w:rsid w:val="00D4369C"/>
    <w:rsid w:val="00D43725"/>
    <w:rsid w:val="00D43769"/>
    <w:rsid w:val="00D4388A"/>
    <w:rsid w:val="00D43958"/>
    <w:rsid w:val="00D43A84"/>
    <w:rsid w:val="00D4419C"/>
    <w:rsid w:val="00D4480D"/>
    <w:rsid w:val="00D4480F"/>
    <w:rsid w:val="00D448C1"/>
    <w:rsid w:val="00D44E4A"/>
    <w:rsid w:val="00D44ED7"/>
    <w:rsid w:val="00D45000"/>
    <w:rsid w:val="00D45842"/>
    <w:rsid w:val="00D459E1"/>
    <w:rsid w:val="00D45B3A"/>
    <w:rsid w:val="00D45E09"/>
    <w:rsid w:val="00D45E75"/>
    <w:rsid w:val="00D45E9B"/>
    <w:rsid w:val="00D45F91"/>
    <w:rsid w:val="00D460E6"/>
    <w:rsid w:val="00D460F8"/>
    <w:rsid w:val="00D4639A"/>
    <w:rsid w:val="00D466D9"/>
    <w:rsid w:val="00D4691B"/>
    <w:rsid w:val="00D46C78"/>
    <w:rsid w:val="00D4707D"/>
    <w:rsid w:val="00D47169"/>
    <w:rsid w:val="00D47628"/>
    <w:rsid w:val="00D47C9B"/>
    <w:rsid w:val="00D47CA5"/>
    <w:rsid w:val="00D47DB7"/>
    <w:rsid w:val="00D47EE5"/>
    <w:rsid w:val="00D47F9D"/>
    <w:rsid w:val="00D50074"/>
    <w:rsid w:val="00D50144"/>
    <w:rsid w:val="00D502D8"/>
    <w:rsid w:val="00D50333"/>
    <w:rsid w:val="00D50377"/>
    <w:rsid w:val="00D5051C"/>
    <w:rsid w:val="00D50642"/>
    <w:rsid w:val="00D506AF"/>
    <w:rsid w:val="00D507A8"/>
    <w:rsid w:val="00D50A8A"/>
    <w:rsid w:val="00D50AA0"/>
    <w:rsid w:val="00D50ABE"/>
    <w:rsid w:val="00D50C13"/>
    <w:rsid w:val="00D5117F"/>
    <w:rsid w:val="00D51330"/>
    <w:rsid w:val="00D513D1"/>
    <w:rsid w:val="00D513F7"/>
    <w:rsid w:val="00D51B67"/>
    <w:rsid w:val="00D51B95"/>
    <w:rsid w:val="00D51C1E"/>
    <w:rsid w:val="00D51D01"/>
    <w:rsid w:val="00D51F0C"/>
    <w:rsid w:val="00D520FA"/>
    <w:rsid w:val="00D52110"/>
    <w:rsid w:val="00D52390"/>
    <w:rsid w:val="00D5258D"/>
    <w:rsid w:val="00D5262D"/>
    <w:rsid w:val="00D52943"/>
    <w:rsid w:val="00D52A4A"/>
    <w:rsid w:val="00D52B5F"/>
    <w:rsid w:val="00D52BA4"/>
    <w:rsid w:val="00D52BB5"/>
    <w:rsid w:val="00D52BE1"/>
    <w:rsid w:val="00D52CC3"/>
    <w:rsid w:val="00D52F34"/>
    <w:rsid w:val="00D530C7"/>
    <w:rsid w:val="00D53150"/>
    <w:rsid w:val="00D531A0"/>
    <w:rsid w:val="00D53339"/>
    <w:rsid w:val="00D5334A"/>
    <w:rsid w:val="00D5334B"/>
    <w:rsid w:val="00D535F7"/>
    <w:rsid w:val="00D5373D"/>
    <w:rsid w:val="00D5381F"/>
    <w:rsid w:val="00D538EB"/>
    <w:rsid w:val="00D53922"/>
    <w:rsid w:val="00D53AB9"/>
    <w:rsid w:val="00D53B79"/>
    <w:rsid w:val="00D53C4A"/>
    <w:rsid w:val="00D53DA6"/>
    <w:rsid w:val="00D542CC"/>
    <w:rsid w:val="00D54568"/>
    <w:rsid w:val="00D54666"/>
    <w:rsid w:val="00D5475B"/>
    <w:rsid w:val="00D54D14"/>
    <w:rsid w:val="00D54DA7"/>
    <w:rsid w:val="00D54F5D"/>
    <w:rsid w:val="00D550BC"/>
    <w:rsid w:val="00D551DA"/>
    <w:rsid w:val="00D55235"/>
    <w:rsid w:val="00D5563F"/>
    <w:rsid w:val="00D55672"/>
    <w:rsid w:val="00D557AF"/>
    <w:rsid w:val="00D55C37"/>
    <w:rsid w:val="00D55D93"/>
    <w:rsid w:val="00D55DC8"/>
    <w:rsid w:val="00D55FC6"/>
    <w:rsid w:val="00D56027"/>
    <w:rsid w:val="00D5606E"/>
    <w:rsid w:val="00D5613B"/>
    <w:rsid w:val="00D56181"/>
    <w:rsid w:val="00D56223"/>
    <w:rsid w:val="00D56321"/>
    <w:rsid w:val="00D5639C"/>
    <w:rsid w:val="00D56478"/>
    <w:rsid w:val="00D566C3"/>
    <w:rsid w:val="00D566F4"/>
    <w:rsid w:val="00D568C8"/>
    <w:rsid w:val="00D56908"/>
    <w:rsid w:val="00D56A4A"/>
    <w:rsid w:val="00D56C33"/>
    <w:rsid w:val="00D56F33"/>
    <w:rsid w:val="00D571B3"/>
    <w:rsid w:val="00D57200"/>
    <w:rsid w:val="00D57286"/>
    <w:rsid w:val="00D57534"/>
    <w:rsid w:val="00D5781F"/>
    <w:rsid w:val="00D57836"/>
    <w:rsid w:val="00D578AA"/>
    <w:rsid w:val="00D57B82"/>
    <w:rsid w:val="00D57C36"/>
    <w:rsid w:val="00D57CF0"/>
    <w:rsid w:val="00D57EA6"/>
    <w:rsid w:val="00D57EDA"/>
    <w:rsid w:val="00D57F1F"/>
    <w:rsid w:val="00D604B4"/>
    <w:rsid w:val="00D605AA"/>
    <w:rsid w:val="00D607B4"/>
    <w:rsid w:val="00D607B5"/>
    <w:rsid w:val="00D607D7"/>
    <w:rsid w:val="00D6083F"/>
    <w:rsid w:val="00D608C6"/>
    <w:rsid w:val="00D60A5D"/>
    <w:rsid w:val="00D60B8E"/>
    <w:rsid w:val="00D60BC9"/>
    <w:rsid w:val="00D60FB4"/>
    <w:rsid w:val="00D6125D"/>
    <w:rsid w:val="00D6189A"/>
    <w:rsid w:val="00D61A22"/>
    <w:rsid w:val="00D61EC7"/>
    <w:rsid w:val="00D62187"/>
    <w:rsid w:val="00D6238E"/>
    <w:rsid w:val="00D62711"/>
    <w:rsid w:val="00D62857"/>
    <w:rsid w:val="00D628B9"/>
    <w:rsid w:val="00D62934"/>
    <w:rsid w:val="00D62A5B"/>
    <w:rsid w:val="00D62C89"/>
    <w:rsid w:val="00D62CC6"/>
    <w:rsid w:val="00D62F09"/>
    <w:rsid w:val="00D62F29"/>
    <w:rsid w:val="00D63025"/>
    <w:rsid w:val="00D6352E"/>
    <w:rsid w:val="00D63A4E"/>
    <w:rsid w:val="00D63EE7"/>
    <w:rsid w:val="00D63F4C"/>
    <w:rsid w:val="00D640EE"/>
    <w:rsid w:val="00D64270"/>
    <w:rsid w:val="00D645ED"/>
    <w:rsid w:val="00D64624"/>
    <w:rsid w:val="00D6462F"/>
    <w:rsid w:val="00D6485D"/>
    <w:rsid w:val="00D648C2"/>
    <w:rsid w:val="00D6496A"/>
    <w:rsid w:val="00D64A38"/>
    <w:rsid w:val="00D64BB6"/>
    <w:rsid w:val="00D64CCE"/>
    <w:rsid w:val="00D654DF"/>
    <w:rsid w:val="00D6556B"/>
    <w:rsid w:val="00D657B5"/>
    <w:rsid w:val="00D65AE1"/>
    <w:rsid w:val="00D65BF8"/>
    <w:rsid w:val="00D65C0F"/>
    <w:rsid w:val="00D66006"/>
    <w:rsid w:val="00D66356"/>
    <w:rsid w:val="00D663A3"/>
    <w:rsid w:val="00D66898"/>
    <w:rsid w:val="00D668AB"/>
    <w:rsid w:val="00D6695C"/>
    <w:rsid w:val="00D66A64"/>
    <w:rsid w:val="00D66A9A"/>
    <w:rsid w:val="00D66CA8"/>
    <w:rsid w:val="00D66D64"/>
    <w:rsid w:val="00D66DA1"/>
    <w:rsid w:val="00D670A1"/>
    <w:rsid w:val="00D670EC"/>
    <w:rsid w:val="00D677E7"/>
    <w:rsid w:val="00D679A0"/>
    <w:rsid w:val="00D67B34"/>
    <w:rsid w:val="00D67CB5"/>
    <w:rsid w:val="00D67CE4"/>
    <w:rsid w:val="00D67D15"/>
    <w:rsid w:val="00D67E40"/>
    <w:rsid w:val="00D67F1B"/>
    <w:rsid w:val="00D703B7"/>
    <w:rsid w:val="00D7050C"/>
    <w:rsid w:val="00D705E5"/>
    <w:rsid w:val="00D705E7"/>
    <w:rsid w:val="00D706BD"/>
    <w:rsid w:val="00D70767"/>
    <w:rsid w:val="00D70A41"/>
    <w:rsid w:val="00D70E4B"/>
    <w:rsid w:val="00D70ED1"/>
    <w:rsid w:val="00D7106C"/>
    <w:rsid w:val="00D7113E"/>
    <w:rsid w:val="00D71278"/>
    <w:rsid w:val="00D717E9"/>
    <w:rsid w:val="00D718AF"/>
    <w:rsid w:val="00D71D89"/>
    <w:rsid w:val="00D71F71"/>
    <w:rsid w:val="00D723DE"/>
    <w:rsid w:val="00D723F5"/>
    <w:rsid w:val="00D72422"/>
    <w:rsid w:val="00D724C4"/>
    <w:rsid w:val="00D727AA"/>
    <w:rsid w:val="00D72813"/>
    <w:rsid w:val="00D7281C"/>
    <w:rsid w:val="00D728D6"/>
    <w:rsid w:val="00D72B8E"/>
    <w:rsid w:val="00D72EC1"/>
    <w:rsid w:val="00D7306F"/>
    <w:rsid w:val="00D7311E"/>
    <w:rsid w:val="00D7315F"/>
    <w:rsid w:val="00D7316B"/>
    <w:rsid w:val="00D73254"/>
    <w:rsid w:val="00D7344F"/>
    <w:rsid w:val="00D734FE"/>
    <w:rsid w:val="00D7353E"/>
    <w:rsid w:val="00D7356A"/>
    <w:rsid w:val="00D7379B"/>
    <w:rsid w:val="00D73868"/>
    <w:rsid w:val="00D73A1C"/>
    <w:rsid w:val="00D73CF9"/>
    <w:rsid w:val="00D73FDA"/>
    <w:rsid w:val="00D740E6"/>
    <w:rsid w:val="00D74482"/>
    <w:rsid w:val="00D74A50"/>
    <w:rsid w:val="00D74BC2"/>
    <w:rsid w:val="00D74BCE"/>
    <w:rsid w:val="00D74E75"/>
    <w:rsid w:val="00D7506D"/>
    <w:rsid w:val="00D7518C"/>
    <w:rsid w:val="00D75566"/>
    <w:rsid w:val="00D75659"/>
    <w:rsid w:val="00D756A9"/>
    <w:rsid w:val="00D756F4"/>
    <w:rsid w:val="00D7591D"/>
    <w:rsid w:val="00D75923"/>
    <w:rsid w:val="00D759E0"/>
    <w:rsid w:val="00D75C25"/>
    <w:rsid w:val="00D76076"/>
    <w:rsid w:val="00D7617F"/>
    <w:rsid w:val="00D76425"/>
    <w:rsid w:val="00D76688"/>
    <w:rsid w:val="00D76AF2"/>
    <w:rsid w:val="00D76B6F"/>
    <w:rsid w:val="00D76C0A"/>
    <w:rsid w:val="00D77080"/>
    <w:rsid w:val="00D77159"/>
    <w:rsid w:val="00D77195"/>
    <w:rsid w:val="00D774BC"/>
    <w:rsid w:val="00D7762B"/>
    <w:rsid w:val="00D777E3"/>
    <w:rsid w:val="00D77B8F"/>
    <w:rsid w:val="00D77CF2"/>
    <w:rsid w:val="00D77DD0"/>
    <w:rsid w:val="00D77E40"/>
    <w:rsid w:val="00D800DA"/>
    <w:rsid w:val="00D80170"/>
    <w:rsid w:val="00D8083F"/>
    <w:rsid w:val="00D80877"/>
    <w:rsid w:val="00D80CD0"/>
    <w:rsid w:val="00D80F10"/>
    <w:rsid w:val="00D80FAA"/>
    <w:rsid w:val="00D81499"/>
    <w:rsid w:val="00D81661"/>
    <w:rsid w:val="00D819F4"/>
    <w:rsid w:val="00D81BE1"/>
    <w:rsid w:val="00D81F4B"/>
    <w:rsid w:val="00D82029"/>
    <w:rsid w:val="00D82050"/>
    <w:rsid w:val="00D8259C"/>
    <w:rsid w:val="00D826E0"/>
    <w:rsid w:val="00D82780"/>
    <w:rsid w:val="00D82833"/>
    <w:rsid w:val="00D8285B"/>
    <w:rsid w:val="00D8289D"/>
    <w:rsid w:val="00D829BA"/>
    <w:rsid w:val="00D82B71"/>
    <w:rsid w:val="00D82C87"/>
    <w:rsid w:val="00D82E75"/>
    <w:rsid w:val="00D82F7E"/>
    <w:rsid w:val="00D83644"/>
    <w:rsid w:val="00D83682"/>
    <w:rsid w:val="00D836E7"/>
    <w:rsid w:val="00D837CD"/>
    <w:rsid w:val="00D83E67"/>
    <w:rsid w:val="00D84116"/>
    <w:rsid w:val="00D845D0"/>
    <w:rsid w:val="00D846D0"/>
    <w:rsid w:val="00D84787"/>
    <w:rsid w:val="00D849E6"/>
    <w:rsid w:val="00D84A81"/>
    <w:rsid w:val="00D84AE6"/>
    <w:rsid w:val="00D84CFA"/>
    <w:rsid w:val="00D84E3E"/>
    <w:rsid w:val="00D84F09"/>
    <w:rsid w:val="00D84FB2"/>
    <w:rsid w:val="00D85084"/>
    <w:rsid w:val="00D85179"/>
    <w:rsid w:val="00D851A5"/>
    <w:rsid w:val="00D852E9"/>
    <w:rsid w:val="00D856F6"/>
    <w:rsid w:val="00D857CE"/>
    <w:rsid w:val="00D85AF7"/>
    <w:rsid w:val="00D85D38"/>
    <w:rsid w:val="00D86255"/>
    <w:rsid w:val="00D8636D"/>
    <w:rsid w:val="00D866CF"/>
    <w:rsid w:val="00D86801"/>
    <w:rsid w:val="00D86B5A"/>
    <w:rsid w:val="00D86C34"/>
    <w:rsid w:val="00D86E6D"/>
    <w:rsid w:val="00D8723D"/>
    <w:rsid w:val="00D872BC"/>
    <w:rsid w:val="00D872F6"/>
    <w:rsid w:val="00D8770B"/>
    <w:rsid w:val="00D879CC"/>
    <w:rsid w:val="00D87A67"/>
    <w:rsid w:val="00D87B73"/>
    <w:rsid w:val="00D87E01"/>
    <w:rsid w:val="00D87F59"/>
    <w:rsid w:val="00D900D3"/>
    <w:rsid w:val="00D902A7"/>
    <w:rsid w:val="00D904A4"/>
    <w:rsid w:val="00D90527"/>
    <w:rsid w:val="00D906B2"/>
    <w:rsid w:val="00D90888"/>
    <w:rsid w:val="00D909A3"/>
    <w:rsid w:val="00D90AA8"/>
    <w:rsid w:val="00D90F36"/>
    <w:rsid w:val="00D90FD7"/>
    <w:rsid w:val="00D90FEE"/>
    <w:rsid w:val="00D910B1"/>
    <w:rsid w:val="00D912BB"/>
    <w:rsid w:val="00D917E1"/>
    <w:rsid w:val="00D919D9"/>
    <w:rsid w:val="00D919F0"/>
    <w:rsid w:val="00D91AE9"/>
    <w:rsid w:val="00D91C9F"/>
    <w:rsid w:val="00D91DD3"/>
    <w:rsid w:val="00D91DFC"/>
    <w:rsid w:val="00D91F93"/>
    <w:rsid w:val="00D91FE8"/>
    <w:rsid w:val="00D9200C"/>
    <w:rsid w:val="00D9251D"/>
    <w:rsid w:val="00D9270E"/>
    <w:rsid w:val="00D92801"/>
    <w:rsid w:val="00D92D06"/>
    <w:rsid w:val="00D92DF9"/>
    <w:rsid w:val="00D92F6E"/>
    <w:rsid w:val="00D93079"/>
    <w:rsid w:val="00D935B8"/>
    <w:rsid w:val="00D936F9"/>
    <w:rsid w:val="00D937A1"/>
    <w:rsid w:val="00D93A34"/>
    <w:rsid w:val="00D93ED3"/>
    <w:rsid w:val="00D940F9"/>
    <w:rsid w:val="00D9411B"/>
    <w:rsid w:val="00D948C2"/>
    <w:rsid w:val="00D949EA"/>
    <w:rsid w:val="00D94C3E"/>
    <w:rsid w:val="00D94E47"/>
    <w:rsid w:val="00D950EE"/>
    <w:rsid w:val="00D952AD"/>
    <w:rsid w:val="00D954B8"/>
    <w:rsid w:val="00D955A4"/>
    <w:rsid w:val="00D957D4"/>
    <w:rsid w:val="00D95819"/>
    <w:rsid w:val="00D95908"/>
    <w:rsid w:val="00D95B4F"/>
    <w:rsid w:val="00D95C9F"/>
    <w:rsid w:val="00D96048"/>
    <w:rsid w:val="00D960C8"/>
    <w:rsid w:val="00D962C6"/>
    <w:rsid w:val="00D963E6"/>
    <w:rsid w:val="00D96457"/>
    <w:rsid w:val="00D964E6"/>
    <w:rsid w:val="00D966D7"/>
    <w:rsid w:val="00D96AB4"/>
    <w:rsid w:val="00D96B62"/>
    <w:rsid w:val="00D96EBC"/>
    <w:rsid w:val="00D970E0"/>
    <w:rsid w:val="00D97180"/>
    <w:rsid w:val="00D9734F"/>
    <w:rsid w:val="00D973BB"/>
    <w:rsid w:val="00D97610"/>
    <w:rsid w:val="00D97665"/>
    <w:rsid w:val="00D97681"/>
    <w:rsid w:val="00D97844"/>
    <w:rsid w:val="00D979DD"/>
    <w:rsid w:val="00D97CD5"/>
    <w:rsid w:val="00D97ECC"/>
    <w:rsid w:val="00DA020B"/>
    <w:rsid w:val="00DA04E8"/>
    <w:rsid w:val="00DA055E"/>
    <w:rsid w:val="00DA05B1"/>
    <w:rsid w:val="00DA0607"/>
    <w:rsid w:val="00DA0EAC"/>
    <w:rsid w:val="00DA14A4"/>
    <w:rsid w:val="00DA1B6F"/>
    <w:rsid w:val="00DA1C12"/>
    <w:rsid w:val="00DA1F7C"/>
    <w:rsid w:val="00DA20DD"/>
    <w:rsid w:val="00DA2408"/>
    <w:rsid w:val="00DA25C4"/>
    <w:rsid w:val="00DA26CD"/>
    <w:rsid w:val="00DA27B5"/>
    <w:rsid w:val="00DA2889"/>
    <w:rsid w:val="00DA28F5"/>
    <w:rsid w:val="00DA2A0C"/>
    <w:rsid w:val="00DA2D54"/>
    <w:rsid w:val="00DA2EE0"/>
    <w:rsid w:val="00DA2F8A"/>
    <w:rsid w:val="00DA3324"/>
    <w:rsid w:val="00DA3473"/>
    <w:rsid w:val="00DA36A6"/>
    <w:rsid w:val="00DA3774"/>
    <w:rsid w:val="00DA38DF"/>
    <w:rsid w:val="00DA3953"/>
    <w:rsid w:val="00DA397E"/>
    <w:rsid w:val="00DA39EF"/>
    <w:rsid w:val="00DA3A77"/>
    <w:rsid w:val="00DA3CC4"/>
    <w:rsid w:val="00DA407D"/>
    <w:rsid w:val="00DA41B3"/>
    <w:rsid w:val="00DA4263"/>
    <w:rsid w:val="00DA42E8"/>
    <w:rsid w:val="00DA44BB"/>
    <w:rsid w:val="00DA4595"/>
    <w:rsid w:val="00DA45B7"/>
    <w:rsid w:val="00DA4A0C"/>
    <w:rsid w:val="00DA4CE0"/>
    <w:rsid w:val="00DA4D55"/>
    <w:rsid w:val="00DA4EC0"/>
    <w:rsid w:val="00DA5734"/>
    <w:rsid w:val="00DA57F0"/>
    <w:rsid w:val="00DA5868"/>
    <w:rsid w:val="00DA594C"/>
    <w:rsid w:val="00DA59EC"/>
    <w:rsid w:val="00DA5ABC"/>
    <w:rsid w:val="00DA5D5F"/>
    <w:rsid w:val="00DA5EB9"/>
    <w:rsid w:val="00DA62C6"/>
    <w:rsid w:val="00DA6414"/>
    <w:rsid w:val="00DA651D"/>
    <w:rsid w:val="00DA654B"/>
    <w:rsid w:val="00DA673F"/>
    <w:rsid w:val="00DA6A11"/>
    <w:rsid w:val="00DA6AF0"/>
    <w:rsid w:val="00DA6C06"/>
    <w:rsid w:val="00DA6C70"/>
    <w:rsid w:val="00DA6D2D"/>
    <w:rsid w:val="00DA6D6B"/>
    <w:rsid w:val="00DA6F06"/>
    <w:rsid w:val="00DA7099"/>
    <w:rsid w:val="00DA7186"/>
    <w:rsid w:val="00DA71E5"/>
    <w:rsid w:val="00DA7388"/>
    <w:rsid w:val="00DA7603"/>
    <w:rsid w:val="00DA7686"/>
    <w:rsid w:val="00DA7BE8"/>
    <w:rsid w:val="00DA7D79"/>
    <w:rsid w:val="00DB009D"/>
    <w:rsid w:val="00DB04AA"/>
    <w:rsid w:val="00DB0583"/>
    <w:rsid w:val="00DB05A4"/>
    <w:rsid w:val="00DB0AB7"/>
    <w:rsid w:val="00DB0DC8"/>
    <w:rsid w:val="00DB0E6A"/>
    <w:rsid w:val="00DB0EE2"/>
    <w:rsid w:val="00DB1184"/>
    <w:rsid w:val="00DB11D9"/>
    <w:rsid w:val="00DB1345"/>
    <w:rsid w:val="00DB13F4"/>
    <w:rsid w:val="00DB146E"/>
    <w:rsid w:val="00DB1781"/>
    <w:rsid w:val="00DB1896"/>
    <w:rsid w:val="00DB1ACA"/>
    <w:rsid w:val="00DB21AB"/>
    <w:rsid w:val="00DB2536"/>
    <w:rsid w:val="00DB26BF"/>
    <w:rsid w:val="00DB277A"/>
    <w:rsid w:val="00DB2D3E"/>
    <w:rsid w:val="00DB2D7E"/>
    <w:rsid w:val="00DB2FA5"/>
    <w:rsid w:val="00DB3091"/>
    <w:rsid w:val="00DB3382"/>
    <w:rsid w:val="00DB351F"/>
    <w:rsid w:val="00DB3D7F"/>
    <w:rsid w:val="00DB3DA3"/>
    <w:rsid w:val="00DB3E1F"/>
    <w:rsid w:val="00DB3FC2"/>
    <w:rsid w:val="00DB3FC8"/>
    <w:rsid w:val="00DB4674"/>
    <w:rsid w:val="00DB46F6"/>
    <w:rsid w:val="00DB4777"/>
    <w:rsid w:val="00DB49B4"/>
    <w:rsid w:val="00DB4E72"/>
    <w:rsid w:val="00DB4F42"/>
    <w:rsid w:val="00DB4F9F"/>
    <w:rsid w:val="00DB520E"/>
    <w:rsid w:val="00DB5293"/>
    <w:rsid w:val="00DB5435"/>
    <w:rsid w:val="00DB5A21"/>
    <w:rsid w:val="00DB5AAE"/>
    <w:rsid w:val="00DB5B7B"/>
    <w:rsid w:val="00DB5CBB"/>
    <w:rsid w:val="00DB5CD6"/>
    <w:rsid w:val="00DB5E3B"/>
    <w:rsid w:val="00DB5EDA"/>
    <w:rsid w:val="00DB5FAB"/>
    <w:rsid w:val="00DB6058"/>
    <w:rsid w:val="00DB6445"/>
    <w:rsid w:val="00DB6464"/>
    <w:rsid w:val="00DB648F"/>
    <w:rsid w:val="00DB65FF"/>
    <w:rsid w:val="00DB66F7"/>
    <w:rsid w:val="00DB683A"/>
    <w:rsid w:val="00DB6A4C"/>
    <w:rsid w:val="00DB6A92"/>
    <w:rsid w:val="00DB6BA9"/>
    <w:rsid w:val="00DB6BF5"/>
    <w:rsid w:val="00DB6E5C"/>
    <w:rsid w:val="00DB6E8C"/>
    <w:rsid w:val="00DB76BE"/>
    <w:rsid w:val="00DB78D0"/>
    <w:rsid w:val="00DB7B6E"/>
    <w:rsid w:val="00DB7E8E"/>
    <w:rsid w:val="00DC0006"/>
    <w:rsid w:val="00DC01C8"/>
    <w:rsid w:val="00DC021D"/>
    <w:rsid w:val="00DC0537"/>
    <w:rsid w:val="00DC06AB"/>
    <w:rsid w:val="00DC07BC"/>
    <w:rsid w:val="00DC0A02"/>
    <w:rsid w:val="00DC0B89"/>
    <w:rsid w:val="00DC0C6A"/>
    <w:rsid w:val="00DC0CE4"/>
    <w:rsid w:val="00DC16FC"/>
    <w:rsid w:val="00DC1973"/>
    <w:rsid w:val="00DC1AD8"/>
    <w:rsid w:val="00DC1B7E"/>
    <w:rsid w:val="00DC1C8F"/>
    <w:rsid w:val="00DC1E12"/>
    <w:rsid w:val="00DC215F"/>
    <w:rsid w:val="00DC2442"/>
    <w:rsid w:val="00DC25A5"/>
    <w:rsid w:val="00DC2626"/>
    <w:rsid w:val="00DC2638"/>
    <w:rsid w:val="00DC280B"/>
    <w:rsid w:val="00DC2DC5"/>
    <w:rsid w:val="00DC2EDB"/>
    <w:rsid w:val="00DC2F7B"/>
    <w:rsid w:val="00DC3131"/>
    <w:rsid w:val="00DC322C"/>
    <w:rsid w:val="00DC325E"/>
    <w:rsid w:val="00DC3373"/>
    <w:rsid w:val="00DC34A8"/>
    <w:rsid w:val="00DC34AD"/>
    <w:rsid w:val="00DC3A0A"/>
    <w:rsid w:val="00DC3BC4"/>
    <w:rsid w:val="00DC3CB2"/>
    <w:rsid w:val="00DC3D24"/>
    <w:rsid w:val="00DC430E"/>
    <w:rsid w:val="00DC44AC"/>
    <w:rsid w:val="00DC45F9"/>
    <w:rsid w:val="00DC4765"/>
    <w:rsid w:val="00DC49CC"/>
    <w:rsid w:val="00DC4AA1"/>
    <w:rsid w:val="00DC4EA1"/>
    <w:rsid w:val="00DC4F97"/>
    <w:rsid w:val="00DC50BE"/>
    <w:rsid w:val="00DC51B5"/>
    <w:rsid w:val="00DC5480"/>
    <w:rsid w:val="00DC5788"/>
    <w:rsid w:val="00DC58D0"/>
    <w:rsid w:val="00DC5A2E"/>
    <w:rsid w:val="00DC5A81"/>
    <w:rsid w:val="00DC5AD5"/>
    <w:rsid w:val="00DC5C98"/>
    <w:rsid w:val="00DC5FA7"/>
    <w:rsid w:val="00DC61C9"/>
    <w:rsid w:val="00DC622B"/>
    <w:rsid w:val="00DC650A"/>
    <w:rsid w:val="00DC6AA6"/>
    <w:rsid w:val="00DC7053"/>
    <w:rsid w:val="00DC724F"/>
    <w:rsid w:val="00DC7564"/>
    <w:rsid w:val="00DC78A0"/>
    <w:rsid w:val="00DC7CCE"/>
    <w:rsid w:val="00DC7DEB"/>
    <w:rsid w:val="00DC7F1E"/>
    <w:rsid w:val="00DD041B"/>
    <w:rsid w:val="00DD04C6"/>
    <w:rsid w:val="00DD078A"/>
    <w:rsid w:val="00DD09D5"/>
    <w:rsid w:val="00DD0A68"/>
    <w:rsid w:val="00DD0C63"/>
    <w:rsid w:val="00DD0DBB"/>
    <w:rsid w:val="00DD0F86"/>
    <w:rsid w:val="00DD0FD2"/>
    <w:rsid w:val="00DD1046"/>
    <w:rsid w:val="00DD1074"/>
    <w:rsid w:val="00DD10B1"/>
    <w:rsid w:val="00DD140A"/>
    <w:rsid w:val="00DD1477"/>
    <w:rsid w:val="00DD1609"/>
    <w:rsid w:val="00DD1842"/>
    <w:rsid w:val="00DD187F"/>
    <w:rsid w:val="00DD1AD0"/>
    <w:rsid w:val="00DD20DA"/>
    <w:rsid w:val="00DD23D4"/>
    <w:rsid w:val="00DD26EA"/>
    <w:rsid w:val="00DD2717"/>
    <w:rsid w:val="00DD2954"/>
    <w:rsid w:val="00DD29B1"/>
    <w:rsid w:val="00DD29EB"/>
    <w:rsid w:val="00DD3063"/>
    <w:rsid w:val="00DD3317"/>
    <w:rsid w:val="00DD33C0"/>
    <w:rsid w:val="00DD34D9"/>
    <w:rsid w:val="00DD3715"/>
    <w:rsid w:val="00DD3E98"/>
    <w:rsid w:val="00DD3E9D"/>
    <w:rsid w:val="00DD414B"/>
    <w:rsid w:val="00DD43D0"/>
    <w:rsid w:val="00DD450D"/>
    <w:rsid w:val="00DD471F"/>
    <w:rsid w:val="00DD4A30"/>
    <w:rsid w:val="00DD4A47"/>
    <w:rsid w:val="00DD5246"/>
    <w:rsid w:val="00DD5257"/>
    <w:rsid w:val="00DD5399"/>
    <w:rsid w:val="00DD564C"/>
    <w:rsid w:val="00DD58A9"/>
    <w:rsid w:val="00DD5A5D"/>
    <w:rsid w:val="00DD5AA7"/>
    <w:rsid w:val="00DD5EE8"/>
    <w:rsid w:val="00DD5F4E"/>
    <w:rsid w:val="00DD5F8F"/>
    <w:rsid w:val="00DD608A"/>
    <w:rsid w:val="00DD6141"/>
    <w:rsid w:val="00DD6292"/>
    <w:rsid w:val="00DD639B"/>
    <w:rsid w:val="00DD652D"/>
    <w:rsid w:val="00DD6714"/>
    <w:rsid w:val="00DD6E82"/>
    <w:rsid w:val="00DD6E9D"/>
    <w:rsid w:val="00DD6FBE"/>
    <w:rsid w:val="00DD73E1"/>
    <w:rsid w:val="00DD748F"/>
    <w:rsid w:val="00DD74D0"/>
    <w:rsid w:val="00DD7628"/>
    <w:rsid w:val="00DD7C5E"/>
    <w:rsid w:val="00DD7F28"/>
    <w:rsid w:val="00DE00D0"/>
    <w:rsid w:val="00DE031C"/>
    <w:rsid w:val="00DE03C8"/>
    <w:rsid w:val="00DE059B"/>
    <w:rsid w:val="00DE0683"/>
    <w:rsid w:val="00DE07C4"/>
    <w:rsid w:val="00DE0BA1"/>
    <w:rsid w:val="00DE0D82"/>
    <w:rsid w:val="00DE0EFD"/>
    <w:rsid w:val="00DE10C9"/>
    <w:rsid w:val="00DE11C7"/>
    <w:rsid w:val="00DE1219"/>
    <w:rsid w:val="00DE1343"/>
    <w:rsid w:val="00DE1347"/>
    <w:rsid w:val="00DE17B1"/>
    <w:rsid w:val="00DE1ACF"/>
    <w:rsid w:val="00DE1B8A"/>
    <w:rsid w:val="00DE1D10"/>
    <w:rsid w:val="00DE27A6"/>
    <w:rsid w:val="00DE2811"/>
    <w:rsid w:val="00DE287A"/>
    <w:rsid w:val="00DE2979"/>
    <w:rsid w:val="00DE2AA6"/>
    <w:rsid w:val="00DE2B3D"/>
    <w:rsid w:val="00DE2C4B"/>
    <w:rsid w:val="00DE2EF8"/>
    <w:rsid w:val="00DE2F19"/>
    <w:rsid w:val="00DE307C"/>
    <w:rsid w:val="00DE3560"/>
    <w:rsid w:val="00DE3577"/>
    <w:rsid w:val="00DE3619"/>
    <w:rsid w:val="00DE36AC"/>
    <w:rsid w:val="00DE3810"/>
    <w:rsid w:val="00DE3BD8"/>
    <w:rsid w:val="00DE3FC1"/>
    <w:rsid w:val="00DE43D3"/>
    <w:rsid w:val="00DE4469"/>
    <w:rsid w:val="00DE47E8"/>
    <w:rsid w:val="00DE487C"/>
    <w:rsid w:val="00DE5067"/>
    <w:rsid w:val="00DE5228"/>
    <w:rsid w:val="00DE52EE"/>
    <w:rsid w:val="00DE561F"/>
    <w:rsid w:val="00DE5A63"/>
    <w:rsid w:val="00DE5AAE"/>
    <w:rsid w:val="00DE5BA4"/>
    <w:rsid w:val="00DE5C72"/>
    <w:rsid w:val="00DE5DF0"/>
    <w:rsid w:val="00DE62C4"/>
    <w:rsid w:val="00DE637E"/>
    <w:rsid w:val="00DE6551"/>
    <w:rsid w:val="00DE67E7"/>
    <w:rsid w:val="00DE67EA"/>
    <w:rsid w:val="00DE6C0E"/>
    <w:rsid w:val="00DE7017"/>
    <w:rsid w:val="00DE7408"/>
    <w:rsid w:val="00DE75AC"/>
    <w:rsid w:val="00DE767F"/>
    <w:rsid w:val="00DE779A"/>
    <w:rsid w:val="00DE7800"/>
    <w:rsid w:val="00DE78B9"/>
    <w:rsid w:val="00DE7A1B"/>
    <w:rsid w:val="00DE7A27"/>
    <w:rsid w:val="00DE7AE6"/>
    <w:rsid w:val="00DE7E1F"/>
    <w:rsid w:val="00DE7E6B"/>
    <w:rsid w:val="00DE7E8A"/>
    <w:rsid w:val="00DF020C"/>
    <w:rsid w:val="00DF0243"/>
    <w:rsid w:val="00DF050C"/>
    <w:rsid w:val="00DF0695"/>
    <w:rsid w:val="00DF08F2"/>
    <w:rsid w:val="00DF0A63"/>
    <w:rsid w:val="00DF0B14"/>
    <w:rsid w:val="00DF0C04"/>
    <w:rsid w:val="00DF0F1E"/>
    <w:rsid w:val="00DF0F92"/>
    <w:rsid w:val="00DF1045"/>
    <w:rsid w:val="00DF1082"/>
    <w:rsid w:val="00DF1102"/>
    <w:rsid w:val="00DF1235"/>
    <w:rsid w:val="00DF1A8E"/>
    <w:rsid w:val="00DF1FAA"/>
    <w:rsid w:val="00DF21DE"/>
    <w:rsid w:val="00DF239C"/>
    <w:rsid w:val="00DF23C1"/>
    <w:rsid w:val="00DF249B"/>
    <w:rsid w:val="00DF2552"/>
    <w:rsid w:val="00DF29DB"/>
    <w:rsid w:val="00DF2B0B"/>
    <w:rsid w:val="00DF2B22"/>
    <w:rsid w:val="00DF2DA9"/>
    <w:rsid w:val="00DF3142"/>
    <w:rsid w:val="00DF36ED"/>
    <w:rsid w:val="00DF3735"/>
    <w:rsid w:val="00DF3BA7"/>
    <w:rsid w:val="00DF40E0"/>
    <w:rsid w:val="00DF4140"/>
    <w:rsid w:val="00DF42EA"/>
    <w:rsid w:val="00DF45EA"/>
    <w:rsid w:val="00DF466D"/>
    <w:rsid w:val="00DF480B"/>
    <w:rsid w:val="00DF4C9B"/>
    <w:rsid w:val="00DF4D00"/>
    <w:rsid w:val="00DF5016"/>
    <w:rsid w:val="00DF52C5"/>
    <w:rsid w:val="00DF553D"/>
    <w:rsid w:val="00DF57FC"/>
    <w:rsid w:val="00DF5AC7"/>
    <w:rsid w:val="00DF650E"/>
    <w:rsid w:val="00DF6519"/>
    <w:rsid w:val="00DF6580"/>
    <w:rsid w:val="00DF66EE"/>
    <w:rsid w:val="00DF6839"/>
    <w:rsid w:val="00DF6A6C"/>
    <w:rsid w:val="00DF6EBE"/>
    <w:rsid w:val="00DF70C3"/>
    <w:rsid w:val="00DF73F7"/>
    <w:rsid w:val="00DF7504"/>
    <w:rsid w:val="00DF7718"/>
    <w:rsid w:val="00DF772A"/>
    <w:rsid w:val="00DF794C"/>
    <w:rsid w:val="00DF7D1F"/>
    <w:rsid w:val="00DF7DAD"/>
    <w:rsid w:val="00DF7DAE"/>
    <w:rsid w:val="00DF7E44"/>
    <w:rsid w:val="00DF7EF2"/>
    <w:rsid w:val="00E00D27"/>
    <w:rsid w:val="00E0132E"/>
    <w:rsid w:val="00E013D3"/>
    <w:rsid w:val="00E0157D"/>
    <w:rsid w:val="00E015EA"/>
    <w:rsid w:val="00E0163D"/>
    <w:rsid w:val="00E01695"/>
    <w:rsid w:val="00E0184B"/>
    <w:rsid w:val="00E01961"/>
    <w:rsid w:val="00E01D8F"/>
    <w:rsid w:val="00E01E15"/>
    <w:rsid w:val="00E01E25"/>
    <w:rsid w:val="00E0204D"/>
    <w:rsid w:val="00E02198"/>
    <w:rsid w:val="00E024B3"/>
    <w:rsid w:val="00E0257B"/>
    <w:rsid w:val="00E02838"/>
    <w:rsid w:val="00E028DA"/>
    <w:rsid w:val="00E02E8F"/>
    <w:rsid w:val="00E02E91"/>
    <w:rsid w:val="00E02F1D"/>
    <w:rsid w:val="00E030AD"/>
    <w:rsid w:val="00E0323B"/>
    <w:rsid w:val="00E0345B"/>
    <w:rsid w:val="00E034CA"/>
    <w:rsid w:val="00E03586"/>
    <w:rsid w:val="00E035E1"/>
    <w:rsid w:val="00E03667"/>
    <w:rsid w:val="00E037C1"/>
    <w:rsid w:val="00E03BB5"/>
    <w:rsid w:val="00E03E06"/>
    <w:rsid w:val="00E03E70"/>
    <w:rsid w:val="00E042A4"/>
    <w:rsid w:val="00E043EC"/>
    <w:rsid w:val="00E044DE"/>
    <w:rsid w:val="00E045FC"/>
    <w:rsid w:val="00E04622"/>
    <w:rsid w:val="00E04737"/>
    <w:rsid w:val="00E04902"/>
    <w:rsid w:val="00E04B17"/>
    <w:rsid w:val="00E04ED7"/>
    <w:rsid w:val="00E05079"/>
    <w:rsid w:val="00E05143"/>
    <w:rsid w:val="00E0526F"/>
    <w:rsid w:val="00E05F61"/>
    <w:rsid w:val="00E05FAF"/>
    <w:rsid w:val="00E06520"/>
    <w:rsid w:val="00E0729C"/>
    <w:rsid w:val="00E0731C"/>
    <w:rsid w:val="00E07858"/>
    <w:rsid w:val="00E07A0B"/>
    <w:rsid w:val="00E07BD5"/>
    <w:rsid w:val="00E07F56"/>
    <w:rsid w:val="00E100D1"/>
    <w:rsid w:val="00E10312"/>
    <w:rsid w:val="00E1057E"/>
    <w:rsid w:val="00E1080A"/>
    <w:rsid w:val="00E108BF"/>
    <w:rsid w:val="00E109C2"/>
    <w:rsid w:val="00E109E2"/>
    <w:rsid w:val="00E10B61"/>
    <w:rsid w:val="00E10D72"/>
    <w:rsid w:val="00E10DBE"/>
    <w:rsid w:val="00E10FB5"/>
    <w:rsid w:val="00E110BC"/>
    <w:rsid w:val="00E11121"/>
    <w:rsid w:val="00E115B8"/>
    <w:rsid w:val="00E117D7"/>
    <w:rsid w:val="00E11822"/>
    <w:rsid w:val="00E11A37"/>
    <w:rsid w:val="00E11C12"/>
    <w:rsid w:val="00E11C9D"/>
    <w:rsid w:val="00E1223B"/>
    <w:rsid w:val="00E128EE"/>
    <w:rsid w:val="00E12BB5"/>
    <w:rsid w:val="00E12F5C"/>
    <w:rsid w:val="00E131EB"/>
    <w:rsid w:val="00E1332E"/>
    <w:rsid w:val="00E135DA"/>
    <w:rsid w:val="00E13755"/>
    <w:rsid w:val="00E137D3"/>
    <w:rsid w:val="00E138D9"/>
    <w:rsid w:val="00E1397F"/>
    <w:rsid w:val="00E13AC6"/>
    <w:rsid w:val="00E13B2F"/>
    <w:rsid w:val="00E13B51"/>
    <w:rsid w:val="00E13CC6"/>
    <w:rsid w:val="00E13CDA"/>
    <w:rsid w:val="00E13ED7"/>
    <w:rsid w:val="00E13F26"/>
    <w:rsid w:val="00E13F42"/>
    <w:rsid w:val="00E13F7B"/>
    <w:rsid w:val="00E141D8"/>
    <w:rsid w:val="00E14A9A"/>
    <w:rsid w:val="00E14D07"/>
    <w:rsid w:val="00E14E9F"/>
    <w:rsid w:val="00E14FDD"/>
    <w:rsid w:val="00E15011"/>
    <w:rsid w:val="00E15161"/>
    <w:rsid w:val="00E15298"/>
    <w:rsid w:val="00E1566B"/>
    <w:rsid w:val="00E15796"/>
    <w:rsid w:val="00E16085"/>
    <w:rsid w:val="00E16318"/>
    <w:rsid w:val="00E16693"/>
    <w:rsid w:val="00E16722"/>
    <w:rsid w:val="00E16936"/>
    <w:rsid w:val="00E16D78"/>
    <w:rsid w:val="00E17281"/>
    <w:rsid w:val="00E1732B"/>
    <w:rsid w:val="00E1739F"/>
    <w:rsid w:val="00E17459"/>
    <w:rsid w:val="00E17614"/>
    <w:rsid w:val="00E176FB"/>
    <w:rsid w:val="00E17884"/>
    <w:rsid w:val="00E17CD6"/>
    <w:rsid w:val="00E17E0E"/>
    <w:rsid w:val="00E17FAE"/>
    <w:rsid w:val="00E2015B"/>
    <w:rsid w:val="00E2039C"/>
    <w:rsid w:val="00E207BB"/>
    <w:rsid w:val="00E2097E"/>
    <w:rsid w:val="00E20E06"/>
    <w:rsid w:val="00E20ED6"/>
    <w:rsid w:val="00E20F9B"/>
    <w:rsid w:val="00E212B7"/>
    <w:rsid w:val="00E214C3"/>
    <w:rsid w:val="00E2157E"/>
    <w:rsid w:val="00E21668"/>
    <w:rsid w:val="00E2166B"/>
    <w:rsid w:val="00E21674"/>
    <w:rsid w:val="00E2172C"/>
    <w:rsid w:val="00E21B89"/>
    <w:rsid w:val="00E21B92"/>
    <w:rsid w:val="00E21BCF"/>
    <w:rsid w:val="00E21F31"/>
    <w:rsid w:val="00E21F37"/>
    <w:rsid w:val="00E22236"/>
    <w:rsid w:val="00E2261C"/>
    <w:rsid w:val="00E22D75"/>
    <w:rsid w:val="00E22E03"/>
    <w:rsid w:val="00E22FED"/>
    <w:rsid w:val="00E2337E"/>
    <w:rsid w:val="00E23512"/>
    <w:rsid w:val="00E23794"/>
    <w:rsid w:val="00E238A8"/>
    <w:rsid w:val="00E238D3"/>
    <w:rsid w:val="00E238DA"/>
    <w:rsid w:val="00E23B44"/>
    <w:rsid w:val="00E23E24"/>
    <w:rsid w:val="00E23EB8"/>
    <w:rsid w:val="00E23FBC"/>
    <w:rsid w:val="00E24191"/>
    <w:rsid w:val="00E2457F"/>
    <w:rsid w:val="00E247C0"/>
    <w:rsid w:val="00E24A78"/>
    <w:rsid w:val="00E24AB8"/>
    <w:rsid w:val="00E24B3D"/>
    <w:rsid w:val="00E24B48"/>
    <w:rsid w:val="00E24C20"/>
    <w:rsid w:val="00E2517E"/>
    <w:rsid w:val="00E2551F"/>
    <w:rsid w:val="00E2592C"/>
    <w:rsid w:val="00E259DF"/>
    <w:rsid w:val="00E259F9"/>
    <w:rsid w:val="00E25A26"/>
    <w:rsid w:val="00E25A3A"/>
    <w:rsid w:val="00E25A4F"/>
    <w:rsid w:val="00E25B32"/>
    <w:rsid w:val="00E2617E"/>
    <w:rsid w:val="00E2620A"/>
    <w:rsid w:val="00E265E8"/>
    <w:rsid w:val="00E26753"/>
    <w:rsid w:val="00E26790"/>
    <w:rsid w:val="00E26CC1"/>
    <w:rsid w:val="00E26F5E"/>
    <w:rsid w:val="00E27580"/>
    <w:rsid w:val="00E27714"/>
    <w:rsid w:val="00E2771C"/>
    <w:rsid w:val="00E2783A"/>
    <w:rsid w:val="00E27AC3"/>
    <w:rsid w:val="00E27BF3"/>
    <w:rsid w:val="00E27EB3"/>
    <w:rsid w:val="00E27F9D"/>
    <w:rsid w:val="00E300B6"/>
    <w:rsid w:val="00E30135"/>
    <w:rsid w:val="00E301FE"/>
    <w:rsid w:val="00E30325"/>
    <w:rsid w:val="00E3063D"/>
    <w:rsid w:val="00E3073D"/>
    <w:rsid w:val="00E3086F"/>
    <w:rsid w:val="00E3103E"/>
    <w:rsid w:val="00E31148"/>
    <w:rsid w:val="00E311F4"/>
    <w:rsid w:val="00E313D3"/>
    <w:rsid w:val="00E31ACA"/>
    <w:rsid w:val="00E31D04"/>
    <w:rsid w:val="00E32078"/>
    <w:rsid w:val="00E32577"/>
    <w:rsid w:val="00E3273A"/>
    <w:rsid w:val="00E32822"/>
    <w:rsid w:val="00E32946"/>
    <w:rsid w:val="00E32BAE"/>
    <w:rsid w:val="00E32C87"/>
    <w:rsid w:val="00E32D2B"/>
    <w:rsid w:val="00E32ED8"/>
    <w:rsid w:val="00E3302F"/>
    <w:rsid w:val="00E331D2"/>
    <w:rsid w:val="00E3330E"/>
    <w:rsid w:val="00E334CF"/>
    <w:rsid w:val="00E3350E"/>
    <w:rsid w:val="00E337DE"/>
    <w:rsid w:val="00E33921"/>
    <w:rsid w:val="00E33BE6"/>
    <w:rsid w:val="00E33D2C"/>
    <w:rsid w:val="00E341A3"/>
    <w:rsid w:val="00E342C8"/>
    <w:rsid w:val="00E34437"/>
    <w:rsid w:val="00E34520"/>
    <w:rsid w:val="00E34569"/>
    <w:rsid w:val="00E346F9"/>
    <w:rsid w:val="00E34D7F"/>
    <w:rsid w:val="00E34F34"/>
    <w:rsid w:val="00E35454"/>
    <w:rsid w:val="00E354EB"/>
    <w:rsid w:val="00E35503"/>
    <w:rsid w:val="00E357EC"/>
    <w:rsid w:val="00E359B9"/>
    <w:rsid w:val="00E35A34"/>
    <w:rsid w:val="00E35B52"/>
    <w:rsid w:val="00E35BC9"/>
    <w:rsid w:val="00E35F9D"/>
    <w:rsid w:val="00E361C8"/>
    <w:rsid w:val="00E361F6"/>
    <w:rsid w:val="00E36265"/>
    <w:rsid w:val="00E36377"/>
    <w:rsid w:val="00E36569"/>
    <w:rsid w:val="00E36582"/>
    <w:rsid w:val="00E366B6"/>
    <w:rsid w:val="00E367AC"/>
    <w:rsid w:val="00E36809"/>
    <w:rsid w:val="00E36A1F"/>
    <w:rsid w:val="00E36D82"/>
    <w:rsid w:val="00E36DF2"/>
    <w:rsid w:val="00E37043"/>
    <w:rsid w:val="00E3709F"/>
    <w:rsid w:val="00E3728F"/>
    <w:rsid w:val="00E372BB"/>
    <w:rsid w:val="00E37325"/>
    <w:rsid w:val="00E37426"/>
    <w:rsid w:val="00E376DD"/>
    <w:rsid w:val="00E37730"/>
    <w:rsid w:val="00E37BA4"/>
    <w:rsid w:val="00E37C85"/>
    <w:rsid w:val="00E400F1"/>
    <w:rsid w:val="00E403AE"/>
    <w:rsid w:val="00E407B5"/>
    <w:rsid w:val="00E40F98"/>
    <w:rsid w:val="00E41194"/>
    <w:rsid w:val="00E413C4"/>
    <w:rsid w:val="00E41857"/>
    <w:rsid w:val="00E418C5"/>
    <w:rsid w:val="00E41998"/>
    <w:rsid w:val="00E41A45"/>
    <w:rsid w:val="00E41A96"/>
    <w:rsid w:val="00E41B14"/>
    <w:rsid w:val="00E41D3E"/>
    <w:rsid w:val="00E41D9F"/>
    <w:rsid w:val="00E41ED7"/>
    <w:rsid w:val="00E421E2"/>
    <w:rsid w:val="00E421E4"/>
    <w:rsid w:val="00E423F5"/>
    <w:rsid w:val="00E425E9"/>
    <w:rsid w:val="00E4281C"/>
    <w:rsid w:val="00E429D9"/>
    <w:rsid w:val="00E42C52"/>
    <w:rsid w:val="00E42D2A"/>
    <w:rsid w:val="00E42FB0"/>
    <w:rsid w:val="00E435A0"/>
    <w:rsid w:val="00E4383E"/>
    <w:rsid w:val="00E43873"/>
    <w:rsid w:val="00E43AC0"/>
    <w:rsid w:val="00E43C43"/>
    <w:rsid w:val="00E43CD5"/>
    <w:rsid w:val="00E43E30"/>
    <w:rsid w:val="00E43E40"/>
    <w:rsid w:val="00E43EE2"/>
    <w:rsid w:val="00E442BD"/>
    <w:rsid w:val="00E4446C"/>
    <w:rsid w:val="00E447BA"/>
    <w:rsid w:val="00E44898"/>
    <w:rsid w:val="00E44CEE"/>
    <w:rsid w:val="00E44E3C"/>
    <w:rsid w:val="00E450E9"/>
    <w:rsid w:val="00E45161"/>
    <w:rsid w:val="00E453AD"/>
    <w:rsid w:val="00E455EA"/>
    <w:rsid w:val="00E45644"/>
    <w:rsid w:val="00E45728"/>
    <w:rsid w:val="00E45736"/>
    <w:rsid w:val="00E45995"/>
    <w:rsid w:val="00E45AA5"/>
    <w:rsid w:val="00E45D64"/>
    <w:rsid w:val="00E45F8B"/>
    <w:rsid w:val="00E4626A"/>
    <w:rsid w:val="00E46734"/>
    <w:rsid w:val="00E46A18"/>
    <w:rsid w:val="00E46E10"/>
    <w:rsid w:val="00E46F49"/>
    <w:rsid w:val="00E47251"/>
    <w:rsid w:val="00E4728D"/>
    <w:rsid w:val="00E4732D"/>
    <w:rsid w:val="00E47389"/>
    <w:rsid w:val="00E4742F"/>
    <w:rsid w:val="00E4754E"/>
    <w:rsid w:val="00E47A87"/>
    <w:rsid w:val="00E47F7A"/>
    <w:rsid w:val="00E50234"/>
    <w:rsid w:val="00E505A1"/>
    <w:rsid w:val="00E505EB"/>
    <w:rsid w:val="00E50637"/>
    <w:rsid w:val="00E506A7"/>
    <w:rsid w:val="00E50705"/>
    <w:rsid w:val="00E507B1"/>
    <w:rsid w:val="00E5089C"/>
    <w:rsid w:val="00E50B89"/>
    <w:rsid w:val="00E51063"/>
    <w:rsid w:val="00E5111F"/>
    <w:rsid w:val="00E511B8"/>
    <w:rsid w:val="00E514D0"/>
    <w:rsid w:val="00E51A39"/>
    <w:rsid w:val="00E51D9D"/>
    <w:rsid w:val="00E51E60"/>
    <w:rsid w:val="00E51F0C"/>
    <w:rsid w:val="00E52295"/>
    <w:rsid w:val="00E5242F"/>
    <w:rsid w:val="00E52594"/>
    <w:rsid w:val="00E526FB"/>
    <w:rsid w:val="00E529F6"/>
    <w:rsid w:val="00E52B06"/>
    <w:rsid w:val="00E532D7"/>
    <w:rsid w:val="00E53398"/>
    <w:rsid w:val="00E53827"/>
    <w:rsid w:val="00E538D1"/>
    <w:rsid w:val="00E53962"/>
    <w:rsid w:val="00E53A61"/>
    <w:rsid w:val="00E53AFF"/>
    <w:rsid w:val="00E53B95"/>
    <w:rsid w:val="00E53B9A"/>
    <w:rsid w:val="00E53DB2"/>
    <w:rsid w:val="00E540B8"/>
    <w:rsid w:val="00E54201"/>
    <w:rsid w:val="00E5462A"/>
    <w:rsid w:val="00E54767"/>
    <w:rsid w:val="00E549A1"/>
    <w:rsid w:val="00E54C41"/>
    <w:rsid w:val="00E54E7E"/>
    <w:rsid w:val="00E551A6"/>
    <w:rsid w:val="00E55283"/>
    <w:rsid w:val="00E55419"/>
    <w:rsid w:val="00E554DE"/>
    <w:rsid w:val="00E55534"/>
    <w:rsid w:val="00E5575F"/>
    <w:rsid w:val="00E557FA"/>
    <w:rsid w:val="00E559C8"/>
    <w:rsid w:val="00E55AD3"/>
    <w:rsid w:val="00E55B27"/>
    <w:rsid w:val="00E55C71"/>
    <w:rsid w:val="00E55CD2"/>
    <w:rsid w:val="00E55D9D"/>
    <w:rsid w:val="00E55E83"/>
    <w:rsid w:val="00E56104"/>
    <w:rsid w:val="00E56226"/>
    <w:rsid w:val="00E562FB"/>
    <w:rsid w:val="00E5630D"/>
    <w:rsid w:val="00E5635E"/>
    <w:rsid w:val="00E5661F"/>
    <w:rsid w:val="00E56702"/>
    <w:rsid w:val="00E567FB"/>
    <w:rsid w:val="00E56AE1"/>
    <w:rsid w:val="00E56B80"/>
    <w:rsid w:val="00E56F4C"/>
    <w:rsid w:val="00E5715C"/>
    <w:rsid w:val="00E57472"/>
    <w:rsid w:val="00E576C2"/>
    <w:rsid w:val="00E576F8"/>
    <w:rsid w:val="00E57CB1"/>
    <w:rsid w:val="00E57D19"/>
    <w:rsid w:val="00E60193"/>
    <w:rsid w:val="00E6038E"/>
    <w:rsid w:val="00E6045E"/>
    <w:rsid w:val="00E605A5"/>
    <w:rsid w:val="00E609A1"/>
    <w:rsid w:val="00E611E4"/>
    <w:rsid w:val="00E61465"/>
    <w:rsid w:val="00E61502"/>
    <w:rsid w:val="00E61519"/>
    <w:rsid w:val="00E61705"/>
    <w:rsid w:val="00E6172C"/>
    <w:rsid w:val="00E617A2"/>
    <w:rsid w:val="00E61841"/>
    <w:rsid w:val="00E61D13"/>
    <w:rsid w:val="00E61E60"/>
    <w:rsid w:val="00E61FF7"/>
    <w:rsid w:val="00E62013"/>
    <w:rsid w:val="00E62034"/>
    <w:rsid w:val="00E62132"/>
    <w:rsid w:val="00E62219"/>
    <w:rsid w:val="00E62403"/>
    <w:rsid w:val="00E6251E"/>
    <w:rsid w:val="00E6270A"/>
    <w:rsid w:val="00E6271C"/>
    <w:rsid w:val="00E62800"/>
    <w:rsid w:val="00E62866"/>
    <w:rsid w:val="00E6298C"/>
    <w:rsid w:val="00E6298E"/>
    <w:rsid w:val="00E63197"/>
    <w:rsid w:val="00E63321"/>
    <w:rsid w:val="00E6342C"/>
    <w:rsid w:val="00E63687"/>
    <w:rsid w:val="00E637A2"/>
    <w:rsid w:val="00E63858"/>
    <w:rsid w:val="00E63B75"/>
    <w:rsid w:val="00E63FA0"/>
    <w:rsid w:val="00E64103"/>
    <w:rsid w:val="00E6422C"/>
    <w:rsid w:val="00E6448D"/>
    <w:rsid w:val="00E646B8"/>
    <w:rsid w:val="00E649F8"/>
    <w:rsid w:val="00E64B80"/>
    <w:rsid w:val="00E64D57"/>
    <w:rsid w:val="00E64FD9"/>
    <w:rsid w:val="00E653E9"/>
    <w:rsid w:val="00E653F6"/>
    <w:rsid w:val="00E65417"/>
    <w:rsid w:val="00E65624"/>
    <w:rsid w:val="00E657F0"/>
    <w:rsid w:val="00E6590E"/>
    <w:rsid w:val="00E65B2C"/>
    <w:rsid w:val="00E65BE2"/>
    <w:rsid w:val="00E65D71"/>
    <w:rsid w:val="00E65D73"/>
    <w:rsid w:val="00E65D91"/>
    <w:rsid w:val="00E65E2E"/>
    <w:rsid w:val="00E65EA7"/>
    <w:rsid w:val="00E65EB4"/>
    <w:rsid w:val="00E663A8"/>
    <w:rsid w:val="00E663A9"/>
    <w:rsid w:val="00E663D4"/>
    <w:rsid w:val="00E663D7"/>
    <w:rsid w:val="00E665B2"/>
    <w:rsid w:val="00E666D8"/>
    <w:rsid w:val="00E66C1F"/>
    <w:rsid w:val="00E66DBA"/>
    <w:rsid w:val="00E672B8"/>
    <w:rsid w:val="00E672CF"/>
    <w:rsid w:val="00E67468"/>
    <w:rsid w:val="00E67904"/>
    <w:rsid w:val="00E67AD6"/>
    <w:rsid w:val="00E67E5F"/>
    <w:rsid w:val="00E70047"/>
    <w:rsid w:val="00E70091"/>
    <w:rsid w:val="00E705A0"/>
    <w:rsid w:val="00E70765"/>
    <w:rsid w:val="00E708C9"/>
    <w:rsid w:val="00E70C2A"/>
    <w:rsid w:val="00E70F89"/>
    <w:rsid w:val="00E70FB0"/>
    <w:rsid w:val="00E7153C"/>
    <w:rsid w:val="00E717B4"/>
    <w:rsid w:val="00E71BF4"/>
    <w:rsid w:val="00E71C69"/>
    <w:rsid w:val="00E71F4E"/>
    <w:rsid w:val="00E721D2"/>
    <w:rsid w:val="00E721F9"/>
    <w:rsid w:val="00E722B2"/>
    <w:rsid w:val="00E722D5"/>
    <w:rsid w:val="00E72342"/>
    <w:rsid w:val="00E728A5"/>
    <w:rsid w:val="00E72A93"/>
    <w:rsid w:val="00E72B1E"/>
    <w:rsid w:val="00E72B78"/>
    <w:rsid w:val="00E72DF7"/>
    <w:rsid w:val="00E72E30"/>
    <w:rsid w:val="00E72E60"/>
    <w:rsid w:val="00E7318B"/>
    <w:rsid w:val="00E731C5"/>
    <w:rsid w:val="00E7334B"/>
    <w:rsid w:val="00E734D0"/>
    <w:rsid w:val="00E739D0"/>
    <w:rsid w:val="00E73B67"/>
    <w:rsid w:val="00E73C79"/>
    <w:rsid w:val="00E73D7D"/>
    <w:rsid w:val="00E73D99"/>
    <w:rsid w:val="00E74163"/>
    <w:rsid w:val="00E741FD"/>
    <w:rsid w:val="00E74330"/>
    <w:rsid w:val="00E7451E"/>
    <w:rsid w:val="00E745DD"/>
    <w:rsid w:val="00E7469B"/>
    <w:rsid w:val="00E7473D"/>
    <w:rsid w:val="00E7475D"/>
    <w:rsid w:val="00E74AC0"/>
    <w:rsid w:val="00E75076"/>
    <w:rsid w:val="00E753F3"/>
    <w:rsid w:val="00E758F2"/>
    <w:rsid w:val="00E758F8"/>
    <w:rsid w:val="00E76115"/>
    <w:rsid w:val="00E76744"/>
    <w:rsid w:val="00E7681B"/>
    <w:rsid w:val="00E76832"/>
    <w:rsid w:val="00E76905"/>
    <w:rsid w:val="00E76AC0"/>
    <w:rsid w:val="00E76B7B"/>
    <w:rsid w:val="00E76CB9"/>
    <w:rsid w:val="00E76F66"/>
    <w:rsid w:val="00E7714F"/>
    <w:rsid w:val="00E7731A"/>
    <w:rsid w:val="00E77417"/>
    <w:rsid w:val="00E77742"/>
    <w:rsid w:val="00E77804"/>
    <w:rsid w:val="00E779AA"/>
    <w:rsid w:val="00E77BFE"/>
    <w:rsid w:val="00E77CF6"/>
    <w:rsid w:val="00E77E5F"/>
    <w:rsid w:val="00E800F8"/>
    <w:rsid w:val="00E80423"/>
    <w:rsid w:val="00E80874"/>
    <w:rsid w:val="00E8091A"/>
    <w:rsid w:val="00E809F1"/>
    <w:rsid w:val="00E80C03"/>
    <w:rsid w:val="00E80CCD"/>
    <w:rsid w:val="00E80F2E"/>
    <w:rsid w:val="00E810BF"/>
    <w:rsid w:val="00E81210"/>
    <w:rsid w:val="00E813D9"/>
    <w:rsid w:val="00E8168F"/>
    <w:rsid w:val="00E81732"/>
    <w:rsid w:val="00E817B7"/>
    <w:rsid w:val="00E81918"/>
    <w:rsid w:val="00E81A1D"/>
    <w:rsid w:val="00E81A22"/>
    <w:rsid w:val="00E81CBE"/>
    <w:rsid w:val="00E81CD9"/>
    <w:rsid w:val="00E81EC8"/>
    <w:rsid w:val="00E81FC9"/>
    <w:rsid w:val="00E81FF5"/>
    <w:rsid w:val="00E82335"/>
    <w:rsid w:val="00E8235C"/>
    <w:rsid w:val="00E8276C"/>
    <w:rsid w:val="00E82BDB"/>
    <w:rsid w:val="00E82D1B"/>
    <w:rsid w:val="00E82DFB"/>
    <w:rsid w:val="00E83052"/>
    <w:rsid w:val="00E832C5"/>
    <w:rsid w:val="00E833D5"/>
    <w:rsid w:val="00E83817"/>
    <w:rsid w:val="00E8397C"/>
    <w:rsid w:val="00E83B56"/>
    <w:rsid w:val="00E83DB5"/>
    <w:rsid w:val="00E83E7D"/>
    <w:rsid w:val="00E83EE2"/>
    <w:rsid w:val="00E83F83"/>
    <w:rsid w:val="00E84142"/>
    <w:rsid w:val="00E842C2"/>
    <w:rsid w:val="00E8442F"/>
    <w:rsid w:val="00E84440"/>
    <w:rsid w:val="00E8492B"/>
    <w:rsid w:val="00E84DAC"/>
    <w:rsid w:val="00E84F16"/>
    <w:rsid w:val="00E84F52"/>
    <w:rsid w:val="00E85500"/>
    <w:rsid w:val="00E85635"/>
    <w:rsid w:val="00E85896"/>
    <w:rsid w:val="00E85902"/>
    <w:rsid w:val="00E8595D"/>
    <w:rsid w:val="00E85EBF"/>
    <w:rsid w:val="00E85FFB"/>
    <w:rsid w:val="00E861F5"/>
    <w:rsid w:val="00E86235"/>
    <w:rsid w:val="00E86474"/>
    <w:rsid w:val="00E86531"/>
    <w:rsid w:val="00E8653B"/>
    <w:rsid w:val="00E86DEA"/>
    <w:rsid w:val="00E86DF7"/>
    <w:rsid w:val="00E86EFB"/>
    <w:rsid w:val="00E87134"/>
    <w:rsid w:val="00E875B3"/>
    <w:rsid w:val="00E87775"/>
    <w:rsid w:val="00E878C8"/>
    <w:rsid w:val="00E8794F"/>
    <w:rsid w:val="00E87A6F"/>
    <w:rsid w:val="00E87EF4"/>
    <w:rsid w:val="00E9000F"/>
    <w:rsid w:val="00E900F7"/>
    <w:rsid w:val="00E9014D"/>
    <w:rsid w:val="00E90181"/>
    <w:rsid w:val="00E90307"/>
    <w:rsid w:val="00E90504"/>
    <w:rsid w:val="00E905E2"/>
    <w:rsid w:val="00E905F7"/>
    <w:rsid w:val="00E906C9"/>
    <w:rsid w:val="00E9070F"/>
    <w:rsid w:val="00E907F9"/>
    <w:rsid w:val="00E908E8"/>
    <w:rsid w:val="00E90BFD"/>
    <w:rsid w:val="00E90C7E"/>
    <w:rsid w:val="00E90E54"/>
    <w:rsid w:val="00E90EE0"/>
    <w:rsid w:val="00E91334"/>
    <w:rsid w:val="00E9138C"/>
    <w:rsid w:val="00E9166A"/>
    <w:rsid w:val="00E91FE8"/>
    <w:rsid w:val="00E92268"/>
    <w:rsid w:val="00E92380"/>
    <w:rsid w:val="00E924DB"/>
    <w:rsid w:val="00E925E0"/>
    <w:rsid w:val="00E92617"/>
    <w:rsid w:val="00E92990"/>
    <w:rsid w:val="00E92AD8"/>
    <w:rsid w:val="00E92F7A"/>
    <w:rsid w:val="00E93007"/>
    <w:rsid w:val="00E93012"/>
    <w:rsid w:val="00E93734"/>
    <w:rsid w:val="00E93D2B"/>
    <w:rsid w:val="00E93EAE"/>
    <w:rsid w:val="00E94035"/>
    <w:rsid w:val="00E940EE"/>
    <w:rsid w:val="00E94AA9"/>
    <w:rsid w:val="00E94E28"/>
    <w:rsid w:val="00E94FEC"/>
    <w:rsid w:val="00E950EB"/>
    <w:rsid w:val="00E9521A"/>
    <w:rsid w:val="00E9529A"/>
    <w:rsid w:val="00E95317"/>
    <w:rsid w:val="00E9545F"/>
    <w:rsid w:val="00E954D9"/>
    <w:rsid w:val="00E95516"/>
    <w:rsid w:val="00E956D3"/>
    <w:rsid w:val="00E95858"/>
    <w:rsid w:val="00E95943"/>
    <w:rsid w:val="00E9596A"/>
    <w:rsid w:val="00E95B06"/>
    <w:rsid w:val="00E96065"/>
    <w:rsid w:val="00E960A8"/>
    <w:rsid w:val="00E9612C"/>
    <w:rsid w:val="00E96302"/>
    <w:rsid w:val="00E9646F"/>
    <w:rsid w:val="00E96676"/>
    <w:rsid w:val="00E96FC9"/>
    <w:rsid w:val="00E97194"/>
    <w:rsid w:val="00E9749A"/>
    <w:rsid w:val="00E974A6"/>
    <w:rsid w:val="00E97577"/>
    <w:rsid w:val="00E975C3"/>
    <w:rsid w:val="00E97642"/>
    <w:rsid w:val="00E97789"/>
    <w:rsid w:val="00E97930"/>
    <w:rsid w:val="00E97A1E"/>
    <w:rsid w:val="00E97B97"/>
    <w:rsid w:val="00E97CA3"/>
    <w:rsid w:val="00E97F51"/>
    <w:rsid w:val="00EA0734"/>
    <w:rsid w:val="00EA0737"/>
    <w:rsid w:val="00EA0C1A"/>
    <w:rsid w:val="00EA100E"/>
    <w:rsid w:val="00EA1247"/>
    <w:rsid w:val="00EA1261"/>
    <w:rsid w:val="00EA1384"/>
    <w:rsid w:val="00EA1836"/>
    <w:rsid w:val="00EA183C"/>
    <w:rsid w:val="00EA1A03"/>
    <w:rsid w:val="00EA1A67"/>
    <w:rsid w:val="00EA1AAB"/>
    <w:rsid w:val="00EA1D1B"/>
    <w:rsid w:val="00EA201F"/>
    <w:rsid w:val="00EA2182"/>
    <w:rsid w:val="00EA2190"/>
    <w:rsid w:val="00EA22AE"/>
    <w:rsid w:val="00EA24C9"/>
    <w:rsid w:val="00EA2767"/>
    <w:rsid w:val="00EA2949"/>
    <w:rsid w:val="00EA29A1"/>
    <w:rsid w:val="00EA2E3B"/>
    <w:rsid w:val="00EA2E85"/>
    <w:rsid w:val="00EA2FC8"/>
    <w:rsid w:val="00EA3137"/>
    <w:rsid w:val="00EA3138"/>
    <w:rsid w:val="00EA36B8"/>
    <w:rsid w:val="00EA385D"/>
    <w:rsid w:val="00EA3AFB"/>
    <w:rsid w:val="00EA3C88"/>
    <w:rsid w:val="00EA3E43"/>
    <w:rsid w:val="00EA3F2F"/>
    <w:rsid w:val="00EA41AD"/>
    <w:rsid w:val="00EA4514"/>
    <w:rsid w:val="00EA460A"/>
    <w:rsid w:val="00EA46AA"/>
    <w:rsid w:val="00EA486A"/>
    <w:rsid w:val="00EA49C2"/>
    <w:rsid w:val="00EA54FB"/>
    <w:rsid w:val="00EA567E"/>
    <w:rsid w:val="00EA56B3"/>
    <w:rsid w:val="00EA57FE"/>
    <w:rsid w:val="00EA5868"/>
    <w:rsid w:val="00EA59B9"/>
    <w:rsid w:val="00EA59BE"/>
    <w:rsid w:val="00EA59C0"/>
    <w:rsid w:val="00EA5B9A"/>
    <w:rsid w:val="00EA5C02"/>
    <w:rsid w:val="00EA5D98"/>
    <w:rsid w:val="00EA605E"/>
    <w:rsid w:val="00EA60BF"/>
    <w:rsid w:val="00EA64F2"/>
    <w:rsid w:val="00EA6649"/>
    <w:rsid w:val="00EA6815"/>
    <w:rsid w:val="00EA6935"/>
    <w:rsid w:val="00EA6B1F"/>
    <w:rsid w:val="00EA6C0D"/>
    <w:rsid w:val="00EA6D02"/>
    <w:rsid w:val="00EA6D3C"/>
    <w:rsid w:val="00EA6DD2"/>
    <w:rsid w:val="00EA70AE"/>
    <w:rsid w:val="00EA70BB"/>
    <w:rsid w:val="00EA716D"/>
    <w:rsid w:val="00EA7186"/>
    <w:rsid w:val="00EA757F"/>
    <w:rsid w:val="00EA766A"/>
    <w:rsid w:val="00EA7684"/>
    <w:rsid w:val="00EA7732"/>
    <w:rsid w:val="00EA7786"/>
    <w:rsid w:val="00EA779C"/>
    <w:rsid w:val="00EA7F32"/>
    <w:rsid w:val="00EB02BD"/>
    <w:rsid w:val="00EB0543"/>
    <w:rsid w:val="00EB06CD"/>
    <w:rsid w:val="00EB06D5"/>
    <w:rsid w:val="00EB0811"/>
    <w:rsid w:val="00EB0CF7"/>
    <w:rsid w:val="00EB0D45"/>
    <w:rsid w:val="00EB100E"/>
    <w:rsid w:val="00EB1385"/>
    <w:rsid w:val="00EB156C"/>
    <w:rsid w:val="00EB15F8"/>
    <w:rsid w:val="00EB1821"/>
    <w:rsid w:val="00EB1850"/>
    <w:rsid w:val="00EB19E6"/>
    <w:rsid w:val="00EB1AE8"/>
    <w:rsid w:val="00EB1BA1"/>
    <w:rsid w:val="00EB1DB4"/>
    <w:rsid w:val="00EB2013"/>
    <w:rsid w:val="00EB211C"/>
    <w:rsid w:val="00EB239A"/>
    <w:rsid w:val="00EB2552"/>
    <w:rsid w:val="00EB28BB"/>
    <w:rsid w:val="00EB2B64"/>
    <w:rsid w:val="00EB2B93"/>
    <w:rsid w:val="00EB2D68"/>
    <w:rsid w:val="00EB2E06"/>
    <w:rsid w:val="00EB2E76"/>
    <w:rsid w:val="00EB32C2"/>
    <w:rsid w:val="00EB3497"/>
    <w:rsid w:val="00EB36DB"/>
    <w:rsid w:val="00EB3D83"/>
    <w:rsid w:val="00EB3DE3"/>
    <w:rsid w:val="00EB3F73"/>
    <w:rsid w:val="00EB3FF1"/>
    <w:rsid w:val="00EB45FF"/>
    <w:rsid w:val="00EB47E7"/>
    <w:rsid w:val="00EB495F"/>
    <w:rsid w:val="00EB4A08"/>
    <w:rsid w:val="00EB4B2F"/>
    <w:rsid w:val="00EB4B9A"/>
    <w:rsid w:val="00EB4D0C"/>
    <w:rsid w:val="00EB4D6A"/>
    <w:rsid w:val="00EB4E40"/>
    <w:rsid w:val="00EB4EA2"/>
    <w:rsid w:val="00EB501D"/>
    <w:rsid w:val="00EB5649"/>
    <w:rsid w:val="00EB57AB"/>
    <w:rsid w:val="00EB5BEC"/>
    <w:rsid w:val="00EB5C00"/>
    <w:rsid w:val="00EB5C87"/>
    <w:rsid w:val="00EB5E18"/>
    <w:rsid w:val="00EB63AE"/>
    <w:rsid w:val="00EB6A01"/>
    <w:rsid w:val="00EB6DF5"/>
    <w:rsid w:val="00EB7160"/>
    <w:rsid w:val="00EB7246"/>
    <w:rsid w:val="00EB73B3"/>
    <w:rsid w:val="00EB76F0"/>
    <w:rsid w:val="00EB7793"/>
    <w:rsid w:val="00EB7C88"/>
    <w:rsid w:val="00EB7CFA"/>
    <w:rsid w:val="00EB7EB4"/>
    <w:rsid w:val="00EB7FC9"/>
    <w:rsid w:val="00EC00BC"/>
    <w:rsid w:val="00EC03E7"/>
    <w:rsid w:val="00EC0643"/>
    <w:rsid w:val="00EC093B"/>
    <w:rsid w:val="00EC0ACF"/>
    <w:rsid w:val="00EC0B00"/>
    <w:rsid w:val="00EC0C05"/>
    <w:rsid w:val="00EC0C41"/>
    <w:rsid w:val="00EC0E67"/>
    <w:rsid w:val="00EC100D"/>
    <w:rsid w:val="00EC101B"/>
    <w:rsid w:val="00EC1022"/>
    <w:rsid w:val="00EC109A"/>
    <w:rsid w:val="00EC1237"/>
    <w:rsid w:val="00EC148C"/>
    <w:rsid w:val="00EC1774"/>
    <w:rsid w:val="00EC1820"/>
    <w:rsid w:val="00EC18E0"/>
    <w:rsid w:val="00EC1950"/>
    <w:rsid w:val="00EC19B9"/>
    <w:rsid w:val="00EC19BB"/>
    <w:rsid w:val="00EC1B42"/>
    <w:rsid w:val="00EC1C2B"/>
    <w:rsid w:val="00EC1C6B"/>
    <w:rsid w:val="00EC2081"/>
    <w:rsid w:val="00EC25CB"/>
    <w:rsid w:val="00EC25E5"/>
    <w:rsid w:val="00EC2876"/>
    <w:rsid w:val="00EC28D2"/>
    <w:rsid w:val="00EC33A8"/>
    <w:rsid w:val="00EC37B9"/>
    <w:rsid w:val="00EC3830"/>
    <w:rsid w:val="00EC398C"/>
    <w:rsid w:val="00EC3AB8"/>
    <w:rsid w:val="00EC3BDD"/>
    <w:rsid w:val="00EC3CC6"/>
    <w:rsid w:val="00EC3DF8"/>
    <w:rsid w:val="00EC3E20"/>
    <w:rsid w:val="00EC4312"/>
    <w:rsid w:val="00EC4317"/>
    <w:rsid w:val="00EC45F2"/>
    <w:rsid w:val="00EC464E"/>
    <w:rsid w:val="00EC471E"/>
    <w:rsid w:val="00EC489B"/>
    <w:rsid w:val="00EC4DBD"/>
    <w:rsid w:val="00EC4E9D"/>
    <w:rsid w:val="00EC516D"/>
    <w:rsid w:val="00EC51A4"/>
    <w:rsid w:val="00EC536F"/>
    <w:rsid w:val="00EC57EF"/>
    <w:rsid w:val="00EC600F"/>
    <w:rsid w:val="00EC6021"/>
    <w:rsid w:val="00EC6054"/>
    <w:rsid w:val="00EC6058"/>
    <w:rsid w:val="00EC61D6"/>
    <w:rsid w:val="00EC637F"/>
    <w:rsid w:val="00EC6775"/>
    <w:rsid w:val="00EC6831"/>
    <w:rsid w:val="00EC68DA"/>
    <w:rsid w:val="00EC6A71"/>
    <w:rsid w:val="00EC6B3F"/>
    <w:rsid w:val="00EC6B90"/>
    <w:rsid w:val="00EC6E53"/>
    <w:rsid w:val="00EC708B"/>
    <w:rsid w:val="00EC70CC"/>
    <w:rsid w:val="00EC73E4"/>
    <w:rsid w:val="00EC74DA"/>
    <w:rsid w:val="00EC7508"/>
    <w:rsid w:val="00EC75D4"/>
    <w:rsid w:val="00EC75F6"/>
    <w:rsid w:val="00EC7857"/>
    <w:rsid w:val="00EC7D07"/>
    <w:rsid w:val="00EC7EB8"/>
    <w:rsid w:val="00EC7FD4"/>
    <w:rsid w:val="00ED0003"/>
    <w:rsid w:val="00ED04C6"/>
    <w:rsid w:val="00ED0578"/>
    <w:rsid w:val="00ED0756"/>
    <w:rsid w:val="00ED094B"/>
    <w:rsid w:val="00ED0989"/>
    <w:rsid w:val="00ED0BC1"/>
    <w:rsid w:val="00ED0D62"/>
    <w:rsid w:val="00ED14B2"/>
    <w:rsid w:val="00ED15E2"/>
    <w:rsid w:val="00ED161E"/>
    <w:rsid w:val="00ED1752"/>
    <w:rsid w:val="00ED18EA"/>
    <w:rsid w:val="00ED1A69"/>
    <w:rsid w:val="00ED1AF8"/>
    <w:rsid w:val="00ED1E93"/>
    <w:rsid w:val="00ED1FE1"/>
    <w:rsid w:val="00ED23A1"/>
    <w:rsid w:val="00ED25E1"/>
    <w:rsid w:val="00ED2750"/>
    <w:rsid w:val="00ED279C"/>
    <w:rsid w:val="00ED29FB"/>
    <w:rsid w:val="00ED2A05"/>
    <w:rsid w:val="00ED2A63"/>
    <w:rsid w:val="00ED335A"/>
    <w:rsid w:val="00ED33E9"/>
    <w:rsid w:val="00ED3623"/>
    <w:rsid w:val="00ED378D"/>
    <w:rsid w:val="00ED3853"/>
    <w:rsid w:val="00ED38A8"/>
    <w:rsid w:val="00ED3959"/>
    <w:rsid w:val="00ED3C44"/>
    <w:rsid w:val="00ED3DC0"/>
    <w:rsid w:val="00ED406F"/>
    <w:rsid w:val="00ED425C"/>
    <w:rsid w:val="00ED4291"/>
    <w:rsid w:val="00ED4310"/>
    <w:rsid w:val="00ED4321"/>
    <w:rsid w:val="00ED4759"/>
    <w:rsid w:val="00ED496B"/>
    <w:rsid w:val="00ED4CA8"/>
    <w:rsid w:val="00ED4CFD"/>
    <w:rsid w:val="00ED4D2F"/>
    <w:rsid w:val="00ED4F2A"/>
    <w:rsid w:val="00ED5017"/>
    <w:rsid w:val="00ED507A"/>
    <w:rsid w:val="00ED57A5"/>
    <w:rsid w:val="00ED5855"/>
    <w:rsid w:val="00ED599A"/>
    <w:rsid w:val="00ED5A89"/>
    <w:rsid w:val="00ED5AB0"/>
    <w:rsid w:val="00ED5D43"/>
    <w:rsid w:val="00ED5F24"/>
    <w:rsid w:val="00ED62B1"/>
    <w:rsid w:val="00ED63B7"/>
    <w:rsid w:val="00ED6679"/>
    <w:rsid w:val="00ED685F"/>
    <w:rsid w:val="00ED6997"/>
    <w:rsid w:val="00ED6B62"/>
    <w:rsid w:val="00ED6BE2"/>
    <w:rsid w:val="00ED6BFC"/>
    <w:rsid w:val="00ED6CBC"/>
    <w:rsid w:val="00ED6FE5"/>
    <w:rsid w:val="00ED7796"/>
    <w:rsid w:val="00ED7904"/>
    <w:rsid w:val="00ED7965"/>
    <w:rsid w:val="00ED79AC"/>
    <w:rsid w:val="00ED7C29"/>
    <w:rsid w:val="00ED7FE6"/>
    <w:rsid w:val="00EE00AB"/>
    <w:rsid w:val="00EE0411"/>
    <w:rsid w:val="00EE0584"/>
    <w:rsid w:val="00EE0647"/>
    <w:rsid w:val="00EE06BE"/>
    <w:rsid w:val="00EE0A34"/>
    <w:rsid w:val="00EE0BBC"/>
    <w:rsid w:val="00EE0D5B"/>
    <w:rsid w:val="00EE0DE9"/>
    <w:rsid w:val="00EE0F62"/>
    <w:rsid w:val="00EE0F68"/>
    <w:rsid w:val="00EE13B2"/>
    <w:rsid w:val="00EE15A8"/>
    <w:rsid w:val="00EE1621"/>
    <w:rsid w:val="00EE1773"/>
    <w:rsid w:val="00EE1799"/>
    <w:rsid w:val="00EE1E25"/>
    <w:rsid w:val="00EE2184"/>
    <w:rsid w:val="00EE22ED"/>
    <w:rsid w:val="00EE238A"/>
    <w:rsid w:val="00EE24B2"/>
    <w:rsid w:val="00EE2512"/>
    <w:rsid w:val="00EE2B23"/>
    <w:rsid w:val="00EE2B35"/>
    <w:rsid w:val="00EE2BD0"/>
    <w:rsid w:val="00EE3180"/>
    <w:rsid w:val="00EE325C"/>
    <w:rsid w:val="00EE338E"/>
    <w:rsid w:val="00EE3639"/>
    <w:rsid w:val="00EE3BC4"/>
    <w:rsid w:val="00EE3C75"/>
    <w:rsid w:val="00EE3CD4"/>
    <w:rsid w:val="00EE3D4C"/>
    <w:rsid w:val="00EE3D7C"/>
    <w:rsid w:val="00EE3DF1"/>
    <w:rsid w:val="00EE3E00"/>
    <w:rsid w:val="00EE3F0C"/>
    <w:rsid w:val="00EE40DE"/>
    <w:rsid w:val="00EE4210"/>
    <w:rsid w:val="00EE4232"/>
    <w:rsid w:val="00EE431F"/>
    <w:rsid w:val="00EE44E0"/>
    <w:rsid w:val="00EE46AE"/>
    <w:rsid w:val="00EE4730"/>
    <w:rsid w:val="00EE4A0A"/>
    <w:rsid w:val="00EE4A19"/>
    <w:rsid w:val="00EE4A24"/>
    <w:rsid w:val="00EE4A74"/>
    <w:rsid w:val="00EE4B64"/>
    <w:rsid w:val="00EE4C3C"/>
    <w:rsid w:val="00EE55D4"/>
    <w:rsid w:val="00EE5818"/>
    <w:rsid w:val="00EE58AC"/>
    <w:rsid w:val="00EE5F34"/>
    <w:rsid w:val="00EE628D"/>
    <w:rsid w:val="00EE6C9D"/>
    <w:rsid w:val="00EE6D72"/>
    <w:rsid w:val="00EE6FE3"/>
    <w:rsid w:val="00EE71D8"/>
    <w:rsid w:val="00EE79B9"/>
    <w:rsid w:val="00EE7B82"/>
    <w:rsid w:val="00EE7C56"/>
    <w:rsid w:val="00EE7E2A"/>
    <w:rsid w:val="00EF0064"/>
    <w:rsid w:val="00EF0225"/>
    <w:rsid w:val="00EF053F"/>
    <w:rsid w:val="00EF0B39"/>
    <w:rsid w:val="00EF0BB3"/>
    <w:rsid w:val="00EF0E06"/>
    <w:rsid w:val="00EF0E4F"/>
    <w:rsid w:val="00EF0E73"/>
    <w:rsid w:val="00EF0F97"/>
    <w:rsid w:val="00EF1214"/>
    <w:rsid w:val="00EF128C"/>
    <w:rsid w:val="00EF177F"/>
    <w:rsid w:val="00EF1919"/>
    <w:rsid w:val="00EF1D97"/>
    <w:rsid w:val="00EF1E58"/>
    <w:rsid w:val="00EF2089"/>
    <w:rsid w:val="00EF219A"/>
    <w:rsid w:val="00EF2240"/>
    <w:rsid w:val="00EF25BE"/>
    <w:rsid w:val="00EF25F2"/>
    <w:rsid w:val="00EF266B"/>
    <w:rsid w:val="00EF26EC"/>
    <w:rsid w:val="00EF27FA"/>
    <w:rsid w:val="00EF283F"/>
    <w:rsid w:val="00EF2A74"/>
    <w:rsid w:val="00EF2C4F"/>
    <w:rsid w:val="00EF2E4D"/>
    <w:rsid w:val="00EF3296"/>
    <w:rsid w:val="00EF3815"/>
    <w:rsid w:val="00EF397F"/>
    <w:rsid w:val="00EF3D4F"/>
    <w:rsid w:val="00EF3F59"/>
    <w:rsid w:val="00EF3FC6"/>
    <w:rsid w:val="00EF447A"/>
    <w:rsid w:val="00EF46E7"/>
    <w:rsid w:val="00EF47D1"/>
    <w:rsid w:val="00EF4E9E"/>
    <w:rsid w:val="00EF5492"/>
    <w:rsid w:val="00EF5665"/>
    <w:rsid w:val="00EF5847"/>
    <w:rsid w:val="00EF5A2C"/>
    <w:rsid w:val="00EF5D46"/>
    <w:rsid w:val="00EF5EB7"/>
    <w:rsid w:val="00EF5FF6"/>
    <w:rsid w:val="00EF6140"/>
    <w:rsid w:val="00EF617F"/>
    <w:rsid w:val="00EF63E0"/>
    <w:rsid w:val="00EF63F7"/>
    <w:rsid w:val="00EF645F"/>
    <w:rsid w:val="00EF647D"/>
    <w:rsid w:val="00EF71E7"/>
    <w:rsid w:val="00EF72A0"/>
    <w:rsid w:val="00EF74A5"/>
    <w:rsid w:val="00EF7717"/>
    <w:rsid w:val="00EF7793"/>
    <w:rsid w:val="00EF783E"/>
    <w:rsid w:val="00EF7AE7"/>
    <w:rsid w:val="00EF7BE2"/>
    <w:rsid w:val="00EF7C15"/>
    <w:rsid w:val="00EF7C34"/>
    <w:rsid w:val="00EF7D25"/>
    <w:rsid w:val="00EF7DF6"/>
    <w:rsid w:val="00EF7E3E"/>
    <w:rsid w:val="00F006FF"/>
    <w:rsid w:val="00F007F4"/>
    <w:rsid w:val="00F00AB9"/>
    <w:rsid w:val="00F00D27"/>
    <w:rsid w:val="00F00E1D"/>
    <w:rsid w:val="00F01129"/>
    <w:rsid w:val="00F01189"/>
    <w:rsid w:val="00F016AD"/>
    <w:rsid w:val="00F01713"/>
    <w:rsid w:val="00F017FE"/>
    <w:rsid w:val="00F01823"/>
    <w:rsid w:val="00F018CC"/>
    <w:rsid w:val="00F018EA"/>
    <w:rsid w:val="00F0192F"/>
    <w:rsid w:val="00F019B0"/>
    <w:rsid w:val="00F01A34"/>
    <w:rsid w:val="00F01B9E"/>
    <w:rsid w:val="00F01F00"/>
    <w:rsid w:val="00F02118"/>
    <w:rsid w:val="00F027A2"/>
    <w:rsid w:val="00F027B3"/>
    <w:rsid w:val="00F0288B"/>
    <w:rsid w:val="00F0288F"/>
    <w:rsid w:val="00F02A05"/>
    <w:rsid w:val="00F02ABD"/>
    <w:rsid w:val="00F02E9C"/>
    <w:rsid w:val="00F02F77"/>
    <w:rsid w:val="00F03168"/>
    <w:rsid w:val="00F033B2"/>
    <w:rsid w:val="00F034B3"/>
    <w:rsid w:val="00F03521"/>
    <w:rsid w:val="00F0357C"/>
    <w:rsid w:val="00F0372E"/>
    <w:rsid w:val="00F0394C"/>
    <w:rsid w:val="00F03A8B"/>
    <w:rsid w:val="00F03AFF"/>
    <w:rsid w:val="00F03DDE"/>
    <w:rsid w:val="00F03E66"/>
    <w:rsid w:val="00F03F86"/>
    <w:rsid w:val="00F03FB9"/>
    <w:rsid w:val="00F040FE"/>
    <w:rsid w:val="00F0414A"/>
    <w:rsid w:val="00F04192"/>
    <w:rsid w:val="00F04269"/>
    <w:rsid w:val="00F05160"/>
    <w:rsid w:val="00F05440"/>
    <w:rsid w:val="00F05754"/>
    <w:rsid w:val="00F05963"/>
    <w:rsid w:val="00F059C0"/>
    <w:rsid w:val="00F05AAC"/>
    <w:rsid w:val="00F05E26"/>
    <w:rsid w:val="00F05E50"/>
    <w:rsid w:val="00F05ED8"/>
    <w:rsid w:val="00F05F84"/>
    <w:rsid w:val="00F05F9D"/>
    <w:rsid w:val="00F05FA4"/>
    <w:rsid w:val="00F061F9"/>
    <w:rsid w:val="00F06431"/>
    <w:rsid w:val="00F065FC"/>
    <w:rsid w:val="00F06710"/>
    <w:rsid w:val="00F06865"/>
    <w:rsid w:val="00F068C5"/>
    <w:rsid w:val="00F06C49"/>
    <w:rsid w:val="00F06D37"/>
    <w:rsid w:val="00F06E1A"/>
    <w:rsid w:val="00F06F4D"/>
    <w:rsid w:val="00F07105"/>
    <w:rsid w:val="00F0718D"/>
    <w:rsid w:val="00F0722D"/>
    <w:rsid w:val="00F072F1"/>
    <w:rsid w:val="00F0781F"/>
    <w:rsid w:val="00F07844"/>
    <w:rsid w:val="00F078C8"/>
    <w:rsid w:val="00F07D01"/>
    <w:rsid w:val="00F07D06"/>
    <w:rsid w:val="00F07F7C"/>
    <w:rsid w:val="00F100C4"/>
    <w:rsid w:val="00F100F8"/>
    <w:rsid w:val="00F1042C"/>
    <w:rsid w:val="00F1055F"/>
    <w:rsid w:val="00F1089F"/>
    <w:rsid w:val="00F10950"/>
    <w:rsid w:val="00F10CBD"/>
    <w:rsid w:val="00F10D66"/>
    <w:rsid w:val="00F10F62"/>
    <w:rsid w:val="00F1126E"/>
    <w:rsid w:val="00F112ED"/>
    <w:rsid w:val="00F1151A"/>
    <w:rsid w:val="00F11721"/>
    <w:rsid w:val="00F1193B"/>
    <w:rsid w:val="00F119B0"/>
    <w:rsid w:val="00F11B07"/>
    <w:rsid w:val="00F11C13"/>
    <w:rsid w:val="00F11CEC"/>
    <w:rsid w:val="00F11D47"/>
    <w:rsid w:val="00F11E69"/>
    <w:rsid w:val="00F121B9"/>
    <w:rsid w:val="00F12258"/>
    <w:rsid w:val="00F1235E"/>
    <w:rsid w:val="00F12525"/>
    <w:rsid w:val="00F1257E"/>
    <w:rsid w:val="00F12635"/>
    <w:rsid w:val="00F12668"/>
    <w:rsid w:val="00F126E1"/>
    <w:rsid w:val="00F12AED"/>
    <w:rsid w:val="00F13086"/>
    <w:rsid w:val="00F13534"/>
    <w:rsid w:val="00F137F9"/>
    <w:rsid w:val="00F13A1C"/>
    <w:rsid w:val="00F13A6A"/>
    <w:rsid w:val="00F13C4E"/>
    <w:rsid w:val="00F13FDF"/>
    <w:rsid w:val="00F14183"/>
    <w:rsid w:val="00F14331"/>
    <w:rsid w:val="00F145AE"/>
    <w:rsid w:val="00F14A6F"/>
    <w:rsid w:val="00F14D22"/>
    <w:rsid w:val="00F14D88"/>
    <w:rsid w:val="00F14DA3"/>
    <w:rsid w:val="00F15533"/>
    <w:rsid w:val="00F1585D"/>
    <w:rsid w:val="00F1588A"/>
    <w:rsid w:val="00F15BCE"/>
    <w:rsid w:val="00F15D14"/>
    <w:rsid w:val="00F15D28"/>
    <w:rsid w:val="00F15E1A"/>
    <w:rsid w:val="00F15E71"/>
    <w:rsid w:val="00F16150"/>
    <w:rsid w:val="00F162ED"/>
    <w:rsid w:val="00F1655A"/>
    <w:rsid w:val="00F1665A"/>
    <w:rsid w:val="00F16A01"/>
    <w:rsid w:val="00F16DC9"/>
    <w:rsid w:val="00F16E69"/>
    <w:rsid w:val="00F177DE"/>
    <w:rsid w:val="00F17AEA"/>
    <w:rsid w:val="00F17BCF"/>
    <w:rsid w:val="00F17C9B"/>
    <w:rsid w:val="00F17D20"/>
    <w:rsid w:val="00F201ED"/>
    <w:rsid w:val="00F20237"/>
    <w:rsid w:val="00F207D8"/>
    <w:rsid w:val="00F207F2"/>
    <w:rsid w:val="00F208DF"/>
    <w:rsid w:val="00F209FC"/>
    <w:rsid w:val="00F20AE8"/>
    <w:rsid w:val="00F20BC9"/>
    <w:rsid w:val="00F20BCC"/>
    <w:rsid w:val="00F20C35"/>
    <w:rsid w:val="00F20CAB"/>
    <w:rsid w:val="00F20F5C"/>
    <w:rsid w:val="00F20FFF"/>
    <w:rsid w:val="00F21095"/>
    <w:rsid w:val="00F21180"/>
    <w:rsid w:val="00F21189"/>
    <w:rsid w:val="00F212DA"/>
    <w:rsid w:val="00F213F1"/>
    <w:rsid w:val="00F21637"/>
    <w:rsid w:val="00F21647"/>
    <w:rsid w:val="00F219D9"/>
    <w:rsid w:val="00F21A37"/>
    <w:rsid w:val="00F21C35"/>
    <w:rsid w:val="00F21E09"/>
    <w:rsid w:val="00F21FE2"/>
    <w:rsid w:val="00F21FF9"/>
    <w:rsid w:val="00F2207C"/>
    <w:rsid w:val="00F221C2"/>
    <w:rsid w:val="00F2242D"/>
    <w:rsid w:val="00F2257C"/>
    <w:rsid w:val="00F225D9"/>
    <w:rsid w:val="00F22740"/>
    <w:rsid w:val="00F2342C"/>
    <w:rsid w:val="00F237BA"/>
    <w:rsid w:val="00F2386C"/>
    <w:rsid w:val="00F23981"/>
    <w:rsid w:val="00F23F5D"/>
    <w:rsid w:val="00F2414A"/>
    <w:rsid w:val="00F2437B"/>
    <w:rsid w:val="00F24773"/>
    <w:rsid w:val="00F247AB"/>
    <w:rsid w:val="00F24895"/>
    <w:rsid w:val="00F24AA5"/>
    <w:rsid w:val="00F24BAD"/>
    <w:rsid w:val="00F24D49"/>
    <w:rsid w:val="00F24DBD"/>
    <w:rsid w:val="00F250B7"/>
    <w:rsid w:val="00F251B8"/>
    <w:rsid w:val="00F2637E"/>
    <w:rsid w:val="00F26633"/>
    <w:rsid w:val="00F26A1D"/>
    <w:rsid w:val="00F26AC0"/>
    <w:rsid w:val="00F26B1E"/>
    <w:rsid w:val="00F26BC1"/>
    <w:rsid w:val="00F26CE4"/>
    <w:rsid w:val="00F26D43"/>
    <w:rsid w:val="00F26D4B"/>
    <w:rsid w:val="00F26E02"/>
    <w:rsid w:val="00F26F3C"/>
    <w:rsid w:val="00F26F41"/>
    <w:rsid w:val="00F26F86"/>
    <w:rsid w:val="00F26FA5"/>
    <w:rsid w:val="00F26FC0"/>
    <w:rsid w:val="00F270C4"/>
    <w:rsid w:val="00F271A2"/>
    <w:rsid w:val="00F27273"/>
    <w:rsid w:val="00F27292"/>
    <w:rsid w:val="00F272D9"/>
    <w:rsid w:val="00F27444"/>
    <w:rsid w:val="00F27627"/>
    <w:rsid w:val="00F276DE"/>
    <w:rsid w:val="00F27AB6"/>
    <w:rsid w:val="00F27F18"/>
    <w:rsid w:val="00F300F1"/>
    <w:rsid w:val="00F30113"/>
    <w:rsid w:val="00F30121"/>
    <w:rsid w:val="00F30318"/>
    <w:rsid w:val="00F303FE"/>
    <w:rsid w:val="00F30637"/>
    <w:rsid w:val="00F30756"/>
    <w:rsid w:val="00F30ADE"/>
    <w:rsid w:val="00F30D88"/>
    <w:rsid w:val="00F30EB1"/>
    <w:rsid w:val="00F30EF0"/>
    <w:rsid w:val="00F310E5"/>
    <w:rsid w:val="00F3131A"/>
    <w:rsid w:val="00F31630"/>
    <w:rsid w:val="00F3176F"/>
    <w:rsid w:val="00F3193F"/>
    <w:rsid w:val="00F31A70"/>
    <w:rsid w:val="00F31D9C"/>
    <w:rsid w:val="00F31FC8"/>
    <w:rsid w:val="00F32125"/>
    <w:rsid w:val="00F32202"/>
    <w:rsid w:val="00F32249"/>
    <w:rsid w:val="00F33830"/>
    <w:rsid w:val="00F33940"/>
    <w:rsid w:val="00F342BF"/>
    <w:rsid w:val="00F347E9"/>
    <w:rsid w:val="00F34911"/>
    <w:rsid w:val="00F349F3"/>
    <w:rsid w:val="00F34BBE"/>
    <w:rsid w:val="00F34E73"/>
    <w:rsid w:val="00F34EB1"/>
    <w:rsid w:val="00F350EA"/>
    <w:rsid w:val="00F351E5"/>
    <w:rsid w:val="00F3547B"/>
    <w:rsid w:val="00F3548C"/>
    <w:rsid w:val="00F35CF7"/>
    <w:rsid w:val="00F35E09"/>
    <w:rsid w:val="00F35F44"/>
    <w:rsid w:val="00F361EF"/>
    <w:rsid w:val="00F3624F"/>
    <w:rsid w:val="00F36286"/>
    <w:rsid w:val="00F362E8"/>
    <w:rsid w:val="00F3673F"/>
    <w:rsid w:val="00F367D6"/>
    <w:rsid w:val="00F368D9"/>
    <w:rsid w:val="00F36944"/>
    <w:rsid w:val="00F36B15"/>
    <w:rsid w:val="00F36DC0"/>
    <w:rsid w:val="00F36DF5"/>
    <w:rsid w:val="00F36F1A"/>
    <w:rsid w:val="00F36FE2"/>
    <w:rsid w:val="00F37200"/>
    <w:rsid w:val="00F3738F"/>
    <w:rsid w:val="00F37391"/>
    <w:rsid w:val="00F37989"/>
    <w:rsid w:val="00F37AD5"/>
    <w:rsid w:val="00F37C0A"/>
    <w:rsid w:val="00F37FAC"/>
    <w:rsid w:val="00F40098"/>
    <w:rsid w:val="00F401E1"/>
    <w:rsid w:val="00F404CF"/>
    <w:rsid w:val="00F40746"/>
    <w:rsid w:val="00F40964"/>
    <w:rsid w:val="00F40AAD"/>
    <w:rsid w:val="00F40BA5"/>
    <w:rsid w:val="00F40E8C"/>
    <w:rsid w:val="00F40F59"/>
    <w:rsid w:val="00F40FE0"/>
    <w:rsid w:val="00F412EC"/>
    <w:rsid w:val="00F413B6"/>
    <w:rsid w:val="00F41814"/>
    <w:rsid w:val="00F41979"/>
    <w:rsid w:val="00F41AAE"/>
    <w:rsid w:val="00F41AD6"/>
    <w:rsid w:val="00F41B65"/>
    <w:rsid w:val="00F41B70"/>
    <w:rsid w:val="00F41BB3"/>
    <w:rsid w:val="00F41DD8"/>
    <w:rsid w:val="00F41FE0"/>
    <w:rsid w:val="00F42025"/>
    <w:rsid w:val="00F420A1"/>
    <w:rsid w:val="00F420C2"/>
    <w:rsid w:val="00F4216E"/>
    <w:rsid w:val="00F42432"/>
    <w:rsid w:val="00F42551"/>
    <w:rsid w:val="00F42868"/>
    <w:rsid w:val="00F4297B"/>
    <w:rsid w:val="00F42AFE"/>
    <w:rsid w:val="00F42D2D"/>
    <w:rsid w:val="00F42EA0"/>
    <w:rsid w:val="00F42F36"/>
    <w:rsid w:val="00F43009"/>
    <w:rsid w:val="00F43205"/>
    <w:rsid w:val="00F43227"/>
    <w:rsid w:val="00F43248"/>
    <w:rsid w:val="00F4325F"/>
    <w:rsid w:val="00F437FB"/>
    <w:rsid w:val="00F439D3"/>
    <w:rsid w:val="00F43AB0"/>
    <w:rsid w:val="00F43AF9"/>
    <w:rsid w:val="00F43B75"/>
    <w:rsid w:val="00F43C66"/>
    <w:rsid w:val="00F43EB8"/>
    <w:rsid w:val="00F44051"/>
    <w:rsid w:val="00F44186"/>
    <w:rsid w:val="00F44478"/>
    <w:rsid w:val="00F44479"/>
    <w:rsid w:val="00F444E9"/>
    <w:rsid w:val="00F445BA"/>
    <w:rsid w:val="00F44647"/>
    <w:rsid w:val="00F44AEC"/>
    <w:rsid w:val="00F44B5E"/>
    <w:rsid w:val="00F44B83"/>
    <w:rsid w:val="00F44B90"/>
    <w:rsid w:val="00F44FD7"/>
    <w:rsid w:val="00F4511E"/>
    <w:rsid w:val="00F45170"/>
    <w:rsid w:val="00F4519A"/>
    <w:rsid w:val="00F452DB"/>
    <w:rsid w:val="00F45519"/>
    <w:rsid w:val="00F45653"/>
    <w:rsid w:val="00F45820"/>
    <w:rsid w:val="00F45995"/>
    <w:rsid w:val="00F45BAE"/>
    <w:rsid w:val="00F45C76"/>
    <w:rsid w:val="00F46084"/>
    <w:rsid w:val="00F461F6"/>
    <w:rsid w:val="00F46426"/>
    <w:rsid w:val="00F46594"/>
    <w:rsid w:val="00F46846"/>
    <w:rsid w:val="00F468A2"/>
    <w:rsid w:val="00F46B2C"/>
    <w:rsid w:val="00F46C42"/>
    <w:rsid w:val="00F46F9D"/>
    <w:rsid w:val="00F47106"/>
    <w:rsid w:val="00F471C1"/>
    <w:rsid w:val="00F472C0"/>
    <w:rsid w:val="00F472FB"/>
    <w:rsid w:val="00F473C3"/>
    <w:rsid w:val="00F47508"/>
    <w:rsid w:val="00F47614"/>
    <w:rsid w:val="00F476A6"/>
    <w:rsid w:val="00F500ED"/>
    <w:rsid w:val="00F50278"/>
    <w:rsid w:val="00F506FF"/>
    <w:rsid w:val="00F5072E"/>
    <w:rsid w:val="00F50B49"/>
    <w:rsid w:val="00F50BA3"/>
    <w:rsid w:val="00F50F9A"/>
    <w:rsid w:val="00F51651"/>
    <w:rsid w:val="00F51999"/>
    <w:rsid w:val="00F51BFD"/>
    <w:rsid w:val="00F51DCA"/>
    <w:rsid w:val="00F5207D"/>
    <w:rsid w:val="00F5270B"/>
    <w:rsid w:val="00F52750"/>
    <w:rsid w:val="00F527B4"/>
    <w:rsid w:val="00F5286D"/>
    <w:rsid w:val="00F52CA0"/>
    <w:rsid w:val="00F52F5A"/>
    <w:rsid w:val="00F532A7"/>
    <w:rsid w:val="00F533CC"/>
    <w:rsid w:val="00F53B49"/>
    <w:rsid w:val="00F53C4A"/>
    <w:rsid w:val="00F541EE"/>
    <w:rsid w:val="00F5436C"/>
    <w:rsid w:val="00F54440"/>
    <w:rsid w:val="00F54565"/>
    <w:rsid w:val="00F54613"/>
    <w:rsid w:val="00F5470F"/>
    <w:rsid w:val="00F54858"/>
    <w:rsid w:val="00F54C0B"/>
    <w:rsid w:val="00F54C1A"/>
    <w:rsid w:val="00F54C20"/>
    <w:rsid w:val="00F54D26"/>
    <w:rsid w:val="00F54D67"/>
    <w:rsid w:val="00F54D6E"/>
    <w:rsid w:val="00F54E70"/>
    <w:rsid w:val="00F54E8A"/>
    <w:rsid w:val="00F54F82"/>
    <w:rsid w:val="00F54FC6"/>
    <w:rsid w:val="00F559F8"/>
    <w:rsid w:val="00F55C2A"/>
    <w:rsid w:val="00F55DD8"/>
    <w:rsid w:val="00F55EBB"/>
    <w:rsid w:val="00F560FD"/>
    <w:rsid w:val="00F565C3"/>
    <w:rsid w:val="00F56682"/>
    <w:rsid w:val="00F566F0"/>
    <w:rsid w:val="00F5679F"/>
    <w:rsid w:val="00F5692D"/>
    <w:rsid w:val="00F56A7F"/>
    <w:rsid w:val="00F56B11"/>
    <w:rsid w:val="00F56D9C"/>
    <w:rsid w:val="00F56E97"/>
    <w:rsid w:val="00F5733F"/>
    <w:rsid w:val="00F574B6"/>
    <w:rsid w:val="00F57985"/>
    <w:rsid w:val="00F579EC"/>
    <w:rsid w:val="00F57A56"/>
    <w:rsid w:val="00F57A95"/>
    <w:rsid w:val="00F57B58"/>
    <w:rsid w:val="00F57E01"/>
    <w:rsid w:val="00F57F75"/>
    <w:rsid w:val="00F600ED"/>
    <w:rsid w:val="00F6054E"/>
    <w:rsid w:val="00F6082E"/>
    <w:rsid w:val="00F60847"/>
    <w:rsid w:val="00F6091C"/>
    <w:rsid w:val="00F6097D"/>
    <w:rsid w:val="00F609A5"/>
    <w:rsid w:val="00F613A0"/>
    <w:rsid w:val="00F6190A"/>
    <w:rsid w:val="00F61A64"/>
    <w:rsid w:val="00F61AB1"/>
    <w:rsid w:val="00F61BA0"/>
    <w:rsid w:val="00F61D43"/>
    <w:rsid w:val="00F620AA"/>
    <w:rsid w:val="00F6210E"/>
    <w:rsid w:val="00F6296F"/>
    <w:rsid w:val="00F62AB0"/>
    <w:rsid w:val="00F62B66"/>
    <w:rsid w:val="00F62F32"/>
    <w:rsid w:val="00F63163"/>
    <w:rsid w:val="00F63426"/>
    <w:rsid w:val="00F6346A"/>
    <w:rsid w:val="00F6362B"/>
    <w:rsid w:val="00F63667"/>
    <w:rsid w:val="00F63889"/>
    <w:rsid w:val="00F639DA"/>
    <w:rsid w:val="00F63ADE"/>
    <w:rsid w:val="00F63C2C"/>
    <w:rsid w:val="00F63F5B"/>
    <w:rsid w:val="00F64304"/>
    <w:rsid w:val="00F64334"/>
    <w:rsid w:val="00F643F2"/>
    <w:rsid w:val="00F64448"/>
    <w:rsid w:val="00F64595"/>
    <w:rsid w:val="00F645F6"/>
    <w:rsid w:val="00F64877"/>
    <w:rsid w:val="00F649F7"/>
    <w:rsid w:val="00F64C80"/>
    <w:rsid w:val="00F64F8F"/>
    <w:rsid w:val="00F652EB"/>
    <w:rsid w:val="00F6530D"/>
    <w:rsid w:val="00F657F1"/>
    <w:rsid w:val="00F658D5"/>
    <w:rsid w:val="00F659C4"/>
    <w:rsid w:val="00F65B66"/>
    <w:rsid w:val="00F661F0"/>
    <w:rsid w:val="00F6626A"/>
    <w:rsid w:val="00F66361"/>
    <w:rsid w:val="00F6656E"/>
    <w:rsid w:val="00F6664E"/>
    <w:rsid w:val="00F66765"/>
    <w:rsid w:val="00F66AAF"/>
    <w:rsid w:val="00F66CC5"/>
    <w:rsid w:val="00F66D7A"/>
    <w:rsid w:val="00F66E80"/>
    <w:rsid w:val="00F66F07"/>
    <w:rsid w:val="00F6737F"/>
    <w:rsid w:val="00F6785B"/>
    <w:rsid w:val="00F67AF6"/>
    <w:rsid w:val="00F67B3E"/>
    <w:rsid w:val="00F67DD9"/>
    <w:rsid w:val="00F7005B"/>
    <w:rsid w:val="00F700DA"/>
    <w:rsid w:val="00F703BA"/>
    <w:rsid w:val="00F703CA"/>
    <w:rsid w:val="00F7045F"/>
    <w:rsid w:val="00F705BD"/>
    <w:rsid w:val="00F70ABC"/>
    <w:rsid w:val="00F70AF6"/>
    <w:rsid w:val="00F70B33"/>
    <w:rsid w:val="00F70B9F"/>
    <w:rsid w:val="00F70DFF"/>
    <w:rsid w:val="00F70E0A"/>
    <w:rsid w:val="00F71004"/>
    <w:rsid w:val="00F7111F"/>
    <w:rsid w:val="00F71383"/>
    <w:rsid w:val="00F714F6"/>
    <w:rsid w:val="00F71881"/>
    <w:rsid w:val="00F71A87"/>
    <w:rsid w:val="00F71D09"/>
    <w:rsid w:val="00F71D7E"/>
    <w:rsid w:val="00F71F5F"/>
    <w:rsid w:val="00F7259C"/>
    <w:rsid w:val="00F725BF"/>
    <w:rsid w:val="00F72716"/>
    <w:rsid w:val="00F729A1"/>
    <w:rsid w:val="00F72CC6"/>
    <w:rsid w:val="00F72F75"/>
    <w:rsid w:val="00F73207"/>
    <w:rsid w:val="00F733BD"/>
    <w:rsid w:val="00F73B48"/>
    <w:rsid w:val="00F73C18"/>
    <w:rsid w:val="00F73D85"/>
    <w:rsid w:val="00F7405B"/>
    <w:rsid w:val="00F7417D"/>
    <w:rsid w:val="00F7426D"/>
    <w:rsid w:val="00F743E8"/>
    <w:rsid w:val="00F7440B"/>
    <w:rsid w:val="00F7442F"/>
    <w:rsid w:val="00F74578"/>
    <w:rsid w:val="00F746B9"/>
    <w:rsid w:val="00F7470F"/>
    <w:rsid w:val="00F7483A"/>
    <w:rsid w:val="00F74C3C"/>
    <w:rsid w:val="00F74D7C"/>
    <w:rsid w:val="00F74E4C"/>
    <w:rsid w:val="00F75136"/>
    <w:rsid w:val="00F75522"/>
    <w:rsid w:val="00F75750"/>
    <w:rsid w:val="00F759B3"/>
    <w:rsid w:val="00F75C54"/>
    <w:rsid w:val="00F75C91"/>
    <w:rsid w:val="00F75CD4"/>
    <w:rsid w:val="00F75F42"/>
    <w:rsid w:val="00F75F4C"/>
    <w:rsid w:val="00F75FE8"/>
    <w:rsid w:val="00F762DC"/>
    <w:rsid w:val="00F762EC"/>
    <w:rsid w:val="00F763C9"/>
    <w:rsid w:val="00F76467"/>
    <w:rsid w:val="00F765F7"/>
    <w:rsid w:val="00F76DD7"/>
    <w:rsid w:val="00F771D7"/>
    <w:rsid w:val="00F772A0"/>
    <w:rsid w:val="00F77574"/>
    <w:rsid w:val="00F776EE"/>
    <w:rsid w:val="00F8002D"/>
    <w:rsid w:val="00F8077A"/>
    <w:rsid w:val="00F808EA"/>
    <w:rsid w:val="00F80D2A"/>
    <w:rsid w:val="00F80D66"/>
    <w:rsid w:val="00F80F21"/>
    <w:rsid w:val="00F81099"/>
    <w:rsid w:val="00F810D5"/>
    <w:rsid w:val="00F812A3"/>
    <w:rsid w:val="00F81699"/>
    <w:rsid w:val="00F81851"/>
    <w:rsid w:val="00F819A8"/>
    <w:rsid w:val="00F81A68"/>
    <w:rsid w:val="00F81C11"/>
    <w:rsid w:val="00F81E04"/>
    <w:rsid w:val="00F81E44"/>
    <w:rsid w:val="00F8203E"/>
    <w:rsid w:val="00F82498"/>
    <w:rsid w:val="00F8259C"/>
    <w:rsid w:val="00F82638"/>
    <w:rsid w:val="00F829C4"/>
    <w:rsid w:val="00F82C52"/>
    <w:rsid w:val="00F82CCB"/>
    <w:rsid w:val="00F82F25"/>
    <w:rsid w:val="00F83163"/>
    <w:rsid w:val="00F833B8"/>
    <w:rsid w:val="00F83490"/>
    <w:rsid w:val="00F83B91"/>
    <w:rsid w:val="00F83CEF"/>
    <w:rsid w:val="00F8408A"/>
    <w:rsid w:val="00F8424E"/>
    <w:rsid w:val="00F84368"/>
    <w:rsid w:val="00F844F0"/>
    <w:rsid w:val="00F848C1"/>
    <w:rsid w:val="00F848DC"/>
    <w:rsid w:val="00F84CA0"/>
    <w:rsid w:val="00F84CCF"/>
    <w:rsid w:val="00F84D45"/>
    <w:rsid w:val="00F852A3"/>
    <w:rsid w:val="00F8536A"/>
    <w:rsid w:val="00F85428"/>
    <w:rsid w:val="00F85A9C"/>
    <w:rsid w:val="00F85E63"/>
    <w:rsid w:val="00F86079"/>
    <w:rsid w:val="00F86132"/>
    <w:rsid w:val="00F86236"/>
    <w:rsid w:val="00F86270"/>
    <w:rsid w:val="00F868D7"/>
    <w:rsid w:val="00F8693E"/>
    <w:rsid w:val="00F86A24"/>
    <w:rsid w:val="00F86CA8"/>
    <w:rsid w:val="00F86DCC"/>
    <w:rsid w:val="00F86DDD"/>
    <w:rsid w:val="00F873A3"/>
    <w:rsid w:val="00F875F2"/>
    <w:rsid w:val="00F8768E"/>
    <w:rsid w:val="00F8770A"/>
    <w:rsid w:val="00F87979"/>
    <w:rsid w:val="00F87AE3"/>
    <w:rsid w:val="00F87D79"/>
    <w:rsid w:val="00F87F43"/>
    <w:rsid w:val="00F9019D"/>
    <w:rsid w:val="00F904AE"/>
    <w:rsid w:val="00F9052A"/>
    <w:rsid w:val="00F9057A"/>
    <w:rsid w:val="00F90908"/>
    <w:rsid w:val="00F9096A"/>
    <w:rsid w:val="00F90A16"/>
    <w:rsid w:val="00F90A82"/>
    <w:rsid w:val="00F90B2A"/>
    <w:rsid w:val="00F90E5E"/>
    <w:rsid w:val="00F9102F"/>
    <w:rsid w:val="00F91097"/>
    <w:rsid w:val="00F910E1"/>
    <w:rsid w:val="00F9115F"/>
    <w:rsid w:val="00F91245"/>
    <w:rsid w:val="00F9164F"/>
    <w:rsid w:val="00F91A60"/>
    <w:rsid w:val="00F91A7B"/>
    <w:rsid w:val="00F91B42"/>
    <w:rsid w:val="00F91B5A"/>
    <w:rsid w:val="00F91D11"/>
    <w:rsid w:val="00F91D2F"/>
    <w:rsid w:val="00F91DE1"/>
    <w:rsid w:val="00F921C8"/>
    <w:rsid w:val="00F921F2"/>
    <w:rsid w:val="00F9247D"/>
    <w:rsid w:val="00F92617"/>
    <w:rsid w:val="00F92783"/>
    <w:rsid w:val="00F92787"/>
    <w:rsid w:val="00F9278D"/>
    <w:rsid w:val="00F92A1C"/>
    <w:rsid w:val="00F92AFA"/>
    <w:rsid w:val="00F92BCC"/>
    <w:rsid w:val="00F92D65"/>
    <w:rsid w:val="00F92E60"/>
    <w:rsid w:val="00F92E7F"/>
    <w:rsid w:val="00F92F91"/>
    <w:rsid w:val="00F930DD"/>
    <w:rsid w:val="00F9331A"/>
    <w:rsid w:val="00F93737"/>
    <w:rsid w:val="00F9386D"/>
    <w:rsid w:val="00F93A93"/>
    <w:rsid w:val="00F94365"/>
    <w:rsid w:val="00F944A3"/>
    <w:rsid w:val="00F9452B"/>
    <w:rsid w:val="00F9454E"/>
    <w:rsid w:val="00F949BC"/>
    <w:rsid w:val="00F94C17"/>
    <w:rsid w:val="00F94D25"/>
    <w:rsid w:val="00F94F3A"/>
    <w:rsid w:val="00F950A3"/>
    <w:rsid w:val="00F950AB"/>
    <w:rsid w:val="00F9519B"/>
    <w:rsid w:val="00F952CB"/>
    <w:rsid w:val="00F95426"/>
    <w:rsid w:val="00F95849"/>
    <w:rsid w:val="00F95BC0"/>
    <w:rsid w:val="00F95D00"/>
    <w:rsid w:val="00F95D14"/>
    <w:rsid w:val="00F95E1F"/>
    <w:rsid w:val="00F95E7A"/>
    <w:rsid w:val="00F96344"/>
    <w:rsid w:val="00F96779"/>
    <w:rsid w:val="00F96828"/>
    <w:rsid w:val="00F9693B"/>
    <w:rsid w:val="00F96CE0"/>
    <w:rsid w:val="00F96F57"/>
    <w:rsid w:val="00F97204"/>
    <w:rsid w:val="00F97493"/>
    <w:rsid w:val="00F977A2"/>
    <w:rsid w:val="00F977FF"/>
    <w:rsid w:val="00F978EE"/>
    <w:rsid w:val="00F97C31"/>
    <w:rsid w:val="00F97F6F"/>
    <w:rsid w:val="00F97FAD"/>
    <w:rsid w:val="00FA0117"/>
    <w:rsid w:val="00FA03AD"/>
    <w:rsid w:val="00FA0540"/>
    <w:rsid w:val="00FA0627"/>
    <w:rsid w:val="00FA064E"/>
    <w:rsid w:val="00FA086A"/>
    <w:rsid w:val="00FA0A45"/>
    <w:rsid w:val="00FA0B0C"/>
    <w:rsid w:val="00FA0C8C"/>
    <w:rsid w:val="00FA12A7"/>
    <w:rsid w:val="00FA149E"/>
    <w:rsid w:val="00FA15EC"/>
    <w:rsid w:val="00FA17CA"/>
    <w:rsid w:val="00FA1872"/>
    <w:rsid w:val="00FA1B7F"/>
    <w:rsid w:val="00FA1B97"/>
    <w:rsid w:val="00FA1CC3"/>
    <w:rsid w:val="00FA1CED"/>
    <w:rsid w:val="00FA1EA9"/>
    <w:rsid w:val="00FA2167"/>
    <w:rsid w:val="00FA24E2"/>
    <w:rsid w:val="00FA2D4A"/>
    <w:rsid w:val="00FA2E8D"/>
    <w:rsid w:val="00FA2EBB"/>
    <w:rsid w:val="00FA2F05"/>
    <w:rsid w:val="00FA3380"/>
    <w:rsid w:val="00FA3472"/>
    <w:rsid w:val="00FA34F3"/>
    <w:rsid w:val="00FA3630"/>
    <w:rsid w:val="00FA3A99"/>
    <w:rsid w:val="00FA3BC5"/>
    <w:rsid w:val="00FA3D9E"/>
    <w:rsid w:val="00FA3EA3"/>
    <w:rsid w:val="00FA3F67"/>
    <w:rsid w:val="00FA3FA5"/>
    <w:rsid w:val="00FA407D"/>
    <w:rsid w:val="00FA4181"/>
    <w:rsid w:val="00FA4384"/>
    <w:rsid w:val="00FA4407"/>
    <w:rsid w:val="00FA4920"/>
    <w:rsid w:val="00FA4AD6"/>
    <w:rsid w:val="00FA4BE1"/>
    <w:rsid w:val="00FA4D94"/>
    <w:rsid w:val="00FA5101"/>
    <w:rsid w:val="00FA53B5"/>
    <w:rsid w:val="00FA5496"/>
    <w:rsid w:val="00FA5AFF"/>
    <w:rsid w:val="00FA5B5E"/>
    <w:rsid w:val="00FA5C3F"/>
    <w:rsid w:val="00FA5DAC"/>
    <w:rsid w:val="00FA5ED2"/>
    <w:rsid w:val="00FA5FE9"/>
    <w:rsid w:val="00FA6383"/>
    <w:rsid w:val="00FA64AC"/>
    <w:rsid w:val="00FA6521"/>
    <w:rsid w:val="00FA659E"/>
    <w:rsid w:val="00FA65E0"/>
    <w:rsid w:val="00FA6605"/>
    <w:rsid w:val="00FA6A8A"/>
    <w:rsid w:val="00FA7160"/>
    <w:rsid w:val="00FA7189"/>
    <w:rsid w:val="00FA7814"/>
    <w:rsid w:val="00FA7930"/>
    <w:rsid w:val="00FA7C72"/>
    <w:rsid w:val="00FA7DF1"/>
    <w:rsid w:val="00FA7E06"/>
    <w:rsid w:val="00FA7EC9"/>
    <w:rsid w:val="00FA7F40"/>
    <w:rsid w:val="00FB00D4"/>
    <w:rsid w:val="00FB02EC"/>
    <w:rsid w:val="00FB033C"/>
    <w:rsid w:val="00FB041C"/>
    <w:rsid w:val="00FB067C"/>
    <w:rsid w:val="00FB0695"/>
    <w:rsid w:val="00FB07BF"/>
    <w:rsid w:val="00FB094B"/>
    <w:rsid w:val="00FB0CC1"/>
    <w:rsid w:val="00FB0DCB"/>
    <w:rsid w:val="00FB0E0F"/>
    <w:rsid w:val="00FB0E1A"/>
    <w:rsid w:val="00FB0F55"/>
    <w:rsid w:val="00FB1109"/>
    <w:rsid w:val="00FB114D"/>
    <w:rsid w:val="00FB11B4"/>
    <w:rsid w:val="00FB13B3"/>
    <w:rsid w:val="00FB13E7"/>
    <w:rsid w:val="00FB14B4"/>
    <w:rsid w:val="00FB14CD"/>
    <w:rsid w:val="00FB17B4"/>
    <w:rsid w:val="00FB1862"/>
    <w:rsid w:val="00FB18B8"/>
    <w:rsid w:val="00FB1CF7"/>
    <w:rsid w:val="00FB1FDF"/>
    <w:rsid w:val="00FB2007"/>
    <w:rsid w:val="00FB2144"/>
    <w:rsid w:val="00FB26B1"/>
    <w:rsid w:val="00FB2AC4"/>
    <w:rsid w:val="00FB2BB3"/>
    <w:rsid w:val="00FB2C6C"/>
    <w:rsid w:val="00FB2DDE"/>
    <w:rsid w:val="00FB2E03"/>
    <w:rsid w:val="00FB2E36"/>
    <w:rsid w:val="00FB2FDB"/>
    <w:rsid w:val="00FB3033"/>
    <w:rsid w:val="00FB3129"/>
    <w:rsid w:val="00FB3241"/>
    <w:rsid w:val="00FB3402"/>
    <w:rsid w:val="00FB344C"/>
    <w:rsid w:val="00FB370E"/>
    <w:rsid w:val="00FB381A"/>
    <w:rsid w:val="00FB3B0D"/>
    <w:rsid w:val="00FB3BB8"/>
    <w:rsid w:val="00FB3C1B"/>
    <w:rsid w:val="00FB3D8E"/>
    <w:rsid w:val="00FB3EE9"/>
    <w:rsid w:val="00FB42B1"/>
    <w:rsid w:val="00FB45F5"/>
    <w:rsid w:val="00FB4B83"/>
    <w:rsid w:val="00FB4D79"/>
    <w:rsid w:val="00FB51B2"/>
    <w:rsid w:val="00FB54D7"/>
    <w:rsid w:val="00FB55FB"/>
    <w:rsid w:val="00FB55FE"/>
    <w:rsid w:val="00FB5682"/>
    <w:rsid w:val="00FB5762"/>
    <w:rsid w:val="00FB577E"/>
    <w:rsid w:val="00FB579C"/>
    <w:rsid w:val="00FB5A0B"/>
    <w:rsid w:val="00FB5BBC"/>
    <w:rsid w:val="00FB5EC6"/>
    <w:rsid w:val="00FB5F11"/>
    <w:rsid w:val="00FB6623"/>
    <w:rsid w:val="00FB6632"/>
    <w:rsid w:val="00FB6661"/>
    <w:rsid w:val="00FB6955"/>
    <w:rsid w:val="00FB69EC"/>
    <w:rsid w:val="00FB6A28"/>
    <w:rsid w:val="00FB6A68"/>
    <w:rsid w:val="00FB70EC"/>
    <w:rsid w:val="00FB7212"/>
    <w:rsid w:val="00FB7306"/>
    <w:rsid w:val="00FB7348"/>
    <w:rsid w:val="00FB73F0"/>
    <w:rsid w:val="00FB7712"/>
    <w:rsid w:val="00FB77D7"/>
    <w:rsid w:val="00FB78FE"/>
    <w:rsid w:val="00FB7ACB"/>
    <w:rsid w:val="00FB7F9B"/>
    <w:rsid w:val="00FC0258"/>
    <w:rsid w:val="00FC02D1"/>
    <w:rsid w:val="00FC0334"/>
    <w:rsid w:val="00FC03F2"/>
    <w:rsid w:val="00FC06F8"/>
    <w:rsid w:val="00FC0CB9"/>
    <w:rsid w:val="00FC0EF3"/>
    <w:rsid w:val="00FC0F04"/>
    <w:rsid w:val="00FC102B"/>
    <w:rsid w:val="00FC1049"/>
    <w:rsid w:val="00FC1079"/>
    <w:rsid w:val="00FC111F"/>
    <w:rsid w:val="00FC1279"/>
    <w:rsid w:val="00FC1410"/>
    <w:rsid w:val="00FC1ADC"/>
    <w:rsid w:val="00FC1D1D"/>
    <w:rsid w:val="00FC1E11"/>
    <w:rsid w:val="00FC1F7D"/>
    <w:rsid w:val="00FC2014"/>
    <w:rsid w:val="00FC2550"/>
    <w:rsid w:val="00FC2608"/>
    <w:rsid w:val="00FC269A"/>
    <w:rsid w:val="00FC2802"/>
    <w:rsid w:val="00FC2904"/>
    <w:rsid w:val="00FC2B22"/>
    <w:rsid w:val="00FC2CDE"/>
    <w:rsid w:val="00FC2E1B"/>
    <w:rsid w:val="00FC2ED8"/>
    <w:rsid w:val="00FC2FB5"/>
    <w:rsid w:val="00FC2FBC"/>
    <w:rsid w:val="00FC30E9"/>
    <w:rsid w:val="00FC3416"/>
    <w:rsid w:val="00FC354F"/>
    <w:rsid w:val="00FC359E"/>
    <w:rsid w:val="00FC37AF"/>
    <w:rsid w:val="00FC380A"/>
    <w:rsid w:val="00FC3AEF"/>
    <w:rsid w:val="00FC3B52"/>
    <w:rsid w:val="00FC3EDE"/>
    <w:rsid w:val="00FC40A3"/>
    <w:rsid w:val="00FC41F9"/>
    <w:rsid w:val="00FC425A"/>
    <w:rsid w:val="00FC42BC"/>
    <w:rsid w:val="00FC42FE"/>
    <w:rsid w:val="00FC43AB"/>
    <w:rsid w:val="00FC43DF"/>
    <w:rsid w:val="00FC45BD"/>
    <w:rsid w:val="00FC4670"/>
    <w:rsid w:val="00FC46EC"/>
    <w:rsid w:val="00FC4D47"/>
    <w:rsid w:val="00FC4EB0"/>
    <w:rsid w:val="00FC51AC"/>
    <w:rsid w:val="00FC532E"/>
    <w:rsid w:val="00FC548E"/>
    <w:rsid w:val="00FC58FD"/>
    <w:rsid w:val="00FC5998"/>
    <w:rsid w:val="00FC59BF"/>
    <w:rsid w:val="00FC5D27"/>
    <w:rsid w:val="00FC5D2B"/>
    <w:rsid w:val="00FC5EBF"/>
    <w:rsid w:val="00FC5FE7"/>
    <w:rsid w:val="00FC62EF"/>
    <w:rsid w:val="00FC64D2"/>
    <w:rsid w:val="00FC65A0"/>
    <w:rsid w:val="00FC6676"/>
    <w:rsid w:val="00FC66F0"/>
    <w:rsid w:val="00FC69C5"/>
    <w:rsid w:val="00FC6A2D"/>
    <w:rsid w:val="00FC6A59"/>
    <w:rsid w:val="00FC6C4C"/>
    <w:rsid w:val="00FC70B9"/>
    <w:rsid w:val="00FC72E2"/>
    <w:rsid w:val="00FC7475"/>
    <w:rsid w:val="00FC74C1"/>
    <w:rsid w:val="00FC77FA"/>
    <w:rsid w:val="00FC78F2"/>
    <w:rsid w:val="00FC7984"/>
    <w:rsid w:val="00FC7B69"/>
    <w:rsid w:val="00FC7C9C"/>
    <w:rsid w:val="00FC7DBE"/>
    <w:rsid w:val="00FC7F64"/>
    <w:rsid w:val="00FD00D6"/>
    <w:rsid w:val="00FD01DD"/>
    <w:rsid w:val="00FD030B"/>
    <w:rsid w:val="00FD03AD"/>
    <w:rsid w:val="00FD0431"/>
    <w:rsid w:val="00FD051E"/>
    <w:rsid w:val="00FD089F"/>
    <w:rsid w:val="00FD0920"/>
    <w:rsid w:val="00FD09D1"/>
    <w:rsid w:val="00FD0BD2"/>
    <w:rsid w:val="00FD0CFA"/>
    <w:rsid w:val="00FD120E"/>
    <w:rsid w:val="00FD14F1"/>
    <w:rsid w:val="00FD1982"/>
    <w:rsid w:val="00FD1D43"/>
    <w:rsid w:val="00FD209C"/>
    <w:rsid w:val="00FD22C9"/>
    <w:rsid w:val="00FD233D"/>
    <w:rsid w:val="00FD24E3"/>
    <w:rsid w:val="00FD25A2"/>
    <w:rsid w:val="00FD25F9"/>
    <w:rsid w:val="00FD2744"/>
    <w:rsid w:val="00FD274A"/>
    <w:rsid w:val="00FD2762"/>
    <w:rsid w:val="00FD299B"/>
    <w:rsid w:val="00FD2A4C"/>
    <w:rsid w:val="00FD2F3A"/>
    <w:rsid w:val="00FD2F90"/>
    <w:rsid w:val="00FD31B4"/>
    <w:rsid w:val="00FD3475"/>
    <w:rsid w:val="00FD355B"/>
    <w:rsid w:val="00FD359C"/>
    <w:rsid w:val="00FD3BF7"/>
    <w:rsid w:val="00FD3CF7"/>
    <w:rsid w:val="00FD3D32"/>
    <w:rsid w:val="00FD3E23"/>
    <w:rsid w:val="00FD40DE"/>
    <w:rsid w:val="00FD4123"/>
    <w:rsid w:val="00FD4369"/>
    <w:rsid w:val="00FD48C8"/>
    <w:rsid w:val="00FD4A26"/>
    <w:rsid w:val="00FD4B3F"/>
    <w:rsid w:val="00FD4BEB"/>
    <w:rsid w:val="00FD4D7E"/>
    <w:rsid w:val="00FD4FB4"/>
    <w:rsid w:val="00FD4FBA"/>
    <w:rsid w:val="00FD509F"/>
    <w:rsid w:val="00FD517E"/>
    <w:rsid w:val="00FD543C"/>
    <w:rsid w:val="00FD566B"/>
    <w:rsid w:val="00FD59D3"/>
    <w:rsid w:val="00FD59E4"/>
    <w:rsid w:val="00FD5D10"/>
    <w:rsid w:val="00FD5D39"/>
    <w:rsid w:val="00FD5D5B"/>
    <w:rsid w:val="00FD5D77"/>
    <w:rsid w:val="00FD5D9F"/>
    <w:rsid w:val="00FD5DAE"/>
    <w:rsid w:val="00FD5DDF"/>
    <w:rsid w:val="00FD5F14"/>
    <w:rsid w:val="00FD6355"/>
    <w:rsid w:val="00FD651F"/>
    <w:rsid w:val="00FD6581"/>
    <w:rsid w:val="00FD6A74"/>
    <w:rsid w:val="00FD6A94"/>
    <w:rsid w:val="00FD6E73"/>
    <w:rsid w:val="00FD7037"/>
    <w:rsid w:val="00FD70A9"/>
    <w:rsid w:val="00FD7266"/>
    <w:rsid w:val="00FD76A6"/>
    <w:rsid w:val="00FD7724"/>
    <w:rsid w:val="00FD7864"/>
    <w:rsid w:val="00FD78A8"/>
    <w:rsid w:val="00FD7A52"/>
    <w:rsid w:val="00FD7B84"/>
    <w:rsid w:val="00FD7C14"/>
    <w:rsid w:val="00FD7F17"/>
    <w:rsid w:val="00FE03FE"/>
    <w:rsid w:val="00FE04FD"/>
    <w:rsid w:val="00FE069E"/>
    <w:rsid w:val="00FE086F"/>
    <w:rsid w:val="00FE0AE2"/>
    <w:rsid w:val="00FE0B2F"/>
    <w:rsid w:val="00FE0B91"/>
    <w:rsid w:val="00FE0CD8"/>
    <w:rsid w:val="00FE0E25"/>
    <w:rsid w:val="00FE10EA"/>
    <w:rsid w:val="00FE13B1"/>
    <w:rsid w:val="00FE15A4"/>
    <w:rsid w:val="00FE1844"/>
    <w:rsid w:val="00FE18B2"/>
    <w:rsid w:val="00FE1A75"/>
    <w:rsid w:val="00FE1ABD"/>
    <w:rsid w:val="00FE1C5A"/>
    <w:rsid w:val="00FE1CC7"/>
    <w:rsid w:val="00FE1CCD"/>
    <w:rsid w:val="00FE1D35"/>
    <w:rsid w:val="00FE1D99"/>
    <w:rsid w:val="00FE1E6A"/>
    <w:rsid w:val="00FE21E5"/>
    <w:rsid w:val="00FE228C"/>
    <w:rsid w:val="00FE267D"/>
    <w:rsid w:val="00FE26C1"/>
    <w:rsid w:val="00FE288A"/>
    <w:rsid w:val="00FE29AC"/>
    <w:rsid w:val="00FE2B61"/>
    <w:rsid w:val="00FE2C6E"/>
    <w:rsid w:val="00FE3112"/>
    <w:rsid w:val="00FE32D1"/>
    <w:rsid w:val="00FE39BA"/>
    <w:rsid w:val="00FE39DD"/>
    <w:rsid w:val="00FE39E7"/>
    <w:rsid w:val="00FE3A1B"/>
    <w:rsid w:val="00FE3C57"/>
    <w:rsid w:val="00FE3D8B"/>
    <w:rsid w:val="00FE403A"/>
    <w:rsid w:val="00FE433E"/>
    <w:rsid w:val="00FE47E4"/>
    <w:rsid w:val="00FE4893"/>
    <w:rsid w:val="00FE4987"/>
    <w:rsid w:val="00FE4A46"/>
    <w:rsid w:val="00FE4D99"/>
    <w:rsid w:val="00FE516E"/>
    <w:rsid w:val="00FE517B"/>
    <w:rsid w:val="00FE5250"/>
    <w:rsid w:val="00FE529C"/>
    <w:rsid w:val="00FE52AC"/>
    <w:rsid w:val="00FE5526"/>
    <w:rsid w:val="00FE5719"/>
    <w:rsid w:val="00FE58E6"/>
    <w:rsid w:val="00FE5BA0"/>
    <w:rsid w:val="00FE5C50"/>
    <w:rsid w:val="00FE5CE1"/>
    <w:rsid w:val="00FE5E70"/>
    <w:rsid w:val="00FE5F32"/>
    <w:rsid w:val="00FE6493"/>
    <w:rsid w:val="00FE6609"/>
    <w:rsid w:val="00FE669B"/>
    <w:rsid w:val="00FE6A0D"/>
    <w:rsid w:val="00FE6AC9"/>
    <w:rsid w:val="00FE6BD1"/>
    <w:rsid w:val="00FE6C08"/>
    <w:rsid w:val="00FE7002"/>
    <w:rsid w:val="00FE7096"/>
    <w:rsid w:val="00FE786E"/>
    <w:rsid w:val="00FE793B"/>
    <w:rsid w:val="00FE7BC4"/>
    <w:rsid w:val="00FE7D10"/>
    <w:rsid w:val="00FE7D65"/>
    <w:rsid w:val="00FF0512"/>
    <w:rsid w:val="00FF092E"/>
    <w:rsid w:val="00FF0993"/>
    <w:rsid w:val="00FF0BAB"/>
    <w:rsid w:val="00FF0CE8"/>
    <w:rsid w:val="00FF0F17"/>
    <w:rsid w:val="00FF0FC8"/>
    <w:rsid w:val="00FF1068"/>
    <w:rsid w:val="00FF1072"/>
    <w:rsid w:val="00FF1149"/>
    <w:rsid w:val="00FF1150"/>
    <w:rsid w:val="00FF149A"/>
    <w:rsid w:val="00FF1580"/>
    <w:rsid w:val="00FF1727"/>
    <w:rsid w:val="00FF176E"/>
    <w:rsid w:val="00FF1779"/>
    <w:rsid w:val="00FF183C"/>
    <w:rsid w:val="00FF18CB"/>
    <w:rsid w:val="00FF19AC"/>
    <w:rsid w:val="00FF19D7"/>
    <w:rsid w:val="00FF1B86"/>
    <w:rsid w:val="00FF1BA9"/>
    <w:rsid w:val="00FF1F3E"/>
    <w:rsid w:val="00FF1F82"/>
    <w:rsid w:val="00FF2069"/>
    <w:rsid w:val="00FF22D8"/>
    <w:rsid w:val="00FF2940"/>
    <w:rsid w:val="00FF2AEF"/>
    <w:rsid w:val="00FF2DBC"/>
    <w:rsid w:val="00FF3215"/>
    <w:rsid w:val="00FF32B0"/>
    <w:rsid w:val="00FF3469"/>
    <w:rsid w:val="00FF3691"/>
    <w:rsid w:val="00FF37F2"/>
    <w:rsid w:val="00FF3CBE"/>
    <w:rsid w:val="00FF3F95"/>
    <w:rsid w:val="00FF405D"/>
    <w:rsid w:val="00FF424A"/>
    <w:rsid w:val="00FF46B5"/>
    <w:rsid w:val="00FF4996"/>
    <w:rsid w:val="00FF4BC8"/>
    <w:rsid w:val="00FF4C26"/>
    <w:rsid w:val="00FF4FBC"/>
    <w:rsid w:val="00FF5105"/>
    <w:rsid w:val="00FF5167"/>
    <w:rsid w:val="00FF55DC"/>
    <w:rsid w:val="00FF5736"/>
    <w:rsid w:val="00FF58A3"/>
    <w:rsid w:val="00FF58BE"/>
    <w:rsid w:val="00FF5AD8"/>
    <w:rsid w:val="00FF5BA9"/>
    <w:rsid w:val="00FF5CED"/>
    <w:rsid w:val="00FF5CF2"/>
    <w:rsid w:val="00FF5DE1"/>
    <w:rsid w:val="00FF5F99"/>
    <w:rsid w:val="00FF61DF"/>
    <w:rsid w:val="00FF6265"/>
    <w:rsid w:val="00FF64A0"/>
    <w:rsid w:val="00FF64B7"/>
    <w:rsid w:val="00FF6533"/>
    <w:rsid w:val="00FF656A"/>
    <w:rsid w:val="00FF66EC"/>
    <w:rsid w:val="00FF67CA"/>
    <w:rsid w:val="00FF693B"/>
    <w:rsid w:val="00FF6983"/>
    <w:rsid w:val="00FF6C2F"/>
    <w:rsid w:val="00FF6D31"/>
    <w:rsid w:val="00FF6D4C"/>
    <w:rsid w:val="00FF6E3B"/>
    <w:rsid w:val="00FF6E41"/>
    <w:rsid w:val="00FF6EB8"/>
    <w:rsid w:val="00FF70BC"/>
    <w:rsid w:val="00FF7514"/>
    <w:rsid w:val="00FF76E8"/>
    <w:rsid w:val="00FF789E"/>
    <w:rsid w:val="00FF7A02"/>
    <w:rsid w:val="00FF7FBB"/>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4684"/>
  <w15:docId w15:val="{188EC3E3-54C1-4486-9603-EC778FDC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84"/>
    <w:pPr>
      <w:spacing w:line="480" w:lineRule="auto"/>
      <w:ind w:firstLine="720"/>
      <w:jc w:val="both"/>
    </w:pPr>
    <w:rPr>
      <w:rFonts w:asciiTheme="minorHAnsi" w:hAnsiTheme="minorHAnsi" w:cstheme="minorHAnsi"/>
      <w:sz w:val="24"/>
      <w:szCs w:val="23"/>
    </w:rPr>
  </w:style>
  <w:style w:type="paragraph" w:styleId="Heading1">
    <w:name w:val="heading 1"/>
    <w:next w:val="Normal"/>
    <w:link w:val="Heading1Char"/>
    <w:uiPriority w:val="9"/>
    <w:qFormat/>
    <w:rsid w:val="00711BA8"/>
    <w:pPr>
      <w:keepNext/>
      <w:spacing w:line="480" w:lineRule="auto"/>
      <w:jc w:val="both"/>
      <w:outlineLvl w:val="0"/>
    </w:pPr>
    <w:rPr>
      <w:rFonts w:asciiTheme="minorHAnsi" w:hAnsiTheme="minorHAnsi" w:cstheme="minorHAnsi"/>
      <w:b/>
      <w:bCs/>
      <w:sz w:val="28"/>
      <w:szCs w:val="28"/>
    </w:rPr>
  </w:style>
  <w:style w:type="paragraph" w:styleId="Heading2">
    <w:name w:val="heading 2"/>
    <w:next w:val="Normal"/>
    <w:link w:val="Heading2Char"/>
    <w:uiPriority w:val="9"/>
    <w:unhideWhenUsed/>
    <w:qFormat/>
    <w:rsid w:val="00711BA8"/>
    <w:pPr>
      <w:keepNext/>
      <w:spacing w:line="480" w:lineRule="auto"/>
      <w:outlineLvl w:val="1"/>
    </w:pPr>
    <w:rPr>
      <w:rFonts w:asciiTheme="minorHAnsi" w:hAnsiTheme="minorHAnsi" w:cstheme="minorHAnsi"/>
      <w:bCs/>
      <w:i/>
      <w:sz w:val="24"/>
      <w:szCs w:val="28"/>
    </w:rPr>
  </w:style>
  <w:style w:type="paragraph" w:styleId="Heading3">
    <w:name w:val="heading 3"/>
    <w:basedOn w:val="Normal"/>
    <w:next w:val="Normal"/>
    <w:link w:val="Heading3Char"/>
    <w:qFormat/>
    <w:rsid w:val="0023569D"/>
    <w:pPr>
      <w:keepNext/>
      <w:outlineLvl w:val="2"/>
    </w:pPr>
    <w:rPr>
      <w:rFonts w:ascii="Arial" w:eastAsia="Times New Roman" w:hAnsi="Arial"/>
      <w:b/>
      <w:bCs/>
      <w:sz w:val="16"/>
      <w:szCs w:val="16"/>
      <w:lang w:val="en-GB" w:eastAsia="it-IT"/>
    </w:rPr>
  </w:style>
  <w:style w:type="paragraph" w:styleId="Heading4">
    <w:name w:val="heading 4"/>
    <w:basedOn w:val="Normal"/>
    <w:next w:val="Normal"/>
    <w:link w:val="Heading4Char"/>
    <w:uiPriority w:val="9"/>
    <w:unhideWhenUsed/>
    <w:qFormat/>
    <w:rsid w:val="00433C31"/>
    <w:pPr>
      <w:keepNext/>
      <w:keepLines/>
      <w:spacing w:before="360" w:after="1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18A7"/>
    <w:pPr>
      <w:tabs>
        <w:tab w:val="center" w:pos="4819"/>
        <w:tab w:val="right" w:pos="9638"/>
      </w:tabs>
    </w:pPr>
  </w:style>
  <w:style w:type="character" w:styleId="PageNumber">
    <w:name w:val="page number"/>
    <w:basedOn w:val="DefaultParagraphFont"/>
    <w:rsid w:val="003718A7"/>
  </w:style>
  <w:style w:type="paragraph" w:styleId="Header">
    <w:name w:val="header"/>
    <w:basedOn w:val="Normal"/>
    <w:rsid w:val="001D6ECB"/>
    <w:pPr>
      <w:tabs>
        <w:tab w:val="center" w:pos="4819"/>
        <w:tab w:val="right" w:pos="9638"/>
      </w:tabs>
    </w:pPr>
  </w:style>
  <w:style w:type="character" w:styleId="Hyperlink">
    <w:name w:val="Hyperlink"/>
    <w:uiPriority w:val="99"/>
    <w:unhideWhenUsed/>
    <w:rsid w:val="0022670E"/>
    <w:rPr>
      <w:color w:val="9999CC"/>
      <w:u w:val="single"/>
    </w:rPr>
  </w:style>
  <w:style w:type="paragraph" w:styleId="BalloonText">
    <w:name w:val="Balloon Text"/>
    <w:basedOn w:val="Normal"/>
    <w:link w:val="BalloonTextChar"/>
    <w:uiPriority w:val="99"/>
    <w:semiHidden/>
    <w:unhideWhenUsed/>
    <w:rsid w:val="00866B97"/>
    <w:rPr>
      <w:rFonts w:ascii="Tahoma" w:hAnsi="Tahoma"/>
      <w:sz w:val="16"/>
      <w:szCs w:val="16"/>
    </w:rPr>
  </w:style>
  <w:style w:type="character" w:customStyle="1" w:styleId="BalloonTextChar">
    <w:name w:val="Balloon Text Char"/>
    <w:link w:val="BalloonText"/>
    <w:uiPriority w:val="99"/>
    <w:semiHidden/>
    <w:rsid w:val="00866B97"/>
    <w:rPr>
      <w:rFonts w:ascii="Tahoma" w:hAnsi="Tahoma" w:cs="Tahoma"/>
      <w:sz w:val="16"/>
      <w:szCs w:val="16"/>
    </w:rPr>
  </w:style>
  <w:style w:type="paragraph" w:styleId="HTMLPreformatted">
    <w:name w:val="HTML Preformatted"/>
    <w:basedOn w:val="Normal"/>
    <w:link w:val="HTMLPreformattedChar"/>
    <w:rsid w:val="00494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it-IT" w:eastAsia="it-IT"/>
    </w:rPr>
  </w:style>
  <w:style w:type="character" w:customStyle="1" w:styleId="HTMLPreformattedChar">
    <w:name w:val="HTML Preformatted Char"/>
    <w:link w:val="HTMLPreformatted"/>
    <w:rsid w:val="004941A6"/>
    <w:rPr>
      <w:rFonts w:ascii="Arial Unicode MS" w:eastAsia="Arial Unicode MS" w:hAnsi="Arial Unicode MS" w:cs="Arial Unicode MS"/>
      <w:lang w:val="it-IT" w:eastAsia="it-IT"/>
    </w:rPr>
  </w:style>
  <w:style w:type="character" w:customStyle="1" w:styleId="Heading3Char">
    <w:name w:val="Heading 3 Char"/>
    <w:link w:val="Heading3"/>
    <w:rsid w:val="0023569D"/>
    <w:rPr>
      <w:rFonts w:ascii="Arial" w:eastAsia="Times New Roman" w:hAnsi="Arial" w:cs="Arial"/>
      <w:b/>
      <w:bCs/>
      <w:sz w:val="16"/>
      <w:szCs w:val="16"/>
      <w:lang w:val="en-GB" w:eastAsia="it-IT"/>
    </w:rPr>
  </w:style>
  <w:style w:type="paragraph" w:styleId="FootnoteText">
    <w:name w:val="footnote text"/>
    <w:link w:val="FootnoteTextChar"/>
    <w:uiPriority w:val="99"/>
    <w:unhideWhenUsed/>
    <w:rsid w:val="00AB1084"/>
    <w:pPr>
      <w:jc w:val="both"/>
    </w:pPr>
    <w:rPr>
      <w:rFonts w:ascii="Times New Roman" w:hAnsi="Times New Roman"/>
      <w:szCs w:val="16"/>
    </w:rPr>
  </w:style>
  <w:style w:type="character" w:customStyle="1" w:styleId="FootnoteTextChar">
    <w:name w:val="Footnote Text Char"/>
    <w:basedOn w:val="DefaultParagraphFont"/>
    <w:link w:val="FootnoteText"/>
    <w:uiPriority w:val="99"/>
    <w:rsid w:val="00AB1084"/>
    <w:rPr>
      <w:rFonts w:ascii="Times New Roman" w:hAnsi="Times New Roman"/>
      <w:szCs w:val="16"/>
    </w:rPr>
  </w:style>
  <w:style w:type="character" w:styleId="FootnoteReference">
    <w:name w:val="footnote reference"/>
    <w:uiPriority w:val="99"/>
    <w:semiHidden/>
    <w:unhideWhenUsed/>
    <w:rsid w:val="00941E9D"/>
    <w:rPr>
      <w:vertAlign w:val="superscript"/>
    </w:rPr>
  </w:style>
  <w:style w:type="paragraph" w:styleId="BodyText">
    <w:name w:val="Body Text"/>
    <w:basedOn w:val="Normal"/>
    <w:link w:val="BodyTextChar"/>
    <w:rsid w:val="00D60BC9"/>
    <w:pPr>
      <w:spacing w:line="360" w:lineRule="auto"/>
    </w:pPr>
    <w:rPr>
      <w:rFonts w:eastAsia="Times New Roman"/>
      <w:i/>
      <w:lang w:val="en-GB" w:eastAsia="it-IT"/>
    </w:rPr>
  </w:style>
  <w:style w:type="character" w:customStyle="1" w:styleId="BodyTextChar">
    <w:name w:val="Body Text Char"/>
    <w:link w:val="BodyText"/>
    <w:rsid w:val="00D60BC9"/>
    <w:rPr>
      <w:rFonts w:ascii="Times New Roman" w:eastAsia="Times New Roman" w:hAnsi="Times New Roman"/>
      <w:i/>
      <w:sz w:val="24"/>
      <w:lang w:val="en-GB" w:eastAsia="it-IT"/>
    </w:rPr>
  </w:style>
  <w:style w:type="character" w:customStyle="1" w:styleId="quotetabledata">
    <w:name w:val="quotetabledata"/>
    <w:basedOn w:val="DefaultParagraphFont"/>
    <w:rsid w:val="00D60BC9"/>
  </w:style>
  <w:style w:type="character" w:customStyle="1" w:styleId="refpreview1">
    <w:name w:val="refpreview1"/>
    <w:rsid w:val="00D937A1"/>
    <w:rPr>
      <w:vanish/>
      <w:webHidden w:val="0"/>
      <w:shd w:val="clear" w:color="auto" w:fill="EEEEEE"/>
      <w:specVanish w:val="0"/>
    </w:rPr>
  </w:style>
  <w:style w:type="character" w:styleId="Strong">
    <w:name w:val="Strong"/>
    <w:uiPriority w:val="22"/>
    <w:qFormat/>
    <w:rsid w:val="00D937A1"/>
    <w:rPr>
      <w:b/>
      <w:bCs/>
    </w:rPr>
  </w:style>
  <w:style w:type="character" w:customStyle="1" w:styleId="FooterChar">
    <w:name w:val="Footer Char"/>
    <w:link w:val="Footer"/>
    <w:uiPriority w:val="99"/>
    <w:rsid w:val="00E423F5"/>
    <w:rPr>
      <w:sz w:val="22"/>
      <w:szCs w:val="22"/>
    </w:rPr>
  </w:style>
  <w:style w:type="paragraph" w:styleId="Caption">
    <w:name w:val="caption"/>
    <w:basedOn w:val="Normal"/>
    <w:next w:val="Normal"/>
    <w:qFormat/>
    <w:rsid w:val="000627DB"/>
    <w:rPr>
      <w:rFonts w:ascii="Arial" w:hAnsi="Arial"/>
      <w:b/>
      <w:bCs/>
      <w:sz w:val="20"/>
    </w:rPr>
  </w:style>
  <w:style w:type="table" w:styleId="TableGrid">
    <w:name w:val="Table Grid"/>
    <w:basedOn w:val="TableNormal"/>
    <w:uiPriority w:val="59"/>
    <w:rsid w:val="000123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unhideWhenUsed/>
    <w:rsid w:val="0060196C"/>
    <w:pPr>
      <w:spacing w:after="120"/>
    </w:pPr>
  </w:style>
  <w:style w:type="character" w:customStyle="1" w:styleId="BodyText2Char">
    <w:name w:val="Body Text 2 Char"/>
    <w:link w:val="BodyText2"/>
    <w:uiPriority w:val="99"/>
    <w:semiHidden/>
    <w:rsid w:val="0060196C"/>
    <w:rPr>
      <w:sz w:val="22"/>
      <w:szCs w:val="22"/>
    </w:rPr>
  </w:style>
  <w:style w:type="character" w:customStyle="1" w:styleId="Heading2Char">
    <w:name w:val="Heading 2 Char"/>
    <w:link w:val="Heading2"/>
    <w:uiPriority w:val="9"/>
    <w:rsid w:val="00711BA8"/>
    <w:rPr>
      <w:rFonts w:asciiTheme="minorHAnsi" w:hAnsiTheme="minorHAnsi" w:cstheme="minorHAnsi"/>
      <w:bCs/>
      <w:i/>
      <w:sz w:val="24"/>
      <w:szCs w:val="28"/>
    </w:rPr>
  </w:style>
  <w:style w:type="character" w:customStyle="1" w:styleId="MTEquationSection">
    <w:name w:val="MTEquationSection"/>
    <w:rsid w:val="00C82D93"/>
    <w:rPr>
      <w:rFonts w:ascii="Times New Roman" w:hAnsi="Times New Roman" w:cs="Times New Roman"/>
      <w:b/>
      <w:bCs/>
      <w:vanish/>
      <w:color w:val="FF0000"/>
      <w:sz w:val="24"/>
      <w:szCs w:val="24"/>
      <w:lang w:val="en-GB"/>
    </w:rPr>
  </w:style>
  <w:style w:type="character" w:styleId="CommentReference">
    <w:name w:val="annotation reference"/>
    <w:uiPriority w:val="99"/>
    <w:semiHidden/>
    <w:unhideWhenUsed/>
    <w:rsid w:val="00B5205B"/>
    <w:rPr>
      <w:sz w:val="16"/>
      <w:szCs w:val="16"/>
    </w:rPr>
  </w:style>
  <w:style w:type="paragraph" w:styleId="CommentText">
    <w:name w:val="annotation text"/>
    <w:basedOn w:val="Normal"/>
    <w:link w:val="CommentTextChar"/>
    <w:uiPriority w:val="99"/>
    <w:unhideWhenUsed/>
    <w:rsid w:val="00B5205B"/>
    <w:rPr>
      <w:sz w:val="20"/>
    </w:rPr>
  </w:style>
  <w:style w:type="character" w:customStyle="1" w:styleId="CommentTextChar">
    <w:name w:val="Comment Text Char"/>
    <w:basedOn w:val="DefaultParagraphFont"/>
    <w:link w:val="CommentText"/>
    <w:uiPriority w:val="99"/>
    <w:rsid w:val="00B5205B"/>
  </w:style>
  <w:style w:type="paragraph" w:styleId="CommentSubject">
    <w:name w:val="annotation subject"/>
    <w:basedOn w:val="CommentText"/>
    <w:next w:val="CommentText"/>
    <w:link w:val="CommentSubjectChar"/>
    <w:uiPriority w:val="99"/>
    <w:semiHidden/>
    <w:unhideWhenUsed/>
    <w:rsid w:val="00B5205B"/>
    <w:rPr>
      <w:b/>
      <w:bCs/>
    </w:rPr>
  </w:style>
  <w:style w:type="character" w:customStyle="1" w:styleId="CommentSubjectChar">
    <w:name w:val="Comment Subject Char"/>
    <w:link w:val="CommentSubject"/>
    <w:uiPriority w:val="99"/>
    <w:semiHidden/>
    <w:rsid w:val="00B5205B"/>
    <w:rPr>
      <w:b/>
      <w:bCs/>
    </w:rPr>
  </w:style>
  <w:style w:type="paragraph" w:styleId="ListParagraph">
    <w:name w:val="List Paragraph"/>
    <w:basedOn w:val="Normal"/>
    <w:uiPriority w:val="34"/>
    <w:qFormat/>
    <w:rsid w:val="00DC4AA1"/>
    <w:pPr>
      <w:ind w:left="720"/>
      <w:contextualSpacing/>
    </w:pPr>
  </w:style>
  <w:style w:type="paragraph" w:styleId="Revision">
    <w:name w:val="Revision"/>
    <w:hidden/>
    <w:uiPriority w:val="99"/>
    <w:semiHidden/>
    <w:rsid w:val="00376981"/>
    <w:rPr>
      <w:rFonts w:ascii="Times New Roman" w:hAnsi="Times New Roman"/>
      <w:sz w:val="24"/>
      <w:szCs w:val="22"/>
    </w:rPr>
  </w:style>
  <w:style w:type="character" w:styleId="PlaceholderText">
    <w:name w:val="Placeholder Text"/>
    <w:basedOn w:val="DefaultParagraphFont"/>
    <w:uiPriority w:val="99"/>
    <w:semiHidden/>
    <w:rsid w:val="00002F02"/>
    <w:rPr>
      <w:color w:val="808080"/>
    </w:rPr>
  </w:style>
  <w:style w:type="paragraph" w:styleId="EndnoteText">
    <w:name w:val="endnote text"/>
    <w:basedOn w:val="Normal"/>
    <w:link w:val="EndnoteTextChar"/>
    <w:uiPriority w:val="99"/>
    <w:semiHidden/>
    <w:unhideWhenUsed/>
    <w:rsid w:val="000A01BE"/>
    <w:rPr>
      <w:sz w:val="20"/>
    </w:rPr>
  </w:style>
  <w:style w:type="character" w:customStyle="1" w:styleId="EndnoteTextChar">
    <w:name w:val="Endnote Text Char"/>
    <w:basedOn w:val="DefaultParagraphFont"/>
    <w:link w:val="EndnoteText"/>
    <w:uiPriority w:val="99"/>
    <w:semiHidden/>
    <w:rsid w:val="000A01BE"/>
    <w:rPr>
      <w:rFonts w:ascii="Times New Roman" w:hAnsi="Times New Roman"/>
    </w:rPr>
  </w:style>
  <w:style w:type="character" w:styleId="EndnoteReference">
    <w:name w:val="endnote reference"/>
    <w:basedOn w:val="DefaultParagraphFont"/>
    <w:uiPriority w:val="99"/>
    <w:semiHidden/>
    <w:unhideWhenUsed/>
    <w:rsid w:val="000A01BE"/>
    <w:rPr>
      <w:vertAlign w:val="superscript"/>
    </w:rPr>
  </w:style>
  <w:style w:type="character" w:customStyle="1" w:styleId="Heading1Char">
    <w:name w:val="Heading 1 Char"/>
    <w:basedOn w:val="DefaultParagraphFont"/>
    <w:link w:val="Heading1"/>
    <w:uiPriority w:val="9"/>
    <w:rsid w:val="00711BA8"/>
    <w:rPr>
      <w:rFonts w:asciiTheme="minorHAnsi" w:hAnsiTheme="minorHAnsi" w:cstheme="minorHAnsi"/>
      <w:b/>
      <w:bCs/>
      <w:sz w:val="28"/>
      <w:szCs w:val="28"/>
    </w:rPr>
  </w:style>
  <w:style w:type="character" w:customStyle="1" w:styleId="Heading4Char">
    <w:name w:val="Heading 4 Char"/>
    <w:basedOn w:val="DefaultParagraphFont"/>
    <w:link w:val="Heading4"/>
    <w:uiPriority w:val="9"/>
    <w:rsid w:val="00433C31"/>
    <w:rPr>
      <w:rFonts w:ascii="Times New Roman" w:eastAsiaTheme="majorEastAsia" w:hAnsi="Times New Roman" w:cstheme="majorBidi"/>
      <w:bCs/>
      <w:i/>
      <w:iCs/>
      <w:sz w:val="24"/>
      <w:szCs w:val="22"/>
    </w:rPr>
  </w:style>
  <w:style w:type="paragraph" w:styleId="NormalWeb">
    <w:name w:val="Normal (Web)"/>
    <w:basedOn w:val="Normal"/>
    <w:uiPriority w:val="99"/>
    <w:semiHidden/>
    <w:unhideWhenUsed/>
    <w:rsid w:val="00765856"/>
    <w:pPr>
      <w:spacing w:before="100" w:beforeAutospacing="1" w:after="100" w:afterAutospacing="1"/>
    </w:pPr>
    <w:rPr>
      <w:rFonts w:eastAsia="Times New Roman"/>
      <w:szCs w:val="24"/>
      <w:lang w:val="it-IT" w:eastAsia="it-IT"/>
    </w:rPr>
  </w:style>
  <w:style w:type="character" w:customStyle="1" w:styleId="apple-converted-space">
    <w:name w:val="apple-converted-space"/>
    <w:basedOn w:val="DefaultParagraphFont"/>
    <w:rsid w:val="001428AE"/>
  </w:style>
  <w:style w:type="paragraph" w:customStyle="1" w:styleId="Referenceinthetext">
    <w:name w:val="Reference in the text"/>
    <w:basedOn w:val="EndNoteBibliography"/>
    <w:qFormat/>
    <w:rsid w:val="00711BA8"/>
    <w:pPr>
      <w:spacing w:after="120" w:line="360" w:lineRule="auto"/>
      <w:ind w:left="567" w:hanging="567"/>
    </w:pPr>
    <w:rPr>
      <w:color w:val="222222"/>
      <w:sz w:val="24"/>
      <w:shd w:val="clear" w:color="auto" w:fill="FFFFFF"/>
    </w:rPr>
  </w:style>
  <w:style w:type="paragraph" w:customStyle="1" w:styleId="Default">
    <w:name w:val="Default"/>
    <w:rsid w:val="00004714"/>
    <w:pPr>
      <w:autoSpaceDE w:val="0"/>
      <w:autoSpaceDN w:val="0"/>
      <w:adjustRightInd w:val="0"/>
    </w:pPr>
    <w:rPr>
      <w:rFonts w:ascii="Times New Roman" w:hAnsi="Times New Roman"/>
      <w:color w:val="000000"/>
      <w:sz w:val="24"/>
      <w:szCs w:val="24"/>
    </w:rPr>
  </w:style>
  <w:style w:type="character" w:customStyle="1" w:styleId="st">
    <w:name w:val="st"/>
    <w:basedOn w:val="DefaultParagraphFont"/>
    <w:rsid w:val="002A3B64"/>
  </w:style>
  <w:style w:type="paragraph" w:customStyle="1" w:styleId="EndNoteBibliographyTitle">
    <w:name w:val="EndNote Bibliography Title"/>
    <w:basedOn w:val="Normal"/>
    <w:link w:val="EndNoteBibliographyTitleChar"/>
    <w:rsid w:val="00870ADA"/>
    <w:pPr>
      <w:jc w:val="center"/>
    </w:pPr>
    <w:rPr>
      <w:noProof/>
      <w:sz w:val="22"/>
    </w:rPr>
  </w:style>
  <w:style w:type="character" w:customStyle="1" w:styleId="EndNoteBibliographyTitleChar">
    <w:name w:val="EndNote Bibliography Title Char"/>
    <w:basedOn w:val="DefaultParagraphFont"/>
    <w:link w:val="EndNoteBibliographyTitle"/>
    <w:rsid w:val="00870ADA"/>
    <w:rPr>
      <w:rFonts w:ascii="Times New Roman" w:hAnsi="Times New Roman"/>
      <w:noProof/>
      <w:sz w:val="22"/>
    </w:rPr>
  </w:style>
  <w:style w:type="paragraph" w:customStyle="1" w:styleId="EndNoteBibliography">
    <w:name w:val="EndNote Bibliography"/>
    <w:basedOn w:val="Normal"/>
    <w:link w:val="EndNoteBibliographyChar"/>
    <w:rsid w:val="00870ADA"/>
    <w:rPr>
      <w:noProof/>
      <w:sz w:val="22"/>
    </w:rPr>
  </w:style>
  <w:style w:type="character" w:customStyle="1" w:styleId="EndNoteBibliographyChar">
    <w:name w:val="EndNote Bibliography Char"/>
    <w:basedOn w:val="DefaultParagraphFont"/>
    <w:link w:val="EndNoteBibliography"/>
    <w:rsid w:val="00870ADA"/>
    <w:rPr>
      <w:rFonts w:ascii="Times New Roman" w:hAnsi="Times New Roman"/>
      <w:noProof/>
      <w:sz w:val="22"/>
    </w:rPr>
  </w:style>
  <w:style w:type="character" w:customStyle="1" w:styleId="reference-text">
    <w:name w:val="reference-text"/>
    <w:basedOn w:val="DefaultParagraphFont"/>
    <w:rsid w:val="00E24C20"/>
  </w:style>
  <w:style w:type="character" w:customStyle="1" w:styleId="nlmgiven-names">
    <w:name w:val="nlm_given-names"/>
    <w:basedOn w:val="DefaultParagraphFont"/>
    <w:rsid w:val="00B04326"/>
  </w:style>
  <w:style w:type="character" w:customStyle="1" w:styleId="nlmyear">
    <w:name w:val="nlm_year"/>
    <w:basedOn w:val="DefaultParagraphFont"/>
    <w:rsid w:val="00B04326"/>
  </w:style>
  <w:style w:type="character" w:customStyle="1" w:styleId="nlmarticle-title">
    <w:name w:val="nlm_article-title"/>
    <w:basedOn w:val="DefaultParagraphFont"/>
    <w:rsid w:val="00B04326"/>
  </w:style>
  <w:style w:type="character" w:customStyle="1" w:styleId="nlmfpage">
    <w:name w:val="nlm_fpage"/>
    <w:basedOn w:val="DefaultParagraphFont"/>
    <w:rsid w:val="00B04326"/>
  </w:style>
  <w:style w:type="character" w:customStyle="1" w:styleId="nlmlpage">
    <w:name w:val="nlm_lpage"/>
    <w:basedOn w:val="DefaultParagraphFont"/>
    <w:rsid w:val="00B04326"/>
  </w:style>
  <w:style w:type="character" w:styleId="HTMLCite">
    <w:name w:val="HTML Cite"/>
    <w:basedOn w:val="DefaultParagraphFont"/>
    <w:uiPriority w:val="99"/>
    <w:semiHidden/>
    <w:unhideWhenUsed/>
    <w:rsid w:val="00E576C2"/>
    <w:rPr>
      <w:i/>
      <w:iCs/>
    </w:rPr>
  </w:style>
  <w:style w:type="paragraph" w:styleId="Title">
    <w:name w:val="Title"/>
    <w:next w:val="Normal"/>
    <w:link w:val="TitleChar"/>
    <w:uiPriority w:val="10"/>
    <w:qFormat/>
    <w:rsid w:val="004D61CC"/>
    <w:pPr>
      <w:widowControl w:val="0"/>
      <w:autoSpaceDE w:val="0"/>
      <w:autoSpaceDN w:val="0"/>
      <w:adjustRightInd w:val="0"/>
      <w:spacing w:after="240"/>
      <w:ind w:right="272"/>
      <w:jc w:val="center"/>
    </w:pPr>
    <w:rPr>
      <w:rFonts w:ascii="Times New Roman" w:eastAsia="Arial Unicode MS" w:hAnsi="Times New Roman"/>
      <w:b/>
      <w:bCs/>
      <w:sz w:val="36"/>
      <w:szCs w:val="36"/>
      <w:lang w:val="en-GB" w:eastAsia="it-IT"/>
    </w:rPr>
  </w:style>
  <w:style w:type="character" w:customStyle="1" w:styleId="TitleChar">
    <w:name w:val="Title Char"/>
    <w:basedOn w:val="DefaultParagraphFont"/>
    <w:link w:val="Title"/>
    <w:uiPriority w:val="10"/>
    <w:rsid w:val="004D61CC"/>
    <w:rPr>
      <w:rFonts w:ascii="Times New Roman" w:eastAsia="Arial Unicode MS" w:hAnsi="Times New Roman"/>
      <w:b/>
      <w:bCs/>
      <w:sz w:val="36"/>
      <w:szCs w:val="36"/>
      <w:lang w:val="en-GB" w:eastAsia="it-IT"/>
    </w:rPr>
  </w:style>
  <w:style w:type="paragraph" w:styleId="Subtitle">
    <w:name w:val="Subtitle"/>
    <w:next w:val="Normal"/>
    <w:link w:val="SubtitleChar"/>
    <w:uiPriority w:val="11"/>
    <w:qFormat/>
    <w:rsid w:val="004D61CC"/>
    <w:pPr>
      <w:spacing w:line="480" w:lineRule="auto"/>
      <w:jc w:val="center"/>
    </w:pPr>
    <w:rPr>
      <w:rFonts w:ascii="Times New Roman" w:eastAsia="Times New Roman" w:hAnsi="Times New Roman"/>
      <w:b/>
      <w:bCs/>
      <w:sz w:val="24"/>
      <w:szCs w:val="24"/>
      <w:lang w:val="en-GB" w:eastAsia="it-IT"/>
    </w:rPr>
  </w:style>
  <w:style w:type="character" w:customStyle="1" w:styleId="SubtitleChar">
    <w:name w:val="Subtitle Char"/>
    <w:basedOn w:val="DefaultParagraphFont"/>
    <w:link w:val="Subtitle"/>
    <w:uiPriority w:val="11"/>
    <w:rsid w:val="004D61CC"/>
    <w:rPr>
      <w:rFonts w:ascii="Times New Roman" w:eastAsia="Times New Roman" w:hAnsi="Times New Roman"/>
      <w:b/>
      <w:bCs/>
      <w:sz w:val="24"/>
      <w:szCs w:val="24"/>
      <w:lang w:val="en-GB" w:eastAsia="it-IT"/>
    </w:rPr>
  </w:style>
  <w:style w:type="paragraph" w:customStyle="1" w:styleId="Equations">
    <w:name w:val="Equations"/>
    <w:qFormat/>
    <w:rsid w:val="004D61CC"/>
    <w:pPr>
      <w:spacing w:line="480" w:lineRule="auto"/>
      <w:ind w:left="1985"/>
    </w:pPr>
    <w:rPr>
      <w:rFonts w:ascii="Times New Roman" w:hAnsi="Times New Roman"/>
      <w:iCs/>
      <w:sz w:val="23"/>
    </w:rPr>
  </w:style>
  <w:style w:type="paragraph" w:customStyle="1" w:styleId="InsertInstruct">
    <w:name w:val="InsertInstruct"/>
    <w:qFormat/>
    <w:rsid w:val="00711BA8"/>
    <w:pPr>
      <w:spacing w:line="480" w:lineRule="auto"/>
      <w:jc w:val="center"/>
    </w:pPr>
    <w:rPr>
      <w:rFonts w:ascii="Times New Roman" w:hAnsi="Times New Roman"/>
      <w:noProof/>
      <w:sz w:val="24"/>
      <w:szCs w:val="23"/>
      <w:lang w:eastAsia="en-GB"/>
    </w:rPr>
  </w:style>
  <w:style w:type="paragraph" w:customStyle="1" w:styleId="FigureCaption">
    <w:name w:val="FigureCaption"/>
    <w:qFormat/>
    <w:rsid w:val="00EF2240"/>
    <w:pPr>
      <w:spacing w:after="120"/>
      <w:jc w:val="center"/>
    </w:pPr>
    <w:rPr>
      <w:rFonts w:asciiTheme="minorHAnsi" w:hAnsiTheme="minorHAnsi" w:cstheme="minorHAnsi"/>
      <w:sz w:val="24"/>
      <w:szCs w:val="28"/>
    </w:rPr>
  </w:style>
  <w:style w:type="paragraph" w:customStyle="1" w:styleId="FigureNotes">
    <w:name w:val="FigureNotes"/>
    <w:qFormat/>
    <w:rsid w:val="00EF2240"/>
    <w:pPr>
      <w:jc w:val="both"/>
    </w:pPr>
    <w:rPr>
      <w:rFonts w:ascii="Times New Roman" w:hAnsi="Times New Roman"/>
    </w:rPr>
  </w:style>
  <w:style w:type="paragraph" w:customStyle="1" w:styleId="NoIndentNormal">
    <w:name w:val="NoIndentNormal"/>
    <w:qFormat/>
    <w:rsid w:val="00AB1084"/>
    <w:pPr>
      <w:spacing w:line="480" w:lineRule="auto"/>
      <w:jc w:val="both"/>
    </w:pPr>
    <w:rPr>
      <w:rFonts w:ascii="Times New Roman" w:hAnsi="Times New Roman"/>
      <w:sz w:val="24"/>
      <w:lang w:val="en-GB" w:eastAsia="it-IT"/>
    </w:rPr>
  </w:style>
  <w:style w:type="character" w:customStyle="1" w:styleId="1">
    <w:name w:val="未解決のメンション1"/>
    <w:basedOn w:val="DefaultParagraphFont"/>
    <w:uiPriority w:val="99"/>
    <w:semiHidden/>
    <w:unhideWhenUsed/>
    <w:rsid w:val="0097340F"/>
    <w:rPr>
      <w:color w:val="808080"/>
      <w:shd w:val="clear" w:color="auto" w:fill="E6E6E6"/>
    </w:rPr>
  </w:style>
  <w:style w:type="paragraph" w:customStyle="1" w:styleId="Hypotheses">
    <w:name w:val="Hypotheses"/>
    <w:qFormat/>
    <w:rsid w:val="00824978"/>
    <w:pPr>
      <w:spacing w:after="120" w:line="360" w:lineRule="auto"/>
      <w:ind w:left="720"/>
    </w:pPr>
    <w:rPr>
      <w:rFonts w:asciiTheme="minorHAnsi" w:eastAsia="Times New Roman" w:hAnsiTheme="minorHAnsi" w:cstheme="minorHAnsi"/>
      <w:i/>
      <w:sz w:val="24"/>
      <w:szCs w:val="23"/>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1033">
      <w:bodyDiv w:val="1"/>
      <w:marLeft w:val="0"/>
      <w:marRight w:val="0"/>
      <w:marTop w:val="0"/>
      <w:marBottom w:val="0"/>
      <w:divBdr>
        <w:top w:val="none" w:sz="0" w:space="0" w:color="auto"/>
        <w:left w:val="none" w:sz="0" w:space="0" w:color="auto"/>
        <w:bottom w:val="none" w:sz="0" w:space="0" w:color="auto"/>
        <w:right w:val="none" w:sz="0" w:space="0" w:color="auto"/>
      </w:divBdr>
    </w:div>
    <w:div w:id="56827259">
      <w:bodyDiv w:val="1"/>
      <w:marLeft w:val="0"/>
      <w:marRight w:val="0"/>
      <w:marTop w:val="0"/>
      <w:marBottom w:val="0"/>
      <w:divBdr>
        <w:top w:val="none" w:sz="0" w:space="0" w:color="auto"/>
        <w:left w:val="none" w:sz="0" w:space="0" w:color="auto"/>
        <w:bottom w:val="none" w:sz="0" w:space="0" w:color="auto"/>
        <w:right w:val="none" w:sz="0" w:space="0" w:color="auto"/>
      </w:divBdr>
    </w:div>
    <w:div w:id="69818693">
      <w:bodyDiv w:val="1"/>
      <w:marLeft w:val="0"/>
      <w:marRight w:val="0"/>
      <w:marTop w:val="0"/>
      <w:marBottom w:val="0"/>
      <w:divBdr>
        <w:top w:val="none" w:sz="0" w:space="0" w:color="auto"/>
        <w:left w:val="none" w:sz="0" w:space="0" w:color="auto"/>
        <w:bottom w:val="none" w:sz="0" w:space="0" w:color="auto"/>
        <w:right w:val="none" w:sz="0" w:space="0" w:color="auto"/>
      </w:divBdr>
    </w:div>
    <w:div w:id="78063235">
      <w:bodyDiv w:val="1"/>
      <w:marLeft w:val="0"/>
      <w:marRight w:val="0"/>
      <w:marTop w:val="0"/>
      <w:marBottom w:val="0"/>
      <w:divBdr>
        <w:top w:val="none" w:sz="0" w:space="0" w:color="auto"/>
        <w:left w:val="none" w:sz="0" w:space="0" w:color="auto"/>
        <w:bottom w:val="none" w:sz="0" w:space="0" w:color="auto"/>
        <w:right w:val="none" w:sz="0" w:space="0" w:color="auto"/>
      </w:divBdr>
    </w:div>
    <w:div w:id="95054832">
      <w:bodyDiv w:val="1"/>
      <w:marLeft w:val="0"/>
      <w:marRight w:val="0"/>
      <w:marTop w:val="0"/>
      <w:marBottom w:val="0"/>
      <w:divBdr>
        <w:top w:val="none" w:sz="0" w:space="0" w:color="auto"/>
        <w:left w:val="none" w:sz="0" w:space="0" w:color="auto"/>
        <w:bottom w:val="none" w:sz="0" w:space="0" w:color="auto"/>
        <w:right w:val="none" w:sz="0" w:space="0" w:color="auto"/>
      </w:divBdr>
    </w:div>
    <w:div w:id="120000184">
      <w:bodyDiv w:val="1"/>
      <w:marLeft w:val="0"/>
      <w:marRight w:val="0"/>
      <w:marTop w:val="0"/>
      <w:marBottom w:val="0"/>
      <w:divBdr>
        <w:top w:val="none" w:sz="0" w:space="0" w:color="auto"/>
        <w:left w:val="none" w:sz="0" w:space="0" w:color="auto"/>
        <w:bottom w:val="none" w:sz="0" w:space="0" w:color="auto"/>
        <w:right w:val="none" w:sz="0" w:space="0" w:color="auto"/>
      </w:divBdr>
    </w:div>
    <w:div w:id="125394824">
      <w:bodyDiv w:val="1"/>
      <w:marLeft w:val="0"/>
      <w:marRight w:val="0"/>
      <w:marTop w:val="0"/>
      <w:marBottom w:val="0"/>
      <w:divBdr>
        <w:top w:val="none" w:sz="0" w:space="0" w:color="auto"/>
        <w:left w:val="none" w:sz="0" w:space="0" w:color="auto"/>
        <w:bottom w:val="none" w:sz="0" w:space="0" w:color="auto"/>
        <w:right w:val="none" w:sz="0" w:space="0" w:color="auto"/>
      </w:divBdr>
    </w:div>
    <w:div w:id="166484919">
      <w:bodyDiv w:val="1"/>
      <w:marLeft w:val="0"/>
      <w:marRight w:val="0"/>
      <w:marTop w:val="0"/>
      <w:marBottom w:val="0"/>
      <w:divBdr>
        <w:top w:val="none" w:sz="0" w:space="0" w:color="auto"/>
        <w:left w:val="none" w:sz="0" w:space="0" w:color="auto"/>
        <w:bottom w:val="none" w:sz="0" w:space="0" w:color="auto"/>
        <w:right w:val="none" w:sz="0" w:space="0" w:color="auto"/>
      </w:divBdr>
    </w:div>
    <w:div w:id="172109161">
      <w:bodyDiv w:val="1"/>
      <w:marLeft w:val="0"/>
      <w:marRight w:val="0"/>
      <w:marTop w:val="0"/>
      <w:marBottom w:val="0"/>
      <w:divBdr>
        <w:top w:val="none" w:sz="0" w:space="0" w:color="auto"/>
        <w:left w:val="none" w:sz="0" w:space="0" w:color="auto"/>
        <w:bottom w:val="none" w:sz="0" w:space="0" w:color="auto"/>
        <w:right w:val="none" w:sz="0" w:space="0" w:color="auto"/>
      </w:divBdr>
    </w:div>
    <w:div w:id="184365770">
      <w:bodyDiv w:val="1"/>
      <w:marLeft w:val="0"/>
      <w:marRight w:val="0"/>
      <w:marTop w:val="0"/>
      <w:marBottom w:val="0"/>
      <w:divBdr>
        <w:top w:val="none" w:sz="0" w:space="0" w:color="auto"/>
        <w:left w:val="none" w:sz="0" w:space="0" w:color="auto"/>
        <w:bottom w:val="none" w:sz="0" w:space="0" w:color="auto"/>
        <w:right w:val="none" w:sz="0" w:space="0" w:color="auto"/>
      </w:divBdr>
    </w:div>
    <w:div w:id="198511483">
      <w:bodyDiv w:val="1"/>
      <w:marLeft w:val="0"/>
      <w:marRight w:val="0"/>
      <w:marTop w:val="0"/>
      <w:marBottom w:val="0"/>
      <w:divBdr>
        <w:top w:val="none" w:sz="0" w:space="0" w:color="auto"/>
        <w:left w:val="none" w:sz="0" w:space="0" w:color="auto"/>
        <w:bottom w:val="none" w:sz="0" w:space="0" w:color="auto"/>
        <w:right w:val="none" w:sz="0" w:space="0" w:color="auto"/>
      </w:divBdr>
    </w:div>
    <w:div w:id="259994650">
      <w:bodyDiv w:val="1"/>
      <w:marLeft w:val="0"/>
      <w:marRight w:val="0"/>
      <w:marTop w:val="0"/>
      <w:marBottom w:val="0"/>
      <w:divBdr>
        <w:top w:val="none" w:sz="0" w:space="0" w:color="auto"/>
        <w:left w:val="none" w:sz="0" w:space="0" w:color="auto"/>
        <w:bottom w:val="none" w:sz="0" w:space="0" w:color="auto"/>
        <w:right w:val="none" w:sz="0" w:space="0" w:color="auto"/>
      </w:divBdr>
    </w:div>
    <w:div w:id="313292816">
      <w:bodyDiv w:val="1"/>
      <w:marLeft w:val="0"/>
      <w:marRight w:val="0"/>
      <w:marTop w:val="0"/>
      <w:marBottom w:val="0"/>
      <w:divBdr>
        <w:top w:val="none" w:sz="0" w:space="0" w:color="auto"/>
        <w:left w:val="none" w:sz="0" w:space="0" w:color="auto"/>
        <w:bottom w:val="none" w:sz="0" w:space="0" w:color="auto"/>
        <w:right w:val="none" w:sz="0" w:space="0" w:color="auto"/>
      </w:divBdr>
    </w:div>
    <w:div w:id="323314673">
      <w:bodyDiv w:val="1"/>
      <w:marLeft w:val="0"/>
      <w:marRight w:val="0"/>
      <w:marTop w:val="0"/>
      <w:marBottom w:val="0"/>
      <w:divBdr>
        <w:top w:val="none" w:sz="0" w:space="0" w:color="auto"/>
        <w:left w:val="none" w:sz="0" w:space="0" w:color="auto"/>
        <w:bottom w:val="none" w:sz="0" w:space="0" w:color="auto"/>
        <w:right w:val="none" w:sz="0" w:space="0" w:color="auto"/>
      </w:divBdr>
    </w:div>
    <w:div w:id="364256802">
      <w:bodyDiv w:val="1"/>
      <w:marLeft w:val="0"/>
      <w:marRight w:val="0"/>
      <w:marTop w:val="0"/>
      <w:marBottom w:val="0"/>
      <w:divBdr>
        <w:top w:val="none" w:sz="0" w:space="0" w:color="auto"/>
        <w:left w:val="none" w:sz="0" w:space="0" w:color="auto"/>
        <w:bottom w:val="none" w:sz="0" w:space="0" w:color="auto"/>
        <w:right w:val="none" w:sz="0" w:space="0" w:color="auto"/>
      </w:divBdr>
    </w:div>
    <w:div w:id="424495405">
      <w:bodyDiv w:val="1"/>
      <w:marLeft w:val="0"/>
      <w:marRight w:val="0"/>
      <w:marTop w:val="0"/>
      <w:marBottom w:val="0"/>
      <w:divBdr>
        <w:top w:val="none" w:sz="0" w:space="0" w:color="auto"/>
        <w:left w:val="none" w:sz="0" w:space="0" w:color="auto"/>
        <w:bottom w:val="none" w:sz="0" w:space="0" w:color="auto"/>
        <w:right w:val="none" w:sz="0" w:space="0" w:color="auto"/>
      </w:divBdr>
    </w:div>
    <w:div w:id="425228674">
      <w:bodyDiv w:val="1"/>
      <w:marLeft w:val="0"/>
      <w:marRight w:val="0"/>
      <w:marTop w:val="0"/>
      <w:marBottom w:val="0"/>
      <w:divBdr>
        <w:top w:val="none" w:sz="0" w:space="0" w:color="auto"/>
        <w:left w:val="none" w:sz="0" w:space="0" w:color="auto"/>
        <w:bottom w:val="none" w:sz="0" w:space="0" w:color="auto"/>
        <w:right w:val="none" w:sz="0" w:space="0" w:color="auto"/>
      </w:divBdr>
    </w:div>
    <w:div w:id="425540026">
      <w:bodyDiv w:val="1"/>
      <w:marLeft w:val="0"/>
      <w:marRight w:val="0"/>
      <w:marTop w:val="0"/>
      <w:marBottom w:val="0"/>
      <w:divBdr>
        <w:top w:val="none" w:sz="0" w:space="0" w:color="auto"/>
        <w:left w:val="none" w:sz="0" w:space="0" w:color="auto"/>
        <w:bottom w:val="none" w:sz="0" w:space="0" w:color="auto"/>
        <w:right w:val="none" w:sz="0" w:space="0" w:color="auto"/>
      </w:divBdr>
    </w:div>
    <w:div w:id="442841163">
      <w:bodyDiv w:val="1"/>
      <w:marLeft w:val="0"/>
      <w:marRight w:val="0"/>
      <w:marTop w:val="0"/>
      <w:marBottom w:val="0"/>
      <w:divBdr>
        <w:top w:val="none" w:sz="0" w:space="0" w:color="auto"/>
        <w:left w:val="none" w:sz="0" w:space="0" w:color="auto"/>
        <w:bottom w:val="none" w:sz="0" w:space="0" w:color="auto"/>
        <w:right w:val="none" w:sz="0" w:space="0" w:color="auto"/>
      </w:divBdr>
    </w:div>
    <w:div w:id="454258077">
      <w:bodyDiv w:val="1"/>
      <w:marLeft w:val="0"/>
      <w:marRight w:val="0"/>
      <w:marTop w:val="0"/>
      <w:marBottom w:val="0"/>
      <w:divBdr>
        <w:top w:val="none" w:sz="0" w:space="0" w:color="auto"/>
        <w:left w:val="none" w:sz="0" w:space="0" w:color="auto"/>
        <w:bottom w:val="none" w:sz="0" w:space="0" w:color="auto"/>
        <w:right w:val="none" w:sz="0" w:space="0" w:color="auto"/>
      </w:divBdr>
    </w:div>
    <w:div w:id="454564523">
      <w:bodyDiv w:val="1"/>
      <w:marLeft w:val="0"/>
      <w:marRight w:val="0"/>
      <w:marTop w:val="0"/>
      <w:marBottom w:val="0"/>
      <w:divBdr>
        <w:top w:val="none" w:sz="0" w:space="0" w:color="auto"/>
        <w:left w:val="none" w:sz="0" w:space="0" w:color="auto"/>
        <w:bottom w:val="none" w:sz="0" w:space="0" w:color="auto"/>
        <w:right w:val="none" w:sz="0" w:space="0" w:color="auto"/>
      </w:divBdr>
    </w:div>
    <w:div w:id="458718431">
      <w:bodyDiv w:val="1"/>
      <w:marLeft w:val="0"/>
      <w:marRight w:val="0"/>
      <w:marTop w:val="0"/>
      <w:marBottom w:val="0"/>
      <w:divBdr>
        <w:top w:val="none" w:sz="0" w:space="0" w:color="auto"/>
        <w:left w:val="none" w:sz="0" w:space="0" w:color="auto"/>
        <w:bottom w:val="none" w:sz="0" w:space="0" w:color="auto"/>
        <w:right w:val="none" w:sz="0" w:space="0" w:color="auto"/>
      </w:divBdr>
    </w:div>
    <w:div w:id="467167083">
      <w:bodyDiv w:val="1"/>
      <w:marLeft w:val="0"/>
      <w:marRight w:val="0"/>
      <w:marTop w:val="0"/>
      <w:marBottom w:val="0"/>
      <w:divBdr>
        <w:top w:val="none" w:sz="0" w:space="0" w:color="auto"/>
        <w:left w:val="none" w:sz="0" w:space="0" w:color="auto"/>
        <w:bottom w:val="none" w:sz="0" w:space="0" w:color="auto"/>
        <w:right w:val="none" w:sz="0" w:space="0" w:color="auto"/>
      </w:divBdr>
    </w:div>
    <w:div w:id="483854969">
      <w:bodyDiv w:val="1"/>
      <w:marLeft w:val="0"/>
      <w:marRight w:val="0"/>
      <w:marTop w:val="0"/>
      <w:marBottom w:val="0"/>
      <w:divBdr>
        <w:top w:val="none" w:sz="0" w:space="0" w:color="auto"/>
        <w:left w:val="none" w:sz="0" w:space="0" w:color="auto"/>
        <w:bottom w:val="none" w:sz="0" w:space="0" w:color="auto"/>
        <w:right w:val="none" w:sz="0" w:space="0" w:color="auto"/>
      </w:divBdr>
    </w:div>
    <w:div w:id="484975508">
      <w:bodyDiv w:val="1"/>
      <w:marLeft w:val="0"/>
      <w:marRight w:val="0"/>
      <w:marTop w:val="0"/>
      <w:marBottom w:val="0"/>
      <w:divBdr>
        <w:top w:val="none" w:sz="0" w:space="0" w:color="auto"/>
        <w:left w:val="none" w:sz="0" w:space="0" w:color="auto"/>
        <w:bottom w:val="none" w:sz="0" w:space="0" w:color="auto"/>
        <w:right w:val="none" w:sz="0" w:space="0" w:color="auto"/>
      </w:divBdr>
    </w:div>
    <w:div w:id="532764042">
      <w:bodyDiv w:val="1"/>
      <w:marLeft w:val="0"/>
      <w:marRight w:val="0"/>
      <w:marTop w:val="0"/>
      <w:marBottom w:val="0"/>
      <w:divBdr>
        <w:top w:val="none" w:sz="0" w:space="0" w:color="auto"/>
        <w:left w:val="none" w:sz="0" w:space="0" w:color="auto"/>
        <w:bottom w:val="none" w:sz="0" w:space="0" w:color="auto"/>
        <w:right w:val="none" w:sz="0" w:space="0" w:color="auto"/>
      </w:divBdr>
    </w:div>
    <w:div w:id="533275447">
      <w:bodyDiv w:val="1"/>
      <w:marLeft w:val="0"/>
      <w:marRight w:val="0"/>
      <w:marTop w:val="0"/>
      <w:marBottom w:val="0"/>
      <w:divBdr>
        <w:top w:val="none" w:sz="0" w:space="0" w:color="auto"/>
        <w:left w:val="none" w:sz="0" w:space="0" w:color="auto"/>
        <w:bottom w:val="none" w:sz="0" w:space="0" w:color="auto"/>
        <w:right w:val="none" w:sz="0" w:space="0" w:color="auto"/>
      </w:divBdr>
    </w:div>
    <w:div w:id="53989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9855">
          <w:marLeft w:val="120"/>
          <w:marRight w:val="75"/>
          <w:marTop w:val="0"/>
          <w:marBottom w:val="0"/>
          <w:divBdr>
            <w:top w:val="none" w:sz="0" w:space="0" w:color="auto"/>
            <w:left w:val="none" w:sz="0" w:space="0" w:color="auto"/>
            <w:bottom w:val="none" w:sz="0" w:space="0" w:color="auto"/>
            <w:right w:val="none" w:sz="0" w:space="0" w:color="auto"/>
          </w:divBdr>
          <w:divsChild>
            <w:div w:id="1959985415">
              <w:marLeft w:val="0"/>
              <w:marRight w:val="0"/>
              <w:marTop w:val="0"/>
              <w:marBottom w:val="0"/>
              <w:divBdr>
                <w:top w:val="none" w:sz="0" w:space="0" w:color="auto"/>
                <w:left w:val="none" w:sz="0" w:space="0" w:color="auto"/>
                <w:bottom w:val="none" w:sz="0" w:space="0" w:color="auto"/>
                <w:right w:val="none" w:sz="0" w:space="0" w:color="auto"/>
              </w:divBdr>
              <w:divsChild>
                <w:div w:id="172845780">
                  <w:marLeft w:val="0"/>
                  <w:marRight w:val="0"/>
                  <w:marTop w:val="0"/>
                  <w:marBottom w:val="0"/>
                  <w:divBdr>
                    <w:top w:val="none" w:sz="0" w:space="0" w:color="auto"/>
                    <w:left w:val="none" w:sz="0" w:space="0" w:color="auto"/>
                    <w:bottom w:val="none" w:sz="0" w:space="0" w:color="auto"/>
                    <w:right w:val="none" w:sz="0" w:space="0" w:color="auto"/>
                  </w:divBdr>
                  <w:divsChild>
                    <w:div w:id="1054086856">
                      <w:marLeft w:val="0"/>
                      <w:marRight w:val="0"/>
                      <w:marTop w:val="0"/>
                      <w:marBottom w:val="0"/>
                      <w:divBdr>
                        <w:top w:val="single" w:sz="6" w:space="0" w:color="D2E0C0"/>
                        <w:left w:val="single" w:sz="6" w:space="0" w:color="D2E0C0"/>
                        <w:bottom w:val="single" w:sz="6" w:space="0" w:color="D2E0C0"/>
                        <w:right w:val="single" w:sz="6" w:space="0" w:color="D2E0C0"/>
                      </w:divBdr>
                      <w:divsChild>
                        <w:div w:id="972905146">
                          <w:marLeft w:val="0"/>
                          <w:marRight w:val="5490"/>
                          <w:marTop w:val="0"/>
                          <w:marBottom w:val="0"/>
                          <w:divBdr>
                            <w:top w:val="none" w:sz="0" w:space="0" w:color="auto"/>
                            <w:left w:val="none" w:sz="0" w:space="0" w:color="auto"/>
                            <w:bottom w:val="none" w:sz="0" w:space="0" w:color="auto"/>
                            <w:right w:val="none" w:sz="0" w:space="0" w:color="auto"/>
                          </w:divBdr>
                          <w:divsChild>
                            <w:div w:id="2132093002">
                              <w:marLeft w:val="0"/>
                              <w:marRight w:val="0"/>
                              <w:marTop w:val="0"/>
                              <w:marBottom w:val="0"/>
                              <w:divBdr>
                                <w:top w:val="single" w:sz="6" w:space="0" w:color="D2E0C0"/>
                                <w:left w:val="none" w:sz="0" w:space="0" w:color="auto"/>
                                <w:bottom w:val="none" w:sz="0" w:space="0" w:color="auto"/>
                                <w:right w:val="none" w:sz="0" w:space="0" w:color="auto"/>
                              </w:divBdr>
                              <w:divsChild>
                                <w:div w:id="1506894398">
                                  <w:marLeft w:val="0"/>
                                  <w:marRight w:val="0"/>
                                  <w:marTop w:val="0"/>
                                  <w:marBottom w:val="0"/>
                                  <w:divBdr>
                                    <w:top w:val="single" w:sz="6" w:space="0" w:color="F7F8F4"/>
                                    <w:left w:val="none" w:sz="0" w:space="0" w:color="auto"/>
                                    <w:bottom w:val="none" w:sz="0" w:space="0" w:color="auto"/>
                                    <w:right w:val="none" w:sz="0" w:space="0" w:color="auto"/>
                                  </w:divBdr>
                                  <w:divsChild>
                                    <w:div w:id="1949697871">
                                      <w:marLeft w:val="0"/>
                                      <w:marRight w:val="0"/>
                                      <w:marTop w:val="0"/>
                                      <w:marBottom w:val="0"/>
                                      <w:divBdr>
                                        <w:top w:val="none" w:sz="0" w:space="0" w:color="auto"/>
                                        <w:left w:val="none" w:sz="0" w:space="0" w:color="auto"/>
                                        <w:bottom w:val="none" w:sz="0" w:space="0" w:color="auto"/>
                                        <w:right w:val="none" w:sz="0" w:space="0" w:color="auto"/>
                                      </w:divBdr>
                                      <w:divsChild>
                                        <w:div w:id="1339038108">
                                          <w:marLeft w:val="0"/>
                                          <w:marRight w:val="0"/>
                                          <w:marTop w:val="0"/>
                                          <w:marBottom w:val="0"/>
                                          <w:divBdr>
                                            <w:top w:val="none" w:sz="0" w:space="0" w:color="auto"/>
                                            <w:left w:val="none" w:sz="0" w:space="0" w:color="auto"/>
                                            <w:bottom w:val="none" w:sz="0" w:space="0" w:color="auto"/>
                                            <w:right w:val="none" w:sz="0" w:space="0" w:color="auto"/>
                                          </w:divBdr>
                                          <w:divsChild>
                                            <w:div w:id="1509980554">
                                              <w:marLeft w:val="0"/>
                                              <w:marRight w:val="0"/>
                                              <w:marTop w:val="0"/>
                                              <w:marBottom w:val="0"/>
                                              <w:divBdr>
                                                <w:top w:val="none" w:sz="0" w:space="0" w:color="auto"/>
                                                <w:left w:val="none" w:sz="0" w:space="0" w:color="auto"/>
                                                <w:bottom w:val="none" w:sz="0" w:space="0" w:color="auto"/>
                                                <w:right w:val="none" w:sz="0" w:space="0" w:color="auto"/>
                                              </w:divBdr>
                                              <w:divsChild>
                                                <w:div w:id="305473291">
                                                  <w:marLeft w:val="45"/>
                                                  <w:marRight w:val="75"/>
                                                  <w:marTop w:val="0"/>
                                                  <w:marBottom w:val="0"/>
                                                  <w:divBdr>
                                                    <w:top w:val="none" w:sz="0" w:space="0" w:color="auto"/>
                                                    <w:left w:val="none" w:sz="0" w:space="0" w:color="auto"/>
                                                    <w:bottom w:val="none" w:sz="0" w:space="0" w:color="auto"/>
                                                    <w:right w:val="none" w:sz="0" w:space="0" w:color="auto"/>
                                                  </w:divBdr>
                                                  <w:divsChild>
                                                    <w:div w:id="1165172859">
                                                      <w:marLeft w:val="0"/>
                                                      <w:marRight w:val="0"/>
                                                      <w:marTop w:val="0"/>
                                                      <w:marBottom w:val="0"/>
                                                      <w:divBdr>
                                                        <w:top w:val="none" w:sz="0" w:space="0" w:color="auto"/>
                                                        <w:left w:val="none" w:sz="0" w:space="0" w:color="auto"/>
                                                        <w:bottom w:val="none" w:sz="0" w:space="0" w:color="auto"/>
                                                        <w:right w:val="none" w:sz="0" w:space="0" w:color="auto"/>
                                                      </w:divBdr>
                                                      <w:divsChild>
                                                        <w:div w:id="297272762">
                                                          <w:marLeft w:val="0"/>
                                                          <w:marRight w:val="-24000"/>
                                                          <w:marTop w:val="0"/>
                                                          <w:marBottom w:val="0"/>
                                                          <w:divBdr>
                                                            <w:top w:val="none" w:sz="0" w:space="0" w:color="auto"/>
                                                            <w:left w:val="none" w:sz="0" w:space="0" w:color="auto"/>
                                                            <w:bottom w:val="none" w:sz="0" w:space="0" w:color="auto"/>
                                                            <w:right w:val="none" w:sz="0" w:space="0" w:color="auto"/>
                                                          </w:divBdr>
                                                          <w:divsChild>
                                                            <w:div w:id="1795362477">
                                                              <w:marLeft w:val="0"/>
                                                              <w:marRight w:val="0"/>
                                                              <w:marTop w:val="0"/>
                                                              <w:marBottom w:val="0"/>
                                                              <w:divBdr>
                                                                <w:top w:val="none" w:sz="0" w:space="0" w:color="auto"/>
                                                                <w:left w:val="none" w:sz="0" w:space="0" w:color="auto"/>
                                                                <w:bottom w:val="none" w:sz="0" w:space="0" w:color="auto"/>
                                                                <w:right w:val="none" w:sz="0" w:space="0" w:color="auto"/>
                                                              </w:divBdr>
                                                              <w:divsChild>
                                                                <w:div w:id="1788156035">
                                                                  <w:marLeft w:val="0"/>
                                                                  <w:marRight w:val="0"/>
                                                                  <w:marTop w:val="0"/>
                                                                  <w:marBottom w:val="0"/>
                                                                  <w:divBdr>
                                                                    <w:top w:val="none" w:sz="0" w:space="0" w:color="auto"/>
                                                                    <w:left w:val="none" w:sz="0" w:space="0" w:color="auto"/>
                                                                    <w:bottom w:val="none" w:sz="0" w:space="0" w:color="auto"/>
                                                                    <w:right w:val="none" w:sz="0" w:space="0" w:color="auto"/>
                                                                  </w:divBdr>
                                                                  <w:divsChild>
                                                                    <w:div w:id="5016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0767217">
      <w:bodyDiv w:val="1"/>
      <w:marLeft w:val="0"/>
      <w:marRight w:val="0"/>
      <w:marTop w:val="0"/>
      <w:marBottom w:val="0"/>
      <w:divBdr>
        <w:top w:val="none" w:sz="0" w:space="0" w:color="auto"/>
        <w:left w:val="none" w:sz="0" w:space="0" w:color="auto"/>
        <w:bottom w:val="none" w:sz="0" w:space="0" w:color="auto"/>
        <w:right w:val="none" w:sz="0" w:space="0" w:color="auto"/>
      </w:divBdr>
    </w:div>
    <w:div w:id="558977060">
      <w:bodyDiv w:val="1"/>
      <w:marLeft w:val="0"/>
      <w:marRight w:val="0"/>
      <w:marTop w:val="0"/>
      <w:marBottom w:val="0"/>
      <w:divBdr>
        <w:top w:val="none" w:sz="0" w:space="0" w:color="auto"/>
        <w:left w:val="none" w:sz="0" w:space="0" w:color="auto"/>
        <w:bottom w:val="none" w:sz="0" w:space="0" w:color="auto"/>
        <w:right w:val="none" w:sz="0" w:space="0" w:color="auto"/>
      </w:divBdr>
    </w:div>
    <w:div w:id="595208776">
      <w:bodyDiv w:val="1"/>
      <w:marLeft w:val="0"/>
      <w:marRight w:val="0"/>
      <w:marTop w:val="0"/>
      <w:marBottom w:val="0"/>
      <w:divBdr>
        <w:top w:val="none" w:sz="0" w:space="0" w:color="auto"/>
        <w:left w:val="none" w:sz="0" w:space="0" w:color="auto"/>
        <w:bottom w:val="none" w:sz="0" w:space="0" w:color="auto"/>
        <w:right w:val="none" w:sz="0" w:space="0" w:color="auto"/>
      </w:divBdr>
    </w:div>
    <w:div w:id="613170700">
      <w:bodyDiv w:val="1"/>
      <w:marLeft w:val="0"/>
      <w:marRight w:val="0"/>
      <w:marTop w:val="0"/>
      <w:marBottom w:val="0"/>
      <w:divBdr>
        <w:top w:val="none" w:sz="0" w:space="0" w:color="auto"/>
        <w:left w:val="none" w:sz="0" w:space="0" w:color="auto"/>
        <w:bottom w:val="none" w:sz="0" w:space="0" w:color="auto"/>
        <w:right w:val="none" w:sz="0" w:space="0" w:color="auto"/>
      </w:divBdr>
    </w:div>
    <w:div w:id="690379986">
      <w:bodyDiv w:val="1"/>
      <w:marLeft w:val="0"/>
      <w:marRight w:val="0"/>
      <w:marTop w:val="0"/>
      <w:marBottom w:val="0"/>
      <w:divBdr>
        <w:top w:val="none" w:sz="0" w:space="0" w:color="auto"/>
        <w:left w:val="none" w:sz="0" w:space="0" w:color="auto"/>
        <w:bottom w:val="none" w:sz="0" w:space="0" w:color="auto"/>
        <w:right w:val="none" w:sz="0" w:space="0" w:color="auto"/>
      </w:divBdr>
    </w:div>
    <w:div w:id="728303521">
      <w:bodyDiv w:val="1"/>
      <w:marLeft w:val="0"/>
      <w:marRight w:val="0"/>
      <w:marTop w:val="0"/>
      <w:marBottom w:val="0"/>
      <w:divBdr>
        <w:top w:val="none" w:sz="0" w:space="0" w:color="auto"/>
        <w:left w:val="none" w:sz="0" w:space="0" w:color="auto"/>
        <w:bottom w:val="none" w:sz="0" w:space="0" w:color="auto"/>
        <w:right w:val="none" w:sz="0" w:space="0" w:color="auto"/>
      </w:divBdr>
    </w:div>
    <w:div w:id="783884919">
      <w:bodyDiv w:val="1"/>
      <w:marLeft w:val="0"/>
      <w:marRight w:val="0"/>
      <w:marTop w:val="0"/>
      <w:marBottom w:val="0"/>
      <w:divBdr>
        <w:top w:val="none" w:sz="0" w:space="0" w:color="auto"/>
        <w:left w:val="none" w:sz="0" w:space="0" w:color="auto"/>
        <w:bottom w:val="none" w:sz="0" w:space="0" w:color="auto"/>
        <w:right w:val="none" w:sz="0" w:space="0" w:color="auto"/>
      </w:divBdr>
    </w:div>
    <w:div w:id="833492989">
      <w:bodyDiv w:val="1"/>
      <w:marLeft w:val="0"/>
      <w:marRight w:val="0"/>
      <w:marTop w:val="0"/>
      <w:marBottom w:val="0"/>
      <w:divBdr>
        <w:top w:val="none" w:sz="0" w:space="0" w:color="auto"/>
        <w:left w:val="none" w:sz="0" w:space="0" w:color="auto"/>
        <w:bottom w:val="none" w:sz="0" w:space="0" w:color="auto"/>
        <w:right w:val="none" w:sz="0" w:space="0" w:color="auto"/>
      </w:divBdr>
    </w:div>
    <w:div w:id="845095403">
      <w:bodyDiv w:val="1"/>
      <w:marLeft w:val="0"/>
      <w:marRight w:val="0"/>
      <w:marTop w:val="0"/>
      <w:marBottom w:val="0"/>
      <w:divBdr>
        <w:top w:val="none" w:sz="0" w:space="0" w:color="auto"/>
        <w:left w:val="none" w:sz="0" w:space="0" w:color="auto"/>
        <w:bottom w:val="none" w:sz="0" w:space="0" w:color="auto"/>
        <w:right w:val="none" w:sz="0" w:space="0" w:color="auto"/>
      </w:divBdr>
    </w:div>
    <w:div w:id="878473552">
      <w:bodyDiv w:val="1"/>
      <w:marLeft w:val="0"/>
      <w:marRight w:val="0"/>
      <w:marTop w:val="0"/>
      <w:marBottom w:val="0"/>
      <w:divBdr>
        <w:top w:val="none" w:sz="0" w:space="0" w:color="auto"/>
        <w:left w:val="none" w:sz="0" w:space="0" w:color="auto"/>
        <w:bottom w:val="none" w:sz="0" w:space="0" w:color="auto"/>
        <w:right w:val="none" w:sz="0" w:space="0" w:color="auto"/>
      </w:divBdr>
    </w:div>
    <w:div w:id="898901813">
      <w:bodyDiv w:val="1"/>
      <w:marLeft w:val="0"/>
      <w:marRight w:val="0"/>
      <w:marTop w:val="0"/>
      <w:marBottom w:val="0"/>
      <w:divBdr>
        <w:top w:val="none" w:sz="0" w:space="0" w:color="auto"/>
        <w:left w:val="none" w:sz="0" w:space="0" w:color="auto"/>
        <w:bottom w:val="none" w:sz="0" w:space="0" w:color="auto"/>
        <w:right w:val="none" w:sz="0" w:space="0" w:color="auto"/>
      </w:divBdr>
    </w:div>
    <w:div w:id="903569586">
      <w:bodyDiv w:val="1"/>
      <w:marLeft w:val="0"/>
      <w:marRight w:val="0"/>
      <w:marTop w:val="0"/>
      <w:marBottom w:val="0"/>
      <w:divBdr>
        <w:top w:val="none" w:sz="0" w:space="0" w:color="auto"/>
        <w:left w:val="none" w:sz="0" w:space="0" w:color="auto"/>
        <w:bottom w:val="none" w:sz="0" w:space="0" w:color="auto"/>
        <w:right w:val="none" w:sz="0" w:space="0" w:color="auto"/>
      </w:divBdr>
    </w:div>
    <w:div w:id="907496662">
      <w:bodyDiv w:val="1"/>
      <w:marLeft w:val="0"/>
      <w:marRight w:val="0"/>
      <w:marTop w:val="0"/>
      <w:marBottom w:val="0"/>
      <w:divBdr>
        <w:top w:val="none" w:sz="0" w:space="0" w:color="auto"/>
        <w:left w:val="none" w:sz="0" w:space="0" w:color="auto"/>
        <w:bottom w:val="none" w:sz="0" w:space="0" w:color="auto"/>
        <w:right w:val="none" w:sz="0" w:space="0" w:color="auto"/>
      </w:divBdr>
    </w:div>
    <w:div w:id="944070690">
      <w:bodyDiv w:val="1"/>
      <w:marLeft w:val="0"/>
      <w:marRight w:val="0"/>
      <w:marTop w:val="0"/>
      <w:marBottom w:val="0"/>
      <w:divBdr>
        <w:top w:val="none" w:sz="0" w:space="0" w:color="auto"/>
        <w:left w:val="none" w:sz="0" w:space="0" w:color="auto"/>
        <w:bottom w:val="none" w:sz="0" w:space="0" w:color="auto"/>
        <w:right w:val="none" w:sz="0" w:space="0" w:color="auto"/>
      </w:divBdr>
    </w:div>
    <w:div w:id="978150063">
      <w:bodyDiv w:val="1"/>
      <w:marLeft w:val="0"/>
      <w:marRight w:val="0"/>
      <w:marTop w:val="0"/>
      <w:marBottom w:val="0"/>
      <w:divBdr>
        <w:top w:val="none" w:sz="0" w:space="0" w:color="auto"/>
        <w:left w:val="none" w:sz="0" w:space="0" w:color="auto"/>
        <w:bottom w:val="none" w:sz="0" w:space="0" w:color="auto"/>
        <w:right w:val="none" w:sz="0" w:space="0" w:color="auto"/>
      </w:divBdr>
    </w:div>
    <w:div w:id="1007099592">
      <w:bodyDiv w:val="1"/>
      <w:marLeft w:val="0"/>
      <w:marRight w:val="0"/>
      <w:marTop w:val="0"/>
      <w:marBottom w:val="0"/>
      <w:divBdr>
        <w:top w:val="none" w:sz="0" w:space="0" w:color="auto"/>
        <w:left w:val="none" w:sz="0" w:space="0" w:color="auto"/>
        <w:bottom w:val="none" w:sz="0" w:space="0" w:color="auto"/>
        <w:right w:val="none" w:sz="0" w:space="0" w:color="auto"/>
      </w:divBdr>
    </w:div>
    <w:div w:id="1040939400">
      <w:bodyDiv w:val="1"/>
      <w:marLeft w:val="0"/>
      <w:marRight w:val="0"/>
      <w:marTop w:val="0"/>
      <w:marBottom w:val="0"/>
      <w:divBdr>
        <w:top w:val="none" w:sz="0" w:space="0" w:color="auto"/>
        <w:left w:val="none" w:sz="0" w:space="0" w:color="auto"/>
        <w:bottom w:val="none" w:sz="0" w:space="0" w:color="auto"/>
        <w:right w:val="none" w:sz="0" w:space="0" w:color="auto"/>
      </w:divBdr>
    </w:div>
    <w:div w:id="1047074180">
      <w:bodyDiv w:val="1"/>
      <w:marLeft w:val="0"/>
      <w:marRight w:val="0"/>
      <w:marTop w:val="0"/>
      <w:marBottom w:val="0"/>
      <w:divBdr>
        <w:top w:val="none" w:sz="0" w:space="0" w:color="auto"/>
        <w:left w:val="none" w:sz="0" w:space="0" w:color="auto"/>
        <w:bottom w:val="none" w:sz="0" w:space="0" w:color="auto"/>
        <w:right w:val="none" w:sz="0" w:space="0" w:color="auto"/>
      </w:divBdr>
    </w:div>
    <w:div w:id="1055393983">
      <w:bodyDiv w:val="1"/>
      <w:marLeft w:val="0"/>
      <w:marRight w:val="0"/>
      <w:marTop w:val="0"/>
      <w:marBottom w:val="0"/>
      <w:divBdr>
        <w:top w:val="none" w:sz="0" w:space="0" w:color="auto"/>
        <w:left w:val="none" w:sz="0" w:space="0" w:color="auto"/>
        <w:bottom w:val="none" w:sz="0" w:space="0" w:color="auto"/>
        <w:right w:val="none" w:sz="0" w:space="0" w:color="auto"/>
      </w:divBdr>
    </w:div>
    <w:div w:id="1072120571">
      <w:bodyDiv w:val="1"/>
      <w:marLeft w:val="0"/>
      <w:marRight w:val="0"/>
      <w:marTop w:val="0"/>
      <w:marBottom w:val="0"/>
      <w:divBdr>
        <w:top w:val="none" w:sz="0" w:space="0" w:color="auto"/>
        <w:left w:val="none" w:sz="0" w:space="0" w:color="auto"/>
        <w:bottom w:val="none" w:sz="0" w:space="0" w:color="auto"/>
        <w:right w:val="none" w:sz="0" w:space="0" w:color="auto"/>
      </w:divBdr>
    </w:div>
    <w:div w:id="1101217639">
      <w:bodyDiv w:val="1"/>
      <w:marLeft w:val="0"/>
      <w:marRight w:val="0"/>
      <w:marTop w:val="0"/>
      <w:marBottom w:val="0"/>
      <w:divBdr>
        <w:top w:val="none" w:sz="0" w:space="0" w:color="auto"/>
        <w:left w:val="none" w:sz="0" w:space="0" w:color="auto"/>
        <w:bottom w:val="none" w:sz="0" w:space="0" w:color="auto"/>
        <w:right w:val="none" w:sz="0" w:space="0" w:color="auto"/>
      </w:divBdr>
    </w:div>
    <w:div w:id="1209416711">
      <w:bodyDiv w:val="1"/>
      <w:marLeft w:val="0"/>
      <w:marRight w:val="0"/>
      <w:marTop w:val="0"/>
      <w:marBottom w:val="0"/>
      <w:divBdr>
        <w:top w:val="none" w:sz="0" w:space="0" w:color="auto"/>
        <w:left w:val="none" w:sz="0" w:space="0" w:color="auto"/>
        <w:bottom w:val="none" w:sz="0" w:space="0" w:color="auto"/>
        <w:right w:val="none" w:sz="0" w:space="0" w:color="auto"/>
      </w:divBdr>
    </w:div>
    <w:div w:id="1220357684">
      <w:bodyDiv w:val="1"/>
      <w:marLeft w:val="0"/>
      <w:marRight w:val="0"/>
      <w:marTop w:val="0"/>
      <w:marBottom w:val="0"/>
      <w:divBdr>
        <w:top w:val="none" w:sz="0" w:space="0" w:color="auto"/>
        <w:left w:val="none" w:sz="0" w:space="0" w:color="auto"/>
        <w:bottom w:val="none" w:sz="0" w:space="0" w:color="auto"/>
        <w:right w:val="none" w:sz="0" w:space="0" w:color="auto"/>
      </w:divBdr>
    </w:div>
    <w:div w:id="1225457731">
      <w:bodyDiv w:val="1"/>
      <w:marLeft w:val="0"/>
      <w:marRight w:val="0"/>
      <w:marTop w:val="0"/>
      <w:marBottom w:val="0"/>
      <w:divBdr>
        <w:top w:val="none" w:sz="0" w:space="0" w:color="auto"/>
        <w:left w:val="none" w:sz="0" w:space="0" w:color="auto"/>
        <w:bottom w:val="none" w:sz="0" w:space="0" w:color="auto"/>
        <w:right w:val="none" w:sz="0" w:space="0" w:color="auto"/>
      </w:divBdr>
    </w:div>
    <w:div w:id="1263802625">
      <w:bodyDiv w:val="1"/>
      <w:marLeft w:val="0"/>
      <w:marRight w:val="0"/>
      <w:marTop w:val="0"/>
      <w:marBottom w:val="0"/>
      <w:divBdr>
        <w:top w:val="none" w:sz="0" w:space="0" w:color="auto"/>
        <w:left w:val="none" w:sz="0" w:space="0" w:color="auto"/>
        <w:bottom w:val="none" w:sz="0" w:space="0" w:color="auto"/>
        <w:right w:val="none" w:sz="0" w:space="0" w:color="auto"/>
      </w:divBdr>
    </w:div>
    <w:div w:id="1302923279">
      <w:bodyDiv w:val="1"/>
      <w:marLeft w:val="0"/>
      <w:marRight w:val="0"/>
      <w:marTop w:val="0"/>
      <w:marBottom w:val="0"/>
      <w:divBdr>
        <w:top w:val="none" w:sz="0" w:space="0" w:color="auto"/>
        <w:left w:val="none" w:sz="0" w:space="0" w:color="auto"/>
        <w:bottom w:val="none" w:sz="0" w:space="0" w:color="auto"/>
        <w:right w:val="none" w:sz="0" w:space="0" w:color="auto"/>
      </w:divBdr>
    </w:div>
    <w:div w:id="1316252885">
      <w:bodyDiv w:val="1"/>
      <w:marLeft w:val="0"/>
      <w:marRight w:val="0"/>
      <w:marTop w:val="0"/>
      <w:marBottom w:val="0"/>
      <w:divBdr>
        <w:top w:val="none" w:sz="0" w:space="0" w:color="auto"/>
        <w:left w:val="none" w:sz="0" w:space="0" w:color="auto"/>
        <w:bottom w:val="none" w:sz="0" w:space="0" w:color="auto"/>
        <w:right w:val="none" w:sz="0" w:space="0" w:color="auto"/>
      </w:divBdr>
    </w:div>
    <w:div w:id="1319843192">
      <w:bodyDiv w:val="1"/>
      <w:marLeft w:val="0"/>
      <w:marRight w:val="0"/>
      <w:marTop w:val="0"/>
      <w:marBottom w:val="0"/>
      <w:divBdr>
        <w:top w:val="none" w:sz="0" w:space="0" w:color="auto"/>
        <w:left w:val="none" w:sz="0" w:space="0" w:color="auto"/>
        <w:bottom w:val="none" w:sz="0" w:space="0" w:color="auto"/>
        <w:right w:val="none" w:sz="0" w:space="0" w:color="auto"/>
      </w:divBdr>
    </w:div>
    <w:div w:id="1343627397">
      <w:bodyDiv w:val="1"/>
      <w:marLeft w:val="0"/>
      <w:marRight w:val="0"/>
      <w:marTop w:val="0"/>
      <w:marBottom w:val="0"/>
      <w:divBdr>
        <w:top w:val="none" w:sz="0" w:space="0" w:color="auto"/>
        <w:left w:val="none" w:sz="0" w:space="0" w:color="auto"/>
        <w:bottom w:val="none" w:sz="0" w:space="0" w:color="auto"/>
        <w:right w:val="none" w:sz="0" w:space="0" w:color="auto"/>
      </w:divBdr>
    </w:div>
    <w:div w:id="1400404630">
      <w:bodyDiv w:val="1"/>
      <w:marLeft w:val="0"/>
      <w:marRight w:val="0"/>
      <w:marTop w:val="0"/>
      <w:marBottom w:val="0"/>
      <w:divBdr>
        <w:top w:val="none" w:sz="0" w:space="0" w:color="auto"/>
        <w:left w:val="none" w:sz="0" w:space="0" w:color="auto"/>
        <w:bottom w:val="none" w:sz="0" w:space="0" w:color="auto"/>
        <w:right w:val="none" w:sz="0" w:space="0" w:color="auto"/>
      </w:divBdr>
    </w:div>
    <w:div w:id="1403990834">
      <w:bodyDiv w:val="1"/>
      <w:marLeft w:val="0"/>
      <w:marRight w:val="0"/>
      <w:marTop w:val="0"/>
      <w:marBottom w:val="0"/>
      <w:divBdr>
        <w:top w:val="none" w:sz="0" w:space="0" w:color="auto"/>
        <w:left w:val="none" w:sz="0" w:space="0" w:color="auto"/>
        <w:bottom w:val="none" w:sz="0" w:space="0" w:color="auto"/>
        <w:right w:val="none" w:sz="0" w:space="0" w:color="auto"/>
      </w:divBdr>
    </w:div>
    <w:div w:id="1411580218">
      <w:bodyDiv w:val="1"/>
      <w:marLeft w:val="0"/>
      <w:marRight w:val="0"/>
      <w:marTop w:val="0"/>
      <w:marBottom w:val="0"/>
      <w:divBdr>
        <w:top w:val="none" w:sz="0" w:space="0" w:color="auto"/>
        <w:left w:val="none" w:sz="0" w:space="0" w:color="auto"/>
        <w:bottom w:val="none" w:sz="0" w:space="0" w:color="auto"/>
        <w:right w:val="none" w:sz="0" w:space="0" w:color="auto"/>
      </w:divBdr>
    </w:div>
    <w:div w:id="1422022333">
      <w:bodyDiv w:val="1"/>
      <w:marLeft w:val="0"/>
      <w:marRight w:val="0"/>
      <w:marTop w:val="0"/>
      <w:marBottom w:val="0"/>
      <w:divBdr>
        <w:top w:val="none" w:sz="0" w:space="0" w:color="auto"/>
        <w:left w:val="none" w:sz="0" w:space="0" w:color="auto"/>
        <w:bottom w:val="none" w:sz="0" w:space="0" w:color="auto"/>
        <w:right w:val="none" w:sz="0" w:space="0" w:color="auto"/>
      </w:divBdr>
    </w:div>
    <w:div w:id="1435973809">
      <w:bodyDiv w:val="1"/>
      <w:marLeft w:val="0"/>
      <w:marRight w:val="0"/>
      <w:marTop w:val="0"/>
      <w:marBottom w:val="0"/>
      <w:divBdr>
        <w:top w:val="none" w:sz="0" w:space="0" w:color="auto"/>
        <w:left w:val="none" w:sz="0" w:space="0" w:color="auto"/>
        <w:bottom w:val="none" w:sz="0" w:space="0" w:color="auto"/>
        <w:right w:val="none" w:sz="0" w:space="0" w:color="auto"/>
      </w:divBdr>
    </w:div>
    <w:div w:id="1458328986">
      <w:bodyDiv w:val="1"/>
      <w:marLeft w:val="0"/>
      <w:marRight w:val="0"/>
      <w:marTop w:val="0"/>
      <w:marBottom w:val="0"/>
      <w:divBdr>
        <w:top w:val="none" w:sz="0" w:space="0" w:color="auto"/>
        <w:left w:val="none" w:sz="0" w:space="0" w:color="auto"/>
        <w:bottom w:val="none" w:sz="0" w:space="0" w:color="auto"/>
        <w:right w:val="none" w:sz="0" w:space="0" w:color="auto"/>
      </w:divBdr>
    </w:div>
    <w:div w:id="1472164996">
      <w:bodyDiv w:val="1"/>
      <w:marLeft w:val="0"/>
      <w:marRight w:val="0"/>
      <w:marTop w:val="0"/>
      <w:marBottom w:val="0"/>
      <w:divBdr>
        <w:top w:val="none" w:sz="0" w:space="0" w:color="auto"/>
        <w:left w:val="none" w:sz="0" w:space="0" w:color="auto"/>
        <w:bottom w:val="none" w:sz="0" w:space="0" w:color="auto"/>
        <w:right w:val="none" w:sz="0" w:space="0" w:color="auto"/>
      </w:divBdr>
    </w:div>
    <w:div w:id="1488979307">
      <w:bodyDiv w:val="1"/>
      <w:marLeft w:val="0"/>
      <w:marRight w:val="0"/>
      <w:marTop w:val="0"/>
      <w:marBottom w:val="0"/>
      <w:divBdr>
        <w:top w:val="none" w:sz="0" w:space="0" w:color="auto"/>
        <w:left w:val="none" w:sz="0" w:space="0" w:color="auto"/>
        <w:bottom w:val="none" w:sz="0" w:space="0" w:color="auto"/>
        <w:right w:val="none" w:sz="0" w:space="0" w:color="auto"/>
      </w:divBdr>
    </w:div>
    <w:div w:id="1492481828">
      <w:bodyDiv w:val="1"/>
      <w:marLeft w:val="0"/>
      <w:marRight w:val="0"/>
      <w:marTop w:val="0"/>
      <w:marBottom w:val="0"/>
      <w:divBdr>
        <w:top w:val="none" w:sz="0" w:space="0" w:color="auto"/>
        <w:left w:val="none" w:sz="0" w:space="0" w:color="auto"/>
        <w:bottom w:val="none" w:sz="0" w:space="0" w:color="auto"/>
        <w:right w:val="none" w:sz="0" w:space="0" w:color="auto"/>
      </w:divBdr>
    </w:div>
    <w:div w:id="1571306017">
      <w:bodyDiv w:val="1"/>
      <w:marLeft w:val="0"/>
      <w:marRight w:val="0"/>
      <w:marTop w:val="0"/>
      <w:marBottom w:val="0"/>
      <w:divBdr>
        <w:top w:val="none" w:sz="0" w:space="0" w:color="auto"/>
        <w:left w:val="none" w:sz="0" w:space="0" w:color="auto"/>
        <w:bottom w:val="none" w:sz="0" w:space="0" w:color="auto"/>
        <w:right w:val="none" w:sz="0" w:space="0" w:color="auto"/>
      </w:divBdr>
    </w:div>
    <w:div w:id="1615331449">
      <w:bodyDiv w:val="1"/>
      <w:marLeft w:val="0"/>
      <w:marRight w:val="0"/>
      <w:marTop w:val="0"/>
      <w:marBottom w:val="0"/>
      <w:divBdr>
        <w:top w:val="none" w:sz="0" w:space="0" w:color="auto"/>
        <w:left w:val="none" w:sz="0" w:space="0" w:color="auto"/>
        <w:bottom w:val="none" w:sz="0" w:space="0" w:color="auto"/>
        <w:right w:val="none" w:sz="0" w:space="0" w:color="auto"/>
      </w:divBdr>
    </w:div>
    <w:div w:id="1645355963">
      <w:bodyDiv w:val="1"/>
      <w:marLeft w:val="0"/>
      <w:marRight w:val="0"/>
      <w:marTop w:val="0"/>
      <w:marBottom w:val="0"/>
      <w:divBdr>
        <w:top w:val="none" w:sz="0" w:space="0" w:color="auto"/>
        <w:left w:val="none" w:sz="0" w:space="0" w:color="auto"/>
        <w:bottom w:val="none" w:sz="0" w:space="0" w:color="auto"/>
        <w:right w:val="none" w:sz="0" w:space="0" w:color="auto"/>
      </w:divBdr>
    </w:div>
    <w:div w:id="1656492830">
      <w:bodyDiv w:val="1"/>
      <w:marLeft w:val="0"/>
      <w:marRight w:val="0"/>
      <w:marTop w:val="0"/>
      <w:marBottom w:val="0"/>
      <w:divBdr>
        <w:top w:val="none" w:sz="0" w:space="0" w:color="auto"/>
        <w:left w:val="none" w:sz="0" w:space="0" w:color="auto"/>
        <w:bottom w:val="none" w:sz="0" w:space="0" w:color="auto"/>
        <w:right w:val="none" w:sz="0" w:space="0" w:color="auto"/>
      </w:divBdr>
    </w:div>
    <w:div w:id="1669405438">
      <w:bodyDiv w:val="1"/>
      <w:marLeft w:val="0"/>
      <w:marRight w:val="0"/>
      <w:marTop w:val="0"/>
      <w:marBottom w:val="0"/>
      <w:divBdr>
        <w:top w:val="none" w:sz="0" w:space="0" w:color="auto"/>
        <w:left w:val="none" w:sz="0" w:space="0" w:color="auto"/>
        <w:bottom w:val="none" w:sz="0" w:space="0" w:color="auto"/>
        <w:right w:val="none" w:sz="0" w:space="0" w:color="auto"/>
      </w:divBdr>
    </w:div>
    <w:div w:id="1693870819">
      <w:bodyDiv w:val="1"/>
      <w:marLeft w:val="0"/>
      <w:marRight w:val="0"/>
      <w:marTop w:val="0"/>
      <w:marBottom w:val="0"/>
      <w:divBdr>
        <w:top w:val="none" w:sz="0" w:space="0" w:color="auto"/>
        <w:left w:val="none" w:sz="0" w:space="0" w:color="auto"/>
        <w:bottom w:val="none" w:sz="0" w:space="0" w:color="auto"/>
        <w:right w:val="none" w:sz="0" w:space="0" w:color="auto"/>
      </w:divBdr>
    </w:div>
    <w:div w:id="1699352722">
      <w:bodyDiv w:val="1"/>
      <w:marLeft w:val="0"/>
      <w:marRight w:val="0"/>
      <w:marTop w:val="0"/>
      <w:marBottom w:val="0"/>
      <w:divBdr>
        <w:top w:val="none" w:sz="0" w:space="0" w:color="auto"/>
        <w:left w:val="none" w:sz="0" w:space="0" w:color="auto"/>
        <w:bottom w:val="none" w:sz="0" w:space="0" w:color="auto"/>
        <w:right w:val="none" w:sz="0" w:space="0" w:color="auto"/>
      </w:divBdr>
    </w:div>
    <w:div w:id="1705902230">
      <w:bodyDiv w:val="1"/>
      <w:marLeft w:val="0"/>
      <w:marRight w:val="0"/>
      <w:marTop w:val="0"/>
      <w:marBottom w:val="0"/>
      <w:divBdr>
        <w:top w:val="none" w:sz="0" w:space="0" w:color="auto"/>
        <w:left w:val="none" w:sz="0" w:space="0" w:color="auto"/>
        <w:bottom w:val="none" w:sz="0" w:space="0" w:color="auto"/>
        <w:right w:val="none" w:sz="0" w:space="0" w:color="auto"/>
      </w:divBdr>
    </w:div>
    <w:div w:id="1712922318">
      <w:bodyDiv w:val="1"/>
      <w:marLeft w:val="0"/>
      <w:marRight w:val="0"/>
      <w:marTop w:val="0"/>
      <w:marBottom w:val="0"/>
      <w:divBdr>
        <w:top w:val="none" w:sz="0" w:space="0" w:color="auto"/>
        <w:left w:val="none" w:sz="0" w:space="0" w:color="auto"/>
        <w:bottom w:val="none" w:sz="0" w:space="0" w:color="auto"/>
        <w:right w:val="none" w:sz="0" w:space="0" w:color="auto"/>
      </w:divBdr>
    </w:div>
    <w:div w:id="1746027354">
      <w:bodyDiv w:val="1"/>
      <w:marLeft w:val="0"/>
      <w:marRight w:val="0"/>
      <w:marTop w:val="0"/>
      <w:marBottom w:val="0"/>
      <w:divBdr>
        <w:top w:val="none" w:sz="0" w:space="0" w:color="auto"/>
        <w:left w:val="none" w:sz="0" w:space="0" w:color="auto"/>
        <w:bottom w:val="none" w:sz="0" w:space="0" w:color="auto"/>
        <w:right w:val="none" w:sz="0" w:space="0" w:color="auto"/>
      </w:divBdr>
    </w:div>
    <w:div w:id="1771048713">
      <w:bodyDiv w:val="1"/>
      <w:marLeft w:val="0"/>
      <w:marRight w:val="0"/>
      <w:marTop w:val="0"/>
      <w:marBottom w:val="0"/>
      <w:divBdr>
        <w:top w:val="none" w:sz="0" w:space="0" w:color="auto"/>
        <w:left w:val="none" w:sz="0" w:space="0" w:color="auto"/>
        <w:bottom w:val="none" w:sz="0" w:space="0" w:color="auto"/>
        <w:right w:val="none" w:sz="0" w:space="0" w:color="auto"/>
      </w:divBdr>
    </w:div>
    <w:div w:id="1794976107">
      <w:bodyDiv w:val="1"/>
      <w:marLeft w:val="0"/>
      <w:marRight w:val="0"/>
      <w:marTop w:val="0"/>
      <w:marBottom w:val="0"/>
      <w:divBdr>
        <w:top w:val="none" w:sz="0" w:space="0" w:color="auto"/>
        <w:left w:val="none" w:sz="0" w:space="0" w:color="auto"/>
        <w:bottom w:val="none" w:sz="0" w:space="0" w:color="auto"/>
        <w:right w:val="none" w:sz="0" w:space="0" w:color="auto"/>
      </w:divBdr>
    </w:div>
    <w:div w:id="1824853458">
      <w:bodyDiv w:val="1"/>
      <w:marLeft w:val="0"/>
      <w:marRight w:val="0"/>
      <w:marTop w:val="0"/>
      <w:marBottom w:val="0"/>
      <w:divBdr>
        <w:top w:val="none" w:sz="0" w:space="0" w:color="auto"/>
        <w:left w:val="none" w:sz="0" w:space="0" w:color="auto"/>
        <w:bottom w:val="none" w:sz="0" w:space="0" w:color="auto"/>
        <w:right w:val="none" w:sz="0" w:space="0" w:color="auto"/>
      </w:divBdr>
    </w:div>
    <w:div w:id="1839467394">
      <w:bodyDiv w:val="1"/>
      <w:marLeft w:val="0"/>
      <w:marRight w:val="0"/>
      <w:marTop w:val="0"/>
      <w:marBottom w:val="0"/>
      <w:divBdr>
        <w:top w:val="none" w:sz="0" w:space="0" w:color="auto"/>
        <w:left w:val="none" w:sz="0" w:space="0" w:color="auto"/>
        <w:bottom w:val="none" w:sz="0" w:space="0" w:color="auto"/>
        <w:right w:val="none" w:sz="0" w:space="0" w:color="auto"/>
      </w:divBdr>
    </w:div>
    <w:div w:id="1917864423">
      <w:bodyDiv w:val="1"/>
      <w:marLeft w:val="0"/>
      <w:marRight w:val="0"/>
      <w:marTop w:val="0"/>
      <w:marBottom w:val="0"/>
      <w:divBdr>
        <w:top w:val="none" w:sz="0" w:space="0" w:color="auto"/>
        <w:left w:val="none" w:sz="0" w:space="0" w:color="auto"/>
        <w:bottom w:val="none" w:sz="0" w:space="0" w:color="auto"/>
        <w:right w:val="none" w:sz="0" w:space="0" w:color="auto"/>
      </w:divBdr>
    </w:div>
    <w:div w:id="1996181718">
      <w:bodyDiv w:val="1"/>
      <w:marLeft w:val="0"/>
      <w:marRight w:val="0"/>
      <w:marTop w:val="0"/>
      <w:marBottom w:val="0"/>
      <w:divBdr>
        <w:top w:val="none" w:sz="0" w:space="0" w:color="auto"/>
        <w:left w:val="none" w:sz="0" w:space="0" w:color="auto"/>
        <w:bottom w:val="none" w:sz="0" w:space="0" w:color="auto"/>
        <w:right w:val="none" w:sz="0" w:space="0" w:color="auto"/>
      </w:divBdr>
    </w:div>
    <w:div w:id="1996644873">
      <w:bodyDiv w:val="1"/>
      <w:marLeft w:val="0"/>
      <w:marRight w:val="0"/>
      <w:marTop w:val="0"/>
      <w:marBottom w:val="0"/>
      <w:divBdr>
        <w:top w:val="none" w:sz="0" w:space="0" w:color="auto"/>
        <w:left w:val="none" w:sz="0" w:space="0" w:color="auto"/>
        <w:bottom w:val="none" w:sz="0" w:space="0" w:color="auto"/>
        <w:right w:val="none" w:sz="0" w:space="0" w:color="auto"/>
      </w:divBdr>
    </w:div>
    <w:div w:id="2000186400">
      <w:bodyDiv w:val="1"/>
      <w:marLeft w:val="0"/>
      <w:marRight w:val="0"/>
      <w:marTop w:val="0"/>
      <w:marBottom w:val="0"/>
      <w:divBdr>
        <w:top w:val="none" w:sz="0" w:space="0" w:color="auto"/>
        <w:left w:val="none" w:sz="0" w:space="0" w:color="auto"/>
        <w:bottom w:val="none" w:sz="0" w:space="0" w:color="auto"/>
        <w:right w:val="none" w:sz="0" w:space="0" w:color="auto"/>
      </w:divBdr>
    </w:div>
    <w:div w:id="2033147775">
      <w:bodyDiv w:val="1"/>
      <w:marLeft w:val="0"/>
      <w:marRight w:val="0"/>
      <w:marTop w:val="0"/>
      <w:marBottom w:val="0"/>
      <w:divBdr>
        <w:top w:val="none" w:sz="0" w:space="0" w:color="auto"/>
        <w:left w:val="none" w:sz="0" w:space="0" w:color="auto"/>
        <w:bottom w:val="none" w:sz="0" w:space="0" w:color="auto"/>
        <w:right w:val="none" w:sz="0" w:space="0" w:color="auto"/>
      </w:divBdr>
    </w:div>
    <w:div w:id="2065059342">
      <w:bodyDiv w:val="1"/>
      <w:marLeft w:val="0"/>
      <w:marRight w:val="0"/>
      <w:marTop w:val="0"/>
      <w:marBottom w:val="0"/>
      <w:divBdr>
        <w:top w:val="none" w:sz="0" w:space="0" w:color="auto"/>
        <w:left w:val="none" w:sz="0" w:space="0" w:color="auto"/>
        <w:bottom w:val="none" w:sz="0" w:space="0" w:color="auto"/>
        <w:right w:val="none" w:sz="0" w:space="0" w:color="auto"/>
      </w:divBdr>
    </w:div>
    <w:div w:id="2068334340">
      <w:bodyDiv w:val="1"/>
      <w:marLeft w:val="0"/>
      <w:marRight w:val="0"/>
      <w:marTop w:val="0"/>
      <w:marBottom w:val="0"/>
      <w:divBdr>
        <w:top w:val="none" w:sz="0" w:space="0" w:color="auto"/>
        <w:left w:val="none" w:sz="0" w:space="0" w:color="auto"/>
        <w:bottom w:val="none" w:sz="0" w:space="0" w:color="auto"/>
        <w:right w:val="none" w:sz="0" w:space="0" w:color="auto"/>
      </w:divBdr>
    </w:div>
    <w:div w:id="2078818238">
      <w:bodyDiv w:val="1"/>
      <w:marLeft w:val="0"/>
      <w:marRight w:val="0"/>
      <w:marTop w:val="0"/>
      <w:marBottom w:val="0"/>
      <w:divBdr>
        <w:top w:val="none" w:sz="0" w:space="0" w:color="auto"/>
        <w:left w:val="none" w:sz="0" w:space="0" w:color="auto"/>
        <w:bottom w:val="none" w:sz="0" w:space="0" w:color="auto"/>
        <w:right w:val="none" w:sz="0" w:space="0" w:color="auto"/>
      </w:divBdr>
    </w:div>
    <w:div w:id="2083333098">
      <w:bodyDiv w:val="1"/>
      <w:marLeft w:val="0"/>
      <w:marRight w:val="0"/>
      <w:marTop w:val="0"/>
      <w:marBottom w:val="0"/>
      <w:divBdr>
        <w:top w:val="none" w:sz="0" w:space="0" w:color="auto"/>
        <w:left w:val="none" w:sz="0" w:space="0" w:color="auto"/>
        <w:bottom w:val="none" w:sz="0" w:space="0" w:color="auto"/>
        <w:right w:val="none" w:sz="0" w:space="0" w:color="auto"/>
      </w:divBdr>
    </w:div>
    <w:div w:id="2124760443">
      <w:bodyDiv w:val="1"/>
      <w:marLeft w:val="0"/>
      <w:marRight w:val="0"/>
      <w:marTop w:val="0"/>
      <w:marBottom w:val="0"/>
      <w:divBdr>
        <w:top w:val="none" w:sz="0" w:space="0" w:color="auto"/>
        <w:left w:val="none" w:sz="0" w:space="0" w:color="auto"/>
        <w:bottom w:val="none" w:sz="0" w:space="0" w:color="auto"/>
        <w:right w:val="none" w:sz="0" w:space="0" w:color="auto"/>
      </w:divBdr>
    </w:div>
    <w:div w:id="21410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9/ssrn.2568748"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dx.doi.org/10.2139/ssrn.1488110"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MTU\ROF%20revision\mtu_2101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5F0D-ACFD-4677-AE2F-FB0CA68E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mtu_21012013</Template>
  <TotalTime>0</TotalTime>
  <Pages>79</Pages>
  <Words>16730</Words>
  <Characters>95363</Characters>
  <Application>Microsoft Office Word</Application>
  <DocSecurity>0</DocSecurity>
  <Lines>794</Lines>
  <Paragraphs>223</Paragraphs>
  <ScaleCrop>false</ScaleCrop>
  <HeadingPairs>
    <vt:vector size="6" baseType="variant">
      <vt:variant>
        <vt:lpstr>Title</vt:lpstr>
      </vt:variant>
      <vt:variant>
        <vt:i4>1</vt:i4>
      </vt:variant>
      <vt:variant>
        <vt:lpstr>タイトル</vt:lpstr>
      </vt:variant>
      <vt:variant>
        <vt:i4>1</vt:i4>
      </vt:variant>
      <vt:variant>
        <vt:lpstr>Titolo</vt:lpstr>
      </vt:variant>
      <vt:variant>
        <vt:i4>1</vt:i4>
      </vt:variant>
    </vt:vector>
  </HeadingPairs>
  <TitlesOfParts>
    <vt:vector size="3" baseType="lpstr">
      <vt:lpstr>1</vt:lpstr>
      <vt:lpstr>1</vt:lpstr>
      <vt:lpstr>1</vt:lpstr>
    </vt:vector>
  </TitlesOfParts>
  <Company>Karl-Franzens-University Graz</Company>
  <LinksUpToDate>false</LinksUpToDate>
  <CharactersWithSpaces>111870</CharactersWithSpaces>
  <SharedDoc>false</SharedDoc>
  <HLinks>
    <vt:vector size="12" baseType="variant">
      <vt:variant>
        <vt:i4>4653083</vt:i4>
      </vt:variant>
      <vt:variant>
        <vt:i4>257</vt:i4>
      </vt:variant>
      <vt:variant>
        <vt:i4>0</vt:i4>
      </vt:variant>
      <vt:variant>
        <vt:i4>5</vt:i4>
      </vt:variant>
      <vt:variant>
        <vt:lpwstr>http://ssrn.com/abstract=1138062</vt:lpwstr>
      </vt:variant>
      <vt:variant>
        <vt:lpwstr/>
      </vt:variant>
      <vt:variant>
        <vt:i4>4128787</vt:i4>
      </vt:variant>
      <vt:variant>
        <vt:i4>8</vt:i4>
      </vt:variant>
      <vt:variant>
        <vt:i4>0</vt:i4>
      </vt:variant>
      <vt:variant>
        <vt:i4>5</vt:i4>
      </vt:variant>
      <vt:variant>
        <vt:lpwstr>mailto:pietro.perotti@uni-graz.at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Stork, Leigh</cp:lastModifiedBy>
  <cp:revision>2</cp:revision>
  <cp:lastPrinted>2018-01-21T12:59:00Z</cp:lastPrinted>
  <dcterms:created xsi:type="dcterms:W3CDTF">2018-04-13T13:45:00Z</dcterms:created>
  <dcterms:modified xsi:type="dcterms:W3CDTF">2018-04-13T13:45:00Z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ies>
</file>