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220" w:rsidRDefault="00A96220" w:rsidP="00A96220">
      <w:pPr>
        <w:spacing w:line="480" w:lineRule="auto"/>
        <w:jc w:val="center"/>
      </w:pPr>
      <w:bookmarkStart w:id="0" w:name="_GoBack"/>
      <w:bookmarkEnd w:id="0"/>
      <w:r>
        <w:t>FINAL ACCEPTED VERSION PUBLISHED IN APPETITE</w:t>
      </w:r>
    </w:p>
    <w:p w:rsidR="00A96220" w:rsidRDefault="003A0B13" w:rsidP="00A96220">
      <w:pPr>
        <w:spacing w:line="480" w:lineRule="auto"/>
        <w:jc w:val="center"/>
        <w:rPr>
          <w:rFonts w:ascii="Arial" w:hAnsi="Arial" w:cs="Arial"/>
          <w:color w:val="000000"/>
          <w:sz w:val="17"/>
          <w:szCs w:val="17"/>
          <w:shd w:val="clear" w:color="auto" w:fill="FFFFFF"/>
        </w:rPr>
      </w:pPr>
      <w:hyperlink r:id="rId8" w:tooltip="Appetite." w:history="1">
        <w:r w:rsidR="00A96220">
          <w:rPr>
            <w:rStyle w:val="Hyperlink"/>
            <w:rFonts w:ascii="Arial" w:hAnsi="Arial" w:cs="Arial"/>
            <w:color w:val="660066"/>
            <w:sz w:val="17"/>
            <w:szCs w:val="17"/>
            <w:shd w:val="clear" w:color="auto" w:fill="FFFFFF"/>
          </w:rPr>
          <w:t>Appetite.</w:t>
        </w:r>
      </w:hyperlink>
      <w:r w:rsidR="00A96220">
        <w:rPr>
          <w:rStyle w:val="apple-converted-space"/>
          <w:rFonts w:ascii="Arial" w:hAnsi="Arial" w:cs="Arial"/>
          <w:color w:val="000000"/>
          <w:sz w:val="17"/>
          <w:szCs w:val="17"/>
          <w:shd w:val="clear" w:color="auto" w:fill="FFFFFF"/>
        </w:rPr>
        <w:t> </w:t>
      </w:r>
      <w:r w:rsidR="00A96220">
        <w:rPr>
          <w:rFonts w:ascii="Arial" w:hAnsi="Arial" w:cs="Arial"/>
          <w:color w:val="000000"/>
          <w:sz w:val="17"/>
          <w:szCs w:val="17"/>
          <w:shd w:val="clear" w:color="auto" w:fill="FFFFFF"/>
        </w:rPr>
        <w:t>2014 Jul;78:40-8. doi: 10.1016/j.appet.2014.03.011.</w:t>
      </w:r>
    </w:p>
    <w:p w:rsidR="00A96220" w:rsidRDefault="00A96220" w:rsidP="00A96220">
      <w:pPr>
        <w:spacing w:line="480" w:lineRule="auto"/>
        <w:jc w:val="center"/>
      </w:pPr>
    </w:p>
    <w:p w:rsidR="003A178A" w:rsidRPr="00AF5677" w:rsidRDefault="003A178A" w:rsidP="00472B08">
      <w:pPr>
        <w:spacing w:line="480" w:lineRule="auto"/>
      </w:pPr>
      <w:r w:rsidRPr="00AF5677">
        <w:t>Running head: MEASURING HUNGER AND SATIETY IN CHILDREN</w:t>
      </w:r>
    </w:p>
    <w:p w:rsidR="003A178A" w:rsidRPr="00AF5677" w:rsidRDefault="003A178A" w:rsidP="00472B08">
      <w:pPr>
        <w:spacing w:line="480" w:lineRule="auto"/>
        <w:jc w:val="center"/>
      </w:pPr>
    </w:p>
    <w:p w:rsidR="003A178A" w:rsidRPr="00AF5677" w:rsidRDefault="003A178A" w:rsidP="00472B08">
      <w:pPr>
        <w:spacing w:line="480" w:lineRule="auto"/>
        <w:jc w:val="center"/>
      </w:pPr>
    </w:p>
    <w:p w:rsidR="00BF3C44" w:rsidRPr="00AF5677" w:rsidRDefault="00BF3C44" w:rsidP="00472B08">
      <w:pPr>
        <w:spacing w:line="480" w:lineRule="auto"/>
        <w:jc w:val="center"/>
      </w:pPr>
    </w:p>
    <w:p w:rsidR="00BF3C44" w:rsidRPr="00AF5677" w:rsidRDefault="00BF3C44" w:rsidP="00472B08">
      <w:pPr>
        <w:spacing w:line="480" w:lineRule="auto"/>
        <w:jc w:val="center"/>
      </w:pPr>
    </w:p>
    <w:p w:rsidR="003A178A" w:rsidRPr="00AF5677" w:rsidRDefault="003A178A" w:rsidP="00472B08">
      <w:pPr>
        <w:spacing w:line="480" w:lineRule="auto"/>
        <w:jc w:val="center"/>
      </w:pPr>
      <w:r w:rsidRPr="00AF5677">
        <w:t xml:space="preserve">Measuring Hunger and Satiety in </w:t>
      </w:r>
      <w:r w:rsidR="00653CE3" w:rsidRPr="00AF5677">
        <w:t xml:space="preserve">Primary </w:t>
      </w:r>
      <w:r w:rsidR="00801BC5" w:rsidRPr="00AF5677">
        <w:t>School Children</w:t>
      </w:r>
      <w:r w:rsidRPr="00AF5677">
        <w:t>: Validation of a New Picture Rating Scale</w:t>
      </w:r>
    </w:p>
    <w:p w:rsidR="003A178A" w:rsidRPr="00AF5677" w:rsidRDefault="003A178A" w:rsidP="00472B08">
      <w:pPr>
        <w:spacing w:line="480" w:lineRule="auto"/>
      </w:pPr>
    </w:p>
    <w:p w:rsidR="00BF3C44" w:rsidRPr="00AF5677" w:rsidRDefault="00BF3C44" w:rsidP="00472B08">
      <w:pPr>
        <w:spacing w:line="480" w:lineRule="auto"/>
      </w:pPr>
    </w:p>
    <w:p w:rsidR="00BF3C44" w:rsidRPr="00A96220" w:rsidRDefault="00BF3C44" w:rsidP="00472B08">
      <w:pPr>
        <w:spacing w:line="480" w:lineRule="auto"/>
        <w:jc w:val="center"/>
        <w:rPr>
          <w:lang w:val="fr-FR"/>
        </w:rPr>
      </w:pPr>
      <w:r w:rsidRPr="00A96220">
        <w:rPr>
          <w:lang w:val="fr-FR"/>
        </w:rPr>
        <w:t>Carmel Bennett, M.Res. &amp; Jackie Blissett, Ph.D.</w:t>
      </w:r>
    </w:p>
    <w:p w:rsidR="00BF3C44" w:rsidRPr="00A96220" w:rsidRDefault="00BF3C44" w:rsidP="00472B08">
      <w:pPr>
        <w:spacing w:line="480" w:lineRule="auto"/>
        <w:jc w:val="center"/>
        <w:rPr>
          <w:lang w:val="fr-FR"/>
        </w:rPr>
      </w:pPr>
    </w:p>
    <w:p w:rsidR="00BF3C44" w:rsidRPr="00AF5677" w:rsidRDefault="00BF3C44" w:rsidP="00472B08">
      <w:pPr>
        <w:spacing w:line="480" w:lineRule="auto"/>
        <w:jc w:val="center"/>
      </w:pPr>
      <w:r w:rsidRPr="00AF5677">
        <w:t>School of Psychology, University of Birmingham, UK.</w:t>
      </w:r>
    </w:p>
    <w:p w:rsidR="00BF3C44" w:rsidRPr="00AF5677" w:rsidRDefault="00BF3C44" w:rsidP="00472B08">
      <w:pPr>
        <w:spacing w:line="480" w:lineRule="auto"/>
        <w:jc w:val="center"/>
      </w:pPr>
      <w:r w:rsidRPr="00AF5677">
        <w:t>Bennett, Blissett</w:t>
      </w:r>
    </w:p>
    <w:p w:rsidR="00BF3C44" w:rsidRPr="00AF5677" w:rsidRDefault="00BF3C44" w:rsidP="00472B08">
      <w:pPr>
        <w:spacing w:line="480" w:lineRule="auto"/>
        <w:jc w:val="center"/>
      </w:pPr>
    </w:p>
    <w:p w:rsidR="00BF3C44" w:rsidRPr="00AF5677" w:rsidRDefault="00BF3C44" w:rsidP="00472B08">
      <w:pPr>
        <w:spacing w:line="480" w:lineRule="auto"/>
        <w:jc w:val="center"/>
      </w:pPr>
    </w:p>
    <w:p w:rsidR="00BF3C44" w:rsidRPr="00AF5677" w:rsidRDefault="00BF3C44" w:rsidP="00472B08">
      <w:pPr>
        <w:spacing w:line="480" w:lineRule="auto"/>
        <w:jc w:val="center"/>
      </w:pPr>
    </w:p>
    <w:p w:rsidR="00BF3C44" w:rsidRPr="00AF5677" w:rsidRDefault="00BF3C44" w:rsidP="00472B08">
      <w:pPr>
        <w:spacing w:line="480" w:lineRule="auto"/>
        <w:jc w:val="center"/>
      </w:pPr>
      <w:r w:rsidRPr="00AF5677">
        <w:t>All correspondence to Miss Carmel Bennett</w:t>
      </w:r>
    </w:p>
    <w:p w:rsidR="00BF3C44" w:rsidRPr="00AF5677" w:rsidRDefault="00BF3C44" w:rsidP="00472B08">
      <w:pPr>
        <w:spacing w:line="480" w:lineRule="auto"/>
        <w:jc w:val="center"/>
      </w:pPr>
      <w:r w:rsidRPr="00AF5677">
        <w:t>School of Psychology, University of Birmingham, Edgbaston, Birmingham, B15 2TT, UK</w:t>
      </w:r>
    </w:p>
    <w:p w:rsidR="00BF3C44" w:rsidRPr="00AF5677" w:rsidRDefault="006F6F2C" w:rsidP="00472B08">
      <w:pPr>
        <w:spacing w:line="480" w:lineRule="auto"/>
        <w:jc w:val="center"/>
      </w:pPr>
      <w:r w:rsidRPr="00AF5677">
        <w:t>Tel 00 44 121 414 2942</w:t>
      </w:r>
      <w:r w:rsidR="00BF3C44" w:rsidRPr="00AF5677">
        <w:t xml:space="preserve">, Email </w:t>
      </w:r>
      <w:hyperlink r:id="rId9" w:history="1">
        <w:r w:rsidR="00BF3C44" w:rsidRPr="00AF5677">
          <w:rPr>
            <w:rStyle w:val="Hyperlink"/>
          </w:rPr>
          <w:t>cxb791@bham.ac.uk</w:t>
        </w:r>
      </w:hyperlink>
    </w:p>
    <w:p w:rsidR="003A178A" w:rsidRPr="00AF5677" w:rsidRDefault="003A178A" w:rsidP="00472B08">
      <w:pPr>
        <w:spacing w:line="480" w:lineRule="auto"/>
        <w:jc w:val="center"/>
      </w:pPr>
    </w:p>
    <w:p w:rsidR="003A178A" w:rsidRPr="00AF5677" w:rsidRDefault="003A178A" w:rsidP="00472B08">
      <w:pPr>
        <w:spacing w:line="480" w:lineRule="auto"/>
      </w:pPr>
    </w:p>
    <w:p w:rsidR="003A178A" w:rsidRPr="00AF5677" w:rsidRDefault="003A178A" w:rsidP="00472B08">
      <w:pPr>
        <w:spacing w:line="480" w:lineRule="auto"/>
      </w:pPr>
    </w:p>
    <w:p w:rsidR="003A178A" w:rsidRPr="00AF5677" w:rsidRDefault="003A178A" w:rsidP="00472B08">
      <w:pPr>
        <w:spacing w:line="480" w:lineRule="auto"/>
      </w:pPr>
    </w:p>
    <w:p w:rsidR="00472B08" w:rsidRPr="00AF5677" w:rsidRDefault="00472B08" w:rsidP="00472B08">
      <w:pPr>
        <w:spacing w:line="480" w:lineRule="auto"/>
        <w:sectPr w:rsidR="00472B08" w:rsidRPr="00AF5677">
          <w:headerReference w:type="default" r:id="rId10"/>
          <w:footerReference w:type="default" r:id="rId11"/>
          <w:headerReference w:type="first" r:id="rId12"/>
          <w:pgSz w:w="11906" w:h="16838"/>
          <w:pgMar w:top="1440" w:right="1440" w:bottom="1440" w:left="1440" w:header="708" w:footer="708" w:gutter="0"/>
          <w:cols w:space="708"/>
          <w:docGrid w:linePitch="360"/>
        </w:sectPr>
      </w:pPr>
    </w:p>
    <w:p w:rsidR="008B2AD3" w:rsidRPr="00AF5677" w:rsidRDefault="008B2AD3" w:rsidP="00472B08">
      <w:pPr>
        <w:spacing w:line="480" w:lineRule="auto"/>
        <w:jc w:val="center"/>
      </w:pPr>
      <w:r w:rsidRPr="00AF5677">
        <w:lastRenderedPageBreak/>
        <w:t>Abstract</w:t>
      </w:r>
    </w:p>
    <w:p w:rsidR="008B2AD3" w:rsidRPr="00AF5677" w:rsidRDefault="008B2AD3" w:rsidP="00472B08">
      <w:pPr>
        <w:spacing w:line="480" w:lineRule="auto"/>
      </w:pPr>
    </w:p>
    <w:p w:rsidR="008B2AD3" w:rsidRPr="00AF5677" w:rsidRDefault="00861661" w:rsidP="00472B08">
      <w:pPr>
        <w:spacing w:line="480" w:lineRule="auto"/>
        <w:jc w:val="both"/>
      </w:pPr>
      <w:r w:rsidRPr="00AF5677">
        <w:t>Measuring hunger and satiety in children is essential to many studies of childhood eating behaviour and obesity. Despite this, f</w:t>
      </w:r>
      <w:r w:rsidR="00FC33B5" w:rsidRPr="00AF5677">
        <w:t>ew validate</w:t>
      </w:r>
      <w:r w:rsidR="00D17981" w:rsidRPr="00AF5677">
        <w:t>d</w:t>
      </w:r>
      <w:r w:rsidR="00FC33B5" w:rsidRPr="00AF5677">
        <w:t xml:space="preserve"> measures currently exist that allow children to make accurate and reliable </w:t>
      </w:r>
      <w:r w:rsidRPr="00AF5677">
        <w:t>rating</w:t>
      </w:r>
      <w:r w:rsidR="009D549C" w:rsidRPr="00AF5677">
        <w:t>s</w:t>
      </w:r>
      <w:r w:rsidRPr="00AF5677">
        <w:t xml:space="preserve"> of their hunger/</w:t>
      </w:r>
      <w:r w:rsidR="00FC33B5" w:rsidRPr="00AF5677">
        <w:t xml:space="preserve">satiety. </w:t>
      </w:r>
      <w:r w:rsidR="00B90925" w:rsidRPr="00AF5677">
        <w:t>Three</w:t>
      </w:r>
      <w:r w:rsidR="00FC33B5" w:rsidRPr="00AF5677">
        <w:t xml:space="preserve"> studies aimed to address this issue by validating the use of a new categorical rating scale</w:t>
      </w:r>
      <w:r w:rsidRPr="00AF5677">
        <w:t>, Teddy the Bear, in</w:t>
      </w:r>
      <w:r w:rsidR="00FC33B5" w:rsidRPr="00AF5677">
        <w:t xml:space="preserve"> the context of estimated and real eating episodes. </w:t>
      </w:r>
      <w:r w:rsidRPr="00AF5677">
        <w:t>Forty-</w:t>
      </w:r>
      <w:r w:rsidR="00FC33B5" w:rsidRPr="00AF5677">
        <w:t>seven 6-8 year old primary school pupils</w:t>
      </w:r>
      <w:r w:rsidRPr="00AF5677">
        <w:t xml:space="preserve"> participated in Study 1, which used a between-participant design</w:t>
      </w:r>
      <w:r w:rsidR="00FC33B5" w:rsidRPr="00AF5677">
        <w:t>. Results from this study indicate</w:t>
      </w:r>
      <w:r w:rsidR="00311D23" w:rsidRPr="00AF5677">
        <w:t>d</w:t>
      </w:r>
      <w:r w:rsidR="00FC33B5" w:rsidRPr="00AF5677">
        <w:t xml:space="preserve"> that the majority of</w:t>
      </w:r>
      <w:r w:rsidRPr="00AF5677">
        <w:t xml:space="preserve"> children </w:t>
      </w:r>
      <w:r w:rsidR="00311D23" w:rsidRPr="00AF5677">
        <w:t>were</w:t>
      </w:r>
      <w:r w:rsidR="00FC33B5" w:rsidRPr="00AF5677">
        <w:t xml:space="preserve"> able to use the scale to make estimated hunger</w:t>
      </w:r>
      <w:r w:rsidRPr="00AF5677">
        <w:t>/satiety</w:t>
      </w:r>
      <w:r w:rsidR="00FC33B5" w:rsidRPr="00AF5677">
        <w:t xml:space="preserve"> ratings for a character in a story using the scale. </w:t>
      </w:r>
      <w:r w:rsidR="006373CB" w:rsidRPr="00AF5677">
        <w:t>N</w:t>
      </w:r>
      <w:r w:rsidRPr="00AF5677">
        <w:t xml:space="preserve">o significant differences in </w:t>
      </w:r>
      <w:r w:rsidR="00D17981" w:rsidRPr="00AF5677">
        <w:t xml:space="preserve">the </w:t>
      </w:r>
      <w:r w:rsidRPr="00AF5677">
        <w:t>ratings</w:t>
      </w:r>
      <w:r w:rsidR="00311D23" w:rsidRPr="00AF5677">
        <w:t xml:space="preserve"> of hunger/satiety </w:t>
      </w:r>
      <w:r w:rsidR="00D17981" w:rsidRPr="00AF5677">
        <w:t xml:space="preserve">of children measured </w:t>
      </w:r>
      <w:r w:rsidR="00311D23" w:rsidRPr="00AF5677">
        <w:t xml:space="preserve">before and after lunch </w:t>
      </w:r>
      <w:r w:rsidRPr="00AF5677">
        <w:t>were obs</w:t>
      </w:r>
      <w:r w:rsidR="00311D23" w:rsidRPr="00AF5677">
        <w:t>erved</w:t>
      </w:r>
      <w:r w:rsidR="006373CB" w:rsidRPr="00AF5677">
        <w:t xml:space="preserve"> and likely causes are discussed</w:t>
      </w:r>
      <w:r w:rsidR="00FC33B5" w:rsidRPr="00AF5677">
        <w:t>.</w:t>
      </w:r>
      <w:r w:rsidRPr="00AF5677">
        <w:t xml:space="preserve"> </w:t>
      </w:r>
      <w:r w:rsidR="006373CB" w:rsidRPr="00AF5677">
        <w:t>To account for inter-individual differences in hunger/satiety perceptions</w:t>
      </w:r>
      <w:r w:rsidR="00DD5D15" w:rsidRPr="00AF5677">
        <w:t xml:space="preserve"> </w:t>
      </w:r>
      <w:r w:rsidRPr="00AF5677">
        <w:t>Study 2</w:t>
      </w:r>
      <w:r w:rsidR="00FC33B5" w:rsidRPr="00AF5677">
        <w:t xml:space="preserve"> employed </w:t>
      </w:r>
      <w:r w:rsidRPr="00AF5677">
        <w:t>a within-</w:t>
      </w:r>
      <w:r w:rsidR="00FC33B5" w:rsidRPr="00AF5677">
        <w:t>participant design. Fifty</w:t>
      </w:r>
      <w:r w:rsidRPr="00AF5677">
        <w:t>-</w:t>
      </w:r>
      <w:r w:rsidR="00FC33B5" w:rsidRPr="00AF5677">
        <w:t xml:space="preserve">four 5-7 year olds participated in this study and made estimated </w:t>
      </w:r>
      <w:r w:rsidRPr="00AF5677">
        <w:t>hunger/</w:t>
      </w:r>
      <w:r w:rsidR="00FC33B5" w:rsidRPr="00AF5677">
        <w:t>satiety ratings for a story character and re</w:t>
      </w:r>
      <w:r w:rsidRPr="00AF5677">
        <w:t>al hunger/</w:t>
      </w:r>
      <w:r w:rsidR="00FC33B5" w:rsidRPr="00AF5677">
        <w:t xml:space="preserve">satiety ratings before and after lunch. The results </w:t>
      </w:r>
      <w:r w:rsidRPr="00AF5677">
        <w:t>from this study indicate</w:t>
      </w:r>
      <w:r w:rsidR="00D17981" w:rsidRPr="00AF5677">
        <w:t>d</w:t>
      </w:r>
      <w:r w:rsidR="00FC33B5" w:rsidRPr="00AF5677">
        <w:t xml:space="preserve"> that the majority of children were able to use the scale to make estimated and real hunger and satiety ratings.</w:t>
      </w:r>
      <w:r w:rsidR="00B90925" w:rsidRPr="00AF5677">
        <w:t xml:space="preserve"> </w:t>
      </w:r>
      <w:r w:rsidR="00FC33B5" w:rsidRPr="00AF5677">
        <w:t xml:space="preserve">Children were also found to be significantly hungrier before compared to after lunch. </w:t>
      </w:r>
      <w:r w:rsidR="00B90925" w:rsidRPr="00AF5677">
        <w:t>As it was not possible to establish what types of food and in what quantity children ate for lunch a third study was carried out in a controlled laboratory environment. Thirty-six 6-9 year olds participated in Study 3 and made hunger/satiety ratings before and after ingesting an ad libitum snack of known composition and quantity. Results indicate that children felt hungrier before than after the snack and that pre-snack hunger</w:t>
      </w:r>
      <w:r w:rsidR="00B97A97" w:rsidRPr="00AF5677">
        <w:t>/satiety</w:t>
      </w:r>
      <w:r w:rsidR="00BC2B86" w:rsidRPr="00AF5677">
        <w:t>,</w:t>
      </w:r>
      <w:r w:rsidR="001834D0" w:rsidRPr="00AF5677">
        <w:t xml:space="preserve"> as well as changes in hunger/satiety</w:t>
      </w:r>
      <w:r w:rsidR="00BC2B86" w:rsidRPr="00AF5677">
        <w:t>,</w:t>
      </w:r>
      <w:r w:rsidR="00B97A97" w:rsidRPr="00AF5677">
        <w:t xml:space="preserve"> </w:t>
      </w:r>
      <w:r w:rsidR="001834D0" w:rsidRPr="00AF5677">
        <w:t>were</w:t>
      </w:r>
      <w:r w:rsidR="00413C45" w:rsidRPr="00AF5677">
        <w:rPr>
          <w:color w:val="FF0000"/>
        </w:rPr>
        <w:t xml:space="preserve"> </w:t>
      </w:r>
      <w:r w:rsidR="00B90925" w:rsidRPr="00AF5677">
        <w:t>associated with ad libitum snack intake</w:t>
      </w:r>
      <w:r w:rsidR="00B97A97" w:rsidRPr="00AF5677">
        <w:t xml:space="preserve">. </w:t>
      </w:r>
      <w:r w:rsidR="00FC33B5" w:rsidRPr="00AF5677">
        <w:t>Overall</w:t>
      </w:r>
      <w:r w:rsidRPr="00AF5677">
        <w:t>,</w:t>
      </w:r>
      <w:r w:rsidR="00FC33B5" w:rsidRPr="00AF5677">
        <w:t xml:space="preserve"> </w:t>
      </w:r>
      <w:r w:rsidR="00413C45" w:rsidRPr="00AF5677">
        <w:t>the</w:t>
      </w:r>
      <w:r w:rsidR="00FC33B5" w:rsidRPr="00AF5677">
        <w:t xml:space="preserve"> studies indicate that our new categorical rating scale </w:t>
      </w:r>
      <w:r w:rsidR="00413C45" w:rsidRPr="00AF5677">
        <w:t>has potential</w:t>
      </w:r>
      <w:r w:rsidR="00FC33B5" w:rsidRPr="00AF5677">
        <w:t xml:space="preserve"> for use with </w:t>
      </w:r>
      <w:r w:rsidR="00653CE3" w:rsidRPr="00AF5677">
        <w:t xml:space="preserve">primary </w:t>
      </w:r>
      <w:r w:rsidR="00801BC5" w:rsidRPr="00AF5677">
        <w:t>school</w:t>
      </w:r>
      <w:r w:rsidR="00653CE3" w:rsidRPr="00AF5677">
        <w:t xml:space="preserve"> </w:t>
      </w:r>
      <w:r w:rsidR="00FC33B5" w:rsidRPr="00AF5677">
        <w:t xml:space="preserve">children. Implications of our findings and possible contexts for its application are discussed.  </w:t>
      </w:r>
    </w:p>
    <w:p w:rsidR="00B97A97" w:rsidRPr="00AF5677" w:rsidRDefault="00B97A97" w:rsidP="00472B08">
      <w:pPr>
        <w:spacing w:line="480" w:lineRule="auto"/>
      </w:pPr>
    </w:p>
    <w:p w:rsidR="00730ED9" w:rsidRPr="00AF5677" w:rsidRDefault="003A178A" w:rsidP="00472B08">
      <w:pPr>
        <w:spacing w:line="480" w:lineRule="auto"/>
        <w:sectPr w:rsidR="00730ED9" w:rsidRPr="00AF5677">
          <w:pgSz w:w="11906" w:h="16838"/>
          <w:pgMar w:top="1440" w:right="1440" w:bottom="1440" w:left="1440" w:header="708" w:footer="708" w:gutter="0"/>
          <w:lnNumType w:countBy="1" w:restart="continuous"/>
          <w:cols w:space="708"/>
          <w:titlePg/>
          <w:docGrid w:linePitch="360"/>
        </w:sectPr>
      </w:pPr>
      <w:r w:rsidRPr="00AF5677">
        <w:t xml:space="preserve">Keywords: </w:t>
      </w:r>
      <w:r w:rsidR="00C253CB" w:rsidRPr="00AF5677">
        <w:t xml:space="preserve">Hunger, Satiety, Rating Scale </w:t>
      </w:r>
    </w:p>
    <w:p w:rsidR="00472B08" w:rsidRPr="00AF5677" w:rsidRDefault="00472B08" w:rsidP="00730ED9">
      <w:pPr>
        <w:spacing w:line="480" w:lineRule="auto"/>
      </w:pPr>
      <w:r w:rsidRPr="00AF5677">
        <w:lastRenderedPageBreak/>
        <w:t xml:space="preserve">Measuring Hunger and Satiety in </w:t>
      </w:r>
      <w:r w:rsidR="00653CE3" w:rsidRPr="00AF5677">
        <w:t xml:space="preserve">Primary </w:t>
      </w:r>
      <w:r w:rsidR="00801BC5" w:rsidRPr="00AF5677">
        <w:t>School</w:t>
      </w:r>
      <w:r w:rsidR="00653CE3" w:rsidRPr="00AF5677">
        <w:t xml:space="preserve"> </w:t>
      </w:r>
      <w:r w:rsidRPr="00AF5677">
        <w:t>Children: Validation of a New Picture Rating Scale</w:t>
      </w:r>
    </w:p>
    <w:p w:rsidR="00DE4800" w:rsidRPr="00AF5677" w:rsidRDefault="00DE4800" w:rsidP="00472B08">
      <w:pPr>
        <w:spacing w:line="480" w:lineRule="auto"/>
      </w:pPr>
    </w:p>
    <w:p w:rsidR="00AE4513" w:rsidRPr="00AF5677" w:rsidRDefault="00D4275E" w:rsidP="00A01005">
      <w:pPr>
        <w:spacing w:line="480" w:lineRule="auto"/>
        <w:ind w:firstLine="284"/>
        <w:jc w:val="both"/>
      </w:pPr>
      <w:r w:rsidRPr="00AF5677">
        <w:t>Being able to accurately assess hunger and satiety in children is essential to many studies in the</w:t>
      </w:r>
      <w:r w:rsidR="001F4AF4" w:rsidRPr="00AF5677">
        <w:t xml:space="preserve"> field</w:t>
      </w:r>
      <w:r w:rsidRPr="00AF5677">
        <w:t xml:space="preserve"> of childhood eating behaviour.</w:t>
      </w:r>
      <w:r w:rsidR="008217D2" w:rsidRPr="00AF5677">
        <w:t xml:space="preserve"> Studies measuring snack intake with the Eating in the Absence of Hunger paradigm rely on children’s self-reported hunger and satiety. Other studies rely on children being in a fasted or non-fasted state to later establish factors like </w:t>
      </w:r>
      <w:r w:rsidR="001F4AF4" w:rsidRPr="00AF5677">
        <w:t>children’s abilities to compensate for different caloric preloads. Despite this, few validated measures exist that are known to accurately reflect</w:t>
      </w:r>
      <w:r w:rsidR="00D17981" w:rsidRPr="00AF5677">
        <w:t xml:space="preserve"> children’s own perceptions of</w:t>
      </w:r>
      <w:r w:rsidR="001F4AF4" w:rsidRPr="00AF5677">
        <w:t xml:space="preserve"> </w:t>
      </w:r>
      <w:r w:rsidR="00D17981" w:rsidRPr="00AF5677">
        <w:t xml:space="preserve">their </w:t>
      </w:r>
      <w:r w:rsidR="001F4AF4" w:rsidRPr="00AF5677">
        <w:t xml:space="preserve">hunger and satiety. </w:t>
      </w:r>
    </w:p>
    <w:p w:rsidR="00AE4513" w:rsidRPr="00AF5677" w:rsidRDefault="000C7AC2" w:rsidP="00AE4513">
      <w:pPr>
        <w:spacing w:line="480" w:lineRule="auto"/>
        <w:ind w:firstLine="284"/>
        <w:jc w:val="both"/>
      </w:pPr>
      <w:r w:rsidRPr="00AF5677">
        <w:rPr>
          <w:rFonts w:cs="Calibri"/>
        </w:rPr>
        <w:t>Some studies into childhood eating behaviour have relied on visual analogue scales commonly applied in research with adults and adolescents to establish hunger and satiety in children aged 8-12. Roemmich, Wright</w:t>
      </w:r>
      <w:r w:rsidR="00E776E5" w:rsidRPr="00AF5677">
        <w:rPr>
          <w:rFonts w:cs="Calibri"/>
        </w:rPr>
        <w:t>,</w:t>
      </w:r>
      <w:r w:rsidRPr="00AF5677">
        <w:rPr>
          <w:rFonts w:cs="Calibri"/>
        </w:rPr>
        <w:t xml:space="preserve"> and Epstein (2002) asked children to rate their hunger/satiety using a 100mm visual analogue scale with the anchors “very hungry/very full”. Nevertheless, the paper did not present any indication of children’s comprehension of this scale or of changes in hunger/satiety ratings prior to and after snack intake. Developmental research suggest that children need to be able to seriate their perceptions of hunger and satiety from hungry to full correctly before being able to use a visual analogue scale correctly and reliably (Shields, Palermo, Powers, Grewe, &amp; Smith, 2003).  </w:t>
      </w:r>
      <w:r w:rsidR="00C125D5" w:rsidRPr="00AF5677">
        <w:rPr>
          <w:rFonts w:cs="Calibri"/>
        </w:rPr>
        <w:t>Keller et al.</w:t>
      </w:r>
      <w:r w:rsidR="007507D6" w:rsidRPr="00AF5677">
        <w:rPr>
          <w:rFonts w:cs="Calibri"/>
        </w:rPr>
        <w:t xml:space="preserve"> (</w:t>
      </w:r>
      <w:r w:rsidR="00C125D5" w:rsidRPr="00AF5677">
        <w:rPr>
          <w:rFonts w:cs="Calibri"/>
        </w:rPr>
        <w:t>2006</w:t>
      </w:r>
      <w:r w:rsidR="007507D6" w:rsidRPr="00AF5677">
        <w:rPr>
          <w:rFonts w:cs="Calibri"/>
        </w:rPr>
        <w:t>)</w:t>
      </w:r>
      <w:r w:rsidR="00C125D5" w:rsidRPr="00AF5677">
        <w:rPr>
          <w:rFonts w:cs="Calibri"/>
        </w:rPr>
        <w:t xml:space="preserve"> f</w:t>
      </w:r>
      <w:r w:rsidR="007507D6" w:rsidRPr="00AF5677">
        <w:rPr>
          <w:rFonts w:cs="Calibri"/>
        </w:rPr>
        <w:t>ound that the majority of</w:t>
      </w:r>
      <w:r w:rsidR="00C125D5" w:rsidRPr="00AF5677">
        <w:rPr>
          <w:rFonts w:cs="Calibri"/>
        </w:rPr>
        <w:t xml:space="preserve"> children in their sample aged 4-5</w:t>
      </w:r>
      <w:r w:rsidR="00E95D7F" w:rsidRPr="00AF5677">
        <w:rPr>
          <w:rFonts w:cs="Calibri"/>
        </w:rPr>
        <w:t xml:space="preserve"> years were able to use an age-appropriate </w:t>
      </w:r>
      <w:r w:rsidR="007507D6" w:rsidRPr="00AF5677">
        <w:rPr>
          <w:rFonts w:cs="Calibri"/>
        </w:rPr>
        <w:t>visual analogue scale</w:t>
      </w:r>
      <w:r w:rsidR="00C125D5" w:rsidRPr="00AF5677">
        <w:rPr>
          <w:rFonts w:cs="Calibri"/>
        </w:rPr>
        <w:t xml:space="preserve"> to reflect changes in estimated fullness,</w:t>
      </w:r>
      <w:r w:rsidR="007507D6" w:rsidRPr="00AF5677">
        <w:rPr>
          <w:rFonts w:cs="Calibri"/>
        </w:rPr>
        <w:t xml:space="preserve"> after having received a considerable amount of training. This suggests that abilities to seriate may be present from an earlier age, but that tasks relying on the application of seriation techniques may be dependent on training.  </w:t>
      </w:r>
      <w:r w:rsidRPr="00AF5677">
        <w:rPr>
          <w:rFonts w:cs="Calibri"/>
        </w:rPr>
        <w:t>It is therefore likely that ratings of hunger and satiety on an abstract visual analogue scale demand greater cognitive abilities than those commonly present in</w:t>
      </w:r>
      <w:r w:rsidR="007507D6" w:rsidRPr="00AF5677">
        <w:rPr>
          <w:rFonts w:cs="Calibri"/>
        </w:rPr>
        <w:t xml:space="preserve"> untrained</w:t>
      </w:r>
      <w:r w:rsidRPr="00AF5677">
        <w:rPr>
          <w:rFonts w:cs="Calibri"/>
        </w:rPr>
        <w:t xml:space="preserve"> children aged 7 years or younger (S</w:t>
      </w:r>
      <w:r w:rsidR="00E776E5" w:rsidRPr="00AF5677">
        <w:rPr>
          <w:rFonts w:cs="Calibri"/>
        </w:rPr>
        <w:t>hields</w:t>
      </w:r>
      <w:r w:rsidR="003F7453" w:rsidRPr="00AF5677">
        <w:rPr>
          <w:rFonts w:cs="Calibri"/>
        </w:rPr>
        <w:t>, Palermo</w:t>
      </w:r>
      <w:r w:rsidR="00E776E5" w:rsidRPr="00AF5677">
        <w:rPr>
          <w:rFonts w:cs="Calibri"/>
        </w:rPr>
        <w:t xml:space="preserve"> et al.</w:t>
      </w:r>
      <w:r w:rsidR="00375B59" w:rsidRPr="00AF5677">
        <w:rPr>
          <w:rFonts w:cs="Calibri"/>
        </w:rPr>
        <w:t>, 2003</w:t>
      </w:r>
      <w:r w:rsidRPr="00AF5677">
        <w:rPr>
          <w:rFonts w:cs="Calibri"/>
        </w:rPr>
        <w:t xml:space="preserve">). Research by Shields et al. indicated that child age and IQ, used as an indicator of cognitive ability, were the best predictors of kindergarteners’ abilities to correctly make ratings using a visual analogue scale. As more than 50% of children aged 5-7 years who participated in their study failed to use the visual analogue scale </w:t>
      </w:r>
      <w:r w:rsidRPr="00AF5677">
        <w:rPr>
          <w:rFonts w:cs="Calibri"/>
        </w:rPr>
        <w:lastRenderedPageBreak/>
        <w:t>correctly, the authors suggest that alternative rating scales should be used when working with children aged 7 years or younger.</w:t>
      </w:r>
      <w:r w:rsidR="00BF5A3F" w:rsidRPr="00AF5677">
        <w:rPr>
          <w:rFonts w:cs="Calibri"/>
        </w:rPr>
        <w:t xml:space="preserve"> In a further study carried out by Shields, Cohen, Harbeck-Weber, Powers, and Smith (2003) the ability of children aged 5-14 years to correctly mark a VAS and understand the concept of a VAS for pain experiences was tested. Shields, Cohen</w:t>
      </w:r>
      <w:r w:rsidR="003F7453" w:rsidRPr="00AF5677">
        <w:rPr>
          <w:rFonts w:cs="Calibri"/>
        </w:rPr>
        <w:t xml:space="preserve"> et al. (2003)</w:t>
      </w:r>
      <w:r w:rsidR="00BF5A3F" w:rsidRPr="00AF5677">
        <w:rPr>
          <w:rFonts w:cs="Calibri"/>
        </w:rPr>
        <w:t xml:space="preserve"> report that only one third of the 106 children who participated in their study were able to correctly use and understand the VAS, with age being the best predictor of performance.</w:t>
      </w:r>
      <w:r w:rsidRPr="00AF5677">
        <w:rPr>
          <w:rFonts w:cs="Calibri"/>
        </w:rPr>
        <w:t xml:space="preserve"> </w:t>
      </w:r>
      <w:r w:rsidR="00BF5A3F" w:rsidRPr="00AF5677">
        <w:rPr>
          <w:rFonts w:cs="Calibri"/>
        </w:rPr>
        <w:t xml:space="preserve">Importantly, there were no differences in children’s abilities to understand to use and understand the VAS based on whether they received a basic or a more intensive amount of training to use it. </w:t>
      </w:r>
      <w:r w:rsidRPr="00AF5677">
        <w:rPr>
          <w:rFonts w:cs="Calibri"/>
        </w:rPr>
        <w:t>Pilot work with three 7-8-year olds in our own lab indicated that even children of this older age-range children found abstract visual analogue scales difficult to use and that their ratings did not correspond with verbal explanations of their current hunger/satiety perceptions.</w:t>
      </w:r>
    </w:p>
    <w:p w:rsidR="00AE4513" w:rsidRPr="00AF5677" w:rsidRDefault="00696F21" w:rsidP="00AE4513">
      <w:pPr>
        <w:spacing w:line="480" w:lineRule="auto"/>
        <w:ind w:firstLine="284"/>
        <w:jc w:val="both"/>
      </w:pPr>
      <w:r w:rsidRPr="00AF5677">
        <w:t>Previously developed hunger and s</w:t>
      </w:r>
      <w:r w:rsidR="009214C1" w:rsidRPr="00AF5677">
        <w:t>atiety rating scales</w:t>
      </w:r>
      <w:r w:rsidRPr="00AF5677">
        <w:t xml:space="preserve"> for use with children have</w:t>
      </w:r>
      <w:r w:rsidR="009214C1" w:rsidRPr="00AF5677">
        <w:t xml:space="preserve"> generally consist</w:t>
      </w:r>
      <w:r w:rsidRPr="00AF5677">
        <w:t>ed</w:t>
      </w:r>
      <w:r w:rsidR="009214C1" w:rsidRPr="00AF5677">
        <w:t xml:space="preserve"> of figures with manipulated stomach regions as children have been found to reliably associate this body region with feelings of hunger and satiety</w:t>
      </w:r>
      <w:r w:rsidR="008F1F80" w:rsidRPr="00AF5677">
        <w:t xml:space="preserve"> (</w:t>
      </w:r>
      <w:r w:rsidR="00375B59" w:rsidRPr="00AF5677">
        <w:t>Faith, Kermanshah, &amp; Kissileff, 2002</w:t>
      </w:r>
      <w:r w:rsidR="008F1F80" w:rsidRPr="00AF5677">
        <w:t>)</w:t>
      </w:r>
      <w:r w:rsidR="009214C1" w:rsidRPr="00AF5677">
        <w:t>.</w:t>
      </w:r>
      <w:r w:rsidR="009214C1" w:rsidRPr="00AF5677">
        <w:rPr>
          <w:rFonts w:cs="Calibri"/>
        </w:rPr>
        <w:t xml:space="preserve"> </w:t>
      </w:r>
      <w:r w:rsidR="001F4AF4" w:rsidRPr="00AF5677">
        <w:rPr>
          <w:rFonts w:cs="Calibri"/>
        </w:rPr>
        <w:t xml:space="preserve">Fisher and Birch (1999) used cartoon figures with varying amounts of food in their stomachs to assess 3-6 year-old children’s reported hunger and satiety in the context of an </w:t>
      </w:r>
      <w:r w:rsidR="00C0669B" w:rsidRPr="00AF5677">
        <w:rPr>
          <w:rFonts w:cs="Calibri"/>
        </w:rPr>
        <w:t xml:space="preserve">EAH </w:t>
      </w:r>
      <w:r w:rsidR="001F4AF4" w:rsidRPr="00AF5677">
        <w:rPr>
          <w:rFonts w:cs="Calibri"/>
        </w:rPr>
        <w:t xml:space="preserve">paradigm. The authors only included the data of those children who reported being full after a meal and who had access to snacks afterwards, in their analyses. It remains unclear though how many children were excluded due to a failure to understand the scale. </w:t>
      </w:r>
    </w:p>
    <w:p w:rsidR="00AE4513" w:rsidRPr="00AF5677" w:rsidRDefault="00C0669B" w:rsidP="00AE4513">
      <w:pPr>
        <w:spacing w:line="480" w:lineRule="auto"/>
        <w:ind w:firstLine="284"/>
        <w:jc w:val="both"/>
        <w:rPr>
          <w:rFonts w:cs="Calibri"/>
        </w:rPr>
      </w:pPr>
      <w:r w:rsidRPr="00AF5677">
        <w:rPr>
          <w:rFonts w:cs="Calibri"/>
        </w:rPr>
        <w:t>R</w:t>
      </w:r>
      <w:r w:rsidR="001F4AF4" w:rsidRPr="00AF5677">
        <w:rPr>
          <w:rFonts w:cs="Calibri"/>
        </w:rPr>
        <w:t xml:space="preserve">esearch by </w:t>
      </w:r>
      <w:r w:rsidR="00E776E5" w:rsidRPr="00AF5677">
        <w:rPr>
          <w:rFonts w:cs="Calibri"/>
        </w:rPr>
        <w:t>Faith et al.</w:t>
      </w:r>
      <w:r w:rsidR="001F4AF4" w:rsidRPr="00AF5677">
        <w:rPr>
          <w:rFonts w:cs="Calibri"/>
        </w:rPr>
        <w:t xml:space="preserve"> (2002) and Keller </w:t>
      </w:r>
      <w:r w:rsidRPr="00AF5677">
        <w:rPr>
          <w:rFonts w:cs="Calibri"/>
        </w:rPr>
        <w:t>et al. (2006)</w:t>
      </w:r>
      <w:r w:rsidR="001F4AF4" w:rsidRPr="00AF5677">
        <w:rPr>
          <w:rFonts w:cs="Calibri"/>
        </w:rPr>
        <w:t xml:space="preserve"> has </w:t>
      </w:r>
      <w:r w:rsidR="00D17981" w:rsidRPr="00AF5677">
        <w:rPr>
          <w:rFonts w:cs="Calibri"/>
        </w:rPr>
        <w:t xml:space="preserve">also </w:t>
      </w:r>
      <w:r w:rsidR="001F4AF4" w:rsidRPr="00AF5677">
        <w:rPr>
          <w:rFonts w:cs="Calibri"/>
        </w:rPr>
        <w:t>focused on the developmen</w:t>
      </w:r>
      <w:r w:rsidRPr="00AF5677">
        <w:rPr>
          <w:rFonts w:cs="Calibri"/>
        </w:rPr>
        <w:t>t of measures assessing estimated</w:t>
      </w:r>
      <w:r w:rsidR="001F4AF4" w:rsidRPr="00AF5677">
        <w:rPr>
          <w:rFonts w:cs="Calibri"/>
        </w:rPr>
        <w:t xml:space="preserve"> hunger and satiety. Faith et al. (2002) developed a range of silhouettes to assess satiety in children aged 4-6 years. Silhouettes were gender specific an</w:t>
      </w:r>
      <w:r w:rsidRPr="00AF5677">
        <w:rPr>
          <w:rFonts w:cs="Calibri"/>
        </w:rPr>
        <w:t>d contained various amounts of food</w:t>
      </w:r>
      <w:r w:rsidR="001F4AF4" w:rsidRPr="00AF5677">
        <w:rPr>
          <w:rFonts w:cs="Calibri"/>
        </w:rPr>
        <w:t xml:space="preserve"> in the stomach regions, allowing childre</w:t>
      </w:r>
      <w:r w:rsidRPr="00AF5677">
        <w:rPr>
          <w:rFonts w:cs="Calibri"/>
        </w:rPr>
        <w:t>n to make judgements of estimated</w:t>
      </w:r>
      <w:r w:rsidR="001F4AF4" w:rsidRPr="00AF5677">
        <w:rPr>
          <w:rFonts w:cs="Calibri"/>
        </w:rPr>
        <w:t xml:space="preserve"> fullness. Based on the research by Faith et al., Keller et al. (2006) developed a</w:t>
      </w:r>
      <w:r w:rsidRPr="00AF5677">
        <w:rPr>
          <w:rFonts w:cs="Calibri"/>
        </w:rPr>
        <w:t>n analogue scale (Freddy)</w:t>
      </w:r>
      <w:r w:rsidR="001F4AF4" w:rsidRPr="00AF5677">
        <w:rPr>
          <w:rFonts w:cs="Calibri"/>
        </w:rPr>
        <w:t>, which consisted of a cardboard cut-out doll, with an adjustable stomach, allowing children to dynami</w:t>
      </w:r>
      <w:r w:rsidRPr="00AF5677">
        <w:rPr>
          <w:rFonts w:cs="Calibri"/>
        </w:rPr>
        <w:t>cally regulate estimated hunger</w:t>
      </w:r>
      <w:r w:rsidR="001F4AF4" w:rsidRPr="00AF5677">
        <w:rPr>
          <w:rFonts w:cs="Calibri"/>
        </w:rPr>
        <w:t xml:space="preserve"> and satiety. </w:t>
      </w:r>
      <w:r w:rsidR="00E1113E" w:rsidRPr="00AF5677">
        <w:rPr>
          <w:rFonts w:cs="Calibri"/>
        </w:rPr>
        <w:t>This scale has shown</w:t>
      </w:r>
      <w:r w:rsidR="00E95D7F" w:rsidRPr="00AF5677">
        <w:rPr>
          <w:rFonts w:cs="Calibri"/>
        </w:rPr>
        <w:t xml:space="preserve"> good</w:t>
      </w:r>
      <w:r w:rsidRPr="00AF5677">
        <w:rPr>
          <w:rFonts w:cs="Calibri"/>
        </w:rPr>
        <w:t xml:space="preserve"> </w:t>
      </w:r>
      <w:r w:rsidRPr="00AF5677">
        <w:rPr>
          <w:rFonts w:cs="Calibri"/>
        </w:rPr>
        <w:lastRenderedPageBreak/>
        <w:t>applicability to estimated</w:t>
      </w:r>
      <w:r w:rsidR="001F4AF4" w:rsidRPr="00AF5677">
        <w:rPr>
          <w:rFonts w:cs="Calibri"/>
        </w:rPr>
        <w:t xml:space="preserve"> hunger and satiety states in children aged 4-5 year</w:t>
      </w:r>
      <w:r w:rsidR="00FA55F2" w:rsidRPr="00AF5677">
        <w:rPr>
          <w:rFonts w:cs="Calibri"/>
        </w:rPr>
        <w:t xml:space="preserve">s and has also been used in the context of real eating episodes. Kissileff, Keller, Lofink, Torres, and Thornton (2008) evaluated the ability of 5-6 year-olds to use the scale to reflect increases in satiety in response to 15 individual 15ml portions of a yoghurt shake and found that after two training/testing sessions the majority of the 11 children who participated in their study were able to indicate greater fullness in response to </w:t>
      </w:r>
      <w:r w:rsidR="00074754" w:rsidRPr="00AF5677">
        <w:rPr>
          <w:rFonts w:cs="Calibri"/>
        </w:rPr>
        <w:t>intake.</w:t>
      </w:r>
    </w:p>
    <w:p w:rsidR="00C74C63" w:rsidRPr="00AF5677" w:rsidRDefault="000C7AC2" w:rsidP="00AE4513">
      <w:pPr>
        <w:spacing w:line="480" w:lineRule="auto"/>
        <w:ind w:firstLine="284"/>
        <w:jc w:val="both"/>
      </w:pPr>
      <w:r w:rsidRPr="00AF5677">
        <w:rPr>
          <w:rFonts w:cs="Calibri"/>
        </w:rPr>
        <w:t>To address the lack of hunger/satiety rating scales that can be used in the context of estimated as well as real eating episodes</w:t>
      </w:r>
      <w:r w:rsidRPr="00AF5677">
        <w:t>, w</w:t>
      </w:r>
      <w:r w:rsidR="00D30931" w:rsidRPr="00AF5677">
        <w:t>e developed a new picture rating scale</w:t>
      </w:r>
      <w:r w:rsidR="004D23AF" w:rsidRPr="00AF5677">
        <w:t>, “</w:t>
      </w:r>
      <w:r w:rsidR="00D30931" w:rsidRPr="00AF5677">
        <w:t>Teddy the Bear</w:t>
      </w:r>
      <w:r w:rsidR="004D23AF" w:rsidRPr="00AF5677">
        <w:t>”,</w:t>
      </w:r>
      <w:r w:rsidR="00D30931" w:rsidRPr="00AF5677">
        <w:t xml:space="preserve"> </w:t>
      </w:r>
      <w:r w:rsidR="003754FD" w:rsidRPr="00AF5677">
        <w:t>consisting of five</w:t>
      </w:r>
      <w:r w:rsidR="00D30931" w:rsidRPr="00AF5677">
        <w:t xml:space="preserve"> picture</w:t>
      </w:r>
      <w:r w:rsidR="003754FD" w:rsidRPr="00AF5677">
        <w:t>s</w:t>
      </w:r>
      <w:r w:rsidR="00D30931" w:rsidRPr="00AF5677">
        <w:t xml:space="preserve"> of</w:t>
      </w:r>
      <w:r w:rsidR="005633A8" w:rsidRPr="00AF5677">
        <w:t xml:space="preserve"> </w:t>
      </w:r>
      <w:r w:rsidR="00D30931" w:rsidRPr="00AF5677">
        <w:t>Tedd</w:t>
      </w:r>
      <w:r w:rsidR="005633A8" w:rsidRPr="00AF5677">
        <w:t>ies</w:t>
      </w:r>
      <w:r w:rsidR="00D30931" w:rsidRPr="00AF5677">
        <w:t xml:space="preserve"> which ha</w:t>
      </w:r>
      <w:r w:rsidR="003754FD" w:rsidRPr="00AF5677">
        <w:t>d varying amounts of food in their</w:t>
      </w:r>
      <w:r w:rsidR="00D30931" w:rsidRPr="00AF5677">
        <w:t xml:space="preserve"> stomach</w:t>
      </w:r>
      <w:r w:rsidR="003754FD" w:rsidRPr="00AF5677">
        <w:t>s</w:t>
      </w:r>
      <w:r w:rsidR="00D30931" w:rsidRPr="00AF5677">
        <w:t xml:space="preserve"> and which </w:t>
      </w:r>
      <w:r w:rsidR="003754FD" w:rsidRPr="00AF5677">
        <w:t>were</w:t>
      </w:r>
      <w:r w:rsidR="00D30931" w:rsidRPr="00AF5677">
        <w:t xml:space="preserve"> accompanied by descriptive vignettes. The purpose of the scale was to allow children to make accurate ratings of their current feelings of hunger/satiety. </w:t>
      </w:r>
      <w:r w:rsidR="00C0669B" w:rsidRPr="00AF5677">
        <w:t>Our</w:t>
      </w:r>
      <w:r w:rsidR="00403125" w:rsidRPr="00AF5677">
        <w:t xml:space="preserve"> stud</w:t>
      </w:r>
      <w:r w:rsidR="00C0669B" w:rsidRPr="00AF5677">
        <w:t>ies therefore</w:t>
      </w:r>
      <w:r w:rsidR="00403125" w:rsidRPr="00AF5677">
        <w:t xml:space="preserve"> aimed to establish whether the Teddy scale could be used to measure hunger/satiety in </w:t>
      </w:r>
      <w:r w:rsidR="00E95D7F" w:rsidRPr="00AF5677">
        <w:t>primary school children aged 5-9</w:t>
      </w:r>
      <w:r w:rsidR="00403125" w:rsidRPr="00AF5677">
        <w:t xml:space="preserve"> years. We assessed children’s comprehension of the scale while examining possible effects of age and gender</w:t>
      </w:r>
      <w:r w:rsidR="00C0669B" w:rsidRPr="00AF5677">
        <w:t xml:space="preserve"> (Study 1) and also assessed the scale</w:t>
      </w:r>
      <w:r w:rsidR="00B734C2" w:rsidRPr="00AF5677">
        <w:t>’</w:t>
      </w:r>
      <w:r w:rsidR="00C0669B" w:rsidRPr="00AF5677">
        <w:t xml:space="preserve">s </w:t>
      </w:r>
      <w:r w:rsidR="00B734C2" w:rsidRPr="00AF5677">
        <w:t>ability to reflect</w:t>
      </w:r>
      <w:r w:rsidR="00C0669B" w:rsidRPr="00AF5677">
        <w:t xml:space="preserve"> changes in </w:t>
      </w:r>
      <w:r w:rsidR="00C74C63" w:rsidRPr="00AF5677">
        <w:t>estimated</w:t>
      </w:r>
      <w:r w:rsidR="00C0669B" w:rsidRPr="00AF5677">
        <w:t xml:space="preserve"> hunger</w:t>
      </w:r>
      <w:r w:rsidR="00E30187" w:rsidRPr="00AF5677">
        <w:t>/satiety</w:t>
      </w:r>
      <w:r w:rsidR="00C0669B" w:rsidRPr="00AF5677">
        <w:t xml:space="preserve"> states (Study 1) and with respect to</w:t>
      </w:r>
      <w:r w:rsidR="00E30187" w:rsidRPr="00AF5677">
        <w:t xml:space="preserve"> a real eating episode</w:t>
      </w:r>
      <w:r w:rsidR="00C0669B" w:rsidRPr="00AF5677">
        <w:t xml:space="preserve"> (Study</w:t>
      </w:r>
      <w:r w:rsidR="00571E9B" w:rsidRPr="00AF5677">
        <w:t xml:space="preserve"> </w:t>
      </w:r>
      <w:r w:rsidR="00C0669B" w:rsidRPr="00AF5677">
        <w:t xml:space="preserve">2). </w:t>
      </w:r>
      <w:r w:rsidR="00403125" w:rsidRPr="00AF5677">
        <w:t xml:space="preserve"> </w:t>
      </w:r>
      <w:r w:rsidR="00FC75FC" w:rsidRPr="00AF5677">
        <w:t>Additionally we established whether the scale was able to reflect changes in hunger/satiety in the context of the ingestion of an ad libitum snack in a controlled environment (Study 3).</w:t>
      </w:r>
    </w:p>
    <w:p w:rsidR="008A6E92" w:rsidRPr="00AF5677" w:rsidRDefault="008A6E92" w:rsidP="00472B08">
      <w:pPr>
        <w:spacing w:line="480" w:lineRule="auto"/>
        <w:jc w:val="both"/>
        <w:rPr>
          <w:rFonts w:cs="Calibri"/>
        </w:rPr>
      </w:pPr>
      <w:r w:rsidRPr="00AF5677">
        <w:rPr>
          <w:rFonts w:cs="Calibri"/>
        </w:rPr>
        <w:t xml:space="preserve"> </w:t>
      </w:r>
    </w:p>
    <w:p w:rsidR="004C754A" w:rsidRPr="00AF5677" w:rsidRDefault="008B2AD3" w:rsidP="00AE4513">
      <w:pPr>
        <w:spacing w:line="480" w:lineRule="auto"/>
        <w:jc w:val="center"/>
        <w:rPr>
          <w:rFonts w:cs="Calibri"/>
        </w:rPr>
      </w:pPr>
      <w:r w:rsidRPr="00AF5677">
        <w:t>Study 1</w:t>
      </w:r>
    </w:p>
    <w:p w:rsidR="004C754A" w:rsidRPr="00AF5677" w:rsidRDefault="008B2AD3" w:rsidP="00AE4513">
      <w:pPr>
        <w:spacing w:line="480" w:lineRule="auto"/>
        <w:jc w:val="center"/>
      </w:pPr>
      <w:r w:rsidRPr="00AF5677">
        <w:t>Method</w:t>
      </w:r>
    </w:p>
    <w:p w:rsidR="004C754A" w:rsidRPr="00AF5677" w:rsidRDefault="008B2AD3" w:rsidP="00472B08">
      <w:pPr>
        <w:spacing w:line="480" w:lineRule="auto"/>
        <w:jc w:val="both"/>
        <w:rPr>
          <w:i/>
        </w:rPr>
      </w:pPr>
      <w:r w:rsidRPr="00AF5677">
        <w:rPr>
          <w:i/>
        </w:rPr>
        <w:t>Participants</w:t>
      </w:r>
    </w:p>
    <w:p w:rsidR="004C754A" w:rsidRPr="00AF5677" w:rsidRDefault="008B2AD3" w:rsidP="00AE4513">
      <w:pPr>
        <w:spacing w:line="480" w:lineRule="auto"/>
        <w:ind w:firstLine="284"/>
        <w:jc w:val="both"/>
        <w:rPr>
          <w:rFonts w:cs="Calibri"/>
        </w:rPr>
      </w:pPr>
      <w:r w:rsidRPr="00AF5677">
        <w:rPr>
          <w:rFonts w:cs="Calibri"/>
        </w:rPr>
        <w:t>Forty-seven children aged 6 years to 8 years participated in this study. The sample consisted o</w:t>
      </w:r>
      <w:r w:rsidR="00620976" w:rsidRPr="00AF5677">
        <w:rPr>
          <w:rFonts w:cs="Calibri"/>
        </w:rPr>
        <w:t>f 27 females and 20 males, who</w:t>
      </w:r>
      <w:r w:rsidRPr="00AF5677">
        <w:rPr>
          <w:rFonts w:cs="Calibri"/>
        </w:rPr>
        <w:t xml:space="preserve"> were predominantly White British. Children were typically developing and attended years three and four of a primary school in Birmingham, UK. </w:t>
      </w:r>
      <w:r w:rsidR="00FF59A3" w:rsidRPr="00AF5677">
        <w:t xml:space="preserve">The index of multiple deprivation (2010) for the school and the surrounding areas indicated that the sample of children </w:t>
      </w:r>
      <w:r w:rsidR="00FF59A3" w:rsidRPr="00AF5677">
        <w:lastRenderedPageBreak/>
        <w:t>participating in this study is likely to be drawn from the most deprived 50% of English communities</w:t>
      </w:r>
      <w:r w:rsidR="000D5DCD" w:rsidRPr="00AF5677">
        <w:t xml:space="preserve"> (</w:t>
      </w:r>
      <w:r w:rsidR="00CF2827" w:rsidRPr="00AF5677">
        <w:t>Index of Multiple Deprivation, 2012</w:t>
      </w:r>
      <w:r w:rsidR="000D5DCD" w:rsidRPr="00AF5677">
        <w:t>)</w:t>
      </w:r>
      <w:r w:rsidR="00FF59A3" w:rsidRPr="00AF5677">
        <w:t xml:space="preserve">. </w:t>
      </w:r>
    </w:p>
    <w:p w:rsidR="004C754A" w:rsidRPr="00AF5677" w:rsidRDefault="00075040" w:rsidP="00472B08">
      <w:pPr>
        <w:spacing w:line="480" w:lineRule="auto"/>
        <w:jc w:val="both"/>
        <w:rPr>
          <w:i/>
        </w:rPr>
      </w:pPr>
      <w:r w:rsidRPr="00AF5677">
        <w:rPr>
          <w:i/>
        </w:rPr>
        <w:t>Measure</w:t>
      </w:r>
    </w:p>
    <w:p w:rsidR="004C754A" w:rsidRPr="00AF5677" w:rsidRDefault="00075040" w:rsidP="00AE4513">
      <w:pPr>
        <w:spacing w:line="480" w:lineRule="auto"/>
        <w:ind w:firstLine="284"/>
        <w:jc w:val="both"/>
      </w:pPr>
      <w:r w:rsidRPr="00AF5677">
        <w:rPr>
          <w:rFonts w:cs="Calibri"/>
        </w:rPr>
        <w:t xml:space="preserve">For the purpose of this study a picture rating scale, aimed at assessing hunger and satiety was developed. The scale consisted of five black and white cartoon bear silhouettes. Varying amounts of “food” were represented by black ovals in each bears’ stomach area, which increased in size proportionally as the amount of food consumed and the satiety of the bear increased. Each of the five bear silhouettes was accompanied by a </w:t>
      </w:r>
      <w:r w:rsidR="00AF462D" w:rsidRPr="00AF5677">
        <w:rPr>
          <w:rFonts w:cs="Calibri"/>
        </w:rPr>
        <w:t>label</w:t>
      </w:r>
      <w:r w:rsidR="00A607F7" w:rsidRPr="00AF5677">
        <w:rPr>
          <w:rFonts w:cs="Calibri"/>
        </w:rPr>
        <w:t xml:space="preserve"> placed above the silhouette</w:t>
      </w:r>
      <w:r w:rsidRPr="00AF5677">
        <w:rPr>
          <w:rFonts w:cs="Calibri"/>
        </w:rPr>
        <w:t>, which described the bear’s level of hunge</w:t>
      </w:r>
      <w:r w:rsidR="00A15CB0" w:rsidRPr="00AF5677">
        <w:rPr>
          <w:rFonts w:cs="Calibri"/>
        </w:rPr>
        <w:t>r and satiety, starting from 1</w:t>
      </w:r>
      <w:r w:rsidRPr="00AF5677">
        <w:rPr>
          <w:rFonts w:cs="Calibri"/>
        </w:rPr>
        <w:t xml:space="preserve"> </w:t>
      </w:r>
      <w:r w:rsidR="00A15CB0" w:rsidRPr="00AF5677">
        <w:rPr>
          <w:rFonts w:cs="Calibri"/>
        </w:rPr>
        <w:t>(</w:t>
      </w:r>
      <w:r w:rsidRPr="00AF5677">
        <w:rPr>
          <w:rFonts w:cs="Calibri"/>
          <w:i/>
        </w:rPr>
        <w:t>very hungry</w:t>
      </w:r>
      <w:r w:rsidR="00A15CB0" w:rsidRPr="00AF5677">
        <w:rPr>
          <w:rFonts w:cs="Calibri"/>
        </w:rPr>
        <w:t>) to 5</w:t>
      </w:r>
      <w:r w:rsidRPr="00AF5677">
        <w:rPr>
          <w:rFonts w:cs="Calibri"/>
        </w:rPr>
        <w:t xml:space="preserve"> </w:t>
      </w:r>
      <w:r w:rsidR="00A15CB0" w:rsidRPr="00AF5677">
        <w:rPr>
          <w:rFonts w:cs="Calibri"/>
        </w:rPr>
        <w:t>(</w:t>
      </w:r>
      <w:r w:rsidRPr="00AF5677">
        <w:rPr>
          <w:rFonts w:cs="Calibri"/>
          <w:i/>
        </w:rPr>
        <w:t>not hungry at all/very full</w:t>
      </w:r>
      <w:r w:rsidR="00A15CB0" w:rsidRPr="00AF5677">
        <w:rPr>
          <w:rFonts w:cs="Calibri"/>
        </w:rPr>
        <w:t>)</w:t>
      </w:r>
      <w:r w:rsidRPr="00AF5677">
        <w:rPr>
          <w:rFonts w:cs="Calibri"/>
        </w:rPr>
        <w:t xml:space="preserve"> </w:t>
      </w:r>
      <w:r w:rsidR="00E30187" w:rsidRPr="00AF5677">
        <w:rPr>
          <w:rFonts w:cs="Calibri"/>
        </w:rPr>
        <w:t>(</w:t>
      </w:r>
      <w:r w:rsidRPr="00AF5677">
        <w:rPr>
          <w:rFonts w:cs="Calibri"/>
        </w:rPr>
        <w:t>see Figure 1</w:t>
      </w:r>
      <w:r w:rsidR="00E30187" w:rsidRPr="00AF5677">
        <w:rPr>
          <w:rFonts w:cs="Calibri"/>
        </w:rPr>
        <w:t>)</w:t>
      </w:r>
      <w:r w:rsidRPr="00AF5677">
        <w:rPr>
          <w:rFonts w:cs="Calibri"/>
        </w:rPr>
        <w:t>.</w:t>
      </w:r>
    </w:p>
    <w:p w:rsidR="008B2AD3" w:rsidRPr="00AF5677" w:rsidRDefault="008B2AD3" w:rsidP="00472B08">
      <w:pPr>
        <w:spacing w:line="480" w:lineRule="auto"/>
      </w:pPr>
    </w:p>
    <w:p w:rsidR="00075040" w:rsidRPr="00AF5677" w:rsidRDefault="00EB370A" w:rsidP="00CE190E">
      <w:pPr>
        <w:spacing w:line="480" w:lineRule="auto"/>
        <w:jc w:val="center"/>
      </w:pPr>
      <w:r w:rsidRPr="00AF5677">
        <w:t>Figure 1 about here</w:t>
      </w:r>
    </w:p>
    <w:p w:rsidR="00EB370A" w:rsidRPr="00AF5677" w:rsidRDefault="00EB370A" w:rsidP="00472B08">
      <w:pPr>
        <w:spacing w:line="480" w:lineRule="auto"/>
      </w:pPr>
    </w:p>
    <w:p w:rsidR="004C754A" w:rsidRPr="00AF5677" w:rsidRDefault="008B2AD3" w:rsidP="00472B08">
      <w:pPr>
        <w:spacing w:line="480" w:lineRule="auto"/>
        <w:rPr>
          <w:i/>
        </w:rPr>
      </w:pPr>
      <w:r w:rsidRPr="00AF5677">
        <w:rPr>
          <w:i/>
        </w:rPr>
        <w:t>Procedure</w:t>
      </w:r>
    </w:p>
    <w:p w:rsidR="00AE4513" w:rsidRPr="00AF5677" w:rsidRDefault="00EF5DAA" w:rsidP="00AE4513">
      <w:pPr>
        <w:spacing w:line="480" w:lineRule="auto"/>
        <w:ind w:firstLine="284"/>
        <w:jc w:val="both"/>
      </w:pPr>
      <w:r w:rsidRPr="00AF5677">
        <w:rPr>
          <w:rFonts w:cs="Calibri"/>
        </w:rPr>
        <w:t>The study was conducted over one school day starting at 09:00 and ending at 15:10. Children were tested at school</w:t>
      </w:r>
      <w:r w:rsidR="00EC7044" w:rsidRPr="00AF5677">
        <w:rPr>
          <w:rFonts w:cs="Calibri"/>
        </w:rPr>
        <w:t xml:space="preserve"> on a one-to-one basis</w:t>
      </w:r>
      <w:r w:rsidRPr="00AF5677">
        <w:rPr>
          <w:rFonts w:cs="Calibri"/>
        </w:rPr>
        <w:t>, within a quiet corner of the classroom. Children were asked</w:t>
      </w:r>
      <w:r w:rsidR="007907C1" w:rsidRPr="00AF5677">
        <w:rPr>
          <w:rFonts w:cs="Calibri"/>
        </w:rPr>
        <w:t xml:space="preserve"> if they would like to</w:t>
      </w:r>
      <w:r w:rsidRPr="00AF5677">
        <w:rPr>
          <w:rFonts w:cs="Calibri"/>
        </w:rPr>
        <w:t xml:space="preserve"> do some work with the</w:t>
      </w:r>
      <w:r w:rsidR="007907C1" w:rsidRPr="00AF5677">
        <w:rPr>
          <w:rFonts w:cs="Calibri"/>
        </w:rPr>
        <w:t xml:space="preserve"> researcher and</w:t>
      </w:r>
      <w:r w:rsidR="00620976" w:rsidRPr="00AF5677">
        <w:rPr>
          <w:rFonts w:cs="Calibri"/>
        </w:rPr>
        <w:t>,</w:t>
      </w:r>
      <w:r w:rsidR="007907C1" w:rsidRPr="00AF5677">
        <w:rPr>
          <w:rFonts w:cs="Calibri"/>
        </w:rPr>
        <w:t xml:space="preserve"> if they agreed</w:t>
      </w:r>
      <w:r w:rsidR="00620976" w:rsidRPr="00AF5677">
        <w:rPr>
          <w:rFonts w:cs="Calibri"/>
        </w:rPr>
        <w:t>,</w:t>
      </w:r>
      <w:r w:rsidR="007907C1" w:rsidRPr="00AF5677">
        <w:rPr>
          <w:rFonts w:cs="Calibri"/>
        </w:rPr>
        <w:t xml:space="preserve"> children were told the story about Teddy the Bear</w:t>
      </w:r>
      <w:r w:rsidR="00E30187" w:rsidRPr="00AF5677">
        <w:rPr>
          <w:rFonts w:cs="Calibri"/>
        </w:rPr>
        <w:t xml:space="preserve"> (story outline below)</w:t>
      </w:r>
      <w:r w:rsidRPr="00AF5677">
        <w:rPr>
          <w:rFonts w:cs="Calibri"/>
        </w:rPr>
        <w:t xml:space="preserve">. </w:t>
      </w:r>
      <w:r w:rsidR="007907C1" w:rsidRPr="00AF5677">
        <w:rPr>
          <w:rFonts w:cs="Calibri"/>
        </w:rPr>
        <w:t>The story</w:t>
      </w:r>
      <w:r w:rsidRPr="00AF5677">
        <w:rPr>
          <w:rFonts w:cs="Calibri"/>
        </w:rPr>
        <w:t xml:space="preserve"> had an interactive element</w:t>
      </w:r>
      <w:r w:rsidR="00571E9B" w:rsidRPr="00AF5677">
        <w:rPr>
          <w:rFonts w:cs="Calibri"/>
        </w:rPr>
        <w:t>;</w:t>
      </w:r>
      <w:r w:rsidRPr="00AF5677">
        <w:rPr>
          <w:rFonts w:cs="Calibri"/>
        </w:rPr>
        <w:t xml:space="preserve"> children were asked to rate </w:t>
      </w:r>
      <w:r w:rsidR="007907C1" w:rsidRPr="00AF5677">
        <w:rPr>
          <w:rFonts w:cs="Calibri"/>
        </w:rPr>
        <w:t>Teddy</w:t>
      </w:r>
      <w:r w:rsidR="007A4E9D" w:rsidRPr="00AF5677">
        <w:rPr>
          <w:rFonts w:cs="Calibri"/>
        </w:rPr>
        <w:t>’</w:t>
      </w:r>
      <w:r w:rsidR="007907C1" w:rsidRPr="00AF5677">
        <w:rPr>
          <w:rFonts w:cs="Calibri"/>
        </w:rPr>
        <w:t>s hunger at two points during the story</w:t>
      </w:r>
      <w:r w:rsidR="00CF7C63" w:rsidRPr="00AF5677">
        <w:rPr>
          <w:rFonts w:cs="Calibri"/>
        </w:rPr>
        <w:t>, while also rating their own currently perceived</w:t>
      </w:r>
      <w:r w:rsidR="007907C1" w:rsidRPr="00AF5677">
        <w:rPr>
          <w:rFonts w:cs="Calibri"/>
        </w:rPr>
        <w:t xml:space="preserve"> hunge</w:t>
      </w:r>
      <w:r w:rsidR="007A4E9D" w:rsidRPr="00AF5677">
        <w:rPr>
          <w:rFonts w:cs="Calibri"/>
        </w:rPr>
        <w:t>r/</w:t>
      </w:r>
      <w:r w:rsidR="007907C1" w:rsidRPr="00AF5677">
        <w:rPr>
          <w:rFonts w:cs="Calibri"/>
        </w:rPr>
        <w:t>satiety state.</w:t>
      </w:r>
      <w:r w:rsidR="00E30187" w:rsidRPr="00AF5677">
        <w:rPr>
          <w:rFonts w:cs="Calibri"/>
        </w:rPr>
        <w:t xml:space="preserve"> Each child’s participation lasted for no more than 10 minutes. </w:t>
      </w:r>
      <w:r w:rsidR="00B578D1" w:rsidRPr="00AF5677">
        <w:rPr>
          <w:rFonts w:cs="Calibri"/>
        </w:rPr>
        <w:t>The researcher reco</w:t>
      </w:r>
      <w:r w:rsidR="00FD168B" w:rsidRPr="00AF5677">
        <w:rPr>
          <w:rFonts w:cs="Calibri"/>
        </w:rPr>
        <w:t>rded whether children</w:t>
      </w:r>
      <w:r w:rsidR="00B578D1" w:rsidRPr="00AF5677">
        <w:rPr>
          <w:rFonts w:cs="Calibri"/>
        </w:rPr>
        <w:t xml:space="preserve"> took part in the study in the morning after breakfast but before a mid-morning snack, in the morning after a mid-morning snack and before lunch or in the afternoon after lunch. </w:t>
      </w:r>
      <w:r w:rsidR="00E30187" w:rsidRPr="00AF5677">
        <w:rPr>
          <w:rFonts w:cs="Calibri"/>
        </w:rPr>
        <w:t>Children were given a sticker as a thank you for taking part and returned to their seats following their participation.</w:t>
      </w:r>
      <w:r w:rsidR="005633A8" w:rsidRPr="00AF5677">
        <w:t xml:space="preserve"> This study was approved by the Ethical Review Committee of the University of Birmingham.</w:t>
      </w:r>
    </w:p>
    <w:p w:rsidR="00AE4513" w:rsidRPr="00AF5677" w:rsidRDefault="00AE4513" w:rsidP="00AE4513">
      <w:pPr>
        <w:spacing w:line="480" w:lineRule="auto"/>
        <w:ind w:firstLine="284"/>
        <w:jc w:val="both"/>
      </w:pPr>
      <w:r w:rsidRPr="00AF5677">
        <w:rPr>
          <w:rFonts w:cs="Calibri"/>
          <w:i/>
        </w:rPr>
        <w:lastRenderedPageBreak/>
        <w:t>Story.</w:t>
      </w:r>
      <w:r w:rsidR="007D6BBF" w:rsidRPr="00AF5677">
        <w:rPr>
          <w:rFonts w:cs="Calibri"/>
        </w:rPr>
        <w:t xml:space="preserve"> The scale’s </w:t>
      </w:r>
      <w:r w:rsidR="005633A8" w:rsidRPr="00AF5677">
        <w:rPr>
          <w:rFonts w:cs="Calibri"/>
        </w:rPr>
        <w:t>appropriateness to accurately reflect estimated</w:t>
      </w:r>
      <w:r w:rsidR="007D6BBF" w:rsidRPr="00AF5677">
        <w:rPr>
          <w:rFonts w:cs="Calibri"/>
        </w:rPr>
        <w:t xml:space="preserve"> state</w:t>
      </w:r>
      <w:r w:rsidR="005633A8" w:rsidRPr="00AF5677">
        <w:rPr>
          <w:rFonts w:cs="Calibri"/>
        </w:rPr>
        <w:t>s</w:t>
      </w:r>
      <w:r w:rsidR="007D6BBF" w:rsidRPr="00AF5677">
        <w:rPr>
          <w:rFonts w:cs="Calibri"/>
        </w:rPr>
        <w:t xml:space="preserve"> of hunge</w:t>
      </w:r>
      <w:r w:rsidR="007A4E9D" w:rsidRPr="00AF5677">
        <w:rPr>
          <w:rFonts w:cs="Calibri"/>
        </w:rPr>
        <w:t>r/</w:t>
      </w:r>
      <w:r w:rsidR="007D6BBF" w:rsidRPr="00AF5677">
        <w:rPr>
          <w:rFonts w:cs="Calibri"/>
        </w:rPr>
        <w:t xml:space="preserve">satiety was evaluated through a fictional story, which </w:t>
      </w:r>
      <w:r w:rsidR="00504799" w:rsidRPr="00AF5677">
        <w:rPr>
          <w:rFonts w:cs="Calibri"/>
        </w:rPr>
        <w:t>r</w:t>
      </w:r>
      <w:r w:rsidR="007D6BBF" w:rsidRPr="00AF5677">
        <w:rPr>
          <w:rFonts w:cs="Calibri"/>
        </w:rPr>
        <w:t xml:space="preserve">evolved around “Teddy the </w:t>
      </w:r>
      <w:r w:rsidR="00E30187" w:rsidRPr="00AF5677">
        <w:rPr>
          <w:rFonts w:cs="Calibri"/>
        </w:rPr>
        <w:t>Bear</w:t>
      </w:r>
      <w:r w:rsidR="007D6BBF" w:rsidRPr="00AF5677">
        <w:rPr>
          <w:rFonts w:cs="Calibri"/>
        </w:rPr>
        <w:t>”. In the story Teddy went to the park, and after spending the whole day there playing he realise</w:t>
      </w:r>
      <w:r w:rsidR="00E30187" w:rsidRPr="00AF5677">
        <w:rPr>
          <w:rFonts w:cs="Calibri"/>
        </w:rPr>
        <w:t>d</w:t>
      </w:r>
      <w:r w:rsidR="007D6BBF" w:rsidRPr="00AF5677">
        <w:rPr>
          <w:rFonts w:cs="Calibri"/>
        </w:rPr>
        <w:t xml:space="preserve"> that he </w:t>
      </w:r>
      <w:r w:rsidR="00E30187" w:rsidRPr="00AF5677">
        <w:rPr>
          <w:rFonts w:cs="Calibri"/>
        </w:rPr>
        <w:t>was</w:t>
      </w:r>
      <w:r w:rsidR="007D6BBF" w:rsidRPr="00AF5677">
        <w:rPr>
          <w:rFonts w:cs="Calibri"/>
        </w:rPr>
        <w:t xml:space="preserve"> very hungry and consequently return</w:t>
      </w:r>
      <w:r w:rsidR="00E30187" w:rsidRPr="00AF5677">
        <w:rPr>
          <w:rFonts w:cs="Calibri"/>
        </w:rPr>
        <w:t>ed</w:t>
      </w:r>
      <w:r w:rsidR="007D6BBF" w:rsidRPr="00AF5677">
        <w:rPr>
          <w:rFonts w:cs="Calibri"/>
        </w:rPr>
        <w:t xml:space="preserve"> home to prepare and eat a large meal after which he fe</w:t>
      </w:r>
      <w:r w:rsidR="00E30187" w:rsidRPr="00AF5677">
        <w:rPr>
          <w:rFonts w:cs="Calibri"/>
        </w:rPr>
        <w:t>lt</w:t>
      </w:r>
      <w:r w:rsidR="007D6BBF" w:rsidRPr="00AF5677">
        <w:rPr>
          <w:rFonts w:cs="Calibri"/>
        </w:rPr>
        <w:t xml:space="preserve"> very full.</w:t>
      </w:r>
      <w:r w:rsidR="00AF462D" w:rsidRPr="00AF5677">
        <w:rPr>
          <w:rFonts w:cs="Calibri"/>
        </w:rPr>
        <w:t xml:space="preserve"> (For the full story please see Appendix A)</w:t>
      </w:r>
    </w:p>
    <w:p w:rsidR="00AE4513" w:rsidRPr="00AF5677" w:rsidRDefault="006E25BD" w:rsidP="00AE4513">
      <w:pPr>
        <w:spacing w:line="480" w:lineRule="auto"/>
        <w:ind w:firstLine="284"/>
        <w:jc w:val="both"/>
      </w:pPr>
      <w:r w:rsidRPr="00AF5677">
        <w:rPr>
          <w:rFonts w:cs="Calibri"/>
          <w:i/>
        </w:rPr>
        <w:t>Stage 1</w:t>
      </w:r>
      <w:r w:rsidR="00AE4513" w:rsidRPr="00AF5677">
        <w:rPr>
          <w:rFonts w:cs="Calibri"/>
          <w:i/>
        </w:rPr>
        <w:t>.</w:t>
      </w:r>
      <w:r w:rsidR="00CF7C63" w:rsidRPr="00AF5677">
        <w:rPr>
          <w:rFonts w:cs="Calibri"/>
          <w:i/>
        </w:rPr>
        <w:t xml:space="preserve"> </w:t>
      </w:r>
      <w:r w:rsidR="00E30187" w:rsidRPr="00AF5677">
        <w:rPr>
          <w:rFonts w:cs="Calibri"/>
        </w:rPr>
        <w:t>F</w:t>
      </w:r>
      <w:r w:rsidR="00CF7C63" w:rsidRPr="00AF5677">
        <w:rPr>
          <w:rFonts w:cs="Calibri"/>
        </w:rPr>
        <w:t>amiliarisation with the scale</w:t>
      </w:r>
      <w:r w:rsidR="00EF5DAA" w:rsidRPr="00AF5677">
        <w:rPr>
          <w:rFonts w:cs="Calibri"/>
        </w:rPr>
        <w:t>. Initially the researcher introduced the child to the scale by looking at the pictures</w:t>
      </w:r>
      <w:r w:rsidR="00AF462D" w:rsidRPr="00AF5677">
        <w:rPr>
          <w:rFonts w:cs="Calibri"/>
        </w:rPr>
        <w:t xml:space="preserve"> of Teddy</w:t>
      </w:r>
      <w:r w:rsidR="00EF5DAA" w:rsidRPr="00AF5677">
        <w:rPr>
          <w:rFonts w:cs="Calibri"/>
        </w:rPr>
        <w:t xml:space="preserve"> and reading the</w:t>
      </w:r>
      <w:r w:rsidR="00AF462D" w:rsidRPr="00AF5677">
        <w:rPr>
          <w:rFonts w:cs="Calibri"/>
        </w:rPr>
        <w:t xml:space="preserve"> labels</w:t>
      </w:r>
      <w:r w:rsidR="00EF5DAA" w:rsidRPr="00AF5677">
        <w:rPr>
          <w:rFonts w:cs="Calibri"/>
        </w:rPr>
        <w:t xml:space="preserve"> accompanying each picture</w:t>
      </w:r>
      <w:r w:rsidR="00AF462D" w:rsidRPr="00AF5677">
        <w:rPr>
          <w:rFonts w:cs="Calibri"/>
        </w:rPr>
        <w:t xml:space="preserve"> of Teddy</w:t>
      </w:r>
      <w:r w:rsidR="00EF5DAA" w:rsidRPr="00AF5677">
        <w:rPr>
          <w:rFonts w:cs="Calibri"/>
        </w:rPr>
        <w:t xml:space="preserve"> with the child. The child was made aware of the differences between each picture and </w:t>
      </w:r>
      <w:r w:rsidR="00AF462D" w:rsidRPr="00AF5677">
        <w:rPr>
          <w:rFonts w:cs="Calibri"/>
        </w:rPr>
        <w:t>label</w:t>
      </w:r>
      <w:r w:rsidR="00EF5DAA" w:rsidRPr="00AF5677">
        <w:rPr>
          <w:rFonts w:cs="Calibri"/>
        </w:rPr>
        <w:t xml:space="preserve"> and the researcher checked child comprehension by asking the child to </w:t>
      </w:r>
      <w:r w:rsidR="00AF462D" w:rsidRPr="00AF5677">
        <w:rPr>
          <w:rFonts w:cs="Calibri"/>
        </w:rPr>
        <w:t>tell the researcher how hungry and how full s/he thought the different Teddy bears were.</w:t>
      </w:r>
      <w:r w:rsidR="00EF5DAA" w:rsidRPr="00AF5677">
        <w:rPr>
          <w:rFonts w:cs="Calibri"/>
        </w:rPr>
        <w:t xml:space="preserve"> </w:t>
      </w:r>
    </w:p>
    <w:p w:rsidR="00AE4513" w:rsidRPr="00AF5677" w:rsidRDefault="00AE4513" w:rsidP="00AE4513">
      <w:pPr>
        <w:spacing w:line="480" w:lineRule="auto"/>
        <w:ind w:firstLine="284"/>
        <w:jc w:val="both"/>
      </w:pPr>
      <w:r w:rsidRPr="00AF5677">
        <w:rPr>
          <w:rFonts w:cs="Calibri"/>
          <w:i/>
        </w:rPr>
        <w:t>Stage 2.</w:t>
      </w:r>
      <w:r w:rsidR="00EF5DAA" w:rsidRPr="00AF5677">
        <w:rPr>
          <w:rFonts w:cs="Calibri"/>
        </w:rPr>
        <w:t xml:space="preserve"> </w:t>
      </w:r>
      <w:r w:rsidR="00E30187" w:rsidRPr="00AF5677">
        <w:rPr>
          <w:rFonts w:cs="Calibri"/>
        </w:rPr>
        <w:t>A</w:t>
      </w:r>
      <w:r w:rsidR="00EF5DAA" w:rsidRPr="00AF5677">
        <w:rPr>
          <w:rFonts w:cs="Calibri"/>
        </w:rPr>
        <w:t xml:space="preserve">pplication of scale to estimated hunger and real hunger. The researcher read the story to the child and asked </w:t>
      </w:r>
      <w:r w:rsidR="007A4E9D" w:rsidRPr="00AF5677">
        <w:rPr>
          <w:rFonts w:cs="Calibri"/>
        </w:rPr>
        <w:t xml:space="preserve">the child to show how hungry s/he thought </w:t>
      </w:r>
      <w:r w:rsidR="00AF462D" w:rsidRPr="00AF5677">
        <w:rPr>
          <w:rFonts w:cs="Calibri"/>
        </w:rPr>
        <w:t>Teddy</w:t>
      </w:r>
      <w:r w:rsidR="007A4E9D" w:rsidRPr="00AF5677">
        <w:rPr>
          <w:rFonts w:cs="Calibri"/>
        </w:rPr>
        <w:t xml:space="preserve"> was</w:t>
      </w:r>
      <w:r w:rsidR="00EF5DAA" w:rsidRPr="00AF5677">
        <w:rPr>
          <w:rFonts w:cs="Calibri"/>
        </w:rPr>
        <w:t xml:space="preserve"> at two time points during the story once prior to a large meal and once after consuming it</w:t>
      </w:r>
      <w:r w:rsidR="007A4E9D" w:rsidRPr="00AF5677">
        <w:rPr>
          <w:rFonts w:cs="Calibri"/>
        </w:rPr>
        <w:t>, by using the scale.</w:t>
      </w:r>
      <w:r w:rsidR="00EF5DAA" w:rsidRPr="00AF5677">
        <w:rPr>
          <w:rFonts w:cs="Calibri"/>
        </w:rPr>
        <w:t xml:space="preserve"> </w:t>
      </w:r>
      <w:r w:rsidR="007A4E9D" w:rsidRPr="00AF5677">
        <w:rPr>
          <w:rFonts w:cs="Calibri"/>
        </w:rPr>
        <w:t>C</w:t>
      </w:r>
      <w:r w:rsidR="00EF5DAA" w:rsidRPr="00AF5677">
        <w:rPr>
          <w:rFonts w:cs="Calibri"/>
        </w:rPr>
        <w:t xml:space="preserve">hildren were also asked </w:t>
      </w:r>
      <w:r w:rsidR="007A4E9D" w:rsidRPr="00AF5677">
        <w:rPr>
          <w:rFonts w:cs="Calibri"/>
        </w:rPr>
        <w:t xml:space="preserve">to rate </w:t>
      </w:r>
      <w:r w:rsidR="00EF5DAA" w:rsidRPr="00AF5677">
        <w:rPr>
          <w:rFonts w:cs="Calibri"/>
        </w:rPr>
        <w:t>how hungry they felt themselves</w:t>
      </w:r>
      <w:r w:rsidR="007A4E9D" w:rsidRPr="00AF5677">
        <w:rPr>
          <w:rFonts w:cs="Calibri"/>
        </w:rPr>
        <w:t xml:space="preserve"> </w:t>
      </w:r>
      <w:r w:rsidR="008D6DFF" w:rsidRPr="00AF5677">
        <w:rPr>
          <w:rFonts w:cs="Calibri"/>
        </w:rPr>
        <w:t xml:space="preserve">currently </w:t>
      </w:r>
      <w:r w:rsidR="007A4E9D" w:rsidRPr="00AF5677">
        <w:rPr>
          <w:rFonts w:cs="Calibri"/>
        </w:rPr>
        <w:t>by using the scale</w:t>
      </w:r>
      <w:r w:rsidR="007C764B" w:rsidRPr="00AF5677">
        <w:rPr>
          <w:rFonts w:cs="Calibri"/>
        </w:rPr>
        <w:t xml:space="preserve"> (see Appendix B for script)</w:t>
      </w:r>
      <w:r w:rsidR="008A6E92" w:rsidRPr="00AF5677">
        <w:rPr>
          <w:rFonts w:cs="Calibri"/>
        </w:rPr>
        <w:t>.</w:t>
      </w:r>
    </w:p>
    <w:p w:rsidR="004C754A" w:rsidRPr="00AF5677" w:rsidRDefault="007D0D58" w:rsidP="00AE4513">
      <w:pPr>
        <w:spacing w:line="480" w:lineRule="auto"/>
        <w:ind w:firstLine="284"/>
        <w:jc w:val="both"/>
        <w:rPr>
          <w:i/>
        </w:rPr>
      </w:pPr>
      <w:r w:rsidRPr="00AF5677">
        <w:rPr>
          <w:i/>
        </w:rPr>
        <w:t xml:space="preserve">Statistical Analysis </w:t>
      </w:r>
    </w:p>
    <w:p w:rsidR="004C754A" w:rsidRPr="00AF5677" w:rsidRDefault="00E4111C" w:rsidP="00472B08">
      <w:pPr>
        <w:spacing w:line="480" w:lineRule="auto"/>
        <w:jc w:val="both"/>
      </w:pPr>
      <w:r w:rsidRPr="00AF5677">
        <w:t>SPSS version 20 statistical software was used to analyse the data</w:t>
      </w:r>
      <w:r w:rsidR="003D3254" w:rsidRPr="00AF5677">
        <w:t xml:space="preserve">. </w:t>
      </w:r>
      <w:r w:rsidR="007D0D58" w:rsidRPr="00AF5677">
        <w:t>The criterion alpha for significance was .05. Bar graphs were inspected and indicated that the majority of data were not normally distributed; only children’s ratings of their own hunger were normally distributed. Nonparametric tests were therefore conducted on all variables except for children’s ratings of their own hunger. Initially, children’s ratings of hunger/satiety were examined. Spearman’s correlations were carried out to examine whether child age was significantly related to children’s ratings of hunger/satiety</w:t>
      </w:r>
      <w:r w:rsidR="007A4E9D" w:rsidRPr="00AF5677">
        <w:t>.</w:t>
      </w:r>
      <w:r w:rsidR="007D0D58" w:rsidRPr="00AF5677">
        <w:t xml:space="preserve"> Additionally,</w:t>
      </w:r>
      <w:r w:rsidR="007A4E9D" w:rsidRPr="00AF5677">
        <w:t xml:space="preserve"> </w:t>
      </w:r>
      <w:r w:rsidR="007D0D58" w:rsidRPr="00AF5677">
        <w:t>Mann-Whitney U tests were carried out to see if there were differences in children’s ratings of</w:t>
      </w:r>
      <w:r w:rsidR="007B0D2A" w:rsidRPr="00AF5677">
        <w:t xml:space="preserve"> Teddy’s</w:t>
      </w:r>
      <w:r w:rsidR="007D0D58" w:rsidRPr="00AF5677">
        <w:t xml:space="preserve"> hunger/satiety based on child gender</w:t>
      </w:r>
      <w:r w:rsidR="007B0D2A" w:rsidRPr="00AF5677">
        <w:t>, while an independent samples t-test was used to establish differences in children’s own hunger ratings based on gender</w:t>
      </w:r>
      <w:r w:rsidR="007D0D58" w:rsidRPr="00AF5677">
        <w:t xml:space="preserve">. </w:t>
      </w:r>
      <w:r w:rsidR="007A4E9D" w:rsidRPr="00AF5677">
        <w:t xml:space="preserve">Finally, </w:t>
      </w:r>
      <w:r w:rsidR="00BC4140" w:rsidRPr="00AF5677">
        <w:t xml:space="preserve">a Wilcoxon Signed Rank test </w:t>
      </w:r>
      <w:r w:rsidR="007A4E9D" w:rsidRPr="00AF5677">
        <w:t xml:space="preserve">was used to assess whether children’s ratings of Teddy’s hunger differed before </w:t>
      </w:r>
      <w:r w:rsidR="007A4E9D" w:rsidRPr="00AF5677">
        <w:lastRenderedPageBreak/>
        <w:t>and after Teddy had a meal</w:t>
      </w:r>
      <w:r w:rsidR="00BC4140" w:rsidRPr="00AF5677">
        <w:t>, while an independent</w:t>
      </w:r>
      <w:r w:rsidR="007A4E9D" w:rsidRPr="00AF5677">
        <w:t xml:space="preserve"> samples t-test was used to assess whether </w:t>
      </w:r>
      <w:r w:rsidR="00BC4140" w:rsidRPr="00AF5677">
        <w:t xml:space="preserve">there were </w:t>
      </w:r>
      <w:r w:rsidR="008F1F80" w:rsidRPr="00AF5677">
        <w:t xml:space="preserve">any </w:t>
      </w:r>
      <w:r w:rsidR="00BC4140" w:rsidRPr="00AF5677">
        <w:t>differences in hunger/satiety levels in children tested before or after lunch.</w:t>
      </w:r>
    </w:p>
    <w:p w:rsidR="00AC76F4" w:rsidRPr="00AF5677" w:rsidRDefault="00AC76F4" w:rsidP="00472B08">
      <w:pPr>
        <w:spacing w:line="480" w:lineRule="auto"/>
        <w:jc w:val="both"/>
      </w:pPr>
    </w:p>
    <w:p w:rsidR="004C754A" w:rsidRPr="00AF5677" w:rsidRDefault="008B2AD3" w:rsidP="00AE4513">
      <w:pPr>
        <w:spacing w:line="480" w:lineRule="auto"/>
        <w:jc w:val="center"/>
      </w:pPr>
      <w:r w:rsidRPr="00AF5677">
        <w:t>Results</w:t>
      </w:r>
    </w:p>
    <w:p w:rsidR="00AE4513" w:rsidRPr="00AF5677" w:rsidRDefault="00A31453" w:rsidP="00472B08">
      <w:pPr>
        <w:spacing w:line="480" w:lineRule="auto"/>
        <w:jc w:val="both"/>
        <w:rPr>
          <w:i/>
        </w:rPr>
      </w:pPr>
      <w:r w:rsidRPr="00AF5677">
        <w:rPr>
          <w:i/>
        </w:rPr>
        <w:t>Children’s ratings of hunger/satiety</w:t>
      </w:r>
    </w:p>
    <w:p w:rsidR="004C754A" w:rsidRPr="00AF5677" w:rsidRDefault="00780D0A" w:rsidP="00133B6B">
      <w:pPr>
        <w:spacing w:line="480" w:lineRule="auto"/>
        <w:ind w:firstLine="284"/>
        <w:jc w:val="both"/>
        <w:rPr>
          <w:i/>
        </w:rPr>
      </w:pPr>
      <w:r w:rsidRPr="00AF5677">
        <w:t>C</w:t>
      </w:r>
      <w:r w:rsidR="00A31453" w:rsidRPr="00AF5677">
        <w:t>hild</w:t>
      </w:r>
      <w:r w:rsidR="009901A0" w:rsidRPr="00AF5677">
        <w:t>ren’s ratings of Teddy’s</w:t>
      </w:r>
      <w:r w:rsidR="00A31453" w:rsidRPr="00AF5677">
        <w:t xml:space="preserve"> hunger/satiety</w:t>
      </w:r>
      <w:r w:rsidR="00924A13" w:rsidRPr="00AF5677">
        <w:t xml:space="preserve"> </w:t>
      </w:r>
      <w:r w:rsidRPr="00AF5677">
        <w:t xml:space="preserve">prior to a meal ranged from </w:t>
      </w:r>
      <w:r w:rsidR="00A31453" w:rsidRPr="00AF5677">
        <w:t xml:space="preserve">“Really </w:t>
      </w:r>
      <w:r w:rsidRPr="00AF5677">
        <w:t>hungry”</w:t>
      </w:r>
      <w:r w:rsidR="00A31453" w:rsidRPr="00AF5677">
        <w:t xml:space="preserve"> (1) </w:t>
      </w:r>
      <w:r w:rsidRPr="00AF5677">
        <w:t>to “</w:t>
      </w:r>
      <w:r w:rsidR="00A31453" w:rsidRPr="00AF5677">
        <w:t>Not too hungry and not too full” (3)</w:t>
      </w:r>
      <w:r w:rsidR="00613DCE" w:rsidRPr="00AF5677">
        <w:t xml:space="preserve"> (</w:t>
      </w:r>
      <w:r w:rsidR="00A31453" w:rsidRPr="00AF5677">
        <w:t>Median</w:t>
      </w:r>
      <w:r w:rsidR="00A75315" w:rsidRPr="00AF5677">
        <w:t xml:space="preserve"> </w:t>
      </w:r>
      <w:r w:rsidR="00A75315" w:rsidRPr="00AF5677">
        <w:rPr>
          <w:i/>
        </w:rPr>
        <w:t>[</w:t>
      </w:r>
      <w:r w:rsidR="00613DCE" w:rsidRPr="00AF5677">
        <w:rPr>
          <w:i/>
        </w:rPr>
        <w:t>Mdn</w:t>
      </w:r>
      <w:r w:rsidR="00A75315" w:rsidRPr="00AF5677">
        <w:rPr>
          <w:i/>
        </w:rPr>
        <w:t>]</w:t>
      </w:r>
      <w:r w:rsidR="00A31453" w:rsidRPr="00AF5677">
        <w:t xml:space="preserve"> hunger rating</w:t>
      </w:r>
      <w:r w:rsidR="00613DCE" w:rsidRPr="00AF5677">
        <w:t xml:space="preserve">=1, </w:t>
      </w:r>
      <w:r w:rsidR="00A75315" w:rsidRPr="00AF5677">
        <w:t xml:space="preserve">Interquartile Range </w:t>
      </w:r>
      <w:r w:rsidR="00A75315" w:rsidRPr="00AF5677">
        <w:rPr>
          <w:i/>
        </w:rPr>
        <w:t>[</w:t>
      </w:r>
      <w:r w:rsidR="00613DCE" w:rsidRPr="00AF5677">
        <w:rPr>
          <w:i/>
        </w:rPr>
        <w:t>IQR</w:t>
      </w:r>
      <w:r w:rsidR="00A75315" w:rsidRPr="00AF5677">
        <w:rPr>
          <w:i/>
        </w:rPr>
        <w:t>]</w:t>
      </w:r>
      <w:r w:rsidR="00613DCE" w:rsidRPr="00AF5677">
        <w:t>=0</w:t>
      </w:r>
      <w:r w:rsidRPr="00AF5677">
        <w:t>)</w:t>
      </w:r>
      <w:r w:rsidR="00A31453" w:rsidRPr="00AF5677">
        <w:t>.</w:t>
      </w:r>
      <w:r w:rsidRPr="00AF5677">
        <w:t xml:space="preserve"> Children’s ratings of Teddy’s hunger/satiety after a meal ranged from “Really hungry” (1) to</w:t>
      </w:r>
      <w:r w:rsidR="00A31453" w:rsidRPr="00AF5677">
        <w:t xml:space="preserve"> “Really full” (5)</w:t>
      </w:r>
      <w:r w:rsidR="00613DCE" w:rsidRPr="00AF5677">
        <w:t xml:space="preserve"> (</w:t>
      </w:r>
      <w:r w:rsidR="00A31453" w:rsidRPr="00AF5677">
        <w:rPr>
          <w:i/>
        </w:rPr>
        <w:t>M</w:t>
      </w:r>
      <w:r w:rsidR="00613DCE" w:rsidRPr="00AF5677">
        <w:rPr>
          <w:i/>
        </w:rPr>
        <w:t>dn</w:t>
      </w:r>
      <w:r w:rsidR="00A31453" w:rsidRPr="00AF5677">
        <w:t xml:space="preserve"> hunger rating</w:t>
      </w:r>
      <w:r w:rsidR="00915237" w:rsidRPr="00AF5677">
        <w:t>=</w:t>
      </w:r>
      <w:r w:rsidR="00435518" w:rsidRPr="00AF5677">
        <w:t>5</w:t>
      </w:r>
      <w:r w:rsidR="00613DCE" w:rsidRPr="00AF5677">
        <w:t xml:space="preserve">, </w:t>
      </w:r>
      <w:r w:rsidR="00613DCE" w:rsidRPr="00AF5677">
        <w:rPr>
          <w:i/>
        </w:rPr>
        <w:t>IQR</w:t>
      </w:r>
      <w:r w:rsidR="00613DCE" w:rsidRPr="00AF5677">
        <w:t>=</w:t>
      </w:r>
      <w:r w:rsidR="00435518" w:rsidRPr="00AF5677">
        <w:t>0).</w:t>
      </w:r>
      <w:r w:rsidRPr="00AF5677">
        <w:t xml:space="preserve"> 89.4% (</w:t>
      </w:r>
      <w:r w:rsidRPr="00AF5677">
        <w:rPr>
          <w:i/>
        </w:rPr>
        <w:t>n</w:t>
      </w:r>
      <w:r w:rsidRPr="00AF5677">
        <w:t xml:space="preserve">=42) of children correctly rated Teddy as hungry </w:t>
      </w:r>
      <w:r w:rsidR="00504799" w:rsidRPr="00AF5677">
        <w:t xml:space="preserve">prior to a meal </w:t>
      </w:r>
      <w:r w:rsidRPr="00AF5677">
        <w:t>by selecting “Really hungry” (1)</w:t>
      </w:r>
      <w:r w:rsidR="00924A13" w:rsidRPr="00AF5677">
        <w:t xml:space="preserve"> or “Slightly hungry” (2) on the picture rating scale in accordance with the story. Furthermore,</w:t>
      </w:r>
      <w:r w:rsidRPr="00AF5677">
        <w:t xml:space="preserve"> 91.5% of children (</w:t>
      </w:r>
      <w:r w:rsidRPr="00AF5677">
        <w:rPr>
          <w:i/>
        </w:rPr>
        <w:t>n</w:t>
      </w:r>
      <w:r w:rsidRPr="00AF5677">
        <w:t>=43)</w:t>
      </w:r>
      <w:r w:rsidR="00924A13" w:rsidRPr="00AF5677">
        <w:t xml:space="preserve"> correctly</w:t>
      </w:r>
      <w:r w:rsidRPr="00AF5677">
        <w:t xml:space="preserve"> rate</w:t>
      </w:r>
      <w:r w:rsidR="00924A13" w:rsidRPr="00AF5677">
        <w:t xml:space="preserve">d Teddy as full </w:t>
      </w:r>
      <w:r w:rsidR="00504799" w:rsidRPr="00AF5677">
        <w:t xml:space="preserve">after a meal </w:t>
      </w:r>
      <w:r w:rsidR="00924A13" w:rsidRPr="00AF5677">
        <w:t>by selecting “Quite full” (4) or “Really full” (5)</w:t>
      </w:r>
      <w:r w:rsidRPr="00AF5677">
        <w:t>.</w:t>
      </w:r>
      <w:r w:rsidR="0061687E" w:rsidRPr="00AF5677">
        <w:t xml:space="preserve"> The data of children who were unable to correctly rate Teddy’s hunger/satiety before and after a meal </w:t>
      </w:r>
      <w:r w:rsidR="00266659" w:rsidRPr="00AF5677">
        <w:t>(</w:t>
      </w:r>
      <w:r w:rsidR="00266659" w:rsidRPr="00AF5677">
        <w:rPr>
          <w:i/>
        </w:rPr>
        <w:t>n</w:t>
      </w:r>
      <w:r w:rsidR="00266659" w:rsidRPr="00AF5677">
        <w:t xml:space="preserve">=1) </w:t>
      </w:r>
      <w:r w:rsidR="0061687E" w:rsidRPr="00AF5677">
        <w:t>were excluded from all further analyses</w:t>
      </w:r>
      <w:r w:rsidR="00095A66" w:rsidRPr="00AF5677">
        <w:t>.</w:t>
      </w:r>
      <w:r w:rsidR="00133B6B" w:rsidRPr="00AF5677">
        <w:t xml:space="preserve"> </w:t>
      </w:r>
      <w:r w:rsidR="00435518" w:rsidRPr="00AF5677">
        <w:t>C</w:t>
      </w:r>
      <w:r w:rsidR="00A31453" w:rsidRPr="00AF5677">
        <w:t>hildren’s ratings of their own hunger</w:t>
      </w:r>
      <w:r w:rsidR="00435518" w:rsidRPr="00AF5677">
        <w:t>/satiety at the time of testing</w:t>
      </w:r>
      <w:r w:rsidRPr="00AF5677">
        <w:t xml:space="preserve"> ranged from</w:t>
      </w:r>
      <w:r w:rsidR="00A31453" w:rsidRPr="00AF5677">
        <w:t xml:space="preserve"> “slightly hungry”</w:t>
      </w:r>
      <w:r w:rsidR="00435518" w:rsidRPr="00AF5677">
        <w:t xml:space="preserve"> (2)</w:t>
      </w:r>
      <w:r w:rsidRPr="00AF5677">
        <w:t xml:space="preserve"> to</w:t>
      </w:r>
      <w:r w:rsidR="00A31453" w:rsidRPr="00AF5677">
        <w:t xml:space="preserve"> “not too hungry and not too full”</w:t>
      </w:r>
      <w:r w:rsidR="00435518" w:rsidRPr="00AF5677">
        <w:t xml:space="preserve"> (3)</w:t>
      </w:r>
      <w:r w:rsidR="00A31453" w:rsidRPr="00AF5677">
        <w:t>.</w:t>
      </w:r>
      <w:r w:rsidR="002800EC" w:rsidRPr="00AF5677">
        <w:t xml:space="preserve"> </w:t>
      </w:r>
    </w:p>
    <w:p w:rsidR="004C754A" w:rsidRPr="00AF5677" w:rsidRDefault="004C754A" w:rsidP="00472B08">
      <w:pPr>
        <w:spacing w:line="480" w:lineRule="auto"/>
      </w:pPr>
    </w:p>
    <w:p w:rsidR="00AE4513" w:rsidRPr="00AF5677" w:rsidRDefault="00DE119D" w:rsidP="00472B08">
      <w:pPr>
        <w:spacing w:line="480" w:lineRule="auto"/>
        <w:jc w:val="both"/>
        <w:rPr>
          <w:i/>
        </w:rPr>
      </w:pPr>
      <w:r w:rsidRPr="00AF5677">
        <w:rPr>
          <w:i/>
        </w:rPr>
        <w:t>The impact of age and gender on hunger/satiety ratings</w:t>
      </w:r>
    </w:p>
    <w:p w:rsidR="00AE4513" w:rsidRPr="00AF5677" w:rsidRDefault="00DE119D" w:rsidP="00AE4513">
      <w:pPr>
        <w:spacing w:line="480" w:lineRule="auto"/>
        <w:ind w:firstLine="284"/>
        <w:jc w:val="both"/>
        <w:rPr>
          <w:i/>
        </w:rPr>
      </w:pPr>
      <w:r w:rsidRPr="00AF5677">
        <w:t xml:space="preserve">Spearman’s correlation analyses were carried out to examine </w:t>
      </w:r>
      <w:r w:rsidR="00924A13" w:rsidRPr="00AF5677">
        <w:t xml:space="preserve">whether child age was related to children’s </w:t>
      </w:r>
      <w:r w:rsidR="000C0A5B" w:rsidRPr="00AF5677">
        <w:t>hunger/satiety</w:t>
      </w:r>
      <w:r w:rsidR="00924A13" w:rsidRPr="00AF5677">
        <w:t xml:space="preserve"> ratings</w:t>
      </w:r>
      <w:r w:rsidRPr="00AF5677">
        <w:t>. Analyses indicated that age did not significantly correlate with child</w:t>
      </w:r>
      <w:r w:rsidR="001D2265" w:rsidRPr="00AF5677">
        <w:t>ren’s ratings of Teddy’s</w:t>
      </w:r>
      <w:r w:rsidRPr="00AF5677">
        <w:t xml:space="preserve"> hunger</w:t>
      </w:r>
      <w:r w:rsidR="00BC4140" w:rsidRPr="00AF5677">
        <w:t>/satiety</w:t>
      </w:r>
      <w:r w:rsidRPr="00AF5677">
        <w:t xml:space="preserve"> before a meal, </w:t>
      </w:r>
      <w:r w:rsidRPr="00AF5677">
        <w:rPr>
          <w:i/>
        </w:rPr>
        <w:t>r</w:t>
      </w:r>
      <w:r w:rsidRPr="00AF5677">
        <w:rPr>
          <w:i/>
          <w:vertAlign w:val="subscript"/>
        </w:rPr>
        <w:t>s</w:t>
      </w:r>
      <w:r w:rsidRPr="00AF5677">
        <w:t>(4</w:t>
      </w:r>
      <w:r w:rsidR="007205AA" w:rsidRPr="00AF5677">
        <w:t>4</w:t>
      </w:r>
      <w:r w:rsidR="00095A66" w:rsidRPr="00AF5677">
        <w:t>)=.0</w:t>
      </w:r>
      <w:r w:rsidRPr="00AF5677">
        <w:t xml:space="preserve">, </w:t>
      </w:r>
      <w:r w:rsidRPr="00AF5677">
        <w:rPr>
          <w:i/>
        </w:rPr>
        <w:t>p</w:t>
      </w:r>
      <w:r w:rsidR="00095A66" w:rsidRPr="00AF5677">
        <w:t>=</w:t>
      </w:r>
      <w:r w:rsidR="00DE5FCF" w:rsidRPr="00AF5677">
        <w:t>0.999</w:t>
      </w:r>
      <w:r w:rsidRPr="00AF5677">
        <w:t xml:space="preserve"> and after a meal, </w:t>
      </w:r>
      <w:r w:rsidRPr="00AF5677">
        <w:rPr>
          <w:i/>
        </w:rPr>
        <w:t>r</w:t>
      </w:r>
      <w:r w:rsidRPr="00AF5677">
        <w:rPr>
          <w:i/>
          <w:vertAlign w:val="subscript"/>
        </w:rPr>
        <w:t>s</w:t>
      </w:r>
      <w:r w:rsidR="00095A66" w:rsidRPr="00AF5677">
        <w:t>(4</w:t>
      </w:r>
      <w:r w:rsidR="007205AA" w:rsidRPr="00AF5677">
        <w:t>4</w:t>
      </w:r>
      <w:r w:rsidR="00095A66" w:rsidRPr="00AF5677">
        <w:t>)=-.137</w:t>
      </w:r>
      <w:r w:rsidRPr="00AF5677">
        <w:t xml:space="preserve">, </w:t>
      </w:r>
      <w:r w:rsidRPr="00AF5677">
        <w:rPr>
          <w:i/>
        </w:rPr>
        <w:t>p</w:t>
      </w:r>
      <w:r w:rsidR="00095A66" w:rsidRPr="00AF5677">
        <w:t>=.364</w:t>
      </w:r>
      <w:r w:rsidRPr="00AF5677">
        <w:t>. Child age was also not related to children’s ratings of their own hunger</w:t>
      </w:r>
      <w:r w:rsidR="00BC4140" w:rsidRPr="00AF5677">
        <w:t>/satiety</w:t>
      </w:r>
      <w:r w:rsidRPr="00AF5677">
        <w:t xml:space="preserve"> levels </w:t>
      </w:r>
      <w:r w:rsidRPr="00AF5677">
        <w:rPr>
          <w:i/>
        </w:rPr>
        <w:t>r</w:t>
      </w:r>
      <w:r w:rsidRPr="00AF5677">
        <w:rPr>
          <w:i/>
          <w:vertAlign w:val="subscript"/>
        </w:rPr>
        <w:t>s</w:t>
      </w:r>
      <w:r w:rsidR="00095A66" w:rsidRPr="00AF5677">
        <w:t>(4</w:t>
      </w:r>
      <w:r w:rsidR="007205AA" w:rsidRPr="00AF5677">
        <w:t>4</w:t>
      </w:r>
      <w:r w:rsidR="00095A66" w:rsidRPr="00AF5677">
        <w:t>)=.067</w:t>
      </w:r>
      <w:r w:rsidRPr="00AF5677">
        <w:t xml:space="preserve">, </w:t>
      </w:r>
      <w:r w:rsidRPr="00AF5677">
        <w:rPr>
          <w:i/>
        </w:rPr>
        <w:t>p</w:t>
      </w:r>
      <w:r w:rsidR="00095A66" w:rsidRPr="00AF5677">
        <w:t>=.65</w:t>
      </w:r>
      <w:r w:rsidRPr="00AF5677">
        <w:t>9.</w:t>
      </w:r>
    </w:p>
    <w:p w:rsidR="004C754A" w:rsidRPr="00AF5677" w:rsidRDefault="00DE119D" w:rsidP="00AE4513">
      <w:pPr>
        <w:spacing w:line="480" w:lineRule="auto"/>
        <w:ind w:firstLine="284"/>
        <w:jc w:val="both"/>
      </w:pPr>
      <w:r w:rsidRPr="00AF5677">
        <w:t>Mann-Whitney U tests were carried out to examine the effec</w:t>
      </w:r>
      <w:r w:rsidR="006E69ED" w:rsidRPr="00AF5677">
        <w:t>t of gender on hunger/satiety</w:t>
      </w:r>
      <w:r w:rsidRPr="00AF5677">
        <w:t xml:space="preserve"> ratings. The tests indicated t</w:t>
      </w:r>
      <w:r w:rsidR="00924A13" w:rsidRPr="00AF5677">
        <w:t>hat</w:t>
      </w:r>
      <w:r w:rsidRPr="00AF5677">
        <w:t xml:space="preserve"> females consistently rat</w:t>
      </w:r>
      <w:r w:rsidR="006E69ED" w:rsidRPr="00AF5677">
        <w:t xml:space="preserve">ed Teddy to be hungrier </w:t>
      </w:r>
      <w:r w:rsidR="00924A13" w:rsidRPr="00AF5677">
        <w:t xml:space="preserve">before a meal </w:t>
      </w:r>
      <w:r w:rsidR="006E69ED" w:rsidRPr="00AF5677">
        <w:t>than</w:t>
      </w:r>
      <w:r w:rsidRPr="00AF5677">
        <w:t xml:space="preserve"> males.</w:t>
      </w:r>
      <w:r w:rsidR="006E69ED" w:rsidRPr="00AF5677">
        <w:t xml:space="preserve"> No other differences in children’s ratings of hunger/satiety</w:t>
      </w:r>
      <w:r w:rsidR="00223C25" w:rsidRPr="00AF5677">
        <w:t xml:space="preserve"> </w:t>
      </w:r>
      <w:r w:rsidR="006E69ED" w:rsidRPr="00AF5677">
        <w:t xml:space="preserve">based on gender were found (see Table </w:t>
      </w:r>
      <w:r w:rsidR="00557F13" w:rsidRPr="00AF5677">
        <w:t>1</w:t>
      </w:r>
      <w:r w:rsidR="006E69ED" w:rsidRPr="00AF5677">
        <w:t>).</w:t>
      </w:r>
    </w:p>
    <w:p w:rsidR="00DD5D15" w:rsidRPr="00AF5677" w:rsidRDefault="00DD5D15" w:rsidP="00472B08">
      <w:pPr>
        <w:spacing w:line="480" w:lineRule="auto"/>
        <w:jc w:val="both"/>
      </w:pPr>
    </w:p>
    <w:p w:rsidR="004C754A" w:rsidRPr="00AF5677" w:rsidRDefault="00565059" w:rsidP="00CE190E">
      <w:pPr>
        <w:spacing w:line="480" w:lineRule="auto"/>
        <w:jc w:val="center"/>
      </w:pPr>
      <w:r w:rsidRPr="00AF5677">
        <w:t>Table 1 about here</w:t>
      </w:r>
    </w:p>
    <w:p w:rsidR="00565059" w:rsidRPr="00AF5677" w:rsidRDefault="00565059" w:rsidP="00472B08">
      <w:pPr>
        <w:spacing w:line="480" w:lineRule="auto"/>
        <w:jc w:val="both"/>
      </w:pPr>
    </w:p>
    <w:p w:rsidR="00AE4513" w:rsidRPr="00AF5677" w:rsidRDefault="00D23DF9" w:rsidP="00AE4513">
      <w:pPr>
        <w:spacing w:line="480" w:lineRule="auto"/>
        <w:rPr>
          <w:i/>
        </w:rPr>
      </w:pPr>
      <w:r w:rsidRPr="00AF5677">
        <w:rPr>
          <w:i/>
        </w:rPr>
        <w:t>Differences in</w:t>
      </w:r>
      <w:r w:rsidR="00A113F0" w:rsidRPr="00AF5677">
        <w:rPr>
          <w:i/>
        </w:rPr>
        <w:t xml:space="preserve"> pre-and </w:t>
      </w:r>
      <w:r w:rsidR="00EC7044" w:rsidRPr="00AF5677">
        <w:rPr>
          <w:i/>
        </w:rPr>
        <w:t>post-meal</w:t>
      </w:r>
      <w:r w:rsidR="00A113F0" w:rsidRPr="00AF5677">
        <w:rPr>
          <w:i/>
        </w:rPr>
        <w:t xml:space="preserve"> hunger/satiety</w:t>
      </w:r>
      <w:r w:rsidRPr="00AF5677">
        <w:rPr>
          <w:i/>
        </w:rPr>
        <w:t xml:space="preserve"> ratings for</w:t>
      </w:r>
      <w:r w:rsidR="00A113F0" w:rsidRPr="00AF5677">
        <w:rPr>
          <w:i/>
        </w:rPr>
        <w:t xml:space="preserve"> Teddy</w:t>
      </w:r>
      <w:r w:rsidRPr="00AF5677">
        <w:rPr>
          <w:i/>
        </w:rPr>
        <w:t xml:space="preserve"> and </w:t>
      </w:r>
      <w:r w:rsidR="003816D0" w:rsidRPr="00AF5677">
        <w:rPr>
          <w:i/>
        </w:rPr>
        <w:t>children’s own hunger</w:t>
      </w:r>
      <w:r w:rsidRPr="00AF5677">
        <w:rPr>
          <w:i/>
        </w:rPr>
        <w:t xml:space="preserve"> </w:t>
      </w:r>
    </w:p>
    <w:p w:rsidR="004C754A" w:rsidRPr="00AF5677" w:rsidRDefault="00A113F0" w:rsidP="00266659">
      <w:pPr>
        <w:spacing w:line="480" w:lineRule="auto"/>
        <w:ind w:firstLine="284"/>
        <w:jc w:val="both"/>
        <w:rPr>
          <w:i/>
        </w:rPr>
      </w:pPr>
      <w:r w:rsidRPr="00AF5677">
        <w:t>A Wilcoxon Signed Rank test was carried out to examine whether there was a significant difference in children’s ratings of Teddy’s</w:t>
      </w:r>
      <w:r w:rsidR="004A29A0" w:rsidRPr="00AF5677">
        <w:t xml:space="preserve"> hunger/satiety before</w:t>
      </w:r>
      <w:r w:rsidRPr="00AF5677">
        <w:t xml:space="preserve"> and after</w:t>
      </w:r>
      <w:r w:rsidR="004A29A0" w:rsidRPr="00AF5677">
        <w:t xml:space="preserve"> Teddy had</w:t>
      </w:r>
      <w:r w:rsidR="00557F13" w:rsidRPr="00AF5677">
        <w:t xml:space="preserve"> a</w:t>
      </w:r>
      <w:r w:rsidRPr="00AF5677">
        <w:t xml:space="preserve"> meal. In support of our hypotheses the test re</w:t>
      </w:r>
      <w:r w:rsidR="00557F13" w:rsidRPr="00AF5677">
        <w:t>vealed that c</w:t>
      </w:r>
      <w:r w:rsidRPr="00AF5677">
        <w:t>hildren rated Teddy to be significantly more hungry prior to a meal (</w:t>
      </w:r>
      <w:r w:rsidRPr="00AF5677">
        <w:rPr>
          <w:i/>
        </w:rPr>
        <w:t>Mdn</w:t>
      </w:r>
      <w:r w:rsidRPr="00AF5677">
        <w:t xml:space="preserve">=1, </w:t>
      </w:r>
      <w:r w:rsidRPr="00AF5677">
        <w:rPr>
          <w:i/>
        </w:rPr>
        <w:t>IQR</w:t>
      </w:r>
      <w:r w:rsidRPr="00AF5677">
        <w:t>=0) than after a meal (</w:t>
      </w:r>
      <w:r w:rsidRPr="00AF5677">
        <w:rPr>
          <w:i/>
        </w:rPr>
        <w:t>Mdn</w:t>
      </w:r>
      <w:r w:rsidRPr="00AF5677">
        <w:t xml:space="preserve">=5, </w:t>
      </w:r>
      <w:r w:rsidRPr="00AF5677">
        <w:rPr>
          <w:i/>
        </w:rPr>
        <w:t>IQR</w:t>
      </w:r>
      <w:r w:rsidRPr="00AF5677">
        <w:t>=0), (</w:t>
      </w:r>
      <w:r w:rsidRPr="00AF5677">
        <w:rPr>
          <w:i/>
        </w:rPr>
        <w:t>Z</w:t>
      </w:r>
      <w:r w:rsidRPr="00AF5677">
        <w:t xml:space="preserve">=6.042, </w:t>
      </w:r>
      <w:r w:rsidRPr="00AF5677">
        <w:rPr>
          <w:i/>
        </w:rPr>
        <w:t>p</w:t>
      </w:r>
      <w:r w:rsidRPr="00AF5677">
        <w:t xml:space="preserve">&lt;.001). </w:t>
      </w:r>
      <w:r w:rsidR="00D23DF9" w:rsidRPr="00AF5677">
        <w:t xml:space="preserve">Additionally, an independent samples </w:t>
      </w:r>
      <w:r w:rsidR="00D23DF9" w:rsidRPr="00AF5677">
        <w:rPr>
          <w:i/>
        </w:rPr>
        <w:t>t</w:t>
      </w:r>
      <w:r w:rsidR="00D23DF9" w:rsidRPr="00AF5677">
        <w:t xml:space="preserve">-test was carried out to assess whether children’s ratings of their </w:t>
      </w:r>
      <w:r w:rsidR="002800EC" w:rsidRPr="00AF5677">
        <w:t>own</w:t>
      </w:r>
      <w:r w:rsidR="00D23DF9" w:rsidRPr="00AF5677">
        <w:t xml:space="preserve"> hunger differed before and after having had lunch. C</w:t>
      </w:r>
      <w:r w:rsidR="00557F13" w:rsidRPr="00AF5677">
        <w:t xml:space="preserve">ontrary to our hypotheses </w:t>
      </w:r>
      <w:r w:rsidR="00D23DF9" w:rsidRPr="00AF5677">
        <w:t>children’s hunger ratings made before lunch (</w:t>
      </w:r>
      <w:r w:rsidR="00E75A74" w:rsidRPr="00AF5677">
        <w:rPr>
          <w:i/>
        </w:rPr>
        <w:t>M</w:t>
      </w:r>
      <w:r w:rsidR="00D23DF9" w:rsidRPr="00AF5677">
        <w:t>=</w:t>
      </w:r>
      <w:r w:rsidR="00C229CA" w:rsidRPr="00AF5677">
        <w:t>2.47</w:t>
      </w:r>
      <w:r w:rsidR="00E75A74" w:rsidRPr="00AF5677">
        <w:t xml:space="preserve">, </w:t>
      </w:r>
      <w:r w:rsidR="00E75A74" w:rsidRPr="00AF5677">
        <w:rPr>
          <w:i/>
        </w:rPr>
        <w:t>SD</w:t>
      </w:r>
      <w:r w:rsidR="00D23DF9" w:rsidRPr="00AF5677">
        <w:t>=</w:t>
      </w:r>
      <w:r w:rsidR="00E75A74" w:rsidRPr="00AF5677">
        <w:t>1.2</w:t>
      </w:r>
      <w:r w:rsidR="00C229CA" w:rsidRPr="00AF5677">
        <w:t>3</w:t>
      </w:r>
      <w:r w:rsidR="00D23DF9" w:rsidRPr="00AF5677">
        <w:t>) did not differ from their ratings made after lunch (</w:t>
      </w:r>
      <w:r w:rsidR="00E75A74" w:rsidRPr="00AF5677">
        <w:rPr>
          <w:i/>
        </w:rPr>
        <w:t>M</w:t>
      </w:r>
      <w:r w:rsidR="00D23DF9" w:rsidRPr="00AF5677">
        <w:t>=</w:t>
      </w:r>
      <w:r w:rsidR="00C229CA" w:rsidRPr="00AF5677">
        <w:t>2.45</w:t>
      </w:r>
      <w:r w:rsidR="00E75A74" w:rsidRPr="00AF5677">
        <w:t xml:space="preserve">, </w:t>
      </w:r>
      <w:r w:rsidR="00E75A74" w:rsidRPr="00AF5677">
        <w:rPr>
          <w:i/>
        </w:rPr>
        <w:t>SD</w:t>
      </w:r>
      <w:r w:rsidR="00D23DF9" w:rsidRPr="00AF5677">
        <w:t>=</w:t>
      </w:r>
      <w:r w:rsidR="00E75A74" w:rsidRPr="00AF5677">
        <w:t>1.3</w:t>
      </w:r>
      <w:r w:rsidR="00D23DF9" w:rsidRPr="00AF5677">
        <w:t>)</w:t>
      </w:r>
      <w:r w:rsidR="00557F13" w:rsidRPr="00AF5677">
        <w:t>,</w:t>
      </w:r>
      <w:r w:rsidR="00D23DF9" w:rsidRPr="00AF5677">
        <w:t xml:space="preserve"> (</w:t>
      </w:r>
      <w:r w:rsidR="00E75A74" w:rsidRPr="00AF5677">
        <w:rPr>
          <w:i/>
        </w:rPr>
        <w:t>t</w:t>
      </w:r>
      <w:r w:rsidR="00C229CA" w:rsidRPr="00AF5677">
        <w:t>(44)=-.057</w:t>
      </w:r>
      <w:r w:rsidR="00E75A74" w:rsidRPr="00AF5677">
        <w:t xml:space="preserve">, </w:t>
      </w:r>
      <w:r w:rsidR="00E75A74" w:rsidRPr="00AF5677">
        <w:rPr>
          <w:i/>
        </w:rPr>
        <w:t>p</w:t>
      </w:r>
      <w:r w:rsidR="00E75A74" w:rsidRPr="00AF5677">
        <w:t>=.9</w:t>
      </w:r>
      <w:r w:rsidR="00C229CA" w:rsidRPr="00AF5677">
        <w:t>55</w:t>
      </w:r>
      <w:r w:rsidR="00D23DF9" w:rsidRPr="00AF5677">
        <w:t xml:space="preserve">). </w:t>
      </w:r>
    </w:p>
    <w:p w:rsidR="004C754A" w:rsidRPr="00AF5677" w:rsidRDefault="004C754A" w:rsidP="00472B08">
      <w:pPr>
        <w:spacing w:line="480" w:lineRule="auto"/>
      </w:pPr>
    </w:p>
    <w:p w:rsidR="004C754A" w:rsidRPr="00AF5677" w:rsidRDefault="008B2AD3" w:rsidP="00AE4513">
      <w:pPr>
        <w:spacing w:line="480" w:lineRule="auto"/>
        <w:jc w:val="center"/>
      </w:pPr>
      <w:r w:rsidRPr="00AF5677">
        <w:t>Discussion</w:t>
      </w:r>
    </w:p>
    <w:p w:rsidR="00A01005" w:rsidRPr="00AF5677" w:rsidRDefault="00AF20FE" w:rsidP="008E2CC6">
      <w:pPr>
        <w:spacing w:line="480" w:lineRule="auto"/>
        <w:ind w:firstLine="284"/>
        <w:jc w:val="both"/>
      </w:pPr>
      <w:r w:rsidRPr="00AF5677">
        <w:t xml:space="preserve">The results of </w:t>
      </w:r>
      <w:r w:rsidR="0073274B" w:rsidRPr="00AF5677">
        <w:t>S</w:t>
      </w:r>
      <w:r w:rsidRPr="00AF5677">
        <w:t>tudy 1 indicate that children are able to use the new picture rating scale to estimate hunger/satiety in Teddy following the descriptions of a hunger and satiety state</w:t>
      </w:r>
      <w:r w:rsidR="00317C84" w:rsidRPr="00AF5677">
        <w:t xml:space="preserve"> in a story</w:t>
      </w:r>
      <w:r w:rsidRPr="00AF5677">
        <w:t>. In fact around 90% of children correctly estimated hunger and satiety in Teddy, suggesting that</w:t>
      </w:r>
      <w:r w:rsidR="0073274B" w:rsidRPr="00AF5677">
        <w:t xml:space="preserve"> the majority of</w:t>
      </w:r>
      <w:r w:rsidRPr="00AF5677">
        <w:t xml:space="preserve"> children aged 6-8 years</w:t>
      </w:r>
      <w:r w:rsidR="0073274B" w:rsidRPr="00AF5677">
        <w:t xml:space="preserve"> </w:t>
      </w:r>
      <w:r w:rsidR="004A471F" w:rsidRPr="00AF5677">
        <w:t>are</w:t>
      </w:r>
      <w:r w:rsidR="0073274B" w:rsidRPr="00AF5677">
        <w:t xml:space="preserve"> able to understand and use this scale appropriately</w:t>
      </w:r>
      <w:r w:rsidRPr="00AF5677">
        <w:t xml:space="preserve">. It is unclear however, whether children are able to use the scale as effectively when reporting their own hunger/satiety. </w:t>
      </w:r>
      <w:r w:rsidR="00C92D2E" w:rsidRPr="00AF5677">
        <w:t>C</w:t>
      </w:r>
      <w:r w:rsidR="004B0836" w:rsidRPr="00AF5677">
        <w:t xml:space="preserve">hildren’s hunger/satiety levels did not differ whether they were tested before or after lunch. These results </w:t>
      </w:r>
      <w:r w:rsidR="00C92D2E" w:rsidRPr="00AF5677">
        <w:t xml:space="preserve">are perhaps unsurprising, </w:t>
      </w:r>
      <w:r w:rsidR="004B0836" w:rsidRPr="00AF5677">
        <w:t xml:space="preserve">as it was not possible to determine the time at which children had consumed breakfast, if they consumed it at all, and what their breakfast consisted of. This meant that there were large variations in children’s hunger/satiety ratings in the morning. Additionally, </w:t>
      </w:r>
      <w:r w:rsidR="00C92D2E" w:rsidRPr="00AF5677">
        <w:t xml:space="preserve">some </w:t>
      </w:r>
      <w:r w:rsidR="004B0836" w:rsidRPr="00AF5677">
        <w:t xml:space="preserve">children consumed a mid-morning snack at 10.30 am, which is likely to have diminished hunger ratings of those children tested after </w:t>
      </w:r>
      <w:r w:rsidR="00C92D2E" w:rsidRPr="00AF5677">
        <w:t>a</w:t>
      </w:r>
      <w:r w:rsidR="004B0836" w:rsidRPr="00AF5677">
        <w:t xml:space="preserve"> snack but before lunch. Furthermore, </w:t>
      </w:r>
      <w:r w:rsidR="004B0836" w:rsidRPr="00AF5677">
        <w:lastRenderedPageBreak/>
        <w:t>we expected large inter-individual differences in children’s hunger and satiety ratings througho</w:t>
      </w:r>
      <w:r w:rsidR="00E76F9E" w:rsidRPr="00AF5677">
        <w:t>ut the day based on the between-</w:t>
      </w:r>
      <w:r w:rsidR="004B0836" w:rsidRPr="00AF5677">
        <w:t xml:space="preserve">subjects design of this study. </w:t>
      </w:r>
    </w:p>
    <w:p w:rsidR="004C754A" w:rsidRPr="00AF5677" w:rsidRDefault="004B0836" w:rsidP="00A67C88">
      <w:pPr>
        <w:spacing w:line="480" w:lineRule="auto"/>
        <w:ind w:firstLine="284"/>
        <w:jc w:val="both"/>
        <w:rPr>
          <w:rFonts w:ascii="Segoe UI" w:hAnsi="Segoe UI" w:cs="Segoe UI"/>
          <w:color w:val="548DD4"/>
          <w:sz w:val="20"/>
          <w:szCs w:val="20"/>
        </w:rPr>
      </w:pPr>
      <w:r w:rsidRPr="00AF5677">
        <w:t>T</w:t>
      </w:r>
      <w:r w:rsidR="00C92D2E" w:rsidRPr="00AF5677">
        <w:t>herefore, t</w:t>
      </w:r>
      <w:r w:rsidRPr="00AF5677">
        <w:t xml:space="preserve">o </w:t>
      </w:r>
      <w:r w:rsidR="00E76F9E" w:rsidRPr="00AF5677">
        <w:t>address this study’</w:t>
      </w:r>
      <w:r w:rsidRPr="00AF5677">
        <w:t xml:space="preserve">s inability to clarify whether the Teddy scale can be successfully used to </w:t>
      </w:r>
      <w:r w:rsidR="00C92D2E" w:rsidRPr="00AF5677">
        <w:t xml:space="preserve">measure change in children’s </w:t>
      </w:r>
      <w:r w:rsidRPr="00AF5677">
        <w:t>hunger/satiety in the context of a real eating episode</w:t>
      </w:r>
      <w:r w:rsidR="00C92D2E" w:rsidRPr="00AF5677">
        <w:t>,</w:t>
      </w:r>
      <w:r w:rsidRPr="00AF5677">
        <w:t xml:space="preserve"> </w:t>
      </w:r>
      <w:r w:rsidR="00E76F9E" w:rsidRPr="00AF5677">
        <w:t xml:space="preserve">Study 2 employed a within-subjects design. </w:t>
      </w:r>
      <w:r w:rsidR="00BC1F1D" w:rsidRPr="00AF5677">
        <w:t xml:space="preserve"> </w:t>
      </w:r>
      <w:r w:rsidR="00A75315" w:rsidRPr="00AF5677">
        <w:rPr>
          <w:rFonts w:cs="Segoe UI"/>
        </w:rPr>
        <w:t>Some research suggests that girls are more sensitive to researcher demands</w:t>
      </w:r>
      <w:r w:rsidR="00403E77" w:rsidRPr="00AF5677">
        <w:rPr>
          <w:rFonts w:cs="Segoe UI"/>
        </w:rPr>
        <w:t xml:space="preserve"> (Hoffman, 1972)</w:t>
      </w:r>
      <w:r w:rsidR="00A75315" w:rsidRPr="00AF5677">
        <w:rPr>
          <w:rFonts w:cs="Segoe UI"/>
        </w:rPr>
        <w:t>. We therefore carried out gender specific analyses of child ratings</w:t>
      </w:r>
      <w:r w:rsidR="008E2CC6" w:rsidRPr="00AF5677">
        <w:rPr>
          <w:rFonts w:cs="Segoe UI"/>
        </w:rPr>
        <w:t xml:space="preserve"> to establish whether boys and girls differed systematically in their ratings of Teddy’s hunger/satiety and of their own hunger.</w:t>
      </w:r>
      <w:r w:rsidR="008E2CC6" w:rsidRPr="00AF5677">
        <w:rPr>
          <w:rFonts w:cs="Segoe UI"/>
          <w:color w:val="548DD4"/>
        </w:rPr>
        <w:t xml:space="preserve"> </w:t>
      </w:r>
      <w:r w:rsidR="00E76F9E" w:rsidRPr="00AF5677">
        <w:t>The results of Study 1</w:t>
      </w:r>
      <w:r w:rsidR="00737485" w:rsidRPr="00AF5677">
        <w:t xml:space="preserve"> </w:t>
      </w:r>
      <w:r w:rsidR="008E2CC6" w:rsidRPr="00AF5677">
        <w:t>indicated</w:t>
      </w:r>
      <w:r w:rsidR="00E76F9E" w:rsidRPr="00AF5677">
        <w:t xml:space="preserve"> that </w:t>
      </w:r>
      <w:r w:rsidR="00D825EE" w:rsidRPr="00AF5677">
        <w:t xml:space="preserve">there was </w:t>
      </w:r>
      <w:r w:rsidR="008E2CC6" w:rsidRPr="00AF5677">
        <w:t>only one gender</w:t>
      </w:r>
      <w:r w:rsidR="004A471F" w:rsidRPr="00AF5677">
        <w:t xml:space="preserve"> </w:t>
      </w:r>
      <w:r w:rsidR="00D825EE" w:rsidRPr="00AF5677">
        <w:t>difference in children’s hunger/satiety ratings</w:t>
      </w:r>
      <w:r w:rsidR="004A471F" w:rsidRPr="00AF5677">
        <w:t>;</w:t>
      </w:r>
      <w:r w:rsidR="00D825EE" w:rsidRPr="00AF5677">
        <w:t xml:space="preserve"> females were found to rate Teddy as hungrier prior to a meal than males. As this gender difference was only observed for one of the three ratings it</w:t>
      </w:r>
      <w:r w:rsidR="007B0058" w:rsidRPr="00AF5677">
        <w:t xml:space="preserve"> is likely to</w:t>
      </w:r>
      <w:r w:rsidR="00D825EE" w:rsidRPr="00AF5677">
        <w:t xml:space="preserve"> be due to chance</w:t>
      </w:r>
      <w:r w:rsidR="007B0058" w:rsidRPr="00AF5677">
        <w:t xml:space="preserve"> and not to</w:t>
      </w:r>
      <w:r w:rsidR="00C04F6A" w:rsidRPr="00AF5677">
        <w:t xml:space="preserve"> a pervasive gender difference</w:t>
      </w:r>
      <w:r w:rsidR="00D825EE" w:rsidRPr="00AF5677">
        <w:t xml:space="preserve">. </w:t>
      </w:r>
      <w:r w:rsidR="00E751B4" w:rsidRPr="00AF5677">
        <w:t>A</w:t>
      </w:r>
      <w:r w:rsidR="00D825EE" w:rsidRPr="00AF5677">
        <w:t xml:space="preserve"> further study into </w:t>
      </w:r>
      <w:r w:rsidR="004A471F" w:rsidRPr="00AF5677">
        <w:t xml:space="preserve">gender differences in </w:t>
      </w:r>
      <w:r w:rsidR="00D825EE" w:rsidRPr="00AF5677">
        <w:t>children’s hunger/satiety ratings of Teddy may help to clarify the meaning</w:t>
      </w:r>
      <w:r w:rsidR="005633A8" w:rsidRPr="00AF5677">
        <w:t xml:space="preserve"> and importance</w:t>
      </w:r>
      <w:r w:rsidR="00D825EE" w:rsidRPr="00AF5677">
        <w:t xml:space="preserve"> of this finding.</w:t>
      </w:r>
      <w:r w:rsidR="0073274B" w:rsidRPr="00AF5677">
        <w:t xml:space="preserve"> Age </w:t>
      </w:r>
      <w:r w:rsidR="004A471F" w:rsidRPr="00AF5677">
        <w:t xml:space="preserve">was not related to </w:t>
      </w:r>
      <w:r w:rsidR="0073274B" w:rsidRPr="00AF5677">
        <w:t xml:space="preserve">any of the children’s hunger ratings, suggesting that </w:t>
      </w:r>
      <w:r w:rsidR="00504799" w:rsidRPr="00AF5677">
        <w:t xml:space="preserve">age was not systematically related to the children’s use of the scale, and that </w:t>
      </w:r>
      <w:r w:rsidR="0073274B" w:rsidRPr="00AF5677">
        <w:t xml:space="preserve">the scale </w:t>
      </w:r>
      <w:r w:rsidR="009E22A2" w:rsidRPr="00AF5677">
        <w:t>is appropriate for research focusing on estimated hunger/satiety ratings with children</w:t>
      </w:r>
      <w:r w:rsidR="0073274B" w:rsidRPr="00AF5677">
        <w:t xml:space="preserve"> aged 6-8 years. </w:t>
      </w:r>
    </w:p>
    <w:p w:rsidR="00472B08" w:rsidRPr="00AF5677" w:rsidRDefault="00472B08" w:rsidP="00472B08">
      <w:pPr>
        <w:spacing w:line="480" w:lineRule="auto"/>
      </w:pPr>
    </w:p>
    <w:p w:rsidR="004C754A" w:rsidRPr="00AF5677" w:rsidRDefault="008B2AD3" w:rsidP="00AE4513">
      <w:pPr>
        <w:spacing w:line="480" w:lineRule="auto"/>
        <w:jc w:val="center"/>
      </w:pPr>
      <w:r w:rsidRPr="00AF5677">
        <w:t>Study 2</w:t>
      </w:r>
    </w:p>
    <w:p w:rsidR="004C754A" w:rsidRPr="00AF5677" w:rsidRDefault="00705472" w:rsidP="00A01005">
      <w:pPr>
        <w:spacing w:line="480" w:lineRule="auto"/>
        <w:ind w:firstLine="284"/>
        <w:jc w:val="both"/>
      </w:pPr>
      <w:r w:rsidRPr="00AF5677">
        <w:t>The results from Study 1 indicate</w:t>
      </w:r>
      <w:r w:rsidR="004A471F" w:rsidRPr="00AF5677">
        <w:t>d</w:t>
      </w:r>
      <w:r w:rsidRPr="00AF5677">
        <w:t xml:space="preserve"> that children </w:t>
      </w:r>
      <w:r w:rsidR="004A471F" w:rsidRPr="00AF5677">
        <w:t>we</w:t>
      </w:r>
      <w:r w:rsidRPr="00AF5677">
        <w:t>re able to use the scale to rate hung</w:t>
      </w:r>
      <w:r w:rsidR="008A78DC" w:rsidRPr="00AF5677">
        <w:t xml:space="preserve">er/satiety. Study 1 also suggested that the scale is </w:t>
      </w:r>
      <w:r w:rsidR="00B734C2" w:rsidRPr="00AF5677">
        <w:t>able</w:t>
      </w:r>
      <w:r w:rsidR="008A78DC" w:rsidRPr="00AF5677">
        <w:t xml:space="preserve"> to</w:t>
      </w:r>
      <w:r w:rsidR="00B734C2" w:rsidRPr="00AF5677">
        <w:t xml:space="preserve"> detect</w:t>
      </w:r>
      <w:r w:rsidR="008A78DC" w:rsidRPr="00AF5677">
        <w:t xml:space="preserve"> changes in estimated</w:t>
      </w:r>
      <w:r w:rsidR="004A471F" w:rsidRPr="00AF5677">
        <w:t>/imagined</w:t>
      </w:r>
      <w:r w:rsidR="008A78DC" w:rsidRPr="00AF5677">
        <w:t xml:space="preserve"> hunger/satiety in response to the story about Teddy the Bear. Nevertheless, it is unclear whether the scale is </w:t>
      </w:r>
      <w:r w:rsidR="00B734C2" w:rsidRPr="00AF5677">
        <w:t>able</w:t>
      </w:r>
      <w:r w:rsidR="008A78DC" w:rsidRPr="00AF5677">
        <w:t xml:space="preserve"> to </w:t>
      </w:r>
      <w:r w:rsidR="00B734C2" w:rsidRPr="00AF5677">
        <w:t>reflect</w:t>
      </w:r>
      <w:r w:rsidR="008A78DC" w:rsidRPr="00AF5677">
        <w:t xml:space="preserve"> changes in real hunger/satiety. To test this</w:t>
      </w:r>
      <w:r w:rsidR="006F0402" w:rsidRPr="00AF5677">
        <w:t xml:space="preserve">, </w:t>
      </w:r>
      <w:r w:rsidR="008A78DC" w:rsidRPr="00AF5677">
        <w:t>Study 2</w:t>
      </w:r>
      <w:r w:rsidR="00403125" w:rsidRPr="00AF5677">
        <w:t xml:space="preserve"> aimed to further asse</w:t>
      </w:r>
      <w:r w:rsidR="00E751B4" w:rsidRPr="00AF5677">
        <w:t>s</w:t>
      </w:r>
      <w:r w:rsidR="00403125" w:rsidRPr="00AF5677">
        <w:t xml:space="preserve">s the use of </w:t>
      </w:r>
      <w:r w:rsidR="006F0402" w:rsidRPr="00AF5677">
        <w:t xml:space="preserve">the </w:t>
      </w:r>
      <w:r w:rsidR="00403125" w:rsidRPr="00AF5677">
        <w:t>picture rating scale to measure hunger/satiety in</w:t>
      </w:r>
      <w:r w:rsidR="00E10E9C" w:rsidRPr="00AF5677">
        <w:t xml:space="preserve"> primary school children aged 5 to </w:t>
      </w:r>
      <w:r w:rsidR="00DB0A3C" w:rsidRPr="00AF5677">
        <w:t>7</w:t>
      </w:r>
      <w:r w:rsidR="00E10E9C" w:rsidRPr="00AF5677">
        <w:t xml:space="preserve"> years</w:t>
      </w:r>
      <w:r w:rsidR="00403125" w:rsidRPr="00AF5677">
        <w:t>. To address the impact of inter-individual differences in hunger ratings on the scale</w:t>
      </w:r>
      <w:r w:rsidR="006F0402" w:rsidRPr="00AF5677">
        <w:t>’</w:t>
      </w:r>
      <w:r w:rsidR="00403125" w:rsidRPr="00AF5677">
        <w:t xml:space="preserve">s </w:t>
      </w:r>
      <w:r w:rsidR="00B734C2" w:rsidRPr="00AF5677">
        <w:t>ability to reflect</w:t>
      </w:r>
      <w:r w:rsidR="00403125" w:rsidRPr="00AF5677">
        <w:t xml:space="preserve"> variations in hunger</w:t>
      </w:r>
      <w:r w:rsidR="006F0402" w:rsidRPr="00AF5677">
        <w:t>,</w:t>
      </w:r>
      <w:r w:rsidR="00403125" w:rsidRPr="00AF5677">
        <w:t xml:space="preserve"> a within</w:t>
      </w:r>
      <w:r w:rsidR="00DB0A3C" w:rsidRPr="00AF5677">
        <w:t>-</w:t>
      </w:r>
      <w:r w:rsidR="00403125" w:rsidRPr="00AF5677">
        <w:t>participant design</w:t>
      </w:r>
      <w:r w:rsidR="00E10E9C" w:rsidRPr="00AF5677">
        <w:t xml:space="preserve"> was used to assess differences in children’s hunger ratings </w:t>
      </w:r>
      <w:r w:rsidR="0073274B" w:rsidRPr="00AF5677">
        <w:t>before</w:t>
      </w:r>
      <w:r w:rsidR="00E10E9C" w:rsidRPr="00AF5677">
        <w:t xml:space="preserve"> and after lunch.</w:t>
      </w:r>
      <w:r w:rsidR="00C92D2E" w:rsidRPr="00AF5677">
        <w:t xml:space="preserve"> We also trialled a group methodology in study 2, to establish whether </w:t>
      </w:r>
      <w:r w:rsidR="00C92D2E" w:rsidRPr="00AF5677">
        <w:lastRenderedPageBreak/>
        <w:t xml:space="preserve">the scale can be administered effectively to classroom groups rather than requiring one-to-one interaction. </w:t>
      </w:r>
    </w:p>
    <w:p w:rsidR="004C754A" w:rsidRPr="00AF5677" w:rsidRDefault="004C754A" w:rsidP="00472B08">
      <w:pPr>
        <w:spacing w:line="480" w:lineRule="auto"/>
      </w:pPr>
    </w:p>
    <w:p w:rsidR="004C754A" w:rsidRPr="00AF5677" w:rsidRDefault="008B2AD3" w:rsidP="00AE4513">
      <w:pPr>
        <w:spacing w:line="480" w:lineRule="auto"/>
        <w:jc w:val="center"/>
      </w:pPr>
      <w:r w:rsidRPr="00AF5677">
        <w:t>Method</w:t>
      </w:r>
    </w:p>
    <w:p w:rsidR="00AE4513" w:rsidRPr="00AF5677" w:rsidRDefault="008B2AD3" w:rsidP="00AE4513">
      <w:pPr>
        <w:spacing w:line="480" w:lineRule="auto"/>
        <w:rPr>
          <w:i/>
        </w:rPr>
      </w:pPr>
      <w:r w:rsidRPr="00AF5677">
        <w:rPr>
          <w:i/>
        </w:rPr>
        <w:t>Participants</w:t>
      </w:r>
    </w:p>
    <w:p w:rsidR="00CF2827" w:rsidRPr="00AF5677" w:rsidRDefault="00D96306" w:rsidP="00CF2827">
      <w:pPr>
        <w:spacing w:line="480" w:lineRule="auto"/>
        <w:ind w:firstLine="284"/>
        <w:jc w:val="both"/>
        <w:rPr>
          <w:rFonts w:cs="Calibri"/>
        </w:rPr>
      </w:pPr>
      <w:r w:rsidRPr="00AF5677">
        <w:rPr>
          <w:rFonts w:cs="Calibri"/>
        </w:rPr>
        <w:t>Fifty-four children aged 5 years to 7 years participated in this study. The sample consisted of 25 females and 29 males, which were predominantly White British. Children were typically developing and attended years three and four of a primary school in Birmingham, UK.</w:t>
      </w:r>
      <w:r w:rsidR="00036B94" w:rsidRPr="00AF5677">
        <w:t xml:space="preserve"> The index of multiple deprivation (2010) for the school and the surrounding areas indicated that </w:t>
      </w:r>
      <w:r w:rsidR="00FF59A3" w:rsidRPr="00AF5677">
        <w:t>the sample of children participating in this study is likely to be drawn from the most deprived 50% of</w:t>
      </w:r>
      <w:r w:rsidR="00036B94" w:rsidRPr="00AF5677">
        <w:t xml:space="preserve"> English</w:t>
      </w:r>
      <w:r w:rsidR="00FF59A3" w:rsidRPr="00AF5677">
        <w:t xml:space="preserve"> communities</w:t>
      </w:r>
      <w:r w:rsidR="00074754" w:rsidRPr="00AF5677">
        <w:t xml:space="preserve"> </w:t>
      </w:r>
      <w:r w:rsidR="00CF2827" w:rsidRPr="00AF5677">
        <w:t xml:space="preserve">(Index of Multiple Deprivation, 2012). </w:t>
      </w:r>
    </w:p>
    <w:p w:rsidR="00AE4513" w:rsidRPr="00AF5677" w:rsidRDefault="00A15CB0" w:rsidP="00CF2827">
      <w:pPr>
        <w:spacing w:line="480" w:lineRule="auto"/>
        <w:ind w:firstLine="284"/>
        <w:rPr>
          <w:i/>
        </w:rPr>
      </w:pPr>
      <w:r w:rsidRPr="00AF5677">
        <w:rPr>
          <w:i/>
        </w:rPr>
        <w:t>Measure</w:t>
      </w:r>
      <w:r w:rsidR="00AE4513" w:rsidRPr="00AF5677">
        <w:rPr>
          <w:i/>
        </w:rPr>
        <w:t>s</w:t>
      </w:r>
    </w:p>
    <w:p w:rsidR="00A15CB0" w:rsidRPr="00AF5677" w:rsidRDefault="00A15CB0" w:rsidP="00AE4513">
      <w:pPr>
        <w:spacing w:line="480" w:lineRule="auto"/>
        <w:ind w:firstLine="284"/>
        <w:jc w:val="both"/>
        <w:rPr>
          <w:i/>
        </w:rPr>
      </w:pPr>
      <w:r w:rsidRPr="00AF5677">
        <w:t xml:space="preserve">The previously described Teddy picture rating scale was used (see Method section Study 1, Figure 1). Additionally children were asked to provide their age and gender on the provided form. </w:t>
      </w:r>
    </w:p>
    <w:p w:rsidR="00AE4513" w:rsidRPr="00AF5677" w:rsidRDefault="008B2AD3" w:rsidP="00AE4513">
      <w:pPr>
        <w:spacing w:line="480" w:lineRule="auto"/>
        <w:rPr>
          <w:i/>
        </w:rPr>
      </w:pPr>
      <w:r w:rsidRPr="00AF5677">
        <w:rPr>
          <w:i/>
        </w:rPr>
        <w:t>Procedure</w:t>
      </w:r>
    </w:p>
    <w:p w:rsidR="00DB0A3C" w:rsidRPr="00AF5677" w:rsidRDefault="00140CC6" w:rsidP="00A01005">
      <w:pPr>
        <w:spacing w:line="480" w:lineRule="auto"/>
        <w:ind w:firstLine="284"/>
        <w:jc w:val="both"/>
        <w:rPr>
          <w:i/>
        </w:rPr>
      </w:pPr>
      <w:r w:rsidRPr="00AF5677">
        <w:t xml:space="preserve">The study was conducted over one school day with </w:t>
      </w:r>
      <w:r w:rsidR="00AC76F4" w:rsidRPr="00AF5677">
        <w:t xml:space="preserve">two </w:t>
      </w:r>
      <w:r w:rsidR="00E76F9E" w:rsidRPr="00AF5677">
        <w:t xml:space="preserve">groups of </w:t>
      </w:r>
      <w:r w:rsidRPr="00AF5677">
        <w:t>children making hunger and satiety ratings before and after their lunch break</w:t>
      </w:r>
      <w:r w:rsidR="00BC4140" w:rsidRPr="00AF5677">
        <w:t xml:space="preserve"> at 11.40 and 13.05, respectively</w:t>
      </w:r>
      <w:r w:rsidRPr="00AF5677">
        <w:t>.</w:t>
      </w:r>
      <w:r w:rsidR="00AC4455" w:rsidRPr="00AF5677">
        <w:t xml:space="preserve"> Each one of the two participating classrooms was addressed as a whole and both classrooms were tested in succession over a 15 minute period before lunch and after lunch.</w:t>
      </w:r>
      <w:r w:rsidRPr="00AF5677">
        <w:t xml:space="preserve"> Children were seated at their desks</w:t>
      </w:r>
      <w:r w:rsidR="00DB0A3C" w:rsidRPr="00AF5677">
        <w:t xml:space="preserve">, given sheets including questions about their age and gender and including the </w:t>
      </w:r>
      <w:r w:rsidR="00E751B4" w:rsidRPr="00AF5677">
        <w:t>Teddy</w:t>
      </w:r>
      <w:r w:rsidR="00DB0A3C" w:rsidRPr="00AF5677">
        <w:t xml:space="preserve"> rating scale. </w:t>
      </w:r>
      <w:r w:rsidR="005D210E" w:rsidRPr="00AF5677">
        <w:t xml:space="preserve">The Teddy rating scale was repeated on two separate pages so that children could not see the </w:t>
      </w:r>
      <w:r w:rsidR="00F06787" w:rsidRPr="00AF5677">
        <w:t xml:space="preserve">hunger/satiety </w:t>
      </w:r>
      <w:r w:rsidR="005D210E" w:rsidRPr="00AF5677">
        <w:t xml:space="preserve">ratings they made before lunch when they made their hunger/satiety ratings after lunch. </w:t>
      </w:r>
      <w:r w:rsidR="00DB0A3C" w:rsidRPr="00AF5677">
        <w:t>Children were</w:t>
      </w:r>
      <w:r w:rsidRPr="00AF5677">
        <w:t xml:space="preserve"> told to work on their sheets individually at both time-points. Before lunch, the researcher initially </w:t>
      </w:r>
      <w:r w:rsidRPr="00AF5677">
        <w:rPr>
          <w:rFonts w:cs="Calibri"/>
        </w:rPr>
        <w:t>introduced the children to the scale by looking at the pi</w:t>
      </w:r>
      <w:r w:rsidR="00C253CB" w:rsidRPr="00AF5677">
        <w:rPr>
          <w:rFonts w:cs="Calibri"/>
        </w:rPr>
        <w:t>ctures and reading the labels</w:t>
      </w:r>
      <w:r w:rsidRPr="00AF5677">
        <w:rPr>
          <w:rFonts w:cs="Calibri"/>
        </w:rPr>
        <w:t xml:space="preserve"> accompanying each picture with the children. The children were made aware of the differences between each picture and </w:t>
      </w:r>
      <w:r w:rsidR="00C253CB" w:rsidRPr="00AF5677">
        <w:rPr>
          <w:rFonts w:cs="Calibri"/>
        </w:rPr>
        <w:t>label</w:t>
      </w:r>
      <w:r w:rsidRPr="00AF5677">
        <w:rPr>
          <w:rFonts w:cs="Calibri"/>
        </w:rPr>
        <w:t>. The researcher then read the story about Tedd</w:t>
      </w:r>
      <w:r w:rsidR="00E10E9C" w:rsidRPr="00AF5677">
        <w:rPr>
          <w:rFonts w:cs="Calibri"/>
        </w:rPr>
        <w:t>y</w:t>
      </w:r>
      <w:r w:rsidRPr="00AF5677">
        <w:rPr>
          <w:rFonts w:cs="Calibri"/>
        </w:rPr>
        <w:t xml:space="preserve"> </w:t>
      </w:r>
      <w:r w:rsidR="007D0D58" w:rsidRPr="00AF5677">
        <w:rPr>
          <w:rFonts w:cs="Calibri"/>
        </w:rPr>
        <w:lastRenderedPageBreak/>
        <w:t xml:space="preserve">(described in study 1) </w:t>
      </w:r>
      <w:r w:rsidRPr="00AF5677">
        <w:rPr>
          <w:rFonts w:cs="Calibri"/>
        </w:rPr>
        <w:t>and children were asked to make two hunger/satiety ratings</w:t>
      </w:r>
      <w:r w:rsidR="00E10E9C" w:rsidRPr="00AF5677">
        <w:rPr>
          <w:rFonts w:cs="Calibri"/>
        </w:rPr>
        <w:t xml:space="preserve"> for Teddy by circling the bear,</w:t>
      </w:r>
      <w:r w:rsidRPr="00AF5677">
        <w:rPr>
          <w:rFonts w:cs="Calibri"/>
        </w:rPr>
        <w:t xml:space="preserve"> which most closely resembled the hunger/satiety states described in the story. This was done to assess children’s </w:t>
      </w:r>
      <w:r w:rsidR="006E3D15" w:rsidRPr="00AF5677">
        <w:rPr>
          <w:rFonts w:cs="Calibri"/>
        </w:rPr>
        <w:t>comprehension of the scale and their ability</w:t>
      </w:r>
      <w:r w:rsidRPr="00AF5677">
        <w:rPr>
          <w:rFonts w:cs="Calibri"/>
        </w:rPr>
        <w:t xml:space="preserve"> to correctly use the scale to indicate estimated hunger</w:t>
      </w:r>
      <w:r w:rsidR="00BC4140" w:rsidRPr="00AF5677">
        <w:rPr>
          <w:rFonts w:cs="Calibri"/>
        </w:rPr>
        <w:t>/</w:t>
      </w:r>
      <w:r w:rsidRPr="00AF5677">
        <w:rPr>
          <w:rFonts w:cs="Calibri"/>
        </w:rPr>
        <w:t>satiety. Finally</w:t>
      </w:r>
      <w:r w:rsidR="006E3D15" w:rsidRPr="00AF5677">
        <w:rPr>
          <w:rFonts w:cs="Calibri"/>
        </w:rPr>
        <w:t>,</w:t>
      </w:r>
      <w:r w:rsidRPr="00AF5677">
        <w:rPr>
          <w:rFonts w:cs="Calibri"/>
        </w:rPr>
        <w:t xml:space="preserve"> children were asked to rate their</w:t>
      </w:r>
      <w:r w:rsidR="007D0D58" w:rsidRPr="00AF5677">
        <w:rPr>
          <w:rFonts w:cs="Calibri"/>
        </w:rPr>
        <w:t xml:space="preserve"> own current hunger/satiety state</w:t>
      </w:r>
      <w:r w:rsidR="006E3D15" w:rsidRPr="00AF5677">
        <w:rPr>
          <w:rFonts w:cs="Calibri"/>
        </w:rPr>
        <w:t>. After lunch children made one further rating of their own current hunger</w:t>
      </w:r>
      <w:r w:rsidR="00BC4140" w:rsidRPr="00AF5677">
        <w:rPr>
          <w:rFonts w:cs="Calibri"/>
        </w:rPr>
        <w:t>/satiety state</w:t>
      </w:r>
      <w:r w:rsidR="006E3D15" w:rsidRPr="00AF5677">
        <w:rPr>
          <w:rFonts w:cs="Calibri"/>
        </w:rPr>
        <w:t xml:space="preserve"> using the scale</w:t>
      </w:r>
      <w:r w:rsidR="007C764B" w:rsidRPr="00AF5677">
        <w:rPr>
          <w:rFonts w:cs="Calibri"/>
        </w:rPr>
        <w:t xml:space="preserve"> (see Appendix B for script)</w:t>
      </w:r>
      <w:r w:rsidR="006E3D15" w:rsidRPr="00AF5677">
        <w:rPr>
          <w:rFonts w:cs="Calibri"/>
        </w:rPr>
        <w:t>. The classroom teachers and teaching assistants aided the researcher by ensuring that children attended</w:t>
      </w:r>
      <w:r w:rsidR="00DB0A3C" w:rsidRPr="00AF5677">
        <w:rPr>
          <w:rFonts w:cs="Calibri"/>
        </w:rPr>
        <w:t xml:space="preserve"> to</w:t>
      </w:r>
      <w:r w:rsidR="006E3D15" w:rsidRPr="00AF5677">
        <w:rPr>
          <w:rFonts w:cs="Calibri"/>
        </w:rPr>
        <w:t xml:space="preserve"> the researcher and by addressing questions children had.</w:t>
      </w:r>
      <w:r w:rsidR="005633A8" w:rsidRPr="00AF5677">
        <w:t xml:space="preserve"> This study was </w:t>
      </w:r>
      <w:r w:rsidRPr="00AF5677">
        <w:t>approved by the Ethical Review Committee of the University of Birmingham</w:t>
      </w:r>
      <w:r w:rsidR="00391365" w:rsidRPr="00AF5677">
        <w:t>.</w:t>
      </w:r>
    </w:p>
    <w:p w:rsidR="004C754A" w:rsidRPr="00AF5677" w:rsidRDefault="007636A7" w:rsidP="00472B08">
      <w:pPr>
        <w:spacing w:line="480" w:lineRule="auto"/>
        <w:rPr>
          <w:i/>
        </w:rPr>
      </w:pPr>
      <w:r w:rsidRPr="00AF5677">
        <w:rPr>
          <w:i/>
        </w:rPr>
        <w:t>Statistical analysis</w:t>
      </w:r>
    </w:p>
    <w:p w:rsidR="004C754A" w:rsidRPr="00AF5677" w:rsidRDefault="00B97A97" w:rsidP="00AE4513">
      <w:pPr>
        <w:spacing w:line="480" w:lineRule="auto"/>
        <w:ind w:firstLine="284"/>
        <w:jc w:val="both"/>
      </w:pPr>
      <w:r w:rsidRPr="00AF5677">
        <w:t xml:space="preserve">SPSS </w:t>
      </w:r>
      <w:r w:rsidR="00E4111C" w:rsidRPr="00AF5677">
        <w:t xml:space="preserve">version 20 </w:t>
      </w:r>
      <w:r w:rsidRPr="00AF5677">
        <w:t xml:space="preserve">statistical software </w:t>
      </w:r>
      <w:r w:rsidR="00E4111C" w:rsidRPr="00AF5677">
        <w:t xml:space="preserve">was used to analyse the data. </w:t>
      </w:r>
      <w:r w:rsidR="007D0D58" w:rsidRPr="00AF5677">
        <w:t xml:space="preserve">The criterion alpha for significance was .05. Bar graphs were inspected </w:t>
      </w:r>
      <w:r w:rsidR="001D4E1E" w:rsidRPr="00AF5677">
        <w:t xml:space="preserve">and indicated that the data was not normally distributed. </w:t>
      </w:r>
      <w:r w:rsidR="007D0D58" w:rsidRPr="00AF5677">
        <w:t>Initially, children’s ratings of h</w:t>
      </w:r>
      <w:r w:rsidR="001D4E1E" w:rsidRPr="00AF5677">
        <w:t xml:space="preserve">unger/satiety were examined. </w:t>
      </w:r>
      <w:r w:rsidR="007636A7" w:rsidRPr="00AF5677">
        <w:t>Spearman’s</w:t>
      </w:r>
      <w:r w:rsidR="007D0D58" w:rsidRPr="00AF5677">
        <w:t xml:space="preserve"> correlations were carried out to examine whether child age was significantly related to children’s ratings of hunger/satiety;</w:t>
      </w:r>
      <w:r w:rsidR="001D4E1E" w:rsidRPr="00AF5677">
        <w:t xml:space="preserve"> additionally, Mann-Whitney U tests were carried out to assess the effect of gender on children’s ratings.</w:t>
      </w:r>
      <w:r w:rsidR="007D0D58" w:rsidRPr="00AF5677">
        <w:t xml:space="preserve"> </w:t>
      </w:r>
      <w:r w:rsidR="007E0354" w:rsidRPr="00AF5677">
        <w:t>Wilcoxon Signed Rank tests were</w:t>
      </w:r>
      <w:r w:rsidR="007D0D58" w:rsidRPr="00AF5677">
        <w:t xml:space="preserve"> carried out to see</w:t>
      </w:r>
      <w:r w:rsidR="001D4E1E" w:rsidRPr="00AF5677">
        <w:t xml:space="preserve"> whether children’s ratings of Teddy’s hunger before and after a meal and whether children’s ratings of their own hunger before and after lunch differed.</w:t>
      </w:r>
    </w:p>
    <w:p w:rsidR="00472DD1" w:rsidRPr="00AF5677" w:rsidRDefault="00472DD1" w:rsidP="00472B08">
      <w:pPr>
        <w:spacing w:line="480" w:lineRule="auto"/>
      </w:pPr>
    </w:p>
    <w:p w:rsidR="004C754A" w:rsidRPr="00AF5677" w:rsidRDefault="008B2AD3" w:rsidP="00AE4513">
      <w:pPr>
        <w:spacing w:line="480" w:lineRule="auto"/>
        <w:jc w:val="center"/>
      </w:pPr>
      <w:r w:rsidRPr="00AF5677">
        <w:t>Results</w:t>
      </w:r>
    </w:p>
    <w:p w:rsidR="004C754A" w:rsidRPr="00AF5677" w:rsidRDefault="00EC5D07" w:rsidP="00472B08">
      <w:pPr>
        <w:spacing w:line="480" w:lineRule="auto"/>
        <w:jc w:val="both"/>
        <w:rPr>
          <w:i/>
        </w:rPr>
      </w:pPr>
      <w:r w:rsidRPr="00AF5677">
        <w:rPr>
          <w:i/>
        </w:rPr>
        <w:t>Children’s ratings of hunger/satiety</w:t>
      </w:r>
    </w:p>
    <w:p w:rsidR="00AE4513" w:rsidRPr="00AF5677" w:rsidRDefault="00780D0A" w:rsidP="00AE4513">
      <w:pPr>
        <w:spacing w:line="480" w:lineRule="auto"/>
        <w:ind w:firstLine="284"/>
        <w:jc w:val="both"/>
      </w:pPr>
      <w:r w:rsidRPr="00AF5677">
        <w:t>C</w:t>
      </w:r>
      <w:r w:rsidR="00EC5D07" w:rsidRPr="00AF5677">
        <w:t>hildren’s ratings of Teddy’s</w:t>
      </w:r>
      <w:r w:rsidR="009901A0" w:rsidRPr="00AF5677">
        <w:t xml:space="preserve"> hunger/satiety </w:t>
      </w:r>
      <w:r w:rsidR="0061687E" w:rsidRPr="00AF5677">
        <w:t>before a meal ranged from “Really hungry” (1) to “Really full</w:t>
      </w:r>
      <w:r w:rsidR="009E1FDF" w:rsidRPr="00AF5677">
        <w:t>” (5)</w:t>
      </w:r>
      <w:r w:rsidR="00613DCE" w:rsidRPr="00AF5677">
        <w:t xml:space="preserve"> (</w:t>
      </w:r>
      <w:r w:rsidR="009E1FDF" w:rsidRPr="00AF5677">
        <w:rPr>
          <w:i/>
        </w:rPr>
        <w:t>M</w:t>
      </w:r>
      <w:r w:rsidR="00613DCE" w:rsidRPr="00AF5677">
        <w:rPr>
          <w:i/>
        </w:rPr>
        <w:t>dn</w:t>
      </w:r>
      <w:r w:rsidR="009E1FDF" w:rsidRPr="00AF5677">
        <w:t xml:space="preserve"> hunger rating</w:t>
      </w:r>
      <w:r w:rsidR="00915237" w:rsidRPr="00AF5677">
        <w:t>=</w:t>
      </w:r>
      <w:r w:rsidR="0061687E" w:rsidRPr="00AF5677">
        <w:t>1</w:t>
      </w:r>
      <w:r w:rsidR="00613DCE" w:rsidRPr="00AF5677">
        <w:t xml:space="preserve">, </w:t>
      </w:r>
      <w:r w:rsidR="00613DCE" w:rsidRPr="00AF5677">
        <w:rPr>
          <w:i/>
        </w:rPr>
        <w:t>IQR</w:t>
      </w:r>
      <w:r w:rsidR="00613DCE" w:rsidRPr="00AF5677">
        <w:t>=</w:t>
      </w:r>
      <w:r w:rsidR="0061687E" w:rsidRPr="00AF5677">
        <w:t xml:space="preserve">0.5), while </w:t>
      </w:r>
      <w:r w:rsidR="009E1FDF" w:rsidRPr="00AF5677">
        <w:t xml:space="preserve">after a large meal </w:t>
      </w:r>
      <w:r w:rsidR="0061687E" w:rsidRPr="00AF5677">
        <w:t>their ratings of Teddy’s hunger/satiety ranged from “Really hungry” (1) to “Really full” (5)</w:t>
      </w:r>
      <w:r w:rsidR="00613DCE" w:rsidRPr="00AF5677">
        <w:t xml:space="preserve"> (</w:t>
      </w:r>
      <w:r w:rsidR="009E1FDF" w:rsidRPr="00AF5677">
        <w:rPr>
          <w:i/>
        </w:rPr>
        <w:t>M</w:t>
      </w:r>
      <w:r w:rsidR="00613DCE" w:rsidRPr="00AF5677">
        <w:rPr>
          <w:i/>
        </w:rPr>
        <w:t>dn</w:t>
      </w:r>
      <w:r w:rsidR="009E1FDF" w:rsidRPr="00AF5677">
        <w:t xml:space="preserve"> hunger ratings</w:t>
      </w:r>
      <w:r w:rsidR="00915237" w:rsidRPr="00AF5677">
        <w:t>=</w:t>
      </w:r>
      <w:r w:rsidR="0061687E" w:rsidRPr="00AF5677">
        <w:t>5</w:t>
      </w:r>
      <w:r w:rsidR="00613DCE" w:rsidRPr="00AF5677">
        <w:t xml:space="preserve">, </w:t>
      </w:r>
      <w:r w:rsidR="00613DCE" w:rsidRPr="00AF5677">
        <w:rPr>
          <w:i/>
        </w:rPr>
        <w:t>IQR</w:t>
      </w:r>
      <w:r w:rsidR="00613DCE" w:rsidRPr="00AF5677">
        <w:t>=</w:t>
      </w:r>
      <w:r w:rsidR="0061687E" w:rsidRPr="00AF5677">
        <w:t>1)</w:t>
      </w:r>
      <w:r w:rsidR="009E1FDF" w:rsidRPr="00AF5677">
        <w:t xml:space="preserve">. </w:t>
      </w:r>
      <w:r w:rsidR="004416DA" w:rsidRPr="00AF5677">
        <w:t xml:space="preserve"> </w:t>
      </w:r>
      <w:r w:rsidR="00266659" w:rsidRPr="00AF5677">
        <w:t>87% of children (</w:t>
      </w:r>
      <w:r w:rsidR="00266659" w:rsidRPr="00AF5677">
        <w:rPr>
          <w:i/>
        </w:rPr>
        <w:t>n</w:t>
      </w:r>
      <w:r w:rsidR="00266659" w:rsidRPr="00AF5677">
        <w:t xml:space="preserve">=47) </w:t>
      </w:r>
      <w:r w:rsidR="00EC5D07" w:rsidRPr="00AF5677">
        <w:t>correctly rated Teddy as hungry prior to the meal</w:t>
      </w:r>
      <w:r w:rsidR="00C744D4" w:rsidRPr="00AF5677">
        <w:t>,</w:t>
      </w:r>
      <w:r w:rsidR="007A6A8C" w:rsidRPr="00AF5677">
        <w:t xml:space="preserve"> </w:t>
      </w:r>
      <w:r w:rsidR="00C744D4" w:rsidRPr="00AF5677">
        <w:t xml:space="preserve">by selecting </w:t>
      </w:r>
      <w:r w:rsidR="007A6A8C" w:rsidRPr="00AF5677">
        <w:t>“Really hungry” (1) or “Slightly hungry” (2) on the picture rating scale</w:t>
      </w:r>
      <w:r w:rsidR="00EC5D07" w:rsidRPr="00AF5677">
        <w:t xml:space="preserve">, while </w:t>
      </w:r>
      <w:r w:rsidR="009901A0" w:rsidRPr="00AF5677">
        <w:t>90.8</w:t>
      </w:r>
      <w:r w:rsidR="00EC5D07" w:rsidRPr="00AF5677">
        <w:t>% of children</w:t>
      </w:r>
      <w:r w:rsidR="00266659" w:rsidRPr="00AF5677">
        <w:t xml:space="preserve"> (</w:t>
      </w:r>
      <w:r w:rsidR="00266659" w:rsidRPr="00AF5677">
        <w:rPr>
          <w:i/>
        </w:rPr>
        <w:t>n</w:t>
      </w:r>
      <w:r w:rsidR="00266659" w:rsidRPr="00AF5677">
        <w:t>=49)</w:t>
      </w:r>
      <w:r w:rsidR="00EC5D07" w:rsidRPr="00AF5677">
        <w:t xml:space="preserve"> </w:t>
      </w:r>
      <w:r w:rsidR="00EC5D07" w:rsidRPr="00AF5677">
        <w:lastRenderedPageBreak/>
        <w:t>c</w:t>
      </w:r>
      <w:r w:rsidR="009901A0" w:rsidRPr="00AF5677">
        <w:t>orrectly rated him as full after the meal</w:t>
      </w:r>
      <w:r w:rsidR="00C744D4" w:rsidRPr="00AF5677">
        <w:t xml:space="preserve">, by selecting </w:t>
      </w:r>
      <w:r w:rsidR="00C744D4" w:rsidRPr="00AF5677">
        <w:rPr>
          <w:rStyle w:val="apple-converted-space"/>
          <w:rFonts w:cs="Segoe UI"/>
        </w:rPr>
        <w:t>“Quite full” (4) or “Really full” (5)</w:t>
      </w:r>
      <w:r w:rsidR="00C744D4" w:rsidRPr="00AF5677">
        <w:t xml:space="preserve"> </w:t>
      </w:r>
      <w:r w:rsidR="00C744D4" w:rsidRPr="00AF5677">
        <w:rPr>
          <w:rStyle w:val="apple-converted-space"/>
          <w:rFonts w:cs="Segoe UI"/>
        </w:rPr>
        <w:t>on the picture rating scale</w:t>
      </w:r>
      <w:r w:rsidR="00EC5D07" w:rsidRPr="00AF5677">
        <w:t>.</w:t>
      </w:r>
      <w:r w:rsidR="00BA0127" w:rsidRPr="00AF5677">
        <w:t xml:space="preserve"> The data of children who were unable to correctly rate Teddy’s hunger/satiety before and after a meal (</w:t>
      </w:r>
      <w:r w:rsidR="00BA0127" w:rsidRPr="00AF5677">
        <w:rPr>
          <w:i/>
        </w:rPr>
        <w:t>n</w:t>
      </w:r>
      <w:r w:rsidR="00BA0127" w:rsidRPr="00AF5677">
        <w:t>=3) were excluded from all further analyses.</w:t>
      </w:r>
      <w:r w:rsidR="00EC5D07" w:rsidRPr="00AF5677">
        <w:t xml:space="preserve"> </w:t>
      </w:r>
      <w:r w:rsidR="00B7383E" w:rsidRPr="00AF5677">
        <w:t>Children’s abilities to successfully rate hunger/satiety for Teddy did not depend on their</w:t>
      </w:r>
      <w:r w:rsidR="00FD3096" w:rsidRPr="00AF5677">
        <w:t xml:space="preserve"> </w:t>
      </w:r>
      <w:r w:rsidR="008A2E16" w:rsidRPr="00AF5677">
        <w:t>age</w:t>
      </w:r>
      <w:r w:rsidR="00B8454F" w:rsidRPr="00AF5677">
        <w:t xml:space="preserve"> (</w:t>
      </w:r>
      <w:r w:rsidR="00B8454F" w:rsidRPr="00AF5677">
        <w:rPr>
          <w:i/>
        </w:rPr>
        <w:t>U</w:t>
      </w:r>
      <w:r w:rsidR="00B8454F" w:rsidRPr="00AF5677">
        <w:t>=108,</w:t>
      </w:r>
      <w:r w:rsidR="00BD6A3A" w:rsidRPr="00AF5677">
        <w:t xml:space="preserve"> </w:t>
      </w:r>
      <w:r w:rsidR="00BD6A3A" w:rsidRPr="00AF5677">
        <w:rPr>
          <w:i/>
        </w:rPr>
        <w:t>z</w:t>
      </w:r>
      <w:r w:rsidR="00BD6A3A" w:rsidRPr="00AF5677">
        <w:t>=1.303,</w:t>
      </w:r>
      <w:r w:rsidR="00B8454F" w:rsidRPr="00AF5677">
        <w:t xml:space="preserve"> </w:t>
      </w:r>
      <w:r w:rsidR="00B8454F" w:rsidRPr="00AF5677">
        <w:rPr>
          <w:i/>
        </w:rPr>
        <w:t>p</w:t>
      </w:r>
      <w:r w:rsidR="00B8454F" w:rsidRPr="00AF5677">
        <w:t xml:space="preserve">=.255) </w:t>
      </w:r>
      <w:r w:rsidR="00B7383E" w:rsidRPr="00AF5677">
        <w:t>or</w:t>
      </w:r>
      <w:r w:rsidR="00FD3096" w:rsidRPr="00AF5677">
        <w:t xml:space="preserve"> </w:t>
      </w:r>
      <w:r w:rsidR="008A2E16" w:rsidRPr="00AF5677">
        <w:rPr>
          <w:rFonts w:cs="Calibri"/>
        </w:rPr>
        <w:t>gender</w:t>
      </w:r>
      <w:r w:rsidR="00FD3096" w:rsidRPr="00AF5677">
        <w:rPr>
          <w:rFonts w:cs="Calibri"/>
        </w:rPr>
        <w:t xml:space="preserve"> </w:t>
      </w:r>
      <w:r w:rsidR="00B8454F" w:rsidRPr="00AF5677">
        <w:rPr>
          <w:rFonts w:cs="Calibri"/>
        </w:rPr>
        <w:t>(</w:t>
      </w:r>
      <w:r w:rsidR="00915237" w:rsidRPr="00AF5677">
        <w:rPr>
          <w:rFonts w:ascii="Symbol" w:hAnsi="Symbol"/>
          <w:color w:val="000000"/>
          <w:shd w:val="clear" w:color="auto" w:fill="FFFFFF"/>
        </w:rPr>
        <w:t></w:t>
      </w:r>
      <w:r w:rsidR="00915237" w:rsidRPr="00AF5677">
        <w:rPr>
          <w:color w:val="000000"/>
          <w:shd w:val="clear" w:color="auto" w:fill="FFFFFF"/>
          <w:vertAlign w:val="superscript"/>
        </w:rPr>
        <w:t>2</w:t>
      </w:r>
      <w:r w:rsidR="00FD3096" w:rsidRPr="00AF5677">
        <w:rPr>
          <w:rFonts w:cs="Calibri"/>
          <w:color w:val="000000"/>
          <w:shd w:val="clear" w:color="auto" w:fill="FFFFFF"/>
        </w:rPr>
        <w:t>(1,</w:t>
      </w:r>
      <w:r w:rsidR="00FD3096" w:rsidRPr="00AF5677">
        <w:rPr>
          <w:rStyle w:val="apple-converted-space"/>
          <w:rFonts w:cs="Calibri"/>
          <w:color w:val="000000"/>
          <w:shd w:val="clear" w:color="auto" w:fill="FFFFFF"/>
        </w:rPr>
        <w:t> </w:t>
      </w:r>
      <w:r w:rsidR="00FD3096" w:rsidRPr="00AF5677">
        <w:rPr>
          <w:rFonts w:cs="Calibri"/>
          <w:i/>
          <w:iCs/>
          <w:color w:val="000000"/>
          <w:shd w:val="clear" w:color="auto" w:fill="FFFFFF"/>
        </w:rPr>
        <w:t>N</w:t>
      </w:r>
      <w:r w:rsidR="00915237" w:rsidRPr="00AF5677">
        <w:rPr>
          <w:rFonts w:cs="Calibri"/>
          <w:color w:val="000000"/>
          <w:shd w:val="clear" w:color="auto" w:fill="FFFFFF"/>
        </w:rPr>
        <w:t>=</w:t>
      </w:r>
      <w:r w:rsidR="00FD3096" w:rsidRPr="00AF5677">
        <w:rPr>
          <w:rFonts w:cs="Calibri"/>
          <w:color w:val="000000"/>
          <w:shd w:val="clear" w:color="auto" w:fill="FFFFFF"/>
        </w:rPr>
        <w:t>54</w:t>
      </w:r>
      <w:r w:rsidR="00915237" w:rsidRPr="00AF5677">
        <w:rPr>
          <w:rFonts w:cs="Calibri"/>
          <w:color w:val="000000"/>
          <w:shd w:val="clear" w:color="auto" w:fill="FFFFFF"/>
        </w:rPr>
        <w:t>)=</w:t>
      </w:r>
      <w:r w:rsidR="00FD3096" w:rsidRPr="00AF5677">
        <w:rPr>
          <w:rFonts w:cs="Calibri"/>
          <w:color w:val="000000"/>
          <w:shd w:val="clear" w:color="auto" w:fill="FFFFFF"/>
        </w:rPr>
        <w:t>.53,</w:t>
      </w:r>
      <w:r w:rsidR="00FD3096" w:rsidRPr="00AF5677">
        <w:rPr>
          <w:rStyle w:val="apple-converted-space"/>
          <w:rFonts w:cs="Calibri"/>
          <w:color w:val="000000"/>
          <w:shd w:val="clear" w:color="auto" w:fill="FFFFFF"/>
        </w:rPr>
        <w:t> </w:t>
      </w:r>
      <w:r w:rsidR="00FD3096" w:rsidRPr="00AF5677">
        <w:rPr>
          <w:rFonts w:cs="Calibri"/>
          <w:i/>
          <w:iCs/>
          <w:color w:val="000000"/>
          <w:shd w:val="clear" w:color="auto" w:fill="FFFFFF"/>
        </w:rPr>
        <w:t>p</w:t>
      </w:r>
      <w:r w:rsidR="00915237" w:rsidRPr="00AF5677">
        <w:rPr>
          <w:rFonts w:cs="Calibri"/>
          <w:color w:val="000000"/>
          <w:shd w:val="clear" w:color="auto" w:fill="FFFFFF"/>
        </w:rPr>
        <w:t>=</w:t>
      </w:r>
      <w:r w:rsidR="00FD3096" w:rsidRPr="00AF5677">
        <w:rPr>
          <w:rFonts w:cs="Calibri"/>
          <w:color w:val="000000"/>
          <w:shd w:val="clear" w:color="auto" w:fill="FFFFFF"/>
        </w:rPr>
        <w:t>.467</w:t>
      </w:r>
      <w:r w:rsidR="00B8454F" w:rsidRPr="00AF5677">
        <w:rPr>
          <w:rFonts w:cs="Calibri"/>
          <w:color w:val="000000"/>
          <w:shd w:val="clear" w:color="auto" w:fill="FFFFFF"/>
        </w:rPr>
        <w:t>)</w:t>
      </w:r>
      <w:r w:rsidR="00B7383E" w:rsidRPr="00AF5677">
        <w:t>.</w:t>
      </w:r>
    </w:p>
    <w:p w:rsidR="004C754A" w:rsidRPr="00AF5677" w:rsidRDefault="00EC5D07" w:rsidP="0026100F">
      <w:pPr>
        <w:spacing w:line="480" w:lineRule="auto"/>
        <w:ind w:firstLine="284"/>
        <w:jc w:val="both"/>
      </w:pPr>
      <w:r w:rsidRPr="00AF5677">
        <w:t>Children’s ratings of their own hunger/satiety before</w:t>
      </w:r>
      <w:r w:rsidR="009901A0" w:rsidRPr="00AF5677">
        <w:t xml:space="preserve"> lunch </w:t>
      </w:r>
      <w:r w:rsidRPr="00AF5677">
        <w:t xml:space="preserve">ranged from </w:t>
      </w:r>
      <w:r w:rsidR="009901A0" w:rsidRPr="00AF5677">
        <w:t xml:space="preserve">“Really </w:t>
      </w:r>
      <w:r w:rsidR="004416DA" w:rsidRPr="00AF5677">
        <w:t>hungry”</w:t>
      </w:r>
      <w:r w:rsidR="009901A0" w:rsidRPr="00AF5677">
        <w:t xml:space="preserve"> (1)</w:t>
      </w:r>
      <w:r w:rsidR="004416DA" w:rsidRPr="00AF5677">
        <w:t xml:space="preserve"> to </w:t>
      </w:r>
      <w:r w:rsidR="009901A0" w:rsidRPr="00AF5677">
        <w:t>“</w:t>
      </w:r>
      <w:r w:rsidR="004416DA" w:rsidRPr="00AF5677">
        <w:t>Really full</w:t>
      </w:r>
      <w:r w:rsidR="009901A0" w:rsidRPr="00AF5677">
        <w:t>” (5)</w:t>
      </w:r>
      <w:r w:rsidR="00613DCE" w:rsidRPr="00AF5677">
        <w:t xml:space="preserve"> (</w:t>
      </w:r>
      <w:r w:rsidR="009901A0" w:rsidRPr="00AF5677">
        <w:rPr>
          <w:i/>
        </w:rPr>
        <w:t>M</w:t>
      </w:r>
      <w:r w:rsidR="00613DCE" w:rsidRPr="00AF5677">
        <w:rPr>
          <w:i/>
        </w:rPr>
        <w:t>dn</w:t>
      </w:r>
      <w:r w:rsidR="009901A0" w:rsidRPr="00AF5677">
        <w:t xml:space="preserve"> hunger rating</w:t>
      </w:r>
      <w:r w:rsidR="00915237" w:rsidRPr="00AF5677">
        <w:t>=</w:t>
      </w:r>
      <w:r w:rsidR="009901A0" w:rsidRPr="00AF5677">
        <w:t>1</w:t>
      </w:r>
      <w:r w:rsidR="00613DCE" w:rsidRPr="00AF5677">
        <w:t xml:space="preserve">, </w:t>
      </w:r>
      <w:r w:rsidR="00613DCE" w:rsidRPr="00AF5677">
        <w:rPr>
          <w:i/>
        </w:rPr>
        <w:t>IQR</w:t>
      </w:r>
      <w:r w:rsidR="00613DCE" w:rsidRPr="00AF5677">
        <w:t>=</w:t>
      </w:r>
      <w:r w:rsidR="009901A0" w:rsidRPr="00AF5677">
        <w:t>2)</w:t>
      </w:r>
      <w:r w:rsidR="00EA6056" w:rsidRPr="00AF5677">
        <w:t>, while their hunger/satiety ratings ranged from “Really hungry” (1) to “Really full” (5)</w:t>
      </w:r>
      <w:r w:rsidR="00E130C7" w:rsidRPr="00AF5677">
        <w:t xml:space="preserve"> (</w:t>
      </w:r>
      <w:r w:rsidR="00613DCE" w:rsidRPr="00AF5677">
        <w:rPr>
          <w:i/>
        </w:rPr>
        <w:t>Mdn</w:t>
      </w:r>
      <w:r w:rsidR="00EA6056" w:rsidRPr="00AF5677">
        <w:t xml:space="preserve"> hunger rating=</w:t>
      </w:r>
      <w:r w:rsidR="009901A0" w:rsidRPr="00AF5677">
        <w:t>4</w:t>
      </w:r>
      <w:r w:rsidR="00E130C7" w:rsidRPr="00AF5677">
        <w:t>,</w:t>
      </w:r>
      <w:r w:rsidR="00E130C7" w:rsidRPr="00AF5677">
        <w:rPr>
          <w:i/>
        </w:rPr>
        <w:t xml:space="preserve"> IQR</w:t>
      </w:r>
      <w:r w:rsidR="00E130C7" w:rsidRPr="00AF5677">
        <w:t>=</w:t>
      </w:r>
      <w:r w:rsidR="009901A0" w:rsidRPr="00AF5677">
        <w:t>2</w:t>
      </w:r>
      <w:r w:rsidR="004416DA" w:rsidRPr="00AF5677">
        <w:t>)</w:t>
      </w:r>
      <w:r w:rsidR="00EA6056" w:rsidRPr="00AF5677">
        <w:t xml:space="preserve"> after lunch</w:t>
      </w:r>
      <w:r w:rsidR="009901A0" w:rsidRPr="00AF5677">
        <w:t>.</w:t>
      </w:r>
      <w:r w:rsidR="009F147D" w:rsidRPr="00AF5677">
        <w:t xml:space="preserve"> </w:t>
      </w:r>
      <w:r w:rsidR="000E235B" w:rsidRPr="00AF5677">
        <w:t>We calculated hunger</w:t>
      </w:r>
      <w:r w:rsidR="0026100F" w:rsidRPr="00AF5677">
        <w:t>/satiety</w:t>
      </w:r>
      <w:r w:rsidR="000E235B" w:rsidRPr="00AF5677">
        <w:t xml:space="preserve"> change by subtracting post-meal hunger ratings from pre-meal hunger ratings. Hunger change scores ranged from -3 to +4, with the average hunger change score being </w:t>
      </w:r>
      <w:r w:rsidR="000E235B" w:rsidRPr="00AF5677">
        <w:rPr>
          <w:i/>
        </w:rPr>
        <w:t>Mdn</w:t>
      </w:r>
      <w:r w:rsidR="000E235B" w:rsidRPr="00AF5677">
        <w:t>=2 (</w:t>
      </w:r>
      <w:r w:rsidR="000E235B" w:rsidRPr="00AF5677">
        <w:rPr>
          <w:i/>
        </w:rPr>
        <w:t>IQR</w:t>
      </w:r>
      <w:r w:rsidR="000E235B" w:rsidRPr="00AF5677">
        <w:t>=4), indicating that on average children’s ratings of their own hunger moved up two pictures on the Teddy rating scale, reflecting a decrease in hunger following lunch.</w:t>
      </w:r>
    </w:p>
    <w:p w:rsidR="004C754A" w:rsidRPr="00AF5677" w:rsidRDefault="004C754A" w:rsidP="00472B08">
      <w:pPr>
        <w:spacing w:line="480" w:lineRule="auto"/>
      </w:pPr>
    </w:p>
    <w:p w:rsidR="004C754A" w:rsidRPr="00AF5677" w:rsidRDefault="00EC5D07" w:rsidP="00472B08">
      <w:pPr>
        <w:spacing w:line="480" w:lineRule="auto"/>
        <w:rPr>
          <w:i/>
        </w:rPr>
      </w:pPr>
      <w:r w:rsidRPr="00AF5677">
        <w:rPr>
          <w:i/>
        </w:rPr>
        <w:t>Effects of age and gender on children’s ratings</w:t>
      </w:r>
    </w:p>
    <w:p w:rsidR="00AE4513" w:rsidRPr="00AF5677" w:rsidRDefault="00557F13" w:rsidP="00AE4513">
      <w:pPr>
        <w:spacing w:line="480" w:lineRule="auto"/>
        <w:ind w:firstLine="284"/>
        <w:jc w:val="both"/>
      </w:pPr>
      <w:r w:rsidRPr="00AF5677">
        <w:t>S</w:t>
      </w:r>
      <w:r w:rsidR="004416DA" w:rsidRPr="00AF5677">
        <w:t>pearman’s correlation analyses were carried out to examine whether child age significantly correlated with children’s r</w:t>
      </w:r>
      <w:r w:rsidR="000C0A5B" w:rsidRPr="00AF5677">
        <w:t>atings of hunger/satiety</w:t>
      </w:r>
      <w:r w:rsidR="004416DA" w:rsidRPr="00AF5677">
        <w:t>. Analyses indicated that age did not significantly correlate with children’s ratings of Teddy’s hunger</w:t>
      </w:r>
      <w:r w:rsidRPr="00AF5677">
        <w:t>/satiety</w:t>
      </w:r>
      <w:r w:rsidR="004416DA" w:rsidRPr="00AF5677">
        <w:t xml:space="preserve"> before a meal, </w:t>
      </w:r>
      <w:r w:rsidR="004416DA" w:rsidRPr="00AF5677">
        <w:rPr>
          <w:i/>
        </w:rPr>
        <w:t>r</w:t>
      </w:r>
      <w:r w:rsidR="004416DA" w:rsidRPr="00AF5677">
        <w:rPr>
          <w:i/>
          <w:vertAlign w:val="subscript"/>
        </w:rPr>
        <w:t>s</w:t>
      </w:r>
      <w:r w:rsidR="000C0A5B" w:rsidRPr="00AF5677">
        <w:t>(</w:t>
      </w:r>
      <w:r w:rsidR="00254FA1" w:rsidRPr="00AF5677">
        <w:t>49</w:t>
      </w:r>
      <w:r w:rsidR="000C0A5B" w:rsidRPr="00AF5677">
        <w:t xml:space="preserve">)=-.049, </w:t>
      </w:r>
      <w:r w:rsidR="000C0A5B" w:rsidRPr="00AF5677">
        <w:rPr>
          <w:i/>
        </w:rPr>
        <w:t>p</w:t>
      </w:r>
      <w:r w:rsidR="000C0A5B" w:rsidRPr="00AF5677">
        <w:t>=.735, while it did correlate with children’s ratings of Teddy’s hunger/satiety after a meal,</w:t>
      </w:r>
      <w:r w:rsidR="004416DA" w:rsidRPr="00AF5677">
        <w:t xml:space="preserve"> </w:t>
      </w:r>
      <w:r w:rsidR="004416DA" w:rsidRPr="00AF5677">
        <w:rPr>
          <w:i/>
        </w:rPr>
        <w:t>r</w:t>
      </w:r>
      <w:r w:rsidR="004416DA" w:rsidRPr="00AF5677">
        <w:rPr>
          <w:i/>
          <w:vertAlign w:val="subscript"/>
        </w:rPr>
        <w:t>s</w:t>
      </w:r>
      <w:r w:rsidR="000C0A5B" w:rsidRPr="00AF5677">
        <w:t>(</w:t>
      </w:r>
      <w:r w:rsidR="00254FA1" w:rsidRPr="00AF5677">
        <w:t>49</w:t>
      </w:r>
      <w:r w:rsidR="000C0A5B" w:rsidRPr="00AF5677">
        <w:t xml:space="preserve">)=-.306, </w:t>
      </w:r>
      <w:r w:rsidR="000C0A5B" w:rsidRPr="00AF5677">
        <w:rPr>
          <w:i/>
        </w:rPr>
        <w:t>p</w:t>
      </w:r>
      <w:r w:rsidR="000C0A5B" w:rsidRPr="00AF5677">
        <w:t>=.029. Child age was not related to</w:t>
      </w:r>
      <w:r w:rsidR="004416DA" w:rsidRPr="00AF5677">
        <w:t xml:space="preserve"> children’s ratings of their own hunger</w:t>
      </w:r>
      <w:r w:rsidRPr="00AF5677">
        <w:t>/satiety</w:t>
      </w:r>
      <w:r w:rsidR="000C0A5B" w:rsidRPr="00AF5677">
        <w:t xml:space="preserve"> before </w:t>
      </w:r>
      <w:r w:rsidR="00C253CB" w:rsidRPr="00AF5677">
        <w:t xml:space="preserve">lunch </w:t>
      </w:r>
      <w:r w:rsidR="00C253CB" w:rsidRPr="00AF5677">
        <w:rPr>
          <w:i/>
        </w:rPr>
        <w:t>r</w:t>
      </w:r>
      <w:r w:rsidR="00C253CB" w:rsidRPr="00AF5677">
        <w:rPr>
          <w:i/>
          <w:vertAlign w:val="subscript"/>
        </w:rPr>
        <w:t>s</w:t>
      </w:r>
      <w:r w:rsidR="00C253CB" w:rsidRPr="00AF5677">
        <w:t>(</w:t>
      </w:r>
      <w:r w:rsidR="00254FA1" w:rsidRPr="00AF5677">
        <w:t>49</w:t>
      </w:r>
      <w:r w:rsidR="00C253CB" w:rsidRPr="00AF5677">
        <w:t xml:space="preserve">)=-.068, </w:t>
      </w:r>
      <w:r w:rsidR="00C253CB" w:rsidRPr="00AF5677">
        <w:rPr>
          <w:i/>
        </w:rPr>
        <w:t>p</w:t>
      </w:r>
      <w:r w:rsidR="00C253CB" w:rsidRPr="00AF5677">
        <w:t xml:space="preserve">=.638 </w:t>
      </w:r>
      <w:r w:rsidR="000C0A5B" w:rsidRPr="00AF5677">
        <w:t>or after lunch</w:t>
      </w:r>
      <w:r w:rsidR="00C253CB" w:rsidRPr="00AF5677">
        <w:t xml:space="preserve"> </w:t>
      </w:r>
      <w:r w:rsidR="000C0A5B" w:rsidRPr="00AF5677">
        <w:rPr>
          <w:i/>
        </w:rPr>
        <w:t>r</w:t>
      </w:r>
      <w:r w:rsidR="000C0A5B" w:rsidRPr="00AF5677">
        <w:rPr>
          <w:i/>
          <w:vertAlign w:val="subscript"/>
        </w:rPr>
        <w:t>s</w:t>
      </w:r>
      <w:r w:rsidR="000C0A5B" w:rsidRPr="00AF5677">
        <w:t>(</w:t>
      </w:r>
      <w:r w:rsidR="00254FA1" w:rsidRPr="00AF5677">
        <w:t>49</w:t>
      </w:r>
      <w:r w:rsidR="000C0A5B" w:rsidRPr="00AF5677">
        <w:t xml:space="preserve">)=-.068, </w:t>
      </w:r>
      <w:r w:rsidR="000C0A5B" w:rsidRPr="00AF5677">
        <w:rPr>
          <w:i/>
        </w:rPr>
        <w:t>p</w:t>
      </w:r>
      <w:r w:rsidR="000C0A5B" w:rsidRPr="00AF5677">
        <w:t>=.635</w:t>
      </w:r>
      <w:r w:rsidR="004416DA" w:rsidRPr="00AF5677">
        <w:t>.</w:t>
      </w:r>
    </w:p>
    <w:p w:rsidR="004C754A" w:rsidRPr="00AF5677" w:rsidRDefault="004416DA" w:rsidP="00AE4513">
      <w:pPr>
        <w:spacing w:line="480" w:lineRule="auto"/>
        <w:ind w:firstLine="284"/>
        <w:jc w:val="both"/>
      </w:pPr>
      <w:r w:rsidRPr="00AF5677">
        <w:t xml:space="preserve">Mann-Whitney U tests were carried out to examine the effect of gender on hunger/satiety ratings. The </w:t>
      </w:r>
      <w:r w:rsidR="0023395B" w:rsidRPr="00AF5677">
        <w:t xml:space="preserve">tests indicated that there </w:t>
      </w:r>
      <w:r w:rsidR="00557F13" w:rsidRPr="00AF5677">
        <w:t>were</w:t>
      </w:r>
      <w:r w:rsidR="0023395B" w:rsidRPr="00AF5677">
        <w:t xml:space="preserve"> no</w:t>
      </w:r>
      <w:r w:rsidRPr="00AF5677">
        <w:t xml:space="preserve"> significant difference</w:t>
      </w:r>
      <w:r w:rsidR="00557F13" w:rsidRPr="00AF5677">
        <w:t>s</w:t>
      </w:r>
      <w:r w:rsidRPr="00AF5677">
        <w:t xml:space="preserve"> in children’s ratings of Teddy’s hunger/satiety prior to</w:t>
      </w:r>
      <w:r w:rsidR="0023395B" w:rsidRPr="00AF5677">
        <w:t xml:space="preserve"> and after</w:t>
      </w:r>
      <w:r w:rsidRPr="00AF5677">
        <w:t xml:space="preserve"> consuming a meal based on gender</w:t>
      </w:r>
      <w:r w:rsidR="0023395B" w:rsidRPr="00AF5677">
        <w:t>. Additionally</w:t>
      </w:r>
      <w:r w:rsidR="00DB0A3C" w:rsidRPr="00AF5677">
        <w:t>,</w:t>
      </w:r>
      <w:r w:rsidR="0023395B" w:rsidRPr="00AF5677">
        <w:t xml:space="preserve"> child gender did not affect children’s ratings of their own hunger/satiety before or after lunch </w:t>
      </w:r>
      <w:r w:rsidRPr="00AF5677">
        <w:t>(</w:t>
      </w:r>
      <w:r w:rsidR="0023395B" w:rsidRPr="00AF5677">
        <w:t xml:space="preserve">see Table </w:t>
      </w:r>
      <w:r w:rsidR="00557F13" w:rsidRPr="00AF5677">
        <w:t>2</w:t>
      </w:r>
      <w:r w:rsidRPr="00AF5677">
        <w:t>).</w:t>
      </w:r>
    </w:p>
    <w:p w:rsidR="00DD5D15" w:rsidRPr="00AF5677" w:rsidRDefault="00DD5D15" w:rsidP="00472B08">
      <w:pPr>
        <w:spacing w:line="480" w:lineRule="auto"/>
        <w:jc w:val="both"/>
      </w:pPr>
    </w:p>
    <w:p w:rsidR="00565059" w:rsidRPr="00AF5677" w:rsidRDefault="00565059" w:rsidP="005937E9">
      <w:pPr>
        <w:spacing w:line="480" w:lineRule="auto"/>
        <w:jc w:val="center"/>
      </w:pPr>
      <w:r w:rsidRPr="00AF5677">
        <w:t>Table 2 about here</w:t>
      </w:r>
    </w:p>
    <w:p w:rsidR="00565059" w:rsidRPr="00AF5677" w:rsidRDefault="00565059" w:rsidP="00472B08">
      <w:pPr>
        <w:spacing w:line="480" w:lineRule="auto"/>
        <w:jc w:val="both"/>
      </w:pPr>
    </w:p>
    <w:p w:rsidR="004C754A" w:rsidRPr="00AF5677" w:rsidRDefault="00EC5D07" w:rsidP="00472B08">
      <w:pPr>
        <w:spacing w:line="480" w:lineRule="auto"/>
        <w:rPr>
          <w:i/>
        </w:rPr>
      </w:pPr>
      <w:r w:rsidRPr="00AF5677">
        <w:rPr>
          <w:i/>
        </w:rPr>
        <w:t>Differences in hunge</w:t>
      </w:r>
      <w:r w:rsidR="00780D0A" w:rsidRPr="00AF5677">
        <w:rPr>
          <w:i/>
        </w:rPr>
        <w:t>r ratings before and after Teddy’s meal and the children’s lunch</w:t>
      </w:r>
    </w:p>
    <w:p w:rsidR="004C754A" w:rsidRPr="00AF5677" w:rsidRDefault="007E0354" w:rsidP="00BA0127">
      <w:pPr>
        <w:spacing w:line="480" w:lineRule="auto"/>
        <w:ind w:firstLine="284"/>
        <w:jc w:val="both"/>
      </w:pPr>
      <w:r w:rsidRPr="00AF5677">
        <w:t xml:space="preserve">A Wilcoxon Signed Rank test was carried out to examine whether there was a significant difference in children’s ratings of Teddy’s hunger/satiety before and after Teddy had a meal. </w:t>
      </w:r>
      <w:r w:rsidR="00844E29" w:rsidRPr="00AF5677">
        <w:t>The data for all children, including those who were unable to make accurate ratings of Teddy’s hunger before/after a meal were included in this analysis</w:t>
      </w:r>
      <w:r w:rsidR="008A2E16" w:rsidRPr="00AF5677">
        <w:t xml:space="preserve"> only</w:t>
      </w:r>
      <w:r w:rsidR="00844E29" w:rsidRPr="00AF5677">
        <w:t xml:space="preserve">. </w:t>
      </w:r>
      <w:r w:rsidRPr="00AF5677">
        <w:t>T</w:t>
      </w:r>
      <w:r w:rsidR="004A30DB" w:rsidRPr="00AF5677">
        <w:t>he test indicated that c</w:t>
      </w:r>
      <w:r w:rsidRPr="00AF5677">
        <w:t>hildren rated Teddy to be significantly more hungry prior to a meal (</w:t>
      </w:r>
      <w:r w:rsidRPr="00AF5677">
        <w:rPr>
          <w:i/>
        </w:rPr>
        <w:t>Mdn</w:t>
      </w:r>
      <w:r w:rsidRPr="00AF5677">
        <w:t xml:space="preserve">=1, </w:t>
      </w:r>
      <w:r w:rsidRPr="00AF5677">
        <w:rPr>
          <w:i/>
        </w:rPr>
        <w:t>IQR</w:t>
      </w:r>
      <w:r w:rsidRPr="00AF5677">
        <w:t>=0</w:t>
      </w:r>
      <w:r w:rsidR="008A2E16" w:rsidRPr="00AF5677">
        <w:t>.5</w:t>
      </w:r>
      <w:r w:rsidRPr="00AF5677">
        <w:t>) than after a meal (</w:t>
      </w:r>
      <w:r w:rsidRPr="00AF5677">
        <w:rPr>
          <w:i/>
        </w:rPr>
        <w:t>Mdn</w:t>
      </w:r>
      <w:r w:rsidRPr="00AF5677">
        <w:t xml:space="preserve">=5, </w:t>
      </w:r>
      <w:r w:rsidRPr="00AF5677">
        <w:rPr>
          <w:i/>
        </w:rPr>
        <w:t>IQR</w:t>
      </w:r>
      <w:r w:rsidR="008A2E16" w:rsidRPr="00AF5677">
        <w:t>=1</w:t>
      </w:r>
      <w:r w:rsidRPr="00AF5677">
        <w:t>), (</w:t>
      </w:r>
      <w:r w:rsidRPr="00AF5677">
        <w:rPr>
          <w:i/>
        </w:rPr>
        <w:t>Z</w:t>
      </w:r>
      <w:r w:rsidR="00844E29" w:rsidRPr="00AF5677">
        <w:t>=6.089</w:t>
      </w:r>
      <w:r w:rsidRPr="00AF5677">
        <w:t xml:space="preserve">, </w:t>
      </w:r>
      <w:r w:rsidRPr="00AF5677">
        <w:rPr>
          <w:i/>
        </w:rPr>
        <w:t>p</w:t>
      </w:r>
      <w:r w:rsidRPr="00AF5677">
        <w:t>&lt;.001).</w:t>
      </w:r>
      <w:r w:rsidR="004A30DB" w:rsidRPr="00AF5677">
        <w:t xml:space="preserve"> </w:t>
      </w:r>
      <w:r w:rsidR="008A2E16" w:rsidRPr="00AF5677">
        <w:t>Finally,</w:t>
      </w:r>
      <w:r w:rsidR="004A30DB" w:rsidRPr="00AF5677">
        <w:t xml:space="preserve"> </w:t>
      </w:r>
      <w:r w:rsidR="008A2E16" w:rsidRPr="00AF5677">
        <w:t xml:space="preserve">a </w:t>
      </w:r>
      <w:r w:rsidR="004A30DB" w:rsidRPr="00AF5677">
        <w:t>Wilcoxon Signed Rank test was carried out to examine whether there was a significant difference in children’s ratings of their own hunger</w:t>
      </w:r>
      <w:r w:rsidR="00B12700" w:rsidRPr="00AF5677">
        <w:t>/satiety</w:t>
      </w:r>
      <w:r w:rsidR="00844E29" w:rsidRPr="00AF5677">
        <w:t xml:space="preserve"> before and after lunch. </w:t>
      </w:r>
      <w:r w:rsidR="004A30DB" w:rsidRPr="00AF5677">
        <w:t>In line with our hypotheses, children rated themselves as significantly hungrier before lunch (</w:t>
      </w:r>
      <w:r w:rsidR="004A30DB" w:rsidRPr="00AF5677">
        <w:rPr>
          <w:i/>
        </w:rPr>
        <w:t>Mdn</w:t>
      </w:r>
      <w:r w:rsidR="004A30DB" w:rsidRPr="00AF5677">
        <w:t xml:space="preserve">=1, </w:t>
      </w:r>
      <w:r w:rsidR="004A30DB" w:rsidRPr="00AF5677">
        <w:rPr>
          <w:i/>
        </w:rPr>
        <w:t>IQR</w:t>
      </w:r>
      <w:r w:rsidR="004A30DB" w:rsidRPr="00AF5677">
        <w:t>=2) compared to after lunch (</w:t>
      </w:r>
      <w:r w:rsidR="004A30DB" w:rsidRPr="00AF5677">
        <w:rPr>
          <w:i/>
        </w:rPr>
        <w:t>Mdn</w:t>
      </w:r>
      <w:r w:rsidR="004A30DB" w:rsidRPr="00AF5677">
        <w:t xml:space="preserve">=4, </w:t>
      </w:r>
      <w:r w:rsidR="004A30DB" w:rsidRPr="00AF5677">
        <w:rPr>
          <w:i/>
        </w:rPr>
        <w:t>IQR</w:t>
      </w:r>
      <w:r w:rsidR="004A30DB" w:rsidRPr="00AF5677">
        <w:t>=2), (</w:t>
      </w:r>
      <w:r w:rsidR="004A30DB" w:rsidRPr="00AF5677">
        <w:rPr>
          <w:i/>
        </w:rPr>
        <w:t>Z</w:t>
      </w:r>
      <w:r w:rsidR="004A30DB" w:rsidRPr="00AF5677">
        <w:t xml:space="preserve">=4.729, </w:t>
      </w:r>
      <w:r w:rsidR="004A30DB" w:rsidRPr="00AF5677">
        <w:rPr>
          <w:i/>
        </w:rPr>
        <w:t>p</w:t>
      </w:r>
      <w:r w:rsidR="004A30DB" w:rsidRPr="00AF5677">
        <w:t>&lt;.001).</w:t>
      </w:r>
    </w:p>
    <w:p w:rsidR="00BA0127" w:rsidRPr="00AF5677" w:rsidRDefault="00BA0127" w:rsidP="00BA0127">
      <w:pPr>
        <w:spacing w:line="480" w:lineRule="auto"/>
        <w:ind w:firstLine="284"/>
        <w:jc w:val="both"/>
      </w:pPr>
    </w:p>
    <w:p w:rsidR="004C754A" w:rsidRPr="00AF5677" w:rsidRDefault="008B2AD3" w:rsidP="00AE4513">
      <w:pPr>
        <w:spacing w:line="480" w:lineRule="auto"/>
        <w:jc w:val="center"/>
      </w:pPr>
      <w:r w:rsidRPr="00AF5677">
        <w:t>Discussion</w:t>
      </w:r>
    </w:p>
    <w:p w:rsidR="00370484" w:rsidRPr="00AF5677" w:rsidRDefault="00DA5D6C" w:rsidP="00AE4513">
      <w:pPr>
        <w:spacing w:line="480" w:lineRule="auto"/>
        <w:ind w:firstLine="284"/>
        <w:jc w:val="both"/>
      </w:pPr>
      <w:r w:rsidRPr="00AF5677">
        <w:t>The results of Study 2 supported the results o</w:t>
      </w:r>
      <w:r w:rsidR="00F30ADE" w:rsidRPr="00AF5677">
        <w:t>f</w:t>
      </w:r>
      <w:r w:rsidRPr="00AF5677">
        <w:t xml:space="preserve"> </w:t>
      </w:r>
      <w:r w:rsidR="0073274B" w:rsidRPr="00AF5677">
        <w:t>S</w:t>
      </w:r>
      <w:r w:rsidRPr="00AF5677">
        <w:t>tudy 1</w:t>
      </w:r>
      <w:r w:rsidR="002D7550" w:rsidRPr="00AF5677">
        <w:t>;</w:t>
      </w:r>
      <w:r w:rsidRPr="00AF5677">
        <w:t xml:space="preserve"> children </w:t>
      </w:r>
      <w:r w:rsidR="005633A8" w:rsidRPr="00AF5677">
        <w:t>were</w:t>
      </w:r>
      <w:r w:rsidRPr="00AF5677">
        <w:t xml:space="preserve"> able to use the scale to make judgements about estimated hunger</w:t>
      </w:r>
      <w:r w:rsidR="0073274B" w:rsidRPr="00AF5677">
        <w:t>/satiety</w:t>
      </w:r>
      <w:r w:rsidRPr="00AF5677">
        <w:t xml:space="preserve"> in Teddy following a story describing a state of hunger and satiety. Around 89% of children correctly rated Teddy as hungry or full when these states were described in the story. Furthermore, gender did not significantly impact on children’</w:t>
      </w:r>
      <w:r w:rsidR="0063731C" w:rsidRPr="00AF5677">
        <w:t xml:space="preserve">s ratings of their </w:t>
      </w:r>
      <w:r w:rsidRPr="00AF5677">
        <w:t xml:space="preserve">own </w:t>
      </w:r>
      <w:r w:rsidR="00861661" w:rsidRPr="00AF5677">
        <w:t xml:space="preserve">hunger/satiety </w:t>
      </w:r>
      <w:r w:rsidRPr="00AF5677">
        <w:t>or estimated hunger</w:t>
      </w:r>
      <w:r w:rsidR="00861661" w:rsidRPr="00AF5677">
        <w:t>/satiety</w:t>
      </w:r>
      <w:r w:rsidR="006D0EF4" w:rsidRPr="00AF5677">
        <w:t xml:space="preserve"> for Teddy</w:t>
      </w:r>
      <w:r w:rsidRPr="00AF5677">
        <w:t xml:space="preserve">. Nevertheless, </w:t>
      </w:r>
      <w:r w:rsidR="0063731C" w:rsidRPr="00AF5677">
        <w:t xml:space="preserve">child </w:t>
      </w:r>
      <w:r w:rsidRPr="00AF5677">
        <w:t>age was related to children’s ratings</w:t>
      </w:r>
      <w:r w:rsidR="0063731C" w:rsidRPr="00AF5677">
        <w:t xml:space="preserve"> of Teddy’s hunger </w:t>
      </w:r>
      <w:r w:rsidRPr="00AF5677">
        <w:t>in this study</w:t>
      </w:r>
      <w:r w:rsidR="0063731C" w:rsidRPr="00AF5677">
        <w:t>, as younger children rated Teddy to be</w:t>
      </w:r>
      <w:r w:rsidR="00F06787" w:rsidRPr="00AF5677">
        <w:t xml:space="preserve"> fuller </w:t>
      </w:r>
      <w:r w:rsidR="0063731C" w:rsidRPr="00AF5677">
        <w:t xml:space="preserve">after a meal. </w:t>
      </w:r>
      <w:r w:rsidR="00EF23F5" w:rsidRPr="00AF5677">
        <w:t>These findings may reflect differences in food quantity perception related to age. In the story children heard Teddy consumes a large amount of food; younger children may have perceived the amount of food ingested by Teddy to be larger than older children</w:t>
      </w:r>
      <w:r w:rsidR="0063731C" w:rsidRPr="00AF5677">
        <w:t xml:space="preserve">. </w:t>
      </w:r>
      <w:r w:rsidR="002D7550" w:rsidRPr="00AF5677">
        <w:t>T</w:t>
      </w:r>
      <w:r w:rsidR="0063731C" w:rsidRPr="00AF5677">
        <w:t>his had not been observed in the previous study, and as only one of the ratings children had to make was related to child age, this result may be due to chance</w:t>
      </w:r>
      <w:r w:rsidR="002D7550" w:rsidRPr="00AF5677">
        <w:t>, although slightly younger children were included in this sample</w:t>
      </w:r>
      <w:r w:rsidR="0063731C" w:rsidRPr="00AF5677">
        <w:t>.</w:t>
      </w:r>
      <w:r w:rsidR="00707D06" w:rsidRPr="00AF5677">
        <w:t xml:space="preserve"> </w:t>
      </w:r>
    </w:p>
    <w:p w:rsidR="00370484" w:rsidRPr="00AF5677" w:rsidRDefault="00504799" w:rsidP="00AE4513">
      <w:pPr>
        <w:spacing w:line="480" w:lineRule="auto"/>
        <w:ind w:firstLine="284"/>
        <w:jc w:val="both"/>
      </w:pPr>
      <w:r w:rsidRPr="00AF5677">
        <w:t>Importantly, t</w:t>
      </w:r>
      <w:r w:rsidR="0073274B" w:rsidRPr="00AF5677">
        <w:t xml:space="preserve">he results indicate that the scale is </w:t>
      </w:r>
      <w:r w:rsidR="00B734C2" w:rsidRPr="00AF5677">
        <w:t xml:space="preserve">able </w:t>
      </w:r>
      <w:r w:rsidR="0073274B" w:rsidRPr="00AF5677">
        <w:t>to</w:t>
      </w:r>
      <w:r w:rsidR="00B734C2" w:rsidRPr="00AF5677">
        <w:t xml:space="preserve"> reflect</w:t>
      </w:r>
      <w:r w:rsidR="0073274B" w:rsidRPr="00AF5677">
        <w:t xml:space="preserve"> changes in hunger/satiety in the context of a real eating episode. Children </w:t>
      </w:r>
      <w:r w:rsidR="00494ECD" w:rsidRPr="00AF5677">
        <w:t xml:space="preserve">rated themselves as </w:t>
      </w:r>
      <w:r w:rsidR="0073274B" w:rsidRPr="00AF5677">
        <w:t xml:space="preserve">significantly hungrier before lunch </w:t>
      </w:r>
      <w:r w:rsidR="0073274B" w:rsidRPr="00AF5677">
        <w:lastRenderedPageBreak/>
        <w:t xml:space="preserve">compared to after lunch. This suggests that the non-significant findings of Study 1 were </w:t>
      </w:r>
      <w:r w:rsidR="00E76F9E" w:rsidRPr="00AF5677">
        <w:t>likely</w:t>
      </w:r>
      <w:r w:rsidR="0073274B" w:rsidRPr="00AF5677">
        <w:t xml:space="preserve"> due to</w:t>
      </w:r>
      <w:r w:rsidR="00E76F9E" w:rsidRPr="00AF5677">
        <w:t xml:space="preserve"> </w:t>
      </w:r>
      <w:r w:rsidR="0073274B" w:rsidRPr="00AF5677">
        <w:t xml:space="preserve">inter-individual differences in children’s hunger/satiety ratings </w:t>
      </w:r>
      <w:r w:rsidR="00E76F9E" w:rsidRPr="00AF5677">
        <w:t xml:space="preserve">as well as to the uncertainty regarding children’s </w:t>
      </w:r>
      <w:r w:rsidR="00494ECD" w:rsidRPr="00AF5677">
        <w:t xml:space="preserve">consumption of </w:t>
      </w:r>
      <w:r w:rsidR="00E76F9E" w:rsidRPr="00AF5677">
        <w:t>breakfasts and mid-morning snacks</w:t>
      </w:r>
      <w:r w:rsidR="0073274B" w:rsidRPr="00AF5677">
        <w:t>.</w:t>
      </w:r>
      <w:r w:rsidR="00E76F9E" w:rsidRPr="00AF5677">
        <w:t xml:space="preserve"> </w:t>
      </w:r>
      <w:r w:rsidR="000E1AF6" w:rsidRPr="00AF5677">
        <w:t xml:space="preserve">The within-participant design of </w:t>
      </w:r>
      <w:r w:rsidR="00E76F9E" w:rsidRPr="00AF5677">
        <w:t>Study 2 therefore o</w:t>
      </w:r>
      <w:r w:rsidR="00EA6056" w:rsidRPr="00AF5677">
        <w:t xml:space="preserve">vercomes </w:t>
      </w:r>
      <w:r w:rsidR="00B63753" w:rsidRPr="00AF5677">
        <w:t>th</w:t>
      </w:r>
      <w:r w:rsidRPr="00AF5677">
        <w:t>is particular</w:t>
      </w:r>
      <w:r w:rsidR="00B63753" w:rsidRPr="00AF5677">
        <w:t xml:space="preserve"> </w:t>
      </w:r>
      <w:r w:rsidR="00EA6056" w:rsidRPr="00AF5677">
        <w:t>limitation</w:t>
      </w:r>
      <w:r w:rsidR="00B63753" w:rsidRPr="00AF5677">
        <w:t xml:space="preserve"> of</w:t>
      </w:r>
      <w:r w:rsidR="00EA6056" w:rsidRPr="00AF5677">
        <w:t xml:space="preserve"> </w:t>
      </w:r>
      <w:r w:rsidRPr="00AF5677">
        <w:t>S</w:t>
      </w:r>
      <w:r w:rsidR="00EA6056" w:rsidRPr="00AF5677">
        <w:t xml:space="preserve">tudy 1. </w:t>
      </w:r>
      <w:r w:rsidR="00B63753" w:rsidRPr="00AF5677">
        <w:t>In Study 2</w:t>
      </w:r>
      <w:r w:rsidR="00EA6056" w:rsidRPr="00AF5677">
        <w:t xml:space="preserve"> all </w:t>
      </w:r>
      <w:r w:rsidR="00B63753" w:rsidRPr="00AF5677">
        <w:t>children consumed</w:t>
      </w:r>
      <w:r w:rsidR="00EA6056" w:rsidRPr="00AF5677">
        <w:t xml:space="preserve"> a mid-morning</w:t>
      </w:r>
      <w:r w:rsidR="00B63753" w:rsidRPr="00AF5677">
        <w:t xml:space="preserve"> snack at the same time and</w:t>
      </w:r>
      <w:r w:rsidR="00EA6056" w:rsidRPr="00AF5677">
        <w:t xml:space="preserve"> had an equal amount of time until lunch</w:t>
      </w:r>
      <w:r w:rsidR="00B63753" w:rsidRPr="00AF5677">
        <w:t xml:space="preserve">. </w:t>
      </w:r>
    </w:p>
    <w:p w:rsidR="00BA0127" w:rsidRPr="00AF5677" w:rsidRDefault="00B63753" w:rsidP="00BA0127">
      <w:pPr>
        <w:spacing w:line="480" w:lineRule="auto"/>
        <w:ind w:firstLine="284"/>
        <w:jc w:val="both"/>
      </w:pPr>
      <w:r w:rsidRPr="00AF5677">
        <w:t xml:space="preserve">All children were tested </w:t>
      </w:r>
      <w:r w:rsidR="000E1AF6" w:rsidRPr="00AF5677">
        <w:t>as a group,</w:t>
      </w:r>
      <w:r w:rsidR="00EA6056" w:rsidRPr="00AF5677">
        <w:t xml:space="preserve"> </w:t>
      </w:r>
      <w:r w:rsidR="000E1AF6" w:rsidRPr="00AF5677">
        <w:t>at the same time, avoiding any hunger/satiety rating variations due to differences in the time since their last meal.</w:t>
      </w:r>
      <w:r w:rsidR="00EA6056" w:rsidRPr="00AF5677">
        <w:t xml:space="preserve"> </w:t>
      </w:r>
      <w:r w:rsidR="000E1AF6" w:rsidRPr="00AF5677">
        <w:t>The differences in children’s hunger/satiety ratings before and after lunch are therefore likely to be an accurate reflection of the changes in their hunger/satiety perceptions due to the ingestion of their pre-packed lunch foods. Unfortunately</w:t>
      </w:r>
      <w:r w:rsidR="00B734C2" w:rsidRPr="00AF5677">
        <w:t>,</w:t>
      </w:r>
      <w:r w:rsidR="000E1AF6" w:rsidRPr="00AF5677">
        <w:t xml:space="preserve"> we were unable to establish what each child’s lunch consisted of, but pre-post lunch hunger/satiety ratings are likely to correspond loosely with the caloric load of their lunch foods. This would also explain the </w:t>
      </w:r>
      <w:r w:rsidR="00494ECD" w:rsidRPr="00AF5677">
        <w:t xml:space="preserve">individual </w:t>
      </w:r>
      <w:r w:rsidR="000E1AF6" w:rsidRPr="00AF5677">
        <w:t>variability in post-lunch hunger/satiety ratings.</w:t>
      </w:r>
    </w:p>
    <w:p w:rsidR="00BA0127" w:rsidRPr="00AF5677" w:rsidRDefault="00BA0127" w:rsidP="00BA0127">
      <w:pPr>
        <w:spacing w:line="480" w:lineRule="auto"/>
        <w:ind w:firstLine="284"/>
        <w:jc w:val="both"/>
      </w:pPr>
    </w:p>
    <w:p w:rsidR="00BA0127" w:rsidRPr="00AF5677" w:rsidRDefault="00BA0127" w:rsidP="00BA0127">
      <w:pPr>
        <w:spacing w:line="480" w:lineRule="auto"/>
        <w:ind w:firstLine="284"/>
        <w:jc w:val="center"/>
      </w:pPr>
      <w:r w:rsidRPr="00AF5677">
        <w:t>Study 3</w:t>
      </w:r>
    </w:p>
    <w:p w:rsidR="00251718" w:rsidRPr="00AF5677" w:rsidRDefault="00251718" w:rsidP="00A24AC6">
      <w:pPr>
        <w:spacing w:line="480" w:lineRule="auto"/>
        <w:ind w:firstLine="284"/>
        <w:jc w:val="both"/>
      </w:pPr>
      <w:r w:rsidRPr="00AF5677">
        <w:t>The results of Study 1 and Study 2 indicated that children were able to use the Teddy picture rating scale to reflect large changes in hun</w:t>
      </w:r>
      <w:r w:rsidR="00133B6B" w:rsidRPr="00AF5677">
        <w:t>ger/satiety in the context of</w:t>
      </w:r>
      <w:r w:rsidRPr="00AF5677">
        <w:t xml:space="preserve"> imagined and real eating episodes</w:t>
      </w:r>
      <w:r w:rsidR="00A24AC6" w:rsidRPr="00AF5677">
        <w:t>. Nevertheless, one major limitation of Study</w:t>
      </w:r>
      <w:r w:rsidR="00133B6B" w:rsidRPr="00AF5677">
        <w:t xml:space="preserve"> </w:t>
      </w:r>
      <w:r w:rsidR="00A24AC6" w:rsidRPr="00AF5677">
        <w:t>2 was the absence of information regarding children’s lunch foods. We were unable to establish how much and what types of food children ate during their lunch break. This ca</w:t>
      </w:r>
      <w:r w:rsidR="00133B6B" w:rsidRPr="00AF5677">
        <w:t>veat</w:t>
      </w:r>
      <w:r w:rsidR="00A24AC6" w:rsidRPr="00AF5677">
        <w:t xml:space="preserve"> meant that we were unable to establis</w:t>
      </w:r>
      <w:r w:rsidR="004224AE" w:rsidRPr="00AF5677">
        <w:t>h whether our scale is sensitive</w:t>
      </w:r>
      <w:r w:rsidR="00A24AC6" w:rsidRPr="00AF5677">
        <w:t xml:space="preserve"> to changes in hunger in satiety.  We aimed</w:t>
      </w:r>
      <w:r w:rsidR="00133B6B" w:rsidRPr="00AF5677">
        <w:t xml:space="preserve"> to address this limitation in S</w:t>
      </w:r>
      <w:r w:rsidR="00A24AC6" w:rsidRPr="00AF5677">
        <w:t xml:space="preserve">tudy 3, by providing children with an ad libitum snack of known composition and quantity. We hypothesized that pre-snack hunger/satiety ratings would be associated with snack ingestion as hungrier children would consume larger amounts of the ad libitum snack. Additionally, we anticipated that snack food intake would be related to a change in </w:t>
      </w:r>
      <w:r w:rsidR="00CD09E5" w:rsidRPr="00AF5677">
        <w:t xml:space="preserve">rated </w:t>
      </w:r>
      <w:r w:rsidR="00A24AC6" w:rsidRPr="00AF5677">
        <w:t xml:space="preserve">hunger/satiety </w:t>
      </w:r>
      <w:r w:rsidR="00CD09E5" w:rsidRPr="00AF5677">
        <w:t>in that</w:t>
      </w:r>
      <w:r w:rsidR="00A24AC6" w:rsidRPr="00AF5677">
        <w:t xml:space="preserve"> children who consumed greater amounts of the snack foods would show a greater decrease in hunger compared to children who consumed less of the snack foods. </w:t>
      </w:r>
    </w:p>
    <w:p w:rsidR="00BA0127" w:rsidRPr="00AF5677" w:rsidRDefault="00BA0127" w:rsidP="00BA0127">
      <w:pPr>
        <w:spacing w:line="480" w:lineRule="auto"/>
        <w:ind w:firstLine="284"/>
        <w:jc w:val="center"/>
      </w:pPr>
      <w:r w:rsidRPr="00AF5677">
        <w:lastRenderedPageBreak/>
        <w:t>Method</w:t>
      </w:r>
    </w:p>
    <w:p w:rsidR="00BA0127" w:rsidRPr="00AF5677" w:rsidRDefault="00BA0127" w:rsidP="00330D4D">
      <w:pPr>
        <w:spacing w:line="480" w:lineRule="auto"/>
        <w:rPr>
          <w:i/>
        </w:rPr>
      </w:pPr>
      <w:r w:rsidRPr="00AF5677">
        <w:rPr>
          <w:i/>
        </w:rPr>
        <w:t>Participants</w:t>
      </w:r>
    </w:p>
    <w:p w:rsidR="00330D4D" w:rsidRPr="00AF5677" w:rsidRDefault="00733C2A" w:rsidP="00A24AC6">
      <w:pPr>
        <w:spacing w:line="480" w:lineRule="auto"/>
        <w:ind w:firstLine="284"/>
        <w:jc w:val="both"/>
      </w:pPr>
      <w:r w:rsidRPr="00AF5677">
        <w:t>Thirty-six</w:t>
      </w:r>
      <w:r w:rsidR="00330D4D" w:rsidRPr="00AF5677">
        <w:t xml:space="preserve"> </w:t>
      </w:r>
      <w:r w:rsidR="00830434" w:rsidRPr="00AF5677">
        <w:t xml:space="preserve">typically developing </w:t>
      </w:r>
      <w:r w:rsidR="00330D4D" w:rsidRPr="00AF5677">
        <w:t xml:space="preserve">children </w:t>
      </w:r>
      <w:r w:rsidR="00830434" w:rsidRPr="00AF5677">
        <w:t xml:space="preserve">aged 6 to 9 years </w:t>
      </w:r>
      <w:r w:rsidR="00330D4D" w:rsidRPr="00AF5677">
        <w:t>participated in this laboratory based study</w:t>
      </w:r>
      <w:r w:rsidR="00830434" w:rsidRPr="00AF5677">
        <w:t xml:space="preserve">. The sample consisted of </w:t>
      </w:r>
      <w:r w:rsidR="007C44B1" w:rsidRPr="00AF5677">
        <w:t>19</w:t>
      </w:r>
      <w:r w:rsidRPr="00AF5677">
        <w:t xml:space="preserve"> females and </w:t>
      </w:r>
      <w:r w:rsidR="007C44B1" w:rsidRPr="00AF5677">
        <w:t>17</w:t>
      </w:r>
      <w:r w:rsidR="00830434" w:rsidRPr="00AF5677">
        <w:t xml:space="preserve"> males, who were predominantly White British.</w:t>
      </w:r>
      <w:r w:rsidR="00547B45" w:rsidRPr="00AF5677">
        <w:t xml:space="preserve"> The sample consisted of predominantly middle class participants as indicated by parental education level (</w:t>
      </w:r>
      <w:r w:rsidR="007C44B1" w:rsidRPr="00AF5677">
        <w:t>61.1</w:t>
      </w:r>
      <w:r w:rsidR="00547B45" w:rsidRPr="00AF5677">
        <w:t>% of parents had been educated up to a</w:t>
      </w:r>
      <w:r w:rsidR="007C44B1" w:rsidRPr="00AF5677">
        <w:t xml:space="preserve"> first</w:t>
      </w:r>
      <w:r w:rsidR="00547B45" w:rsidRPr="00AF5677">
        <w:t xml:space="preserve"> degree level).</w:t>
      </w:r>
    </w:p>
    <w:p w:rsidR="00BA0127" w:rsidRPr="00AF5677" w:rsidRDefault="00BA0127" w:rsidP="00330D4D">
      <w:pPr>
        <w:spacing w:line="480" w:lineRule="auto"/>
        <w:rPr>
          <w:i/>
        </w:rPr>
      </w:pPr>
      <w:r w:rsidRPr="00AF5677">
        <w:rPr>
          <w:i/>
        </w:rPr>
        <w:t>Measures</w:t>
      </w:r>
    </w:p>
    <w:p w:rsidR="00DF12A4" w:rsidRPr="00AF5677" w:rsidRDefault="00547B45" w:rsidP="00D16FBD">
      <w:pPr>
        <w:spacing w:line="480" w:lineRule="auto"/>
        <w:ind w:firstLine="284"/>
        <w:jc w:val="both"/>
      </w:pPr>
      <w:r w:rsidRPr="00AF5677">
        <w:t>The previously described Teddy picture rating scale was used (see Method section Study 1, Figure 1). Additionally child age and gender as well as parental education were provided by parents.</w:t>
      </w:r>
    </w:p>
    <w:p w:rsidR="00330D4D" w:rsidRPr="00AF5677" w:rsidRDefault="00330D4D" w:rsidP="00330D4D">
      <w:pPr>
        <w:spacing w:line="480" w:lineRule="auto"/>
        <w:rPr>
          <w:i/>
        </w:rPr>
      </w:pPr>
      <w:r w:rsidRPr="00AF5677">
        <w:rPr>
          <w:i/>
        </w:rPr>
        <w:t>Procedure</w:t>
      </w:r>
    </w:p>
    <w:p w:rsidR="00547B45" w:rsidRPr="00AF5677" w:rsidRDefault="00733C2A" w:rsidP="00D16FBD">
      <w:pPr>
        <w:spacing w:line="480" w:lineRule="auto"/>
        <w:ind w:firstLine="284"/>
        <w:jc w:val="both"/>
      </w:pPr>
      <w:r w:rsidRPr="00AF5677">
        <w:t>Children and their parents were invited to the Babylab at the University of Birmingham, UK.</w:t>
      </w:r>
      <w:r w:rsidR="00D90961" w:rsidRPr="00AF5677">
        <w:t xml:space="preserve"> </w:t>
      </w:r>
      <w:r w:rsidR="00ED5CFD" w:rsidRPr="00AF5677">
        <w:rPr>
          <w:rFonts w:cs="Calibri"/>
        </w:rPr>
        <w:t xml:space="preserve">The study was conducted between April 2012 and July 2013. Participating children and their parents visited the Babylab between 10:00 and 15:00. Parents were told that their children should arrive in a non-fasted state, having consumed all meals and snacks as they usually would prior to attending the Babylab. </w:t>
      </w:r>
      <w:r w:rsidR="00D90961" w:rsidRPr="00AF5677">
        <w:t>Children participated individually. Initially the re</w:t>
      </w:r>
      <w:r w:rsidR="00133B6B" w:rsidRPr="00AF5677">
        <w:t>searcher introduced the child</w:t>
      </w:r>
      <w:r w:rsidR="00D90961" w:rsidRPr="00AF5677">
        <w:t xml:space="preserve"> to the scale by looking at the pictures and reading the labels accompanyin</w:t>
      </w:r>
      <w:r w:rsidR="00133B6B" w:rsidRPr="00AF5677">
        <w:t>g each picture with the child</w:t>
      </w:r>
      <w:r w:rsidR="00D90961" w:rsidRPr="00AF5677">
        <w:t>. The chi</w:t>
      </w:r>
      <w:r w:rsidR="00133B6B" w:rsidRPr="00AF5677">
        <w:t>ld was</w:t>
      </w:r>
      <w:r w:rsidR="00D90961" w:rsidRPr="00AF5677">
        <w:t xml:space="preserve"> made aware of the differences between each picture and label. </w:t>
      </w:r>
      <w:r w:rsidR="00133B6B" w:rsidRPr="00AF5677">
        <w:t>The child was then asked to indicate his/her</w:t>
      </w:r>
      <w:r w:rsidR="00D90961" w:rsidRPr="00AF5677">
        <w:t xml:space="preserve"> own hunger using the scale. </w:t>
      </w:r>
      <w:r w:rsidR="001F55EC" w:rsidRPr="00AF5677">
        <w:t xml:space="preserve">After this initial hunger/satiety rating </w:t>
      </w:r>
      <w:r w:rsidR="00C31F27" w:rsidRPr="00AF5677">
        <w:t>the child</w:t>
      </w:r>
      <w:r w:rsidR="001F55EC" w:rsidRPr="00AF5677">
        <w:t xml:space="preserve"> </w:t>
      </w:r>
      <w:r w:rsidR="00483FBA" w:rsidRPr="00AF5677">
        <w:t>received a st</w:t>
      </w:r>
      <w:r w:rsidR="001F55EC" w:rsidRPr="00AF5677">
        <w:t>andardised snack consisting of 250</w:t>
      </w:r>
      <w:r w:rsidR="00483FBA" w:rsidRPr="00AF5677">
        <w:t>g of gree</w:t>
      </w:r>
      <w:r w:rsidR="001F55EC" w:rsidRPr="00AF5677">
        <w:t>n grapes, 200g of carrot sticks, 200</w:t>
      </w:r>
      <w:r w:rsidR="00483FBA" w:rsidRPr="00AF5677">
        <w:t>g of</w:t>
      </w:r>
      <w:r w:rsidR="00C31F27" w:rsidRPr="00AF5677">
        <w:t xml:space="preserve"> chewy sweets</w:t>
      </w:r>
      <w:r w:rsidR="001F55EC" w:rsidRPr="00AF5677">
        <w:t>, 150g of chocolate chip cookies, 70g of ready salted crisps and 80</w:t>
      </w:r>
      <w:r w:rsidR="00483FBA" w:rsidRPr="00AF5677">
        <w:t>g of salted pretzels.</w:t>
      </w:r>
      <w:r w:rsidRPr="00AF5677">
        <w:t xml:space="preserve"> </w:t>
      </w:r>
      <w:r w:rsidR="00C31F27" w:rsidRPr="00AF5677">
        <w:t>The child was informed that s/he</w:t>
      </w:r>
      <w:r w:rsidR="00D90961" w:rsidRPr="00AF5677">
        <w:t xml:space="preserve"> would be left alone with t</w:t>
      </w:r>
      <w:r w:rsidR="00C31F27" w:rsidRPr="00AF5677">
        <w:t>he snack foods for 10 minutes while</w:t>
      </w:r>
      <w:r w:rsidR="00D90961" w:rsidRPr="00AF5677">
        <w:t xml:space="preserve"> the researcher had to do some work</w:t>
      </w:r>
      <w:r w:rsidR="00C31F27" w:rsidRPr="00AF5677">
        <w:t xml:space="preserve"> in her office</w:t>
      </w:r>
      <w:r w:rsidR="00D90961" w:rsidRPr="00AF5677">
        <w:t xml:space="preserve">. </w:t>
      </w:r>
      <w:r w:rsidR="00C31F27" w:rsidRPr="00AF5677">
        <w:t>The child was</w:t>
      </w:r>
      <w:r w:rsidR="001F55EC" w:rsidRPr="00AF5677">
        <w:t xml:space="preserve"> </w:t>
      </w:r>
      <w:r w:rsidR="00D90961" w:rsidRPr="00AF5677">
        <w:t xml:space="preserve">told </w:t>
      </w:r>
      <w:r w:rsidR="00C31F27" w:rsidRPr="00AF5677">
        <w:t>that s/he</w:t>
      </w:r>
      <w:r w:rsidR="001F55EC" w:rsidRPr="00AF5677">
        <w:t xml:space="preserve"> could </w:t>
      </w:r>
      <w:r w:rsidR="00D90961" w:rsidRPr="00AF5677">
        <w:t>eat as mu</w:t>
      </w:r>
      <w:r w:rsidR="00C31F27" w:rsidRPr="00AF5677">
        <w:t>ch or as little of the snack foods as s/he</w:t>
      </w:r>
      <w:r w:rsidR="00D90961" w:rsidRPr="00AF5677">
        <w:t xml:space="preserve"> like</w:t>
      </w:r>
      <w:r w:rsidR="001F55EC" w:rsidRPr="00AF5677">
        <w:t>d</w:t>
      </w:r>
      <w:r w:rsidR="00D90961" w:rsidRPr="00AF5677">
        <w:t xml:space="preserve">. </w:t>
      </w:r>
      <w:r w:rsidR="00C31F27" w:rsidRPr="00AF5677">
        <w:t>The child was</w:t>
      </w:r>
      <w:r w:rsidR="00D90961" w:rsidRPr="00AF5677">
        <w:t xml:space="preserve"> monitored from an adjacent room over the 10-minute snack-period. </w:t>
      </w:r>
      <w:r w:rsidR="00C31F27" w:rsidRPr="00AF5677">
        <w:t>The c</w:t>
      </w:r>
      <w:r w:rsidR="00D90961" w:rsidRPr="00AF5677">
        <w:t>hild made a second hunger/satiety rating two minutes</w:t>
      </w:r>
      <w:r w:rsidR="00BC286D" w:rsidRPr="00AF5677">
        <w:t xml:space="preserve"> after the</w:t>
      </w:r>
      <w:r w:rsidR="00C31F27" w:rsidRPr="00AF5677">
        <w:t xml:space="preserve"> end of the</w:t>
      </w:r>
      <w:r w:rsidR="00BC286D" w:rsidRPr="00AF5677">
        <w:t xml:space="preserve"> snack-period</w:t>
      </w:r>
      <w:r w:rsidR="007C764B" w:rsidRPr="00AF5677">
        <w:t xml:space="preserve"> </w:t>
      </w:r>
      <w:r w:rsidR="007C764B" w:rsidRPr="00AF5677">
        <w:rPr>
          <w:rFonts w:cs="Calibri"/>
        </w:rPr>
        <w:t>(see Appendix B for script)</w:t>
      </w:r>
      <w:r w:rsidR="00D90961" w:rsidRPr="00AF5677">
        <w:t xml:space="preserve">. </w:t>
      </w:r>
      <w:r w:rsidR="00BC286D" w:rsidRPr="00AF5677">
        <w:rPr>
          <w:lang w:val="en-US"/>
        </w:rPr>
        <w:t>All snack foods were weighed prior to and immediately after the snack-</w:t>
      </w:r>
      <w:r w:rsidR="00BC286D" w:rsidRPr="00AF5677">
        <w:rPr>
          <w:lang w:val="en-US"/>
        </w:rPr>
        <w:lastRenderedPageBreak/>
        <w:t xml:space="preserve">period. </w:t>
      </w:r>
      <w:r w:rsidRPr="00AF5677">
        <w:t>Parents provided written consent prior to their child’s participation. This study was approved by the Ethical Review Committee of the University of Birmingham.</w:t>
      </w:r>
    </w:p>
    <w:p w:rsidR="00330D4D" w:rsidRPr="00AF5677" w:rsidRDefault="00330D4D" w:rsidP="00330D4D">
      <w:pPr>
        <w:spacing w:line="480" w:lineRule="auto"/>
        <w:rPr>
          <w:i/>
        </w:rPr>
      </w:pPr>
      <w:r w:rsidRPr="00AF5677">
        <w:rPr>
          <w:i/>
        </w:rPr>
        <w:t>Statistical Analysis</w:t>
      </w:r>
    </w:p>
    <w:p w:rsidR="00BA0127" w:rsidRPr="00AF5677" w:rsidRDefault="00E4111C" w:rsidP="009022C2">
      <w:pPr>
        <w:spacing w:line="480" w:lineRule="auto"/>
        <w:ind w:firstLine="284"/>
        <w:jc w:val="both"/>
      </w:pPr>
      <w:r w:rsidRPr="00AF5677">
        <w:t>SPSS version 20 statistical software was used to analyse the data</w:t>
      </w:r>
      <w:r w:rsidR="00B97A97" w:rsidRPr="00AF5677">
        <w:t xml:space="preserve">. </w:t>
      </w:r>
      <w:r w:rsidR="009022C2" w:rsidRPr="00AF5677">
        <w:t xml:space="preserve">The criterion alpha for significance was .05. Bar graphs were inspected and indicated that the data was not normally distributed. </w:t>
      </w:r>
      <w:r w:rsidR="00483FBA" w:rsidRPr="00AF5677">
        <w:t>The calories that children consumed from each individual snack food were calculated and the overall intake of the snack food in calories was established. C</w:t>
      </w:r>
      <w:r w:rsidR="009022C2" w:rsidRPr="00AF5677">
        <w:t>hildren’s ratings of hunger/satiety were examined. Spearman’s correlations were carried out to examine whether child age was significantly related to children’s ratings of hunger/satiety; additionally, Mann-Whitney U tests were carried out to assess the effect of gender on children’s ratings. Wilcoxon Signed Rank tests were carried out to see whether children’s ratings of their o</w:t>
      </w:r>
      <w:r w:rsidR="00C31F27" w:rsidRPr="00AF5677">
        <w:t>wn hunger before and after</w:t>
      </w:r>
      <w:r w:rsidR="009022C2" w:rsidRPr="00AF5677">
        <w:t xml:space="preserve"> an ad libitum snack differed and additionally Spearman’s correlations were carried out to assess whether intake in calories was related to baseline hunger/satiety and hunger change.</w:t>
      </w:r>
    </w:p>
    <w:p w:rsidR="009022C2" w:rsidRPr="00AF5677" w:rsidRDefault="009022C2" w:rsidP="009022C2">
      <w:pPr>
        <w:spacing w:line="480" w:lineRule="auto"/>
        <w:ind w:firstLine="284"/>
        <w:jc w:val="both"/>
      </w:pPr>
    </w:p>
    <w:p w:rsidR="00BA0127" w:rsidRPr="00AF5677" w:rsidRDefault="00BA0127" w:rsidP="00BA0127">
      <w:pPr>
        <w:spacing w:line="480" w:lineRule="auto"/>
        <w:ind w:firstLine="284"/>
        <w:jc w:val="center"/>
      </w:pPr>
      <w:r w:rsidRPr="00AF5677">
        <w:t>Results</w:t>
      </w:r>
    </w:p>
    <w:p w:rsidR="00755CD9" w:rsidRPr="00AF5677" w:rsidRDefault="00755CD9" w:rsidP="00755CD9">
      <w:pPr>
        <w:spacing w:line="480" w:lineRule="auto"/>
        <w:rPr>
          <w:i/>
        </w:rPr>
      </w:pPr>
      <w:r w:rsidRPr="00AF5677">
        <w:rPr>
          <w:i/>
        </w:rPr>
        <w:t>Children’s ratings of hunger/satiety</w:t>
      </w:r>
      <w:r w:rsidR="00E77725" w:rsidRPr="00AF5677">
        <w:rPr>
          <w:i/>
        </w:rPr>
        <w:t xml:space="preserve"> and ad libitum snack intake</w:t>
      </w:r>
    </w:p>
    <w:p w:rsidR="00755CD9" w:rsidRPr="00AF5677" w:rsidRDefault="00A24AC6" w:rsidP="00755CD9">
      <w:pPr>
        <w:spacing w:line="480" w:lineRule="auto"/>
        <w:ind w:firstLine="284"/>
        <w:jc w:val="both"/>
      </w:pPr>
      <w:r w:rsidRPr="00AF5677">
        <w:t>Children’s ratings of their own hunger before an ad libitum snack ranged from “Really hungry” (1) to “Really full” (5) (</w:t>
      </w:r>
      <w:r w:rsidRPr="00AF5677">
        <w:rPr>
          <w:i/>
        </w:rPr>
        <w:t>Mdn</w:t>
      </w:r>
      <w:r w:rsidRPr="00AF5677">
        <w:t xml:space="preserve"> hunger rating=2, </w:t>
      </w:r>
      <w:r w:rsidRPr="00AF5677">
        <w:rPr>
          <w:i/>
        </w:rPr>
        <w:t>IQR</w:t>
      </w:r>
      <w:r w:rsidRPr="00AF5677">
        <w:t xml:space="preserve">=2), while their hunger/satiety ratings </w:t>
      </w:r>
      <w:r w:rsidR="00CD09E5" w:rsidRPr="00AF5677">
        <w:t xml:space="preserve">after an ad libitum snack </w:t>
      </w:r>
      <w:r w:rsidRPr="00AF5677">
        <w:t>ranged from “Really hungry” (1) to “Quite full” (4) (</w:t>
      </w:r>
      <w:r w:rsidRPr="00AF5677">
        <w:rPr>
          <w:i/>
        </w:rPr>
        <w:t>Mdn</w:t>
      </w:r>
      <w:r w:rsidRPr="00AF5677">
        <w:t xml:space="preserve"> hunger rating=2.25,</w:t>
      </w:r>
      <w:r w:rsidRPr="00AF5677">
        <w:rPr>
          <w:i/>
        </w:rPr>
        <w:t xml:space="preserve"> IQR</w:t>
      </w:r>
      <w:r w:rsidRPr="00AF5677">
        <w:t>=1).</w:t>
      </w:r>
      <w:r w:rsidR="00755CD9" w:rsidRPr="00AF5677">
        <w:t xml:space="preserve"> We calculated hunger/satiety change by subtra</w:t>
      </w:r>
      <w:r w:rsidR="007C44B1" w:rsidRPr="00AF5677">
        <w:t>cting post-snack hunger ratings from pre-snack</w:t>
      </w:r>
      <w:r w:rsidR="00755CD9" w:rsidRPr="00AF5677">
        <w:t xml:space="preserve"> hunger ratings. Hunger change scores ranged from -</w:t>
      </w:r>
      <w:r w:rsidR="00F13EC9" w:rsidRPr="00AF5677">
        <w:t>2 to +4 (</w:t>
      </w:r>
      <w:r w:rsidR="00755CD9" w:rsidRPr="00AF5677">
        <w:t>a</w:t>
      </w:r>
      <w:r w:rsidR="00F13EC9" w:rsidRPr="00AF5677">
        <w:t>verage hunger change score</w:t>
      </w:r>
      <w:r w:rsidR="00755CD9" w:rsidRPr="00AF5677">
        <w:t xml:space="preserve"> </w:t>
      </w:r>
      <w:r w:rsidR="00755CD9" w:rsidRPr="00AF5677">
        <w:rPr>
          <w:i/>
        </w:rPr>
        <w:t>Mdn</w:t>
      </w:r>
      <w:r w:rsidR="00F13EC9" w:rsidRPr="00AF5677">
        <w:t>=</w:t>
      </w:r>
      <w:r w:rsidR="007C44B1" w:rsidRPr="00AF5677">
        <w:t>0.25</w:t>
      </w:r>
      <w:r w:rsidR="00F13EC9" w:rsidRPr="00AF5677">
        <w:t xml:space="preserve"> [</w:t>
      </w:r>
      <w:r w:rsidR="00755CD9" w:rsidRPr="00AF5677">
        <w:rPr>
          <w:i/>
        </w:rPr>
        <w:t>IQR</w:t>
      </w:r>
      <w:r w:rsidR="00755CD9" w:rsidRPr="00AF5677">
        <w:t>=</w:t>
      </w:r>
      <w:r w:rsidR="007C44B1" w:rsidRPr="00AF5677">
        <w:t>1</w:t>
      </w:r>
      <w:r w:rsidR="00F13EC9" w:rsidRPr="00AF5677">
        <w:t>])</w:t>
      </w:r>
      <w:r w:rsidR="008D1EFF" w:rsidRPr="00AF5677">
        <w:t>. Examining</w:t>
      </w:r>
      <w:r w:rsidR="00AD2259" w:rsidRPr="00AF5677">
        <w:t xml:space="preserve"> hunger change scores in detail indicated that 3 children reported an increase in hunger</w:t>
      </w:r>
      <w:r w:rsidR="00282E41" w:rsidRPr="00AF5677">
        <w:t xml:space="preserve"> following the snack</w:t>
      </w:r>
      <w:r w:rsidR="00AD2259" w:rsidRPr="00AF5677">
        <w:t>, 15 children reported no change, while 18 children reported a decrease in hunger (see Figure 2</w:t>
      </w:r>
      <w:r w:rsidR="00282E41" w:rsidRPr="00AF5677">
        <w:t xml:space="preserve"> for more detail</w:t>
      </w:r>
      <w:r w:rsidR="00AD2259" w:rsidRPr="00AF5677">
        <w:t>).</w:t>
      </w:r>
      <w:r w:rsidR="00755CD9" w:rsidRPr="00AF5677">
        <w:t xml:space="preserve"> </w:t>
      </w:r>
      <w:r w:rsidR="00E77725" w:rsidRPr="00AF5677">
        <w:t>The amount of calories children consumed of an ad libitum snack ranged from 79.35 kcal to 765.87 kcal (Mdn=268.95, IQR=236.14).</w:t>
      </w:r>
    </w:p>
    <w:p w:rsidR="00CE190E" w:rsidRPr="00AF5677" w:rsidRDefault="00CE190E" w:rsidP="00282E41">
      <w:pPr>
        <w:spacing w:line="480" w:lineRule="auto"/>
        <w:ind w:firstLine="284"/>
        <w:jc w:val="center"/>
      </w:pPr>
    </w:p>
    <w:p w:rsidR="00282E41" w:rsidRPr="00AF5677" w:rsidRDefault="00282E41" w:rsidP="00282E41">
      <w:pPr>
        <w:spacing w:line="480" w:lineRule="auto"/>
        <w:ind w:firstLine="284"/>
        <w:jc w:val="center"/>
      </w:pPr>
      <w:r w:rsidRPr="00AF5677">
        <w:lastRenderedPageBreak/>
        <w:t>Figure 2 about here</w:t>
      </w:r>
    </w:p>
    <w:p w:rsidR="009022C2" w:rsidRPr="00AF5677" w:rsidRDefault="009022C2" w:rsidP="00755CD9">
      <w:pPr>
        <w:spacing w:line="480" w:lineRule="auto"/>
        <w:ind w:firstLine="284"/>
        <w:jc w:val="both"/>
      </w:pPr>
    </w:p>
    <w:p w:rsidR="009022C2" w:rsidRPr="00AF5677" w:rsidRDefault="009022C2" w:rsidP="009022C2">
      <w:pPr>
        <w:spacing w:line="480" w:lineRule="auto"/>
        <w:rPr>
          <w:i/>
        </w:rPr>
      </w:pPr>
      <w:r w:rsidRPr="00AF5677">
        <w:rPr>
          <w:i/>
        </w:rPr>
        <w:t>Effects of age and gender on children’s ratings</w:t>
      </w:r>
      <w:r w:rsidR="00BA55D4" w:rsidRPr="00AF5677">
        <w:rPr>
          <w:i/>
        </w:rPr>
        <w:t xml:space="preserve"> of hunger/satiety and on ad libitum snack intake</w:t>
      </w:r>
    </w:p>
    <w:p w:rsidR="009022C2" w:rsidRPr="00AF5677" w:rsidRDefault="009022C2" w:rsidP="009022C2">
      <w:pPr>
        <w:spacing w:line="480" w:lineRule="auto"/>
        <w:ind w:firstLine="284"/>
        <w:jc w:val="both"/>
      </w:pPr>
      <w:r w:rsidRPr="00AF5677">
        <w:t>Spearman’s correlation analyses were carried out to examine whether child age significantly correlated with children’s ratings of hunger/satiety</w:t>
      </w:r>
      <w:r w:rsidR="00BA55D4" w:rsidRPr="00AF5677">
        <w:t xml:space="preserve"> and hunger change</w:t>
      </w:r>
      <w:r w:rsidRPr="00AF5677">
        <w:t xml:space="preserve">. Analyses indicated that age did not significantly correlate with children’s ratings of their own hunger/satiety before an ad libitum snack </w:t>
      </w:r>
      <w:r w:rsidRPr="00AF5677">
        <w:rPr>
          <w:i/>
        </w:rPr>
        <w:t>r</w:t>
      </w:r>
      <w:r w:rsidRPr="00AF5677">
        <w:rPr>
          <w:i/>
          <w:vertAlign w:val="subscript"/>
        </w:rPr>
        <w:t>s</w:t>
      </w:r>
      <w:r w:rsidRPr="00AF5677">
        <w:t>(</w:t>
      </w:r>
      <w:r w:rsidR="00E95AF4" w:rsidRPr="00AF5677">
        <w:t>34)=</w:t>
      </w:r>
      <w:r w:rsidR="009A644D" w:rsidRPr="00AF5677">
        <w:t>-</w:t>
      </w:r>
      <w:r w:rsidR="00E95AF4" w:rsidRPr="00AF5677">
        <w:t>.0</w:t>
      </w:r>
      <w:r w:rsidR="009A644D" w:rsidRPr="00AF5677">
        <w:t>04</w:t>
      </w:r>
      <w:r w:rsidRPr="00AF5677">
        <w:t xml:space="preserve">, </w:t>
      </w:r>
      <w:r w:rsidRPr="00AF5677">
        <w:rPr>
          <w:i/>
        </w:rPr>
        <w:t>p</w:t>
      </w:r>
      <w:r w:rsidR="00E95AF4" w:rsidRPr="00AF5677">
        <w:t>=.</w:t>
      </w:r>
      <w:r w:rsidR="009A644D" w:rsidRPr="00AF5677">
        <w:t>982</w:t>
      </w:r>
      <w:r w:rsidRPr="00AF5677">
        <w:t xml:space="preserve"> or after an ad libitum</w:t>
      </w:r>
      <w:r w:rsidR="00E95AF4" w:rsidRPr="00AF5677">
        <w:t xml:space="preserve"> snack</w:t>
      </w:r>
      <w:r w:rsidRPr="00AF5677">
        <w:t xml:space="preserve"> </w:t>
      </w:r>
      <w:r w:rsidRPr="00AF5677">
        <w:rPr>
          <w:i/>
        </w:rPr>
        <w:t>r</w:t>
      </w:r>
      <w:r w:rsidRPr="00AF5677">
        <w:rPr>
          <w:i/>
          <w:vertAlign w:val="subscript"/>
        </w:rPr>
        <w:t>s</w:t>
      </w:r>
      <w:r w:rsidRPr="00AF5677">
        <w:t>(</w:t>
      </w:r>
      <w:r w:rsidR="00E95AF4" w:rsidRPr="00AF5677">
        <w:t>34)=.</w:t>
      </w:r>
      <w:r w:rsidR="009A644D" w:rsidRPr="00AF5677">
        <w:t>175</w:t>
      </w:r>
      <w:r w:rsidRPr="00AF5677">
        <w:t xml:space="preserve">, </w:t>
      </w:r>
      <w:r w:rsidRPr="00AF5677">
        <w:rPr>
          <w:i/>
        </w:rPr>
        <w:t>p</w:t>
      </w:r>
      <w:r w:rsidR="00E95AF4" w:rsidRPr="00AF5677">
        <w:t>=.</w:t>
      </w:r>
      <w:r w:rsidR="009A644D" w:rsidRPr="00AF5677">
        <w:t>307</w:t>
      </w:r>
      <w:r w:rsidRPr="00AF5677">
        <w:t>.</w:t>
      </w:r>
      <w:r w:rsidR="00452091" w:rsidRPr="00AF5677">
        <w:t xml:space="preserve"> Child a</w:t>
      </w:r>
      <w:r w:rsidR="00BA55D4" w:rsidRPr="00AF5677">
        <w:t xml:space="preserve">ge was also not associated with hunger change </w:t>
      </w:r>
      <w:r w:rsidR="00BA55D4" w:rsidRPr="00AF5677">
        <w:rPr>
          <w:i/>
        </w:rPr>
        <w:t>r</w:t>
      </w:r>
      <w:r w:rsidR="00BA55D4" w:rsidRPr="00AF5677">
        <w:rPr>
          <w:i/>
          <w:vertAlign w:val="subscript"/>
        </w:rPr>
        <w:t>s</w:t>
      </w:r>
      <w:r w:rsidR="00BA55D4" w:rsidRPr="00AF5677">
        <w:t>(34)=.</w:t>
      </w:r>
      <w:r w:rsidR="009A644D" w:rsidRPr="00AF5677">
        <w:t>165</w:t>
      </w:r>
      <w:r w:rsidR="00BA55D4" w:rsidRPr="00AF5677">
        <w:t xml:space="preserve">, </w:t>
      </w:r>
      <w:r w:rsidR="00BA55D4" w:rsidRPr="00AF5677">
        <w:rPr>
          <w:i/>
        </w:rPr>
        <w:t>p</w:t>
      </w:r>
      <w:r w:rsidR="00BA55D4" w:rsidRPr="00AF5677">
        <w:t>=.</w:t>
      </w:r>
      <w:r w:rsidR="009A644D" w:rsidRPr="00AF5677">
        <w:t>335</w:t>
      </w:r>
      <w:r w:rsidR="0051020A" w:rsidRPr="00AF5677">
        <w:t xml:space="preserve"> or with the intake</w:t>
      </w:r>
      <w:r w:rsidR="00452091" w:rsidRPr="00AF5677">
        <w:t xml:space="preserve"> of an ad libitum snack </w:t>
      </w:r>
      <w:r w:rsidR="00452091" w:rsidRPr="00AF5677">
        <w:rPr>
          <w:i/>
        </w:rPr>
        <w:t>r</w:t>
      </w:r>
      <w:r w:rsidR="00452091" w:rsidRPr="00AF5677">
        <w:rPr>
          <w:i/>
          <w:vertAlign w:val="subscript"/>
        </w:rPr>
        <w:t>s</w:t>
      </w:r>
      <w:r w:rsidR="00452091" w:rsidRPr="00AF5677">
        <w:t>(34)=.</w:t>
      </w:r>
      <w:r w:rsidR="009A644D" w:rsidRPr="00AF5677">
        <w:t>125</w:t>
      </w:r>
      <w:r w:rsidR="00452091" w:rsidRPr="00AF5677">
        <w:t xml:space="preserve">, </w:t>
      </w:r>
      <w:r w:rsidR="00452091" w:rsidRPr="00AF5677">
        <w:rPr>
          <w:i/>
        </w:rPr>
        <w:t>p</w:t>
      </w:r>
      <w:r w:rsidR="00452091" w:rsidRPr="00AF5677">
        <w:t>=.</w:t>
      </w:r>
      <w:r w:rsidR="009A644D" w:rsidRPr="00AF5677">
        <w:t>468</w:t>
      </w:r>
      <w:r w:rsidR="00BA55D4" w:rsidRPr="00AF5677">
        <w:t>.</w:t>
      </w:r>
    </w:p>
    <w:p w:rsidR="00397E78" w:rsidRPr="00AF5677" w:rsidRDefault="009022C2" w:rsidP="00D16FBD">
      <w:pPr>
        <w:spacing w:line="480" w:lineRule="auto"/>
        <w:ind w:firstLine="284"/>
        <w:jc w:val="both"/>
      </w:pPr>
      <w:r w:rsidRPr="00AF5677">
        <w:t>Mann-Whitney U tests were carried out to examine the effect of gender on hunger/satiety ratings</w:t>
      </w:r>
      <w:r w:rsidR="00855F18" w:rsidRPr="00AF5677">
        <w:t xml:space="preserve"> and on ad libitum snack intake</w:t>
      </w:r>
      <w:r w:rsidRPr="00AF5677">
        <w:t xml:space="preserve">. The tests indicated that </w:t>
      </w:r>
      <w:r w:rsidR="00855F18" w:rsidRPr="00AF5677">
        <w:t xml:space="preserve">there were no differences in </w:t>
      </w:r>
      <w:r w:rsidR="009A644D" w:rsidRPr="00AF5677">
        <w:t>children’s pre</w:t>
      </w:r>
      <w:r w:rsidR="00C31F27" w:rsidRPr="00AF5677">
        <w:t>-</w:t>
      </w:r>
      <w:r w:rsidR="009A644D" w:rsidRPr="00AF5677">
        <w:t xml:space="preserve"> or</w:t>
      </w:r>
      <w:r w:rsidR="00C31F27" w:rsidRPr="00AF5677">
        <w:t xml:space="preserve"> post-</w:t>
      </w:r>
      <w:r w:rsidR="00855F18" w:rsidRPr="00AF5677">
        <w:t>snack hunger/satiety ratings</w:t>
      </w:r>
      <w:r w:rsidR="00397E78" w:rsidRPr="00AF5677">
        <w:t>, their hunger change o</w:t>
      </w:r>
      <w:r w:rsidR="0051020A" w:rsidRPr="00AF5677">
        <w:t>r their ad libitum snack intake</w:t>
      </w:r>
      <w:r w:rsidR="00C31F27" w:rsidRPr="00AF5677">
        <w:t xml:space="preserve"> based on gender</w:t>
      </w:r>
      <w:r w:rsidR="0051020A" w:rsidRPr="00AF5677">
        <w:t xml:space="preserve"> </w:t>
      </w:r>
      <w:r w:rsidR="00397E78" w:rsidRPr="00AF5677">
        <w:t xml:space="preserve">(See Table 3). </w:t>
      </w:r>
      <w:r w:rsidR="009A644D" w:rsidRPr="00AF5677">
        <w:t>As there were no</w:t>
      </w:r>
      <w:r w:rsidR="00397E78" w:rsidRPr="00AF5677">
        <w:t xml:space="preserve"> gender differences in children’s ratings and their intake all further analyses were carried out for the sample as a whole.</w:t>
      </w:r>
    </w:p>
    <w:p w:rsidR="00397E78" w:rsidRPr="00AF5677" w:rsidRDefault="00397E78" w:rsidP="00D16FBD">
      <w:pPr>
        <w:spacing w:line="480" w:lineRule="auto"/>
        <w:jc w:val="both"/>
      </w:pPr>
    </w:p>
    <w:p w:rsidR="00397E78" w:rsidRPr="00AF5677" w:rsidRDefault="00397E78" w:rsidP="00D16FBD">
      <w:pPr>
        <w:spacing w:line="480" w:lineRule="auto"/>
        <w:ind w:firstLine="284"/>
        <w:jc w:val="center"/>
      </w:pPr>
      <w:r w:rsidRPr="00AF5677">
        <w:t>Table 3 about here</w:t>
      </w:r>
    </w:p>
    <w:p w:rsidR="009022C2" w:rsidRPr="00AF5677" w:rsidRDefault="009022C2" w:rsidP="009022C2">
      <w:pPr>
        <w:spacing w:line="480" w:lineRule="auto"/>
        <w:rPr>
          <w:i/>
        </w:rPr>
      </w:pPr>
    </w:p>
    <w:p w:rsidR="009022C2" w:rsidRPr="00AF5677" w:rsidRDefault="009022C2" w:rsidP="009022C2">
      <w:pPr>
        <w:spacing w:line="480" w:lineRule="auto"/>
        <w:rPr>
          <w:i/>
        </w:rPr>
      </w:pPr>
      <w:r w:rsidRPr="00AF5677">
        <w:rPr>
          <w:i/>
        </w:rPr>
        <w:t>Differences in hunger ratings before and after ad libitum snack intake and associations between hunger/satiety ratings and intake</w:t>
      </w:r>
    </w:p>
    <w:p w:rsidR="00397E78" w:rsidRPr="00AF5677" w:rsidRDefault="00397E78" w:rsidP="00D16FBD">
      <w:pPr>
        <w:spacing w:line="480" w:lineRule="auto"/>
        <w:ind w:firstLine="284"/>
        <w:jc w:val="both"/>
      </w:pPr>
      <w:r w:rsidRPr="00AF5677">
        <w:t>A Wilcoxon Signed Rank test was carried out to examine whether there was a significant difference in children’s ratings of their own hunger/satiety before and after an ad libitum snack. In line with our hypotheses, children rated themselves as significantly hungrier before</w:t>
      </w:r>
      <w:r w:rsidR="0051020A" w:rsidRPr="00AF5677">
        <w:t xml:space="preserve"> consuming</w:t>
      </w:r>
      <w:r w:rsidRPr="00AF5677">
        <w:t xml:space="preserve"> the snack (</w:t>
      </w:r>
      <w:r w:rsidRPr="00AF5677">
        <w:rPr>
          <w:i/>
        </w:rPr>
        <w:t>Mdn</w:t>
      </w:r>
      <w:r w:rsidRPr="00AF5677">
        <w:t>=</w:t>
      </w:r>
      <w:r w:rsidR="00B96C8A" w:rsidRPr="00AF5677">
        <w:t>2</w:t>
      </w:r>
      <w:r w:rsidRPr="00AF5677">
        <w:t xml:space="preserve">, </w:t>
      </w:r>
      <w:r w:rsidRPr="00AF5677">
        <w:rPr>
          <w:i/>
        </w:rPr>
        <w:t>IQR</w:t>
      </w:r>
      <w:r w:rsidRPr="00AF5677">
        <w:t>=</w:t>
      </w:r>
      <w:r w:rsidR="00B96C8A" w:rsidRPr="00AF5677">
        <w:t>2</w:t>
      </w:r>
      <w:r w:rsidRPr="00AF5677">
        <w:t>) than after</w:t>
      </w:r>
      <w:r w:rsidR="0051020A" w:rsidRPr="00AF5677">
        <w:t xml:space="preserve"> consuming</w:t>
      </w:r>
      <w:r w:rsidRPr="00AF5677">
        <w:t xml:space="preserve"> the snack (</w:t>
      </w:r>
      <w:r w:rsidRPr="00AF5677">
        <w:rPr>
          <w:i/>
        </w:rPr>
        <w:t>Mdn</w:t>
      </w:r>
      <w:r w:rsidRPr="00AF5677">
        <w:t>=</w:t>
      </w:r>
      <w:r w:rsidR="00B96C8A" w:rsidRPr="00AF5677">
        <w:t>2.25</w:t>
      </w:r>
      <w:r w:rsidRPr="00AF5677">
        <w:t xml:space="preserve">, </w:t>
      </w:r>
      <w:r w:rsidRPr="00AF5677">
        <w:rPr>
          <w:i/>
        </w:rPr>
        <w:t>IQR</w:t>
      </w:r>
      <w:r w:rsidRPr="00AF5677">
        <w:t>=</w:t>
      </w:r>
      <w:r w:rsidR="00B96C8A" w:rsidRPr="00AF5677">
        <w:t>1</w:t>
      </w:r>
      <w:r w:rsidRPr="00AF5677">
        <w:t>), (</w:t>
      </w:r>
      <w:r w:rsidRPr="00AF5677">
        <w:rPr>
          <w:i/>
        </w:rPr>
        <w:t>Z</w:t>
      </w:r>
      <w:r w:rsidRPr="00AF5677">
        <w:t>=</w:t>
      </w:r>
      <w:r w:rsidR="00B96C8A" w:rsidRPr="00AF5677">
        <w:t>191.5</w:t>
      </w:r>
      <w:r w:rsidRPr="00AF5677">
        <w:t xml:space="preserve">, </w:t>
      </w:r>
      <w:r w:rsidRPr="00AF5677">
        <w:rPr>
          <w:i/>
        </w:rPr>
        <w:t>p</w:t>
      </w:r>
      <w:r w:rsidRPr="00AF5677">
        <w:t>=</w:t>
      </w:r>
      <w:r w:rsidR="00B96C8A" w:rsidRPr="00AF5677">
        <w:t>.007</w:t>
      </w:r>
      <w:r w:rsidRPr="00AF5677">
        <w:t>).</w:t>
      </w:r>
    </w:p>
    <w:p w:rsidR="00A742D2" w:rsidRPr="00AF5677" w:rsidRDefault="00397E78" w:rsidP="00A742D2">
      <w:pPr>
        <w:spacing w:line="480" w:lineRule="auto"/>
        <w:jc w:val="both"/>
      </w:pPr>
      <w:r w:rsidRPr="00AF5677">
        <w:t>Additionally, Spearman’s correlations were carri</w:t>
      </w:r>
      <w:r w:rsidR="0051020A" w:rsidRPr="00AF5677">
        <w:t>e</w:t>
      </w:r>
      <w:r w:rsidRPr="00AF5677">
        <w:t xml:space="preserve">d out to assess whether hunger ratings and hunger change were </w:t>
      </w:r>
      <w:r w:rsidRPr="00AF5677">
        <w:rPr>
          <w:rFonts w:asciiTheme="majorHAnsi" w:hAnsiTheme="majorHAnsi"/>
        </w:rPr>
        <w:t>associate</w:t>
      </w:r>
      <w:r w:rsidR="0051020A" w:rsidRPr="00AF5677">
        <w:rPr>
          <w:rFonts w:asciiTheme="majorHAnsi" w:hAnsiTheme="majorHAnsi"/>
        </w:rPr>
        <w:t>d with ad libitum snack intake</w:t>
      </w:r>
      <w:r w:rsidRPr="00AF5677">
        <w:rPr>
          <w:rFonts w:asciiTheme="majorHAnsi" w:hAnsiTheme="majorHAnsi"/>
        </w:rPr>
        <w:t xml:space="preserve">. These analyses indicated that there was a significant negative correlation between pre-snack hunger/satiety rating and ad libitum snack intake </w:t>
      </w:r>
      <w:r w:rsidRPr="00AF5677">
        <w:rPr>
          <w:rFonts w:asciiTheme="majorHAnsi" w:hAnsiTheme="majorHAnsi"/>
          <w:i/>
        </w:rPr>
        <w:lastRenderedPageBreak/>
        <w:t>r</w:t>
      </w:r>
      <w:r w:rsidRPr="00AF5677">
        <w:rPr>
          <w:rFonts w:asciiTheme="majorHAnsi" w:hAnsiTheme="majorHAnsi"/>
          <w:i/>
          <w:vertAlign w:val="subscript"/>
        </w:rPr>
        <w:t>s</w:t>
      </w:r>
      <w:r w:rsidRPr="00AF5677">
        <w:rPr>
          <w:rFonts w:asciiTheme="majorHAnsi" w:hAnsiTheme="majorHAnsi"/>
        </w:rPr>
        <w:t>(34)=-.</w:t>
      </w:r>
      <w:r w:rsidR="00A42E1A" w:rsidRPr="00AF5677">
        <w:rPr>
          <w:rFonts w:asciiTheme="majorHAnsi" w:hAnsiTheme="majorHAnsi"/>
        </w:rPr>
        <w:t>418</w:t>
      </w:r>
      <w:r w:rsidRPr="00AF5677">
        <w:rPr>
          <w:rFonts w:asciiTheme="majorHAnsi" w:hAnsiTheme="majorHAnsi"/>
        </w:rPr>
        <w:t xml:space="preserve">, </w:t>
      </w:r>
      <w:r w:rsidRPr="00AF5677">
        <w:rPr>
          <w:rFonts w:asciiTheme="majorHAnsi" w:hAnsiTheme="majorHAnsi"/>
          <w:i/>
        </w:rPr>
        <w:t>p</w:t>
      </w:r>
      <w:r w:rsidR="00A90B4E" w:rsidRPr="00AF5677">
        <w:rPr>
          <w:rFonts w:asciiTheme="majorHAnsi" w:hAnsiTheme="majorHAnsi"/>
        </w:rPr>
        <w:t>=.006</w:t>
      </w:r>
      <w:r w:rsidR="0051020A" w:rsidRPr="00AF5677">
        <w:rPr>
          <w:rFonts w:asciiTheme="majorHAnsi" w:hAnsiTheme="majorHAnsi"/>
        </w:rPr>
        <w:t xml:space="preserve">, </w:t>
      </w:r>
      <w:r w:rsidR="00EB7FEB" w:rsidRPr="00AF5677">
        <w:rPr>
          <w:rFonts w:asciiTheme="majorHAnsi" w:hAnsiTheme="majorHAnsi"/>
        </w:rPr>
        <w:t>suggesting that those children who felt fuller before consuming an ad libitum snack ingested fewer calories than those children who felt hungrier before consuming the snack</w:t>
      </w:r>
      <w:r w:rsidR="00EB7FEB" w:rsidRPr="00AF5677" w:rsidDel="00EB7FEB">
        <w:rPr>
          <w:rFonts w:asciiTheme="majorHAnsi" w:hAnsiTheme="majorHAnsi"/>
        </w:rPr>
        <w:t xml:space="preserve"> </w:t>
      </w:r>
      <w:r w:rsidR="008D1EFF" w:rsidRPr="00AF5677">
        <w:rPr>
          <w:rFonts w:asciiTheme="majorHAnsi" w:hAnsiTheme="majorHAnsi"/>
        </w:rPr>
        <w:t>(see Figure 3)</w:t>
      </w:r>
      <w:r w:rsidRPr="00AF5677">
        <w:rPr>
          <w:rFonts w:asciiTheme="majorHAnsi" w:hAnsiTheme="majorHAnsi"/>
        </w:rPr>
        <w:t xml:space="preserve">. </w:t>
      </w:r>
      <w:r w:rsidR="0045769F" w:rsidRPr="00AF5677">
        <w:rPr>
          <w:rFonts w:asciiTheme="majorHAnsi" w:hAnsiTheme="majorHAnsi" w:cs="Segoe UI"/>
          <w:color w:val="000000"/>
        </w:rPr>
        <w:t>An inspection of Figure 3 suggested that the reported associations may be driven by a potential outlier; a child who arrived at the lab reporting feeling very full and who consumed few calories during the snack session. To assess</w:t>
      </w:r>
      <w:r w:rsidR="00AD16AF" w:rsidRPr="00AF5677">
        <w:rPr>
          <w:rFonts w:asciiTheme="majorHAnsi" w:hAnsiTheme="majorHAnsi" w:cs="Segoe UI"/>
          <w:color w:val="000000"/>
        </w:rPr>
        <w:t xml:space="preserve"> </w:t>
      </w:r>
      <w:r w:rsidR="0045769F" w:rsidRPr="00AF5677">
        <w:rPr>
          <w:rFonts w:asciiTheme="majorHAnsi" w:hAnsiTheme="majorHAnsi" w:cs="Segoe UI"/>
          <w:color w:val="000000"/>
        </w:rPr>
        <w:t>whether the reported</w:t>
      </w:r>
      <w:r w:rsidR="00AD16AF" w:rsidRPr="00AF5677">
        <w:rPr>
          <w:rFonts w:asciiTheme="majorHAnsi" w:hAnsiTheme="majorHAnsi" w:cs="Segoe UI"/>
          <w:color w:val="000000"/>
        </w:rPr>
        <w:t xml:space="preserve"> association was</w:t>
      </w:r>
      <w:r w:rsidR="0045769F" w:rsidRPr="00AF5677">
        <w:rPr>
          <w:rFonts w:asciiTheme="majorHAnsi" w:hAnsiTheme="majorHAnsi" w:cs="Segoe UI"/>
          <w:color w:val="000000"/>
        </w:rPr>
        <w:t xml:space="preserve"> dr</w:t>
      </w:r>
      <w:r w:rsidR="00AD16AF" w:rsidRPr="00AF5677">
        <w:rPr>
          <w:rFonts w:asciiTheme="majorHAnsi" w:hAnsiTheme="majorHAnsi" w:cs="Segoe UI"/>
          <w:color w:val="000000"/>
        </w:rPr>
        <w:t>iven by this outlier the analysis was</w:t>
      </w:r>
      <w:r w:rsidR="0045769F" w:rsidRPr="00AF5677">
        <w:rPr>
          <w:rFonts w:asciiTheme="majorHAnsi" w:hAnsiTheme="majorHAnsi" w:cs="Segoe UI"/>
          <w:color w:val="000000"/>
        </w:rPr>
        <w:t xml:space="preserve"> repeated removing the data from this child. The analyses indicated that the relationship between pre-snack hunger remained significant </w:t>
      </w:r>
      <w:r w:rsidR="0045769F" w:rsidRPr="00AF5677">
        <w:rPr>
          <w:rFonts w:asciiTheme="majorHAnsi" w:hAnsiTheme="majorHAnsi"/>
        </w:rPr>
        <w:t>r</w:t>
      </w:r>
      <w:r w:rsidR="0045769F" w:rsidRPr="00AF5677">
        <w:rPr>
          <w:rFonts w:asciiTheme="majorHAnsi" w:hAnsiTheme="majorHAnsi"/>
          <w:vertAlign w:val="subscript"/>
        </w:rPr>
        <w:t>s</w:t>
      </w:r>
      <w:r w:rsidR="0045769F" w:rsidRPr="00AF5677">
        <w:rPr>
          <w:rFonts w:asciiTheme="majorHAnsi" w:hAnsiTheme="majorHAnsi"/>
        </w:rPr>
        <w:t>(33)=-.401, p=.017</w:t>
      </w:r>
      <w:r w:rsidR="0045769F" w:rsidRPr="00AF5677">
        <w:rPr>
          <w:rFonts w:asciiTheme="majorHAnsi" w:hAnsiTheme="majorHAnsi" w:cs="Segoe UI"/>
          <w:color w:val="000000"/>
        </w:rPr>
        <w:t>.</w:t>
      </w:r>
      <w:r w:rsidRPr="00AF5677">
        <w:rPr>
          <w:rFonts w:asciiTheme="majorHAnsi" w:hAnsiTheme="majorHAnsi"/>
        </w:rPr>
        <w:t>While caloric</w:t>
      </w:r>
      <w:r w:rsidRPr="00AF5677">
        <w:t xml:space="preserve"> intake was not related with post snack hunger/satiety rating </w:t>
      </w:r>
      <w:r w:rsidRPr="00AF5677">
        <w:rPr>
          <w:i/>
        </w:rPr>
        <w:t>r</w:t>
      </w:r>
      <w:r w:rsidRPr="00AF5677">
        <w:rPr>
          <w:i/>
          <w:vertAlign w:val="subscript"/>
        </w:rPr>
        <w:t>s</w:t>
      </w:r>
      <w:r w:rsidRPr="00AF5677">
        <w:t>(34)=.</w:t>
      </w:r>
      <w:r w:rsidR="00A42E1A" w:rsidRPr="00AF5677">
        <w:t>-147</w:t>
      </w:r>
      <w:r w:rsidRPr="00AF5677">
        <w:t xml:space="preserve">, </w:t>
      </w:r>
      <w:r w:rsidRPr="00AF5677">
        <w:rPr>
          <w:i/>
        </w:rPr>
        <w:t>p</w:t>
      </w:r>
      <w:r w:rsidRPr="00AF5677">
        <w:t>=.</w:t>
      </w:r>
      <w:r w:rsidR="00A90B4E" w:rsidRPr="00AF5677">
        <w:t>197 it was positively</w:t>
      </w:r>
      <w:r w:rsidRPr="00AF5677">
        <w:t xml:space="preserve"> correlated with hunger change </w:t>
      </w:r>
      <w:r w:rsidRPr="00AF5677">
        <w:rPr>
          <w:i/>
        </w:rPr>
        <w:t>r</w:t>
      </w:r>
      <w:r w:rsidRPr="00AF5677">
        <w:rPr>
          <w:i/>
          <w:vertAlign w:val="subscript"/>
        </w:rPr>
        <w:t>s</w:t>
      </w:r>
      <w:r w:rsidRPr="00AF5677">
        <w:t>(34)=.</w:t>
      </w:r>
      <w:r w:rsidR="00A42E1A" w:rsidRPr="00AF5677">
        <w:t>301</w:t>
      </w:r>
      <w:r w:rsidRPr="00AF5677">
        <w:t xml:space="preserve">, </w:t>
      </w:r>
      <w:r w:rsidRPr="00AF5677">
        <w:rPr>
          <w:i/>
        </w:rPr>
        <w:t>p</w:t>
      </w:r>
      <w:r w:rsidRPr="00AF5677">
        <w:t>=.</w:t>
      </w:r>
      <w:r w:rsidR="00A42E1A" w:rsidRPr="00AF5677">
        <w:t>0</w:t>
      </w:r>
      <w:r w:rsidR="00A90B4E" w:rsidRPr="00AF5677">
        <w:t>37</w:t>
      </w:r>
      <w:r w:rsidRPr="00AF5677">
        <w:t xml:space="preserve">, indicating that children who ate more of the ad libitum snack indicated </w:t>
      </w:r>
      <w:r w:rsidR="0051020A" w:rsidRPr="00AF5677">
        <w:t xml:space="preserve">a greater decrease in hunger </w:t>
      </w:r>
      <w:r w:rsidRPr="00AF5677">
        <w:t>than those children</w:t>
      </w:r>
      <w:r w:rsidR="006D7F83" w:rsidRPr="00AF5677">
        <w:t xml:space="preserve"> who consumed less of the snack</w:t>
      </w:r>
      <w:r w:rsidR="00527E65" w:rsidRPr="00AF5677">
        <w:rPr>
          <w:rFonts w:asciiTheme="majorHAnsi" w:hAnsiTheme="majorHAnsi" w:cs="Segoe UI"/>
          <w:color w:val="000000"/>
        </w:rPr>
        <w:t xml:space="preserve"> (see Figure 3)</w:t>
      </w:r>
      <w:r w:rsidR="00A742D2" w:rsidRPr="00AF5677">
        <w:rPr>
          <w:rFonts w:asciiTheme="majorHAnsi" w:hAnsiTheme="majorHAnsi" w:cs="Segoe UI"/>
          <w:color w:val="000000"/>
        </w:rPr>
        <w:t>.</w:t>
      </w:r>
    </w:p>
    <w:p w:rsidR="00D16FBD" w:rsidRPr="00AF5677" w:rsidRDefault="00D16FBD" w:rsidP="00D16FBD">
      <w:pPr>
        <w:spacing w:line="480" w:lineRule="auto"/>
        <w:jc w:val="both"/>
      </w:pPr>
    </w:p>
    <w:p w:rsidR="00527E65" w:rsidRPr="00AF5677" w:rsidRDefault="00527E65" w:rsidP="00527E65">
      <w:pPr>
        <w:spacing w:line="480" w:lineRule="auto"/>
        <w:jc w:val="center"/>
      </w:pPr>
      <w:r w:rsidRPr="00AF5677">
        <w:t>Figure 3 about here</w:t>
      </w:r>
    </w:p>
    <w:p w:rsidR="00527E65" w:rsidRPr="00AF5677" w:rsidRDefault="00527E65" w:rsidP="00527E65">
      <w:pPr>
        <w:spacing w:line="480" w:lineRule="auto"/>
        <w:jc w:val="center"/>
      </w:pPr>
    </w:p>
    <w:p w:rsidR="00BA0127" w:rsidRPr="00AF5677" w:rsidRDefault="00BA0127" w:rsidP="00BA0127">
      <w:pPr>
        <w:spacing w:line="480" w:lineRule="auto"/>
        <w:ind w:firstLine="284"/>
        <w:jc w:val="center"/>
      </w:pPr>
      <w:r w:rsidRPr="00AF5677">
        <w:t>Discussion</w:t>
      </w:r>
    </w:p>
    <w:p w:rsidR="00A24AC6" w:rsidRPr="00AF5677" w:rsidRDefault="00A24AC6" w:rsidP="00BE7FB4">
      <w:pPr>
        <w:spacing w:line="480" w:lineRule="auto"/>
        <w:ind w:firstLine="284"/>
        <w:jc w:val="both"/>
      </w:pPr>
      <w:r w:rsidRPr="00AF5677">
        <w:t xml:space="preserve">Study 3 aimed to </w:t>
      </w:r>
      <w:r w:rsidR="00BE7FB4" w:rsidRPr="00AF5677">
        <w:t>establish whether our new Teddy picture rating scale was able to reflect changes in hunger and satiety that were related to</w:t>
      </w:r>
      <w:r w:rsidR="00716505" w:rsidRPr="00AF5677">
        <w:t xml:space="preserve"> the</w:t>
      </w:r>
      <w:r w:rsidR="00BE7FB4" w:rsidRPr="00AF5677">
        <w:t xml:space="preserve"> intake of an ad libitum snack. The results of </w:t>
      </w:r>
      <w:r w:rsidR="00801BC5" w:rsidRPr="00AF5677">
        <w:t xml:space="preserve">Study 3 are in line with findings from Study 1 and Study 2. </w:t>
      </w:r>
      <w:r w:rsidR="00E21128" w:rsidRPr="00AF5677">
        <w:t>The results of t</w:t>
      </w:r>
      <w:r w:rsidR="00BE7FB4" w:rsidRPr="00AF5677">
        <w:t xml:space="preserve">his final study </w:t>
      </w:r>
      <w:r w:rsidR="00E23C5C" w:rsidRPr="00AF5677">
        <w:t>give some indication that children may be able to use</w:t>
      </w:r>
      <w:r w:rsidR="00BE7FB4" w:rsidRPr="00AF5677">
        <w:t xml:space="preserve"> the scale to reflect changes in hunger and sat</w:t>
      </w:r>
      <w:r w:rsidR="00EF38F0" w:rsidRPr="00AF5677">
        <w:t xml:space="preserve">iety in line with their intake. A replication of this final study and its findings in a larger sample, under controlled administration of test foods would be desirable and would allow firmer conclusions regarding the scale’s ability to reflect changes in hunger and satiety in relation to intake. </w:t>
      </w:r>
      <w:r w:rsidR="003E4C45" w:rsidRPr="00AF5677">
        <w:t xml:space="preserve"> T</w:t>
      </w:r>
      <w:r w:rsidR="00BE7FB4" w:rsidRPr="00AF5677">
        <w:t xml:space="preserve">he </w:t>
      </w:r>
      <w:r w:rsidR="00E21128" w:rsidRPr="00AF5677">
        <w:t>results of the study</w:t>
      </w:r>
      <w:r w:rsidR="00EF38F0" w:rsidRPr="00AF5677">
        <w:t xml:space="preserve"> do </w:t>
      </w:r>
      <w:r w:rsidR="003E4C45" w:rsidRPr="00AF5677">
        <w:t xml:space="preserve">not just </w:t>
      </w:r>
      <w:r w:rsidR="00EF38F0" w:rsidRPr="00AF5677">
        <w:t>indicate that child</w:t>
      </w:r>
      <w:r w:rsidR="00E21128" w:rsidRPr="00AF5677">
        <w:t xml:space="preserve"> intake is associated with pre-snack hunger ratings</w:t>
      </w:r>
      <w:r w:rsidR="003E4C45" w:rsidRPr="00AF5677">
        <w:t xml:space="preserve">, but also suggest that </w:t>
      </w:r>
      <w:r w:rsidR="0045769F" w:rsidRPr="00AF5677">
        <w:t>changes in children’s ratings of hunger and satiety are proportionate to their intake</w:t>
      </w:r>
      <w:r w:rsidR="00BE7FB4" w:rsidRPr="00AF5677">
        <w:t xml:space="preserve">. Additionally, we found no age or gender effects in the final study, further supporting our previous </w:t>
      </w:r>
      <w:r w:rsidR="00BE7FB4" w:rsidRPr="00AF5677">
        <w:lastRenderedPageBreak/>
        <w:t>suggestions that individual age and gender effec</w:t>
      </w:r>
      <w:r w:rsidR="00801BC5" w:rsidRPr="00AF5677">
        <w:t>t</w:t>
      </w:r>
      <w:r w:rsidR="00BE7FB4" w:rsidRPr="00AF5677">
        <w:t xml:space="preserve">s observed in Study 1 and Study 2 are likely to be due to chance rather </w:t>
      </w:r>
      <w:r w:rsidR="00B97A97" w:rsidRPr="00AF5677">
        <w:t>than to</w:t>
      </w:r>
      <w:r w:rsidR="00BE7FB4" w:rsidRPr="00AF5677">
        <w:t xml:space="preserve"> pervasive age or gender effects. </w:t>
      </w:r>
    </w:p>
    <w:p w:rsidR="0063691B" w:rsidRPr="00AF5677" w:rsidRDefault="0063691B" w:rsidP="00472B08">
      <w:pPr>
        <w:spacing w:line="480" w:lineRule="auto"/>
      </w:pPr>
    </w:p>
    <w:p w:rsidR="005633A8" w:rsidRPr="00AF5677" w:rsidRDefault="008B2AD3" w:rsidP="00AE4513">
      <w:pPr>
        <w:spacing w:line="480" w:lineRule="auto"/>
        <w:jc w:val="center"/>
      </w:pPr>
      <w:r w:rsidRPr="00AF5677">
        <w:t>Overall Discussion</w:t>
      </w:r>
    </w:p>
    <w:p w:rsidR="00370484" w:rsidRPr="00AF5677" w:rsidRDefault="00E23C5C" w:rsidP="00AE4513">
      <w:pPr>
        <w:spacing w:line="480" w:lineRule="auto"/>
        <w:ind w:firstLine="284"/>
        <w:jc w:val="both"/>
      </w:pPr>
      <w:r w:rsidRPr="00AF5677">
        <w:t>The majority of p</w:t>
      </w:r>
      <w:r w:rsidR="00653CE3" w:rsidRPr="00AF5677">
        <w:t>rimary s</w:t>
      </w:r>
      <w:r w:rsidR="00361AE1" w:rsidRPr="00AF5677">
        <w:t>chool children</w:t>
      </w:r>
      <w:r w:rsidR="00AF20FE" w:rsidRPr="00AF5677">
        <w:t xml:space="preserve"> are able to self-report feelings of hunger/satiety using a new picture rating scale.</w:t>
      </w:r>
      <w:r w:rsidR="00DA5D6C" w:rsidRPr="00AF5677">
        <w:t xml:space="preserve"> </w:t>
      </w:r>
      <w:r w:rsidR="00C24ADF" w:rsidRPr="00AF5677">
        <w:t xml:space="preserve">In </w:t>
      </w:r>
      <w:r w:rsidR="00361AE1" w:rsidRPr="00AF5677">
        <w:t>Study 1 and Study 2</w:t>
      </w:r>
      <w:r w:rsidR="00904E5F" w:rsidRPr="00AF5677">
        <w:t>, which included large samples of children,</w:t>
      </w:r>
      <w:r w:rsidR="00C24ADF" w:rsidRPr="00AF5677">
        <w:t xml:space="preserve"> around 90% of children were able to make correct judgements of hunger and satiety for Teddy. Similar levels of accuracy in estimated hunger and satiety ratings have previously been reported by Faith et al</w:t>
      </w:r>
      <w:r w:rsidR="00904E5F" w:rsidRPr="00AF5677">
        <w:t>.</w:t>
      </w:r>
      <w:r w:rsidR="00C24ADF" w:rsidRPr="00AF5677">
        <w:t xml:space="preserve"> (2002), who measured children’s abilities to rate hunger and satiety with gender specific silhouettes. While Faith et al. did not assess children’s ratings of hunger and satiety for real eating episodes,  </w:t>
      </w:r>
      <w:r w:rsidR="00361AE1" w:rsidRPr="00AF5677">
        <w:t>S</w:t>
      </w:r>
      <w:r w:rsidR="00C24ADF" w:rsidRPr="00AF5677">
        <w:t>tudy</w:t>
      </w:r>
      <w:r w:rsidR="00D220BB" w:rsidRPr="00AF5677">
        <w:t xml:space="preserve"> 2</w:t>
      </w:r>
      <w:r w:rsidR="008414D4" w:rsidRPr="00AF5677">
        <w:t xml:space="preserve"> and study 3 indicate</w:t>
      </w:r>
      <w:r w:rsidR="00C24ADF" w:rsidRPr="00AF5677">
        <w:t xml:space="preserve"> that children</w:t>
      </w:r>
      <w:r w:rsidR="008414D4" w:rsidRPr="00AF5677">
        <w:t>, individually and</w:t>
      </w:r>
      <w:r w:rsidR="00C24ADF" w:rsidRPr="00AF5677">
        <w:t xml:space="preserve"> </w:t>
      </w:r>
      <w:r w:rsidR="008414D4" w:rsidRPr="00AF5677">
        <w:t xml:space="preserve">in a group setting, </w:t>
      </w:r>
      <w:r w:rsidR="00C24ADF" w:rsidRPr="00AF5677">
        <w:t xml:space="preserve">are able to rate their own hunger and satiety in an eating context, using the new scale. </w:t>
      </w:r>
      <w:r w:rsidR="00361AE1" w:rsidRPr="00AF5677">
        <w:t>Study 3 additionally shows that children’s ratings of hunger/satiety</w:t>
      </w:r>
      <w:r w:rsidR="00DB505A" w:rsidRPr="00AF5677">
        <w:t xml:space="preserve"> </w:t>
      </w:r>
      <w:r w:rsidR="00361AE1" w:rsidRPr="00AF5677">
        <w:t>are related to their intake of an ad libitum snack.</w:t>
      </w:r>
    </w:p>
    <w:p w:rsidR="00AE4513" w:rsidRPr="00AF5677" w:rsidRDefault="00361AE1" w:rsidP="00AE4513">
      <w:pPr>
        <w:spacing w:line="480" w:lineRule="auto"/>
        <w:ind w:firstLine="284"/>
        <w:jc w:val="both"/>
      </w:pPr>
      <w:r w:rsidRPr="00AF5677">
        <w:t>Study 2 and Study 3</w:t>
      </w:r>
      <w:r w:rsidR="00471706" w:rsidRPr="00AF5677">
        <w:t xml:space="preserve"> </w:t>
      </w:r>
      <w:r w:rsidR="00C24ADF" w:rsidRPr="00AF5677">
        <w:t xml:space="preserve">also </w:t>
      </w:r>
      <w:r w:rsidR="00471706" w:rsidRPr="00AF5677">
        <w:t xml:space="preserve">show that </w:t>
      </w:r>
      <w:r w:rsidR="00E23C5C" w:rsidRPr="00AF5677">
        <w:t>the majority of</w:t>
      </w:r>
      <w:r w:rsidR="007246CD" w:rsidRPr="00AF5677">
        <w:t xml:space="preserve"> </w:t>
      </w:r>
      <w:r w:rsidR="00C24ADF" w:rsidRPr="00AF5677">
        <w:t>children were able to make ratings of</w:t>
      </w:r>
      <w:r w:rsidR="00471706" w:rsidRPr="00AF5677">
        <w:t xml:space="preserve"> hunger and satiety with very little training and instruction, which indicates that the scale could be used in studies in which the time for instruction and testing is limited. </w:t>
      </w:r>
      <w:r w:rsidR="00C24ADF" w:rsidRPr="00AF5677">
        <w:t>Our results</w:t>
      </w:r>
      <w:r w:rsidR="00471706" w:rsidRPr="00AF5677">
        <w:t xml:space="preserve"> indicate that children’s ratings of hunger and satiety were largely unaffected by child gender and child age, suggesting that the scale can be used for samples of males and females aged 5-</w:t>
      </w:r>
      <w:r w:rsidRPr="00AF5677">
        <w:t>9</w:t>
      </w:r>
      <w:r w:rsidR="00471706" w:rsidRPr="00AF5677">
        <w:t xml:space="preserve"> years.  </w:t>
      </w:r>
    </w:p>
    <w:p w:rsidR="009215D9" w:rsidRPr="00AF5677" w:rsidRDefault="00285D0B" w:rsidP="009215D9">
      <w:pPr>
        <w:spacing w:line="480" w:lineRule="auto"/>
        <w:ind w:firstLine="284"/>
        <w:jc w:val="both"/>
        <w:rPr>
          <w:rFonts w:asciiTheme="majorHAnsi" w:hAnsiTheme="majorHAnsi" w:cs="Segoe UI"/>
        </w:rPr>
      </w:pPr>
      <w:r w:rsidRPr="00AF5677">
        <w:rPr>
          <w:rFonts w:asciiTheme="majorHAnsi" w:hAnsiTheme="majorHAnsi" w:cs="Segoe UI"/>
        </w:rPr>
        <w:t>It could be argued that children were simply mimicking the ratings they made for Teddy before and after the meal he ate, and that they were not using the scale to rate their own satiety perceptions. Nevertheless, it appears unlikely that children’s ratings of their own hunger were significantly affected by their ratings of Teddy’s hunger. In Study 1, children only rated their own hunger at one time point, but made two ratings of Teddy’s hunger prior to that. In Study 2 children he</w:t>
      </w:r>
      <w:r w:rsidR="00BA09E0" w:rsidRPr="00AF5677">
        <w:rPr>
          <w:rFonts w:asciiTheme="majorHAnsi" w:hAnsiTheme="majorHAnsi" w:cs="Segoe UI"/>
        </w:rPr>
        <w:t xml:space="preserve">ard the story of Teddy </w:t>
      </w:r>
      <w:r w:rsidRPr="00AF5677">
        <w:rPr>
          <w:rFonts w:asciiTheme="majorHAnsi" w:hAnsiTheme="majorHAnsi" w:cs="Segoe UI"/>
        </w:rPr>
        <w:t xml:space="preserve">only before lunch and made their own hunger ratings immediately after making ratings of Teddy. The final rating of Teddy’s hunger that was made by children in </w:t>
      </w:r>
      <w:r w:rsidR="00BA09E0" w:rsidRPr="00AF5677">
        <w:rPr>
          <w:rFonts w:asciiTheme="majorHAnsi" w:hAnsiTheme="majorHAnsi" w:cs="Segoe UI"/>
        </w:rPr>
        <w:t>Study 1 and Study 2</w:t>
      </w:r>
      <w:r w:rsidRPr="00AF5677">
        <w:rPr>
          <w:rFonts w:asciiTheme="majorHAnsi" w:hAnsiTheme="majorHAnsi" w:cs="Segoe UI"/>
        </w:rPr>
        <w:t xml:space="preserve">, was rating Teddy as very full. Nevertheless, our results indicate that the vast majority of </w:t>
      </w:r>
      <w:r w:rsidRPr="00AF5677">
        <w:rPr>
          <w:rFonts w:asciiTheme="majorHAnsi" w:hAnsiTheme="majorHAnsi" w:cs="Segoe UI"/>
        </w:rPr>
        <w:lastRenderedPageBreak/>
        <w:t xml:space="preserve">children rated themselves as very hungry to hungry immediately after making this rating for Teddy, indicating that their own ratings were not influenced or primed by their previous rating of high fullness for Teddy. </w:t>
      </w:r>
      <w:r w:rsidR="00BA09E0" w:rsidRPr="00AF5677">
        <w:rPr>
          <w:rFonts w:asciiTheme="majorHAnsi" w:hAnsiTheme="majorHAnsi" w:cs="Segoe UI"/>
        </w:rPr>
        <w:t xml:space="preserve">In Study 2 children did not hear the story about Teddy before making their second hunger/satiety rating after lunch. Instead they were simply asked </w:t>
      </w:r>
      <w:r w:rsidRPr="00AF5677">
        <w:rPr>
          <w:rFonts w:asciiTheme="majorHAnsi" w:hAnsiTheme="majorHAnsi" w:cs="Segoe UI"/>
        </w:rPr>
        <w:t>to rate how hungry or full they were feeling at this moment. Here their ratings would not have been influenced by any immediately preceding rating of Teddy. In Study 3 children received instructions on how to use the scale, but did not hear the story about Teddy the Bear avoiding any risk of children mimicking a previous rating. Additionally, in all three studies specific emphasis was placed on children thinking a</w:t>
      </w:r>
      <w:r w:rsidR="00BA09E0" w:rsidRPr="00AF5677">
        <w:rPr>
          <w:rFonts w:asciiTheme="majorHAnsi" w:hAnsiTheme="majorHAnsi" w:cs="Segoe UI"/>
        </w:rPr>
        <w:t xml:space="preserve">bout their “own hunger” and on </w:t>
      </w:r>
      <w:r w:rsidRPr="00AF5677">
        <w:rPr>
          <w:rFonts w:asciiTheme="majorHAnsi" w:hAnsiTheme="majorHAnsi" w:cs="Segoe UI"/>
        </w:rPr>
        <w:t xml:space="preserve">how their tummies felt </w:t>
      </w:r>
      <w:r w:rsidR="00BA09E0" w:rsidRPr="00AF5677">
        <w:rPr>
          <w:rFonts w:asciiTheme="majorHAnsi" w:hAnsiTheme="majorHAnsi" w:cs="Segoe UI"/>
        </w:rPr>
        <w:t>“</w:t>
      </w:r>
      <w:r w:rsidRPr="00AF5677">
        <w:rPr>
          <w:rFonts w:asciiTheme="majorHAnsi" w:hAnsiTheme="majorHAnsi" w:cs="Segoe UI"/>
        </w:rPr>
        <w:t>right now”.</w:t>
      </w:r>
    </w:p>
    <w:p w:rsidR="009215D9" w:rsidRPr="00AF5677" w:rsidRDefault="00A03D6E" w:rsidP="009215D9">
      <w:pPr>
        <w:spacing w:line="480" w:lineRule="auto"/>
        <w:ind w:firstLine="284"/>
        <w:jc w:val="both"/>
        <w:rPr>
          <w:rFonts w:asciiTheme="majorHAnsi" w:hAnsiTheme="majorHAnsi" w:cs="Segoe UI"/>
        </w:rPr>
      </w:pPr>
      <w:r w:rsidRPr="00AF5677">
        <w:rPr>
          <w:rFonts w:asciiTheme="majorHAnsi" w:hAnsiTheme="majorHAnsi" w:cs="Segoe UI"/>
          <w:color w:val="000000"/>
        </w:rPr>
        <w:t>In study 3 t</w:t>
      </w:r>
      <w:r w:rsidR="009215D9" w:rsidRPr="00AF5677">
        <w:rPr>
          <w:rFonts w:asciiTheme="majorHAnsi" w:hAnsiTheme="majorHAnsi" w:cs="Segoe UI"/>
          <w:color w:val="000000"/>
        </w:rPr>
        <w:t xml:space="preserve">he time span between the end of the 10 minute snack period and children’s subsequent ratings of hunger was very short and it is possible that the development of fullness perceptions may take longer to develop. Although we are reassured that this period was sufficient for an initial perception of fullness to develop, as overall children felt hungrier before the snack than after the snack the relationship between intake and fullness perception may have been stronger if there had been a greater delay between intake and fullness rating. </w:t>
      </w:r>
    </w:p>
    <w:p w:rsidR="00AE4513" w:rsidRPr="00AF5677" w:rsidRDefault="00431BCE" w:rsidP="00BA09E0">
      <w:pPr>
        <w:spacing w:line="480" w:lineRule="auto"/>
        <w:ind w:firstLine="284"/>
        <w:jc w:val="both"/>
      </w:pPr>
      <w:r w:rsidRPr="00AF5677">
        <w:t>As previously s</w:t>
      </w:r>
      <w:r w:rsidR="004D23AF" w:rsidRPr="00AF5677">
        <w:t>uggested by Faith et al. (2002)</w:t>
      </w:r>
      <w:r w:rsidRPr="00AF5677">
        <w:t>, children were able to reliably</w:t>
      </w:r>
      <w:r w:rsidR="00F20327" w:rsidRPr="00AF5677">
        <w:t xml:space="preserve"> make</w:t>
      </w:r>
      <w:r w:rsidRPr="00AF5677">
        <w:t xml:space="preserve"> choices about hunger and satiety that</w:t>
      </w:r>
      <w:r w:rsidR="00F20327" w:rsidRPr="00AF5677">
        <w:t xml:space="preserve"> exceeded a</w:t>
      </w:r>
      <w:r w:rsidRPr="00AF5677">
        <w:t xml:space="preserve"> binary choice option (hungry/full).</w:t>
      </w:r>
      <w:r w:rsidR="00904E5F" w:rsidRPr="00AF5677">
        <w:t xml:space="preserve"> Children’s ratings of pre</w:t>
      </w:r>
      <w:r w:rsidR="005633A8" w:rsidRPr="00AF5677">
        <w:t>-</w:t>
      </w:r>
      <w:r w:rsidR="00904E5F" w:rsidRPr="00AF5677">
        <w:t xml:space="preserve"> and post-meal</w:t>
      </w:r>
      <w:r w:rsidR="00361AE1" w:rsidRPr="00AF5677">
        <w:t xml:space="preserve"> and snack</w:t>
      </w:r>
      <w:r w:rsidR="00904E5F" w:rsidRPr="00AF5677">
        <w:t xml:space="preserve"> hunger were not limited to ratings o</w:t>
      </w:r>
      <w:r w:rsidR="00494ECD" w:rsidRPr="00AF5677">
        <w:t>f</w:t>
      </w:r>
      <w:r w:rsidR="00904E5F" w:rsidRPr="00AF5677">
        <w:t xml:space="preserve"> “really hungry” (1) and </w:t>
      </w:r>
      <w:r w:rsidR="00494ECD" w:rsidRPr="00AF5677">
        <w:t>“</w:t>
      </w:r>
      <w:r w:rsidR="00904E5F" w:rsidRPr="00AF5677">
        <w:t>really full</w:t>
      </w:r>
      <w:r w:rsidR="00494ECD" w:rsidRPr="00AF5677">
        <w:t>”</w:t>
      </w:r>
      <w:r w:rsidR="00904E5F" w:rsidRPr="00AF5677">
        <w:t xml:space="preserve"> (5) but spanned across all five response categories.</w:t>
      </w:r>
    </w:p>
    <w:p w:rsidR="00AE4513" w:rsidRPr="00AF5677" w:rsidRDefault="00EA6056" w:rsidP="00AE4513">
      <w:pPr>
        <w:spacing w:line="480" w:lineRule="auto"/>
        <w:ind w:firstLine="284"/>
        <w:jc w:val="both"/>
      </w:pPr>
      <w:r w:rsidRPr="00AF5677">
        <w:t>Research with adults and children</w:t>
      </w:r>
      <w:r w:rsidR="00945A0F" w:rsidRPr="00AF5677">
        <w:t xml:space="preserve"> h</w:t>
      </w:r>
      <w:r w:rsidRPr="00AF5677">
        <w:t xml:space="preserve">as indicated that </w:t>
      </w:r>
      <w:r w:rsidR="00361AE1" w:rsidRPr="00AF5677">
        <w:t>v</w:t>
      </w:r>
      <w:r w:rsidR="005703FC" w:rsidRPr="00AF5677">
        <w:t>isual analogue scales</w:t>
      </w:r>
      <w:r w:rsidRPr="00AF5677">
        <w:t xml:space="preserve"> are</w:t>
      </w:r>
      <w:r w:rsidR="005703FC" w:rsidRPr="00AF5677">
        <w:t xml:space="preserve"> more sensitive to </w:t>
      </w:r>
      <w:r w:rsidR="00EB7DFB" w:rsidRPr="00AF5677">
        <w:t xml:space="preserve">subtle changes in bodily states </w:t>
      </w:r>
      <w:r w:rsidRPr="00AF5677">
        <w:t>than categorical rating scales like the Teddy Scale</w:t>
      </w:r>
      <w:r w:rsidR="007E2505" w:rsidRPr="00AF5677">
        <w:t xml:space="preserve"> (Joyce, Zutshi, Hrubes, &amp; Mason, 1975)</w:t>
      </w:r>
      <w:r w:rsidRPr="00AF5677">
        <w:t>. One</w:t>
      </w:r>
      <w:r w:rsidR="00EB7DFB" w:rsidRPr="00AF5677">
        <w:t xml:space="preserve"> limitation of our scale is </w:t>
      </w:r>
      <w:r w:rsidRPr="00AF5677">
        <w:t xml:space="preserve">therefore </w:t>
      </w:r>
      <w:r w:rsidR="00EB7DFB" w:rsidRPr="00AF5677">
        <w:t xml:space="preserve">its </w:t>
      </w:r>
      <w:r w:rsidRPr="00AF5677">
        <w:t>reduced ability</w:t>
      </w:r>
      <w:r w:rsidR="00EB7DFB" w:rsidRPr="00AF5677">
        <w:t xml:space="preserve"> to capture</w:t>
      </w:r>
      <w:r w:rsidRPr="00AF5677">
        <w:t xml:space="preserve"> more subtle changes in hunger and satiety states</w:t>
      </w:r>
      <w:r w:rsidR="00EB7DFB" w:rsidRPr="00AF5677">
        <w:t xml:space="preserve"> changes</w:t>
      </w:r>
      <w:r w:rsidR="003503F4" w:rsidRPr="00AF5677">
        <w:t xml:space="preserve"> (</w:t>
      </w:r>
      <w:r w:rsidR="00E30743" w:rsidRPr="00AF5677">
        <w:t xml:space="preserve">Flaherty, 1996; </w:t>
      </w:r>
      <w:r w:rsidR="003503F4" w:rsidRPr="00AF5677">
        <w:t>Keller et al., 2006)</w:t>
      </w:r>
      <w:r w:rsidR="00EB7DFB" w:rsidRPr="00AF5677">
        <w:t>.</w:t>
      </w:r>
      <w:r w:rsidR="00DB505A" w:rsidRPr="00AF5677">
        <w:t xml:space="preserve"> </w:t>
      </w:r>
      <w:r w:rsidR="00EB7DFB" w:rsidRPr="00AF5677">
        <w:t>Nevertheless,</w:t>
      </w:r>
      <w:r w:rsidR="005703FC" w:rsidRPr="00AF5677">
        <w:t xml:space="preserve"> categorical rating scales have been shown to be </w:t>
      </w:r>
      <w:r w:rsidR="00821671" w:rsidRPr="00AF5677">
        <w:t xml:space="preserve">less affected by issues such as reliability </w:t>
      </w:r>
      <w:r w:rsidR="00B65D3F" w:rsidRPr="00AF5677">
        <w:t>when administered repeatedly</w:t>
      </w:r>
      <w:r w:rsidR="00821671" w:rsidRPr="00AF5677">
        <w:t xml:space="preserve"> to measure fluctuating states such as mood or hunger</w:t>
      </w:r>
      <w:r w:rsidR="00823381" w:rsidRPr="00AF5677">
        <w:t xml:space="preserve"> (</w:t>
      </w:r>
      <w:r w:rsidR="00821671" w:rsidRPr="00AF5677">
        <w:t xml:space="preserve">Dovey, 2010; McCormack, Horne, </w:t>
      </w:r>
      <w:r w:rsidR="007A56C4" w:rsidRPr="00AF5677">
        <w:t xml:space="preserve">&amp; </w:t>
      </w:r>
      <w:r w:rsidR="00821671" w:rsidRPr="00AF5677">
        <w:t>Sheather, 1988</w:t>
      </w:r>
      <w:r w:rsidR="00823381" w:rsidRPr="00AF5677">
        <w:t>).</w:t>
      </w:r>
      <w:r w:rsidR="00BE7FB4" w:rsidRPr="00AF5677">
        <w:t xml:space="preserve"> </w:t>
      </w:r>
      <w:r w:rsidR="00823381" w:rsidRPr="00AF5677">
        <w:t>O</w:t>
      </w:r>
      <w:r w:rsidR="005633A8" w:rsidRPr="00AF5677">
        <w:t>ur</w:t>
      </w:r>
      <w:r w:rsidR="00EB7DFB" w:rsidRPr="00AF5677">
        <w:t xml:space="preserve"> own findings as well as findings by Faith et </w:t>
      </w:r>
      <w:r w:rsidR="00EB7DFB" w:rsidRPr="00AF5677">
        <w:lastRenderedPageBreak/>
        <w:t>al. (2002) indicate that children are able to make hunger and</w:t>
      </w:r>
      <w:r w:rsidR="00936D34" w:rsidRPr="00AF5677">
        <w:t xml:space="preserve"> satiety estimates and ratings </w:t>
      </w:r>
      <w:r w:rsidR="00EB7DFB" w:rsidRPr="00AF5677">
        <w:t>using categorical scales. Additionally, categorical scales seem to be easy to use, requiring little instruction compared to visual analogue scales (Keller et al. 2006)</w:t>
      </w:r>
      <w:r w:rsidR="005703FC" w:rsidRPr="00AF5677">
        <w:t>.</w:t>
      </w:r>
    </w:p>
    <w:p w:rsidR="00AE4513" w:rsidRPr="00AF5677" w:rsidRDefault="007C5AE3" w:rsidP="00AE4513">
      <w:pPr>
        <w:spacing w:line="480" w:lineRule="auto"/>
        <w:ind w:firstLine="284"/>
        <w:jc w:val="both"/>
      </w:pPr>
      <w:r w:rsidRPr="00AF5677">
        <w:t>Not all children who participated in our studies were able to make accurate ratings of estimated hunger and satiety in Teddy. It i</w:t>
      </w:r>
      <w:r w:rsidR="005633A8" w:rsidRPr="00AF5677">
        <w:t>s possible that these children</w:t>
      </w:r>
      <w:r w:rsidRPr="00AF5677">
        <w:t xml:space="preserve"> had not yet developed the </w:t>
      </w:r>
      <w:r w:rsidR="005633A8" w:rsidRPr="00AF5677">
        <w:t xml:space="preserve">cognitive </w:t>
      </w:r>
      <w:r w:rsidRPr="00AF5677">
        <w:t>skills</w:t>
      </w:r>
      <w:r w:rsidR="005633A8" w:rsidRPr="00AF5677">
        <w:t xml:space="preserve"> and competencies</w:t>
      </w:r>
      <w:r w:rsidRPr="00AF5677">
        <w:t xml:space="preserve"> necessary to use a categorical rating scale. It is important to note that those children who failed to make correct ratings did not differ in age or gender from those children who made accurate ratings. As only few children failed to use the scale correctly it may be appropriate to assume that these children did not pay adequate attention during the introduction of the scale or that they did not follow the story due to being distracted or bored. Finally, it may also be feasible that these children would have benefitted from further instruction or practice.</w:t>
      </w:r>
    </w:p>
    <w:p w:rsidR="00E452DD" w:rsidRPr="00AF5677" w:rsidRDefault="00945A0F" w:rsidP="006D7F83">
      <w:pPr>
        <w:spacing w:line="480" w:lineRule="auto"/>
        <w:ind w:firstLine="284"/>
        <w:jc w:val="both"/>
      </w:pPr>
      <w:r w:rsidRPr="00AF5677">
        <w:t>A further</w:t>
      </w:r>
      <w:r w:rsidR="005633A8" w:rsidRPr="00AF5677">
        <w:t xml:space="preserve"> limitation to this study is that children were not asked to make partial satiety estimates of Teddy’s hunger. Research has indicated that these ratings are much more difficult for children to make and that these ratings are also less reliable. One suggestion for future research and validations of the Teddy scale would therefore be to ask children to make ratings at various time-points during Teddy’s meal and during a real meal. </w:t>
      </w:r>
    </w:p>
    <w:p w:rsidR="00707D06" w:rsidRPr="00AF5677" w:rsidRDefault="00472DD1" w:rsidP="00AE4513">
      <w:pPr>
        <w:spacing w:line="480" w:lineRule="auto"/>
        <w:ind w:firstLine="284"/>
        <w:jc w:val="both"/>
      </w:pPr>
      <w:r w:rsidRPr="00AF5677">
        <w:t>The</w:t>
      </w:r>
      <w:r w:rsidR="005633A8" w:rsidRPr="00AF5677">
        <w:t xml:space="preserve"> generalizability of our findings is</w:t>
      </w:r>
      <w:r w:rsidRPr="00AF5677">
        <w:t xml:space="preserve"> limited as</w:t>
      </w:r>
      <w:r w:rsidR="005633A8" w:rsidRPr="00AF5677">
        <w:t xml:space="preserve"> our sample consisted of predominantly White British children</w:t>
      </w:r>
      <w:r w:rsidR="00C44667" w:rsidRPr="00AF5677">
        <w:t xml:space="preserve">. </w:t>
      </w:r>
      <w:r w:rsidR="00FF59A3" w:rsidRPr="00AF5677">
        <w:t xml:space="preserve">Based </w:t>
      </w:r>
      <w:r w:rsidR="00B734C2" w:rsidRPr="00AF5677">
        <w:t>o</w:t>
      </w:r>
      <w:r w:rsidR="00FF59A3" w:rsidRPr="00AF5677">
        <w:t>n the Index o</w:t>
      </w:r>
      <w:r w:rsidR="00361AE1" w:rsidRPr="00AF5677">
        <w:t>f</w:t>
      </w:r>
      <w:r w:rsidR="00FF59A3" w:rsidRPr="00AF5677">
        <w:t xml:space="preserve"> Multiple Deprivation calculated for the school and its surrounding areas </w:t>
      </w:r>
      <w:r w:rsidR="00361AE1" w:rsidRPr="00AF5677">
        <w:t xml:space="preserve">and on parents’ reports of their education level </w:t>
      </w:r>
      <w:r w:rsidR="00FF59A3" w:rsidRPr="00AF5677">
        <w:t>we can also assume that children had low to middle class family backgrounds</w:t>
      </w:r>
      <w:r w:rsidR="00494ECD" w:rsidRPr="00AF5677">
        <w:t>.</w:t>
      </w:r>
      <w:r w:rsidR="005633A8" w:rsidRPr="00AF5677">
        <w:t xml:space="preserve"> It is therefore essential to assess the applicability of our scale to more ethnically and socioeconomically diverse samples in future studies.</w:t>
      </w:r>
    </w:p>
    <w:p w:rsidR="00472DD1" w:rsidRPr="00AF5677" w:rsidRDefault="00472DD1" w:rsidP="00472B08">
      <w:pPr>
        <w:spacing w:line="480" w:lineRule="auto"/>
        <w:jc w:val="both"/>
      </w:pPr>
    </w:p>
    <w:p w:rsidR="00E628F5" w:rsidRPr="00AF5677" w:rsidRDefault="00E628F5" w:rsidP="00AE4513">
      <w:pPr>
        <w:spacing w:line="480" w:lineRule="auto"/>
        <w:jc w:val="center"/>
      </w:pPr>
      <w:r w:rsidRPr="00AF5677">
        <w:t>Conclusion</w:t>
      </w:r>
      <w:r w:rsidR="003A178A" w:rsidRPr="00AF5677">
        <w:t>s</w:t>
      </w:r>
    </w:p>
    <w:p w:rsidR="005633A8" w:rsidRPr="00AF5677" w:rsidRDefault="00707D06" w:rsidP="00AE4513">
      <w:pPr>
        <w:spacing w:line="480" w:lineRule="auto"/>
        <w:ind w:firstLine="284"/>
        <w:jc w:val="both"/>
      </w:pPr>
      <w:r w:rsidRPr="00AF5677">
        <w:t xml:space="preserve">Overall, our results indicate that the newly developed hunger and satiety rating scale “Teddy the Bear” can be used by </w:t>
      </w:r>
      <w:r w:rsidR="00BC2B86" w:rsidRPr="00AF5677">
        <w:t xml:space="preserve">the majority of </w:t>
      </w:r>
      <w:r w:rsidR="00653CE3" w:rsidRPr="00AF5677">
        <w:t xml:space="preserve">primary </w:t>
      </w:r>
      <w:r w:rsidR="00361AE1" w:rsidRPr="00AF5677">
        <w:t xml:space="preserve">school children </w:t>
      </w:r>
      <w:r w:rsidRPr="00AF5677">
        <w:t>to make ratings of</w:t>
      </w:r>
      <w:r w:rsidR="00DB505A" w:rsidRPr="00AF5677">
        <w:t xml:space="preserve"> hunger and satiety regarding</w:t>
      </w:r>
      <w:r w:rsidRPr="00AF5677">
        <w:t xml:space="preserve"> est</w:t>
      </w:r>
      <w:r w:rsidR="00DB505A" w:rsidRPr="00AF5677">
        <w:t>imated and real eating episodes. The scale</w:t>
      </w:r>
      <w:r w:rsidR="00AD16AF" w:rsidRPr="00AF5677">
        <w:t xml:space="preserve">’s ability </w:t>
      </w:r>
      <w:r w:rsidR="00DB505A" w:rsidRPr="00AF5677">
        <w:t>to capture</w:t>
      </w:r>
      <w:r w:rsidRPr="00AF5677">
        <w:t xml:space="preserve"> associated changes in </w:t>
      </w:r>
      <w:r w:rsidRPr="00AF5677">
        <w:lastRenderedPageBreak/>
        <w:t>hunger and satiety</w:t>
      </w:r>
      <w:r w:rsidR="00E23C5C" w:rsidRPr="00AF5677">
        <w:t xml:space="preserve"> needs to be further investigated</w:t>
      </w:r>
      <w:r w:rsidRPr="00AF5677">
        <w:t xml:space="preserve">. </w:t>
      </w:r>
      <w:r w:rsidR="002E399F" w:rsidRPr="00AF5677">
        <w:t xml:space="preserve">The scale may be useful for researchers aiming to establish hunger and satiety </w:t>
      </w:r>
      <w:r w:rsidR="0075724F" w:rsidRPr="00AF5677">
        <w:t xml:space="preserve">states and </w:t>
      </w:r>
      <w:r w:rsidR="00E871BF" w:rsidRPr="00AF5677">
        <w:t>changes</w:t>
      </w:r>
      <w:r w:rsidR="00DB505A" w:rsidRPr="00AF5677">
        <w:t xml:space="preserve"> in children. </w:t>
      </w:r>
      <w:r w:rsidR="002E399F" w:rsidRPr="00AF5677">
        <w:t xml:space="preserve">Furthermore, the scale may be useful for interventions focusing on improving children’s awareness of hunger and satiety in order to foster healthier eating behaviour as well as teaching children at risk for overweight/obesity about the appropriate timing of the initiation and termination of eating episodes. </w:t>
      </w:r>
    </w:p>
    <w:p w:rsidR="005633A8" w:rsidRPr="00AF5677" w:rsidRDefault="005633A8" w:rsidP="00472B08">
      <w:pPr>
        <w:spacing w:line="480" w:lineRule="auto"/>
        <w:jc w:val="both"/>
      </w:pPr>
    </w:p>
    <w:p w:rsidR="00F74063" w:rsidRPr="00AF5677" w:rsidRDefault="00F74063" w:rsidP="00472B08">
      <w:pPr>
        <w:spacing w:line="480" w:lineRule="auto"/>
        <w:jc w:val="both"/>
      </w:pPr>
      <w:r w:rsidRPr="00AF5677">
        <w:t>Acknowledgements</w:t>
      </w:r>
    </w:p>
    <w:p w:rsidR="00F74063" w:rsidRPr="00AF5677" w:rsidRDefault="00F74063" w:rsidP="00472B08">
      <w:pPr>
        <w:spacing w:line="480" w:lineRule="auto"/>
      </w:pPr>
      <w:r w:rsidRPr="00AF5677">
        <w:t xml:space="preserve">We would like </w:t>
      </w:r>
      <w:r w:rsidR="00472DD1" w:rsidRPr="00AF5677">
        <w:t>to thank the school</w:t>
      </w:r>
      <w:r w:rsidRPr="00AF5677">
        <w:t xml:space="preserve"> and all the pupils for their participation.</w:t>
      </w:r>
    </w:p>
    <w:p w:rsidR="00F74063" w:rsidRPr="00AF5677" w:rsidRDefault="00F74063" w:rsidP="00472B08">
      <w:pPr>
        <w:spacing w:line="480" w:lineRule="auto"/>
        <w:jc w:val="both"/>
      </w:pPr>
    </w:p>
    <w:p w:rsidR="007C764B" w:rsidRPr="00AF5677" w:rsidRDefault="007C764B" w:rsidP="00CF2827">
      <w:pPr>
        <w:spacing w:line="480" w:lineRule="auto"/>
      </w:pPr>
    </w:p>
    <w:p w:rsidR="007C764B" w:rsidRPr="00AF5677" w:rsidRDefault="007C764B" w:rsidP="00CF2827">
      <w:pPr>
        <w:spacing w:line="480" w:lineRule="auto"/>
      </w:pPr>
    </w:p>
    <w:p w:rsidR="007C764B" w:rsidRPr="00AF5677" w:rsidRDefault="007C764B" w:rsidP="00CF2827">
      <w:pPr>
        <w:spacing w:line="480" w:lineRule="auto"/>
      </w:pPr>
    </w:p>
    <w:p w:rsidR="006D7F83" w:rsidRPr="00AF5677" w:rsidRDefault="006D7F83" w:rsidP="00CF2827">
      <w:pPr>
        <w:spacing w:line="480" w:lineRule="auto"/>
      </w:pPr>
    </w:p>
    <w:p w:rsidR="006D7F83" w:rsidRPr="00AF5677" w:rsidRDefault="006D7F83" w:rsidP="00CF2827">
      <w:pPr>
        <w:spacing w:line="480" w:lineRule="auto"/>
      </w:pPr>
    </w:p>
    <w:p w:rsidR="006D7F83" w:rsidRPr="00AF5677" w:rsidRDefault="006D7F83" w:rsidP="00CF2827">
      <w:pPr>
        <w:spacing w:line="480" w:lineRule="auto"/>
      </w:pPr>
    </w:p>
    <w:p w:rsidR="006D7F83" w:rsidRPr="00AF5677" w:rsidRDefault="006D7F83" w:rsidP="00CF2827">
      <w:pPr>
        <w:spacing w:line="480" w:lineRule="auto"/>
      </w:pPr>
    </w:p>
    <w:p w:rsidR="006D7F83" w:rsidRPr="00AF5677" w:rsidRDefault="006D7F83" w:rsidP="00CF2827">
      <w:pPr>
        <w:spacing w:line="480" w:lineRule="auto"/>
      </w:pPr>
    </w:p>
    <w:p w:rsidR="006D7F83" w:rsidRPr="00AF5677" w:rsidRDefault="006D7F83" w:rsidP="00CF2827">
      <w:pPr>
        <w:spacing w:line="480" w:lineRule="auto"/>
      </w:pPr>
    </w:p>
    <w:p w:rsidR="006D7F83" w:rsidRPr="00AF5677" w:rsidRDefault="006D7F83" w:rsidP="00CF2827">
      <w:pPr>
        <w:spacing w:line="480" w:lineRule="auto"/>
      </w:pPr>
    </w:p>
    <w:p w:rsidR="006D7F83" w:rsidRPr="00AF5677" w:rsidRDefault="006D7F83" w:rsidP="00CF2827">
      <w:pPr>
        <w:spacing w:line="480" w:lineRule="auto"/>
      </w:pPr>
    </w:p>
    <w:p w:rsidR="006D7F83" w:rsidRPr="00AF5677" w:rsidRDefault="006D7F83" w:rsidP="00CF2827">
      <w:pPr>
        <w:spacing w:line="480" w:lineRule="auto"/>
      </w:pPr>
    </w:p>
    <w:p w:rsidR="00955279" w:rsidRPr="00AF5677" w:rsidRDefault="00955279" w:rsidP="00CF2827">
      <w:pPr>
        <w:spacing w:line="480" w:lineRule="auto"/>
      </w:pPr>
    </w:p>
    <w:p w:rsidR="00955279" w:rsidRPr="00AF5677" w:rsidRDefault="00955279" w:rsidP="00CF2827">
      <w:pPr>
        <w:spacing w:line="480" w:lineRule="auto"/>
      </w:pPr>
    </w:p>
    <w:p w:rsidR="00955279" w:rsidRPr="00AF5677" w:rsidRDefault="00955279" w:rsidP="00CF2827">
      <w:pPr>
        <w:spacing w:line="480" w:lineRule="auto"/>
      </w:pPr>
    </w:p>
    <w:p w:rsidR="006D7F83" w:rsidRPr="00AF5677" w:rsidRDefault="006D7F83" w:rsidP="00CF2827">
      <w:pPr>
        <w:spacing w:line="480" w:lineRule="auto"/>
      </w:pPr>
    </w:p>
    <w:p w:rsidR="006D7F83" w:rsidRPr="00AF5677" w:rsidRDefault="006D7F83" w:rsidP="00CF2827">
      <w:pPr>
        <w:spacing w:line="480" w:lineRule="auto"/>
      </w:pPr>
    </w:p>
    <w:p w:rsidR="00CF2827" w:rsidRPr="00AF5677" w:rsidRDefault="00CF2827" w:rsidP="00CF2827">
      <w:pPr>
        <w:spacing w:line="480" w:lineRule="auto"/>
      </w:pPr>
      <w:r w:rsidRPr="00AF5677">
        <w:lastRenderedPageBreak/>
        <w:t>References</w:t>
      </w:r>
    </w:p>
    <w:p w:rsidR="00CF2827" w:rsidRPr="00AF5677" w:rsidRDefault="00CF2827" w:rsidP="00CF2827">
      <w:pPr>
        <w:spacing w:line="480" w:lineRule="auto"/>
      </w:pPr>
      <w:r w:rsidRPr="00AF5677">
        <w:t xml:space="preserve">Dovey, T. (2010). </w:t>
      </w:r>
      <w:r w:rsidRPr="00AF5677">
        <w:rPr>
          <w:i/>
        </w:rPr>
        <w:t>Eating Behaviour</w:t>
      </w:r>
      <w:r w:rsidRPr="00AF5677">
        <w:t>. Berkshire, England: Open University Press.</w:t>
      </w:r>
    </w:p>
    <w:p w:rsidR="00CF2827" w:rsidRPr="00AF5677" w:rsidRDefault="00CF2827" w:rsidP="00CF2827">
      <w:pPr>
        <w:spacing w:line="480" w:lineRule="auto"/>
      </w:pPr>
      <w:r w:rsidRPr="00AF5677">
        <w:t xml:space="preserve">Faith, M. S., Kermanshah, M., &amp; Kissileff, H. R. (2002). Development and preliminary validation of a silhouette satiety scale for children. </w:t>
      </w:r>
      <w:r w:rsidRPr="00AF5677">
        <w:rPr>
          <w:i/>
        </w:rPr>
        <w:t>Physiology &amp; Behaviour, 76</w:t>
      </w:r>
      <w:r w:rsidRPr="00AF5677">
        <w:t>, 2, 173-178.</w:t>
      </w:r>
    </w:p>
    <w:p w:rsidR="00CF2827" w:rsidRPr="00AF5677" w:rsidRDefault="00CF2827" w:rsidP="00CF2827">
      <w:pPr>
        <w:spacing w:line="480" w:lineRule="auto"/>
        <w:rPr>
          <w:rFonts w:cs="Calibri"/>
        </w:rPr>
      </w:pPr>
      <w:r w:rsidRPr="00AF5677">
        <w:t xml:space="preserve">Flaherty, S. A. (1996). Paine measurement tools for clinical practice and research. </w:t>
      </w:r>
      <w:r w:rsidRPr="00AF5677">
        <w:rPr>
          <w:i/>
        </w:rPr>
        <w:t xml:space="preserve">Journal of the </w:t>
      </w:r>
      <w:r w:rsidRPr="00AF5677">
        <w:rPr>
          <w:rFonts w:cs="Calibri"/>
          <w:i/>
        </w:rPr>
        <w:t>American Association of Nurse Anesthetists, 64</w:t>
      </w:r>
      <w:r w:rsidRPr="00AF5677">
        <w:rPr>
          <w:rFonts w:cs="Calibri"/>
        </w:rPr>
        <w:t xml:space="preserve">, 2, 133-140. </w:t>
      </w:r>
    </w:p>
    <w:p w:rsidR="004224AE" w:rsidRPr="00AF5677" w:rsidRDefault="004224AE" w:rsidP="00CF2827">
      <w:pPr>
        <w:spacing w:line="480" w:lineRule="auto"/>
        <w:rPr>
          <w:rFonts w:cs="Calibri"/>
        </w:rPr>
      </w:pPr>
      <w:r w:rsidRPr="00AF5677">
        <w:rPr>
          <w:rFonts w:cs="Calibri"/>
        </w:rPr>
        <w:t xml:space="preserve">Hoffman, L. W. (1972). Early Childhood experiences and women’s achievement motives. </w:t>
      </w:r>
      <w:r w:rsidRPr="00AF5677">
        <w:rPr>
          <w:rFonts w:cs="Calibri"/>
          <w:i/>
        </w:rPr>
        <w:t>Journal of Social Issues. 28,</w:t>
      </w:r>
      <w:r w:rsidRPr="00AF5677">
        <w:rPr>
          <w:rFonts w:cs="Calibri"/>
        </w:rPr>
        <w:t xml:space="preserve"> 2, 129-155.</w:t>
      </w:r>
    </w:p>
    <w:p w:rsidR="00CF2827" w:rsidRPr="00AF5677" w:rsidRDefault="00CF2827" w:rsidP="00CF2827">
      <w:pPr>
        <w:spacing w:line="480" w:lineRule="auto"/>
        <w:rPr>
          <w:rFonts w:cs="Calibri"/>
        </w:rPr>
      </w:pPr>
      <w:r w:rsidRPr="00AF5677">
        <w:rPr>
          <w:rFonts w:cs="Calibri"/>
        </w:rPr>
        <w:t>Index of Multiple Deprivation (2012). Retrieved  May</w:t>
      </w:r>
      <w:r w:rsidR="004E1878" w:rsidRPr="00AF5677">
        <w:rPr>
          <w:rFonts w:cs="Calibri"/>
        </w:rPr>
        <w:t xml:space="preserve"> 9, </w:t>
      </w:r>
      <w:r w:rsidRPr="00AF5677">
        <w:rPr>
          <w:rFonts w:cs="Calibri"/>
        </w:rPr>
        <w:t>2013, from</w:t>
      </w:r>
      <w:r w:rsidR="004E1878" w:rsidRPr="00AF5677">
        <w:rPr>
          <w:rFonts w:cs="Calibri"/>
        </w:rPr>
        <w:t xml:space="preserve"> </w:t>
      </w:r>
      <w:hyperlink r:id="rId13" w:history="1">
        <w:r w:rsidRPr="00AF5677">
          <w:rPr>
            <w:rStyle w:val="Hyperlink"/>
          </w:rPr>
          <w:t>http://opendatacommunities.org/deprivation/map</w:t>
        </w:r>
      </w:hyperlink>
    </w:p>
    <w:p w:rsidR="00CF2827" w:rsidRPr="00AF5677" w:rsidRDefault="00CF2827" w:rsidP="00CF2827">
      <w:pPr>
        <w:autoSpaceDE w:val="0"/>
        <w:autoSpaceDN w:val="0"/>
        <w:adjustRightInd w:val="0"/>
        <w:spacing w:line="480" w:lineRule="auto"/>
        <w:rPr>
          <w:rFonts w:cs="Calibri"/>
        </w:rPr>
      </w:pPr>
      <w:r w:rsidRPr="00AF5677">
        <w:rPr>
          <w:rFonts w:cs="Calibri"/>
        </w:rPr>
        <w:t xml:space="preserve">Joyce, C. R. B., Zutshi, D.W., Hrubes, V., &amp; Mason, R.M. (1975). Comparison of </w:t>
      </w:r>
      <w:r w:rsidRPr="00AF5677">
        <w:rPr>
          <w:rFonts w:cs="Calibri"/>
          <w:bCs/>
        </w:rPr>
        <w:t xml:space="preserve">fixed </w:t>
      </w:r>
      <w:r w:rsidRPr="00AF5677">
        <w:rPr>
          <w:rFonts w:cs="Calibri"/>
        </w:rPr>
        <w:t xml:space="preserve">interval and visual analogue scales for rating chronic pain. </w:t>
      </w:r>
      <w:r w:rsidRPr="00AF5677">
        <w:rPr>
          <w:rFonts w:cs="Calibri"/>
          <w:i/>
          <w:iCs/>
        </w:rPr>
        <w:t xml:space="preserve">European Journal of Clinical  Pharmacology, </w:t>
      </w:r>
      <w:r w:rsidRPr="00AF5677">
        <w:rPr>
          <w:rFonts w:cs="Calibri"/>
          <w:i/>
        </w:rPr>
        <w:t>8</w:t>
      </w:r>
      <w:r w:rsidRPr="00AF5677">
        <w:rPr>
          <w:rFonts w:cs="Calibri"/>
        </w:rPr>
        <w:t>, 6, 415-420.</w:t>
      </w:r>
    </w:p>
    <w:p w:rsidR="00CF2827" w:rsidRPr="00AF5677" w:rsidRDefault="00CF2827" w:rsidP="00CF2827">
      <w:pPr>
        <w:spacing w:line="480" w:lineRule="auto"/>
      </w:pPr>
      <w:r w:rsidRPr="00AF5677">
        <w:t xml:space="preserve">Keller, K. L., Assur, S. A., Torres, M., Lofink, H. E., Thornton, J. C., Faith, M. S. et al. (2006). Potential of an analog scaling device for measuring fullness in children: Development and preliminary testing. </w:t>
      </w:r>
      <w:r w:rsidRPr="00AF5677">
        <w:rPr>
          <w:i/>
        </w:rPr>
        <w:t>Appetite, 47</w:t>
      </w:r>
      <w:r w:rsidRPr="00AF5677">
        <w:t>, 2, 233-243.</w:t>
      </w:r>
    </w:p>
    <w:p w:rsidR="00CF2827" w:rsidRPr="00AF5677" w:rsidRDefault="00CF2827" w:rsidP="00CF2827">
      <w:pPr>
        <w:spacing w:line="480" w:lineRule="auto"/>
      </w:pPr>
      <w:r w:rsidRPr="00AF5677">
        <w:t>Kissileff, H. R., Keller, K. L., Lofink, H. L., Torres, M., &amp; Thornton, J. C. (2008). Rating of fullness after ad libitum meals are not predicted from ratings of fullness during interrupted meals in pre-school children</w:t>
      </w:r>
      <w:r w:rsidR="00716505" w:rsidRPr="00AF5677">
        <w:t xml:space="preserve"> [Abstract]</w:t>
      </w:r>
      <w:r w:rsidRPr="00AF5677">
        <w:t xml:space="preserve">. </w:t>
      </w:r>
      <w:r w:rsidRPr="00AF5677">
        <w:rPr>
          <w:i/>
        </w:rPr>
        <w:t xml:space="preserve">Appetite, 51, </w:t>
      </w:r>
      <w:r w:rsidRPr="00AF5677">
        <w:t>2, 376.</w:t>
      </w:r>
    </w:p>
    <w:p w:rsidR="00CF2827" w:rsidRPr="00AF5677" w:rsidRDefault="00CF2827" w:rsidP="00CF2827">
      <w:pPr>
        <w:spacing w:line="480" w:lineRule="auto"/>
      </w:pPr>
      <w:r w:rsidRPr="00AF5677">
        <w:t xml:space="preserve">McCormack, H. M., Horne, D. J., &amp; Sheather, S. (1988). Clinical applications of visual analogue scales: A critical review. </w:t>
      </w:r>
      <w:r w:rsidRPr="00AF5677">
        <w:rPr>
          <w:i/>
        </w:rPr>
        <w:t>Psychological Medicine, 18</w:t>
      </w:r>
      <w:r w:rsidRPr="00AF5677">
        <w:t>, 4, 1007-1019.</w:t>
      </w:r>
    </w:p>
    <w:p w:rsidR="00CF2827" w:rsidRPr="00AF5677" w:rsidRDefault="00CF2827" w:rsidP="00CF2827">
      <w:pPr>
        <w:spacing w:line="480" w:lineRule="auto"/>
      </w:pPr>
      <w:r w:rsidRPr="00AF5677">
        <w:t xml:space="preserve">Shields, B. J., Palermo, T. M., Powers, J. D., Grewe, S. D., &amp; Smith, G. A. (2003). Predictors of a child’s ability to use a visual analogue scale. </w:t>
      </w:r>
      <w:r w:rsidRPr="00AF5677">
        <w:rPr>
          <w:i/>
        </w:rPr>
        <w:t>Child: Care, Health &amp; Development, 29</w:t>
      </w:r>
      <w:r w:rsidRPr="00AF5677">
        <w:t xml:space="preserve">, 4, 281-290. </w:t>
      </w:r>
    </w:p>
    <w:p w:rsidR="00CF2827" w:rsidRPr="00AF5677" w:rsidRDefault="00CF2827" w:rsidP="00CF2827">
      <w:pPr>
        <w:spacing w:line="480" w:lineRule="auto"/>
        <w:sectPr w:rsidR="00CF2827" w:rsidRPr="00AF5677">
          <w:headerReference w:type="default" r:id="rId14"/>
          <w:headerReference w:type="first" r:id="rId15"/>
          <w:pgSz w:w="11906" w:h="16838"/>
          <w:pgMar w:top="1440" w:right="1440" w:bottom="1440" w:left="1440" w:header="708" w:footer="708" w:gutter="0"/>
          <w:lnNumType w:countBy="1" w:restart="continuous"/>
          <w:cols w:space="708"/>
          <w:titlePg/>
          <w:docGrid w:linePitch="360"/>
        </w:sectPr>
      </w:pPr>
      <w:r w:rsidRPr="00AF5677">
        <w:t xml:space="preserve">Shields, B. J., Cohen, D. M., Harbeck-Weber, C., Powers, J. D., Smith, G. A. (2003). Pediatric pain measurement using a visual analogue scale: A comparison of two teaching methods. </w:t>
      </w:r>
      <w:r w:rsidRPr="00AF5677">
        <w:rPr>
          <w:i/>
        </w:rPr>
        <w:t>Clinical Pediatrics, 42,</w:t>
      </w:r>
      <w:r w:rsidRPr="00AF5677">
        <w:t xml:space="preserve"> 3, 227-234.</w:t>
      </w:r>
    </w:p>
    <w:p w:rsidR="00CF2827" w:rsidRPr="00AF5677" w:rsidRDefault="00CF2827" w:rsidP="00CF2827">
      <w:pPr>
        <w:spacing w:line="480" w:lineRule="auto"/>
      </w:pPr>
      <w:r w:rsidRPr="00AF5677">
        <w:lastRenderedPageBreak/>
        <w:t>Appendix A</w:t>
      </w:r>
    </w:p>
    <w:p w:rsidR="00CF2827" w:rsidRPr="00AF5677" w:rsidRDefault="00CF2827" w:rsidP="00CF2827">
      <w:pPr>
        <w:spacing w:after="200" w:line="480" w:lineRule="auto"/>
        <w:jc w:val="both"/>
        <w:rPr>
          <w:rFonts w:cs="Calibri"/>
        </w:rPr>
      </w:pPr>
      <w:r w:rsidRPr="00AF5677">
        <w:rPr>
          <w:rFonts w:cs="Calibri"/>
        </w:rPr>
        <w:t>Last Sunday, Teddy went to the park to watch the birds and squirrels play in the sun. Teddy spent all morning walking around the park and sitting underneath the trees watching the birds and squirrels play. As time went by Teddy started to feel very hungry, it had been a long time since he had eaten his breakfast. Teddy’s belly was rumbling and he couldn’t wait to get back home to have his lunch. He started to walk home thinking of all the food he would love to eat (Child rating).                                            After Teddy got home he started to make his lunch. He got out bread, cheese and salad, crisps, cookies and chocolate and poured himself a large glass of juice/milk. He then started to slice little tomatoes, cucumber, and some onion to put on his sandwich. He then buttered the bread, sliced the cheese and put it all together. It was a huge sandwich. Teddy started to eat the sandwich; he also ate a whole bag of crisps, and drank some of his juice/milk. After finishing the sandwich and crisps Teddy also ate loads of biscuits and chocolate and drank the rest of the juice/milk. His belly was so full Teddy could barely move. He was definitely not hungry anymore (Child Rating).</w:t>
      </w:r>
    </w:p>
    <w:p w:rsidR="007C764B" w:rsidRPr="00AF5677" w:rsidRDefault="007C764B" w:rsidP="00CF2827">
      <w:pPr>
        <w:spacing w:line="480" w:lineRule="auto"/>
        <w:jc w:val="both"/>
        <w:rPr>
          <w:rFonts w:cs="Segoe UI"/>
        </w:rPr>
      </w:pPr>
    </w:p>
    <w:p w:rsidR="007C764B" w:rsidRPr="00AF5677" w:rsidRDefault="007C764B" w:rsidP="00CF2827">
      <w:pPr>
        <w:spacing w:line="480" w:lineRule="auto"/>
        <w:jc w:val="both"/>
        <w:rPr>
          <w:rFonts w:cs="Segoe UI"/>
        </w:rPr>
      </w:pPr>
    </w:p>
    <w:p w:rsidR="007C764B" w:rsidRPr="00AF5677" w:rsidRDefault="007C764B" w:rsidP="00CF2827">
      <w:pPr>
        <w:spacing w:line="480" w:lineRule="auto"/>
        <w:jc w:val="both"/>
        <w:rPr>
          <w:rFonts w:cs="Segoe UI"/>
        </w:rPr>
      </w:pPr>
    </w:p>
    <w:p w:rsidR="007C764B" w:rsidRPr="00AF5677" w:rsidRDefault="007C764B" w:rsidP="00CF2827">
      <w:pPr>
        <w:spacing w:line="480" w:lineRule="auto"/>
        <w:jc w:val="both"/>
        <w:rPr>
          <w:rFonts w:cs="Segoe UI"/>
        </w:rPr>
      </w:pPr>
    </w:p>
    <w:p w:rsidR="007C764B" w:rsidRPr="00AF5677" w:rsidRDefault="007C764B" w:rsidP="00CF2827">
      <w:pPr>
        <w:spacing w:line="480" w:lineRule="auto"/>
        <w:jc w:val="both"/>
        <w:rPr>
          <w:rFonts w:cs="Segoe UI"/>
        </w:rPr>
      </w:pPr>
    </w:p>
    <w:p w:rsidR="007C764B" w:rsidRPr="00AF5677" w:rsidRDefault="007C764B" w:rsidP="00CF2827">
      <w:pPr>
        <w:spacing w:line="480" w:lineRule="auto"/>
        <w:jc w:val="both"/>
        <w:rPr>
          <w:rFonts w:cs="Segoe UI"/>
        </w:rPr>
      </w:pPr>
    </w:p>
    <w:p w:rsidR="007C764B" w:rsidRPr="00AF5677" w:rsidRDefault="007C764B" w:rsidP="00CF2827">
      <w:pPr>
        <w:spacing w:line="480" w:lineRule="auto"/>
        <w:jc w:val="both"/>
        <w:rPr>
          <w:rFonts w:cs="Segoe UI"/>
        </w:rPr>
      </w:pPr>
    </w:p>
    <w:p w:rsidR="007C764B" w:rsidRPr="00AF5677" w:rsidRDefault="007C764B" w:rsidP="00CF2827">
      <w:pPr>
        <w:spacing w:line="480" w:lineRule="auto"/>
        <w:jc w:val="both"/>
        <w:rPr>
          <w:rFonts w:cs="Segoe UI"/>
        </w:rPr>
      </w:pPr>
    </w:p>
    <w:p w:rsidR="007C764B" w:rsidRPr="00AF5677" w:rsidRDefault="007C764B" w:rsidP="00CF2827">
      <w:pPr>
        <w:spacing w:line="480" w:lineRule="auto"/>
        <w:jc w:val="both"/>
        <w:rPr>
          <w:rFonts w:cs="Segoe UI"/>
        </w:rPr>
      </w:pPr>
    </w:p>
    <w:p w:rsidR="007C764B" w:rsidRPr="00AF5677" w:rsidRDefault="007C764B" w:rsidP="00CF2827">
      <w:pPr>
        <w:spacing w:line="480" w:lineRule="auto"/>
        <w:jc w:val="both"/>
        <w:rPr>
          <w:rFonts w:cs="Segoe UI"/>
        </w:rPr>
      </w:pPr>
    </w:p>
    <w:p w:rsidR="007C764B" w:rsidRPr="00AF5677" w:rsidRDefault="007C764B" w:rsidP="00CF2827">
      <w:pPr>
        <w:spacing w:line="480" w:lineRule="auto"/>
        <w:jc w:val="both"/>
        <w:rPr>
          <w:rFonts w:cs="Segoe UI"/>
        </w:rPr>
      </w:pPr>
    </w:p>
    <w:p w:rsidR="007C764B" w:rsidRPr="00AF5677" w:rsidRDefault="007C764B" w:rsidP="00CF2827">
      <w:pPr>
        <w:spacing w:line="480" w:lineRule="auto"/>
        <w:jc w:val="both"/>
        <w:rPr>
          <w:rFonts w:cs="Segoe UI"/>
        </w:rPr>
      </w:pPr>
    </w:p>
    <w:p w:rsidR="007C764B" w:rsidRPr="00AF5677" w:rsidRDefault="007C764B" w:rsidP="00CF2827">
      <w:pPr>
        <w:spacing w:line="480" w:lineRule="auto"/>
        <w:jc w:val="both"/>
        <w:rPr>
          <w:rFonts w:cs="Segoe UI"/>
        </w:rPr>
      </w:pPr>
    </w:p>
    <w:p w:rsidR="007C764B" w:rsidRPr="00AF5677" w:rsidRDefault="007C764B" w:rsidP="00CF2827">
      <w:pPr>
        <w:spacing w:line="480" w:lineRule="auto"/>
        <w:jc w:val="both"/>
        <w:rPr>
          <w:rFonts w:cs="Segoe UI"/>
        </w:rPr>
      </w:pPr>
      <w:r w:rsidRPr="00AF5677">
        <w:rPr>
          <w:rFonts w:cs="Segoe UI"/>
        </w:rPr>
        <w:lastRenderedPageBreak/>
        <w:t>Appendix B</w:t>
      </w:r>
    </w:p>
    <w:p w:rsidR="00CF2827" w:rsidRPr="00AF5677" w:rsidRDefault="00CF2827" w:rsidP="00CF2827">
      <w:pPr>
        <w:spacing w:line="480" w:lineRule="auto"/>
        <w:jc w:val="both"/>
        <w:rPr>
          <w:rFonts w:cs="Segoe UI"/>
        </w:rPr>
      </w:pPr>
      <w:r w:rsidRPr="00AF5677">
        <w:rPr>
          <w:rFonts w:cs="Segoe UI"/>
        </w:rPr>
        <w:t>Script for children’s own hunger ratings</w:t>
      </w:r>
      <w:r w:rsidR="00F44E2E" w:rsidRPr="00AF5677">
        <w:rPr>
          <w:rFonts w:cs="Segoe UI"/>
        </w:rPr>
        <w:t xml:space="preserve"> Study 1</w:t>
      </w:r>
      <w:r w:rsidRPr="00AF5677">
        <w:rPr>
          <w:rFonts w:cs="Segoe UI"/>
        </w:rPr>
        <w:t xml:space="preserve">: </w:t>
      </w:r>
    </w:p>
    <w:p w:rsidR="00CF2827" w:rsidRPr="00AF5677" w:rsidRDefault="00CF2827" w:rsidP="00CF2827">
      <w:pPr>
        <w:spacing w:line="480" w:lineRule="auto"/>
        <w:jc w:val="both"/>
        <w:rPr>
          <w:rFonts w:cs="Segoe UI"/>
        </w:rPr>
      </w:pPr>
      <w:r w:rsidRPr="00AF5677">
        <w:rPr>
          <w:rFonts w:cs="Segoe UI"/>
        </w:rPr>
        <w:t>“Now that you’ve heard about the story of Teddy the Bear I was wondering if you could tell me about how hungry you are feeling right now. If you think about your own tummy and how empty or full it is right now, which Teddy would you say shows me how hungry or how full you are feeling. There is no right or wrong answer; this is just about how you feel.” (Brief pause followed by restating all the scale points).</w:t>
      </w:r>
    </w:p>
    <w:p w:rsidR="00F44E2E" w:rsidRPr="00AF5677" w:rsidRDefault="008324AA" w:rsidP="00CF2827">
      <w:pPr>
        <w:spacing w:line="480" w:lineRule="auto"/>
      </w:pPr>
      <w:r w:rsidRPr="00AF5677">
        <w:t xml:space="preserve">                                        </w:t>
      </w:r>
    </w:p>
    <w:p w:rsidR="00F44E2E" w:rsidRPr="00AF5677" w:rsidRDefault="00F44E2E" w:rsidP="00F44E2E">
      <w:pPr>
        <w:spacing w:line="480" w:lineRule="auto"/>
        <w:jc w:val="both"/>
        <w:rPr>
          <w:rFonts w:cs="Segoe UI"/>
        </w:rPr>
      </w:pPr>
      <w:r w:rsidRPr="00AF5677">
        <w:rPr>
          <w:rFonts w:cs="Segoe UI"/>
        </w:rPr>
        <w:t xml:space="preserve">Script for children’s own hunger ratings Study 2: </w:t>
      </w:r>
    </w:p>
    <w:p w:rsidR="00F44E2E" w:rsidRPr="00AF5677" w:rsidRDefault="00F44E2E" w:rsidP="00F44E2E">
      <w:pPr>
        <w:spacing w:line="480" w:lineRule="auto"/>
        <w:jc w:val="both"/>
        <w:rPr>
          <w:rFonts w:cs="Segoe UI"/>
        </w:rPr>
      </w:pPr>
      <w:r w:rsidRPr="00AF5677">
        <w:rPr>
          <w:rFonts w:cs="Segoe UI"/>
        </w:rPr>
        <w:t>Before lunch/First rating - “Now that you’ve heard about the story of Teddy the Bear I was wondering if you could tell me about how hungry you are feeling right now. If you think about your own tummy and how empty or full it is right now, which Teddy would you say shows me how hungry or how full you are feeling. There is no right or wrong answer; this is just about how you feel.” (Brief pause followed by restating all the scale points).</w:t>
      </w:r>
    </w:p>
    <w:p w:rsidR="00F44E2E" w:rsidRPr="00AF5677" w:rsidRDefault="00F44E2E" w:rsidP="00F44E2E">
      <w:pPr>
        <w:spacing w:line="480" w:lineRule="auto"/>
        <w:jc w:val="both"/>
        <w:rPr>
          <w:rFonts w:cs="Segoe UI"/>
        </w:rPr>
      </w:pPr>
      <w:r w:rsidRPr="00AF5677">
        <w:rPr>
          <w:rFonts w:cs="Segoe UI"/>
        </w:rPr>
        <w:t>After lunch – If you think about your own tummy and how empty or full it is right now, which Teddy would you say shows me how hungry or how full you are feeling. There is no right or wrong answer; this is just about how you feel.” (Brief pause followed by restating all the scale points).</w:t>
      </w:r>
    </w:p>
    <w:p w:rsidR="00F44E2E" w:rsidRPr="00AF5677" w:rsidRDefault="00F44E2E" w:rsidP="00F44E2E">
      <w:pPr>
        <w:spacing w:line="480" w:lineRule="auto"/>
        <w:jc w:val="both"/>
        <w:rPr>
          <w:rFonts w:cs="Segoe UI"/>
        </w:rPr>
      </w:pPr>
    </w:p>
    <w:p w:rsidR="00F44E2E" w:rsidRPr="00AF5677" w:rsidRDefault="00F44E2E" w:rsidP="00F44E2E">
      <w:pPr>
        <w:spacing w:line="480" w:lineRule="auto"/>
        <w:jc w:val="both"/>
        <w:rPr>
          <w:rFonts w:cs="Segoe UI"/>
        </w:rPr>
      </w:pPr>
      <w:r w:rsidRPr="00AF5677">
        <w:rPr>
          <w:rFonts w:cs="Segoe UI"/>
        </w:rPr>
        <w:t>Script for children’s own hunger ratings Study 3:</w:t>
      </w:r>
    </w:p>
    <w:p w:rsidR="00F44E2E" w:rsidRPr="00AF5677" w:rsidRDefault="00F44E2E" w:rsidP="00F44E2E">
      <w:pPr>
        <w:spacing w:line="480" w:lineRule="auto"/>
        <w:jc w:val="both"/>
        <w:rPr>
          <w:rFonts w:cs="Segoe UI"/>
        </w:rPr>
      </w:pPr>
      <w:r w:rsidRPr="00AF5677">
        <w:rPr>
          <w:rFonts w:cs="Segoe UI"/>
        </w:rPr>
        <w:t>Before snack - “I was wondering if you could tell me about how hungry you are feeling right now. If you think about your own tummy and how empty or full it is right now, which Teddy would you say shows me how hungry or how full you are feeling. There is no right or wrong answer; this is just about how you feel.” (Brief pause followed by restating all the scale points).</w:t>
      </w:r>
    </w:p>
    <w:p w:rsidR="00014455" w:rsidRDefault="00F44E2E" w:rsidP="00F44E2E">
      <w:pPr>
        <w:spacing w:line="480" w:lineRule="auto"/>
        <w:jc w:val="both"/>
        <w:rPr>
          <w:rFonts w:cs="Segoe UI"/>
        </w:rPr>
      </w:pPr>
      <w:r w:rsidRPr="00AF5677">
        <w:rPr>
          <w:rFonts w:cs="Segoe UI"/>
        </w:rPr>
        <w:t>After lunch – If you think about your own tummy and how empty or full it is right now, which Teddy would you say shows me how hungry or how full you are feeling. There is no right or wrong answer; this is just about how you feel.” (Brief pause followed by restating all the scale points).</w:t>
      </w:r>
    </w:p>
    <w:p w:rsidR="00E264AA" w:rsidRDefault="00E264AA" w:rsidP="00E264AA">
      <w:pPr>
        <w:spacing w:line="480" w:lineRule="auto"/>
        <w:jc w:val="both"/>
      </w:pPr>
      <w:r>
        <w:lastRenderedPageBreak/>
        <w:t>Table 1</w:t>
      </w:r>
    </w:p>
    <w:p w:rsidR="00E264AA" w:rsidRDefault="00E264AA" w:rsidP="00E264AA">
      <w:pPr>
        <w:spacing w:line="480" w:lineRule="auto"/>
        <w:jc w:val="both"/>
        <w:rPr>
          <w:i/>
        </w:rPr>
      </w:pPr>
      <w:r w:rsidRPr="00336AA4">
        <w:rPr>
          <w:i/>
        </w:rPr>
        <w:t xml:space="preserve">Differences </w:t>
      </w:r>
      <w:r>
        <w:rPr>
          <w:i/>
        </w:rPr>
        <w:t>in Hunger/Satiety ratings</w:t>
      </w:r>
      <w:r w:rsidRPr="00336AA4">
        <w:rPr>
          <w:i/>
        </w:rPr>
        <w:t xml:space="preserve"> </w:t>
      </w:r>
      <w:r>
        <w:rPr>
          <w:i/>
        </w:rPr>
        <w:t>between Males (N=20) and Females (N=27)</w:t>
      </w:r>
      <w:r w:rsidRPr="00336AA4">
        <w:rPr>
          <w:i/>
        </w:rPr>
        <w:t xml:space="preserve"> </w:t>
      </w:r>
    </w:p>
    <w:tbl>
      <w:tblPr>
        <w:tblW w:w="0" w:type="auto"/>
        <w:tblBorders>
          <w:top w:val="single" w:sz="4" w:space="0" w:color="auto"/>
          <w:bottom w:val="single" w:sz="4" w:space="0" w:color="auto"/>
        </w:tblBorders>
        <w:tblLook w:val="04A0" w:firstRow="1" w:lastRow="0" w:firstColumn="1" w:lastColumn="0" w:noHBand="0" w:noVBand="1"/>
      </w:tblPr>
      <w:tblGrid>
        <w:gridCol w:w="2081"/>
        <w:gridCol w:w="1855"/>
        <w:gridCol w:w="1984"/>
        <w:gridCol w:w="1843"/>
        <w:gridCol w:w="1479"/>
      </w:tblGrid>
      <w:tr w:rsidR="00E264AA" w:rsidRPr="006A3161" w:rsidTr="00D41B38">
        <w:tc>
          <w:tcPr>
            <w:tcW w:w="2081" w:type="dxa"/>
            <w:shd w:val="clear" w:color="auto" w:fill="auto"/>
          </w:tcPr>
          <w:p w:rsidR="00E264AA" w:rsidRPr="006A3161" w:rsidRDefault="00E742C8" w:rsidP="00D41B38">
            <w:pPr>
              <w:spacing w:line="480" w:lineRule="auto"/>
              <w:jc w:val="both"/>
              <w:rPr>
                <w:rFonts w:cs="Calibri"/>
              </w:rPr>
            </w:pPr>
            <w:r>
              <w:rPr>
                <w:noProof/>
                <w:lang w:eastAsia="en-GB"/>
              </w:rPr>
              <mc:AlternateContent>
                <mc:Choice Requires="wps">
                  <w:drawing>
                    <wp:anchor distT="4294967294" distB="4294967294" distL="114300" distR="114300" simplePos="0" relativeHeight="251659264" behindDoc="0" locked="0" layoutInCell="1" allowOverlap="1">
                      <wp:simplePos x="0" y="0"/>
                      <wp:positionH relativeFrom="column">
                        <wp:posOffset>-60325</wp:posOffset>
                      </wp:positionH>
                      <wp:positionV relativeFrom="paragraph">
                        <wp:posOffset>157479</wp:posOffset>
                      </wp:positionV>
                      <wp:extent cx="5852160" cy="0"/>
                      <wp:effectExtent l="0" t="0" r="3429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straightConnector1">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E9CEDF" id="_x0000_t32" coordsize="21600,21600" o:spt="32" o:oned="t" path="m,l21600,21600e" filled="f">
                      <v:path arrowok="t" fillok="f" o:connecttype="none"/>
                      <o:lock v:ext="edit" shapetype="t"/>
                    </v:shapetype>
                    <v:shape id="AutoShape 4" o:spid="_x0000_s1026" type="#_x0000_t32" style="position:absolute;margin-left:-4.75pt;margin-top:12.4pt;width:460.8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"/>
                  </w:pict>
                </mc:Fallback>
              </mc:AlternateContent>
            </w:r>
            <w:r w:rsidR="00E264AA" w:rsidRPr="006A3161">
              <w:rPr>
                <w:rFonts w:cs="Calibri"/>
              </w:rPr>
              <w:t>Variable</w:t>
            </w:r>
          </w:p>
        </w:tc>
        <w:tc>
          <w:tcPr>
            <w:tcW w:w="1855" w:type="dxa"/>
            <w:shd w:val="clear" w:color="auto" w:fill="auto"/>
          </w:tcPr>
          <w:p w:rsidR="00E264AA" w:rsidRPr="006A3161" w:rsidRDefault="00E264AA" w:rsidP="00D41B38">
            <w:pPr>
              <w:spacing w:line="480" w:lineRule="auto"/>
              <w:jc w:val="both"/>
              <w:rPr>
                <w:rFonts w:ascii="Cambria" w:eastAsia="Times New Roman" w:hAnsi="Cambria" w:cs="Calibri"/>
                <w:i/>
                <w:iCs/>
                <w:color w:val="243F60"/>
              </w:rPr>
            </w:pPr>
            <w:r w:rsidRPr="006A3161">
              <w:rPr>
                <w:rFonts w:cs="Calibri"/>
              </w:rPr>
              <w:t>Males</w:t>
            </w:r>
          </w:p>
        </w:tc>
        <w:tc>
          <w:tcPr>
            <w:tcW w:w="1984" w:type="dxa"/>
            <w:shd w:val="clear" w:color="auto" w:fill="auto"/>
          </w:tcPr>
          <w:p w:rsidR="00E264AA" w:rsidRPr="006A3161" w:rsidRDefault="00E264AA" w:rsidP="00D41B38">
            <w:pPr>
              <w:spacing w:line="480" w:lineRule="auto"/>
              <w:jc w:val="both"/>
              <w:rPr>
                <w:rFonts w:ascii="Cambria" w:eastAsia="Times New Roman" w:hAnsi="Cambria" w:cs="Calibri"/>
                <w:i/>
                <w:iCs/>
                <w:color w:val="243F60"/>
              </w:rPr>
            </w:pPr>
            <w:r w:rsidRPr="006A3161">
              <w:rPr>
                <w:rFonts w:cs="Calibri"/>
              </w:rPr>
              <w:t>Females</w:t>
            </w:r>
          </w:p>
        </w:tc>
        <w:tc>
          <w:tcPr>
            <w:tcW w:w="1843" w:type="dxa"/>
            <w:shd w:val="clear" w:color="auto" w:fill="auto"/>
          </w:tcPr>
          <w:p w:rsidR="00E264AA" w:rsidRPr="006A3161" w:rsidRDefault="00E264AA" w:rsidP="00D41B38">
            <w:pPr>
              <w:spacing w:line="480" w:lineRule="auto"/>
              <w:jc w:val="both"/>
              <w:rPr>
                <w:rFonts w:ascii="Cambria" w:eastAsia="Times New Roman" w:hAnsi="Cambria" w:cs="Calibri"/>
                <w:i/>
                <w:iCs/>
                <w:color w:val="243F60"/>
              </w:rPr>
            </w:pPr>
            <w:r w:rsidRPr="006A3161">
              <w:rPr>
                <w:rFonts w:cs="Calibri"/>
              </w:rPr>
              <w:t>Test statistics</w:t>
            </w:r>
          </w:p>
        </w:tc>
        <w:tc>
          <w:tcPr>
            <w:tcW w:w="1479" w:type="dxa"/>
            <w:shd w:val="clear" w:color="auto" w:fill="auto"/>
          </w:tcPr>
          <w:p w:rsidR="00E264AA" w:rsidRPr="006A3161" w:rsidRDefault="00E264AA" w:rsidP="00D41B38">
            <w:pPr>
              <w:spacing w:line="480" w:lineRule="auto"/>
              <w:jc w:val="both"/>
              <w:rPr>
                <w:rFonts w:ascii="Cambria" w:eastAsia="Times New Roman" w:hAnsi="Cambria" w:cs="Calibri"/>
                <w:i/>
                <w:iCs/>
                <w:color w:val="243F60"/>
              </w:rPr>
            </w:pPr>
            <w:r w:rsidRPr="006A3161">
              <w:rPr>
                <w:rFonts w:cs="Calibri"/>
              </w:rPr>
              <w:t>Significance</w:t>
            </w:r>
          </w:p>
        </w:tc>
      </w:tr>
      <w:tr w:rsidR="00E264AA" w:rsidRPr="006A3161" w:rsidTr="00D41B38">
        <w:tc>
          <w:tcPr>
            <w:tcW w:w="2081" w:type="dxa"/>
            <w:shd w:val="clear" w:color="auto" w:fill="auto"/>
          </w:tcPr>
          <w:p w:rsidR="00E264AA" w:rsidRPr="006A3161" w:rsidRDefault="00E264AA" w:rsidP="00D41B38">
            <w:pPr>
              <w:spacing w:line="480" w:lineRule="auto"/>
              <w:rPr>
                <w:rFonts w:ascii="Cambria" w:eastAsia="Times New Roman" w:hAnsi="Cambria" w:cs="Calibri"/>
                <w:i/>
                <w:iCs/>
                <w:color w:val="243F60"/>
              </w:rPr>
            </w:pPr>
            <w:r w:rsidRPr="006A3161">
              <w:rPr>
                <w:rFonts w:cs="Calibri"/>
              </w:rPr>
              <w:t>Teddy’s hunger pre- meal</w:t>
            </w:r>
          </w:p>
        </w:tc>
        <w:tc>
          <w:tcPr>
            <w:tcW w:w="1855" w:type="dxa"/>
            <w:shd w:val="clear" w:color="auto" w:fill="auto"/>
          </w:tcPr>
          <w:p w:rsidR="00E264AA" w:rsidRPr="006A3161" w:rsidRDefault="00E264AA" w:rsidP="00D41B38">
            <w:pPr>
              <w:spacing w:line="480" w:lineRule="auto"/>
              <w:jc w:val="both"/>
              <w:rPr>
                <w:rFonts w:ascii="Cambria" w:eastAsia="Times New Roman" w:hAnsi="Cambria" w:cs="Calibri"/>
                <w:i/>
                <w:iCs/>
                <w:color w:val="243F60"/>
              </w:rPr>
            </w:pPr>
            <w:r w:rsidRPr="006A3161">
              <w:rPr>
                <w:rFonts w:cs="Calibri"/>
                <w:i/>
              </w:rPr>
              <w:t>Mdn</w:t>
            </w:r>
            <w:r w:rsidRPr="006A3161">
              <w:rPr>
                <w:rFonts w:cs="Calibri"/>
              </w:rPr>
              <w:t>=1 (</w:t>
            </w:r>
            <w:r w:rsidRPr="006A3161">
              <w:rPr>
                <w:rFonts w:cs="Calibri"/>
                <w:i/>
              </w:rPr>
              <w:t>IQR</w:t>
            </w:r>
            <w:r w:rsidRPr="006A3161">
              <w:rPr>
                <w:rFonts w:cs="Calibri"/>
              </w:rPr>
              <w:t>=0)</w:t>
            </w:r>
          </w:p>
        </w:tc>
        <w:tc>
          <w:tcPr>
            <w:tcW w:w="1984" w:type="dxa"/>
            <w:shd w:val="clear" w:color="auto" w:fill="auto"/>
          </w:tcPr>
          <w:p w:rsidR="00E264AA" w:rsidRPr="006A3161" w:rsidRDefault="00E264AA" w:rsidP="00D41B38">
            <w:pPr>
              <w:spacing w:line="480" w:lineRule="auto"/>
              <w:jc w:val="both"/>
              <w:rPr>
                <w:rFonts w:ascii="Cambria" w:eastAsia="Times New Roman" w:hAnsi="Cambria" w:cs="Calibri"/>
                <w:i/>
                <w:iCs/>
                <w:color w:val="243F60"/>
              </w:rPr>
            </w:pPr>
            <w:r w:rsidRPr="006A3161">
              <w:rPr>
                <w:rFonts w:cs="Calibri"/>
                <w:i/>
              </w:rPr>
              <w:t>Mdn</w:t>
            </w:r>
            <w:r w:rsidRPr="006A3161">
              <w:rPr>
                <w:rFonts w:cs="Calibri"/>
              </w:rPr>
              <w:t>=1 (</w:t>
            </w:r>
            <w:r w:rsidRPr="006A3161">
              <w:rPr>
                <w:rFonts w:cs="Calibri"/>
                <w:i/>
              </w:rPr>
              <w:t>IQR</w:t>
            </w:r>
            <w:r w:rsidRPr="006A3161">
              <w:rPr>
                <w:rFonts w:cs="Calibri"/>
              </w:rPr>
              <w:t>=1)</w:t>
            </w:r>
          </w:p>
        </w:tc>
        <w:tc>
          <w:tcPr>
            <w:tcW w:w="1843" w:type="dxa"/>
            <w:shd w:val="clear" w:color="auto" w:fill="auto"/>
          </w:tcPr>
          <w:p w:rsidR="00E264AA" w:rsidRPr="006A3161" w:rsidRDefault="00E264AA" w:rsidP="00D41B38">
            <w:pPr>
              <w:spacing w:line="480" w:lineRule="auto"/>
              <w:jc w:val="both"/>
              <w:rPr>
                <w:rFonts w:ascii="Cambria" w:eastAsia="Times New Roman" w:hAnsi="Cambria" w:cs="Calibri"/>
                <w:i/>
                <w:iCs/>
                <w:color w:val="243F60"/>
              </w:rPr>
            </w:pPr>
            <w:r w:rsidRPr="006A3161">
              <w:rPr>
                <w:rFonts w:cs="Calibri"/>
                <w:i/>
              </w:rPr>
              <w:t>U</w:t>
            </w:r>
            <w:r w:rsidRPr="006A3161">
              <w:rPr>
                <w:rFonts w:cs="Calibri"/>
              </w:rPr>
              <w:t xml:space="preserve">=195.5, </w:t>
            </w:r>
            <w:r w:rsidRPr="006A3161">
              <w:rPr>
                <w:rFonts w:cs="Calibri"/>
                <w:i/>
              </w:rPr>
              <w:t>z</w:t>
            </w:r>
            <w:r w:rsidRPr="006A3161">
              <w:rPr>
                <w:rFonts w:cs="Calibri"/>
              </w:rPr>
              <w:t>=-2.07</w:t>
            </w:r>
          </w:p>
        </w:tc>
        <w:tc>
          <w:tcPr>
            <w:tcW w:w="1479" w:type="dxa"/>
            <w:shd w:val="clear" w:color="auto" w:fill="auto"/>
          </w:tcPr>
          <w:p w:rsidR="00E264AA" w:rsidRPr="006A3161" w:rsidRDefault="00E264AA" w:rsidP="00D41B38">
            <w:pPr>
              <w:spacing w:line="480" w:lineRule="auto"/>
              <w:jc w:val="both"/>
              <w:rPr>
                <w:rFonts w:ascii="Cambria" w:eastAsia="Times New Roman" w:hAnsi="Cambria" w:cs="Calibri"/>
                <w:i/>
                <w:iCs/>
                <w:color w:val="243F60"/>
              </w:rPr>
            </w:pPr>
            <w:r w:rsidRPr="006A3161">
              <w:rPr>
                <w:rFonts w:cs="Calibri"/>
                <w:i/>
              </w:rPr>
              <w:t>p</w:t>
            </w:r>
            <w:r w:rsidRPr="006A3161">
              <w:rPr>
                <w:rFonts w:cs="Calibri"/>
              </w:rPr>
              <w:t>=.039; F&gt;M</w:t>
            </w:r>
          </w:p>
        </w:tc>
      </w:tr>
      <w:tr w:rsidR="00E264AA" w:rsidRPr="006A3161" w:rsidTr="00D41B38">
        <w:tc>
          <w:tcPr>
            <w:tcW w:w="2081" w:type="dxa"/>
            <w:shd w:val="clear" w:color="auto" w:fill="auto"/>
          </w:tcPr>
          <w:p w:rsidR="00E264AA" w:rsidRPr="006A3161" w:rsidRDefault="00E264AA" w:rsidP="00D41B38">
            <w:pPr>
              <w:spacing w:line="480" w:lineRule="auto"/>
              <w:rPr>
                <w:rFonts w:ascii="Cambria" w:eastAsia="Times New Roman" w:hAnsi="Cambria" w:cs="Calibri"/>
                <w:i/>
                <w:iCs/>
                <w:color w:val="243F60"/>
              </w:rPr>
            </w:pPr>
            <w:r w:rsidRPr="006A3161">
              <w:rPr>
                <w:rFonts w:cs="Calibri"/>
              </w:rPr>
              <w:t>Teddy ’s hunger post-meal</w:t>
            </w:r>
          </w:p>
        </w:tc>
        <w:tc>
          <w:tcPr>
            <w:tcW w:w="1855" w:type="dxa"/>
            <w:shd w:val="clear" w:color="auto" w:fill="auto"/>
          </w:tcPr>
          <w:p w:rsidR="00E264AA" w:rsidRPr="006A3161" w:rsidRDefault="00E264AA" w:rsidP="00D41B38">
            <w:pPr>
              <w:spacing w:line="480" w:lineRule="auto"/>
              <w:jc w:val="both"/>
              <w:rPr>
                <w:rFonts w:ascii="Cambria" w:eastAsia="Times New Roman" w:hAnsi="Cambria" w:cs="Calibri"/>
                <w:i/>
                <w:iCs/>
                <w:color w:val="243F60"/>
              </w:rPr>
            </w:pPr>
            <w:r w:rsidRPr="006A3161">
              <w:rPr>
                <w:rFonts w:cs="Calibri"/>
                <w:i/>
              </w:rPr>
              <w:t>Mdn</w:t>
            </w:r>
            <w:r w:rsidRPr="006A3161">
              <w:rPr>
                <w:rFonts w:cs="Calibri"/>
              </w:rPr>
              <w:t>=5 (</w:t>
            </w:r>
            <w:r w:rsidRPr="006A3161">
              <w:rPr>
                <w:rFonts w:cs="Calibri"/>
                <w:i/>
              </w:rPr>
              <w:t>IQR</w:t>
            </w:r>
            <w:r w:rsidRPr="006A3161">
              <w:rPr>
                <w:rFonts w:cs="Calibri"/>
              </w:rPr>
              <w:t>=0)</w:t>
            </w:r>
          </w:p>
        </w:tc>
        <w:tc>
          <w:tcPr>
            <w:tcW w:w="1984" w:type="dxa"/>
            <w:shd w:val="clear" w:color="auto" w:fill="auto"/>
          </w:tcPr>
          <w:p w:rsidR="00E264AA" w:rsidRPr="006A3161" w:rsidRDefault="00E264AA" w:rsidP="00D41B38">
            <w:pPr>
              <w:spacing w:line="480" w:lineRule="auto"/>
              <w:jc w:val="both"/>
              <w:rPr>
                <w:rFonts w:ascii="Cambria" w:eastAsia="Times New Roman" w:hAnsi="Cambria" w:cs="Calibri"/>
                <w:i/>
                <w:iCs/>
                <w:color w:val="243F60"/>
              </w:rPr>
            </w:pPr>
            <w:r w:rsidRPr="006A3161">
              <w:rPr>
                <w:rFonts w:cs="Calibri"/>
                <w:i/>
              </w:rPr>
              <w:t>Mdn</w:t>
            </w:r>
            <w:r w:rsidRPr="006A3161">
              <w:rPr>
                <w:rFonts w:cs="Calibri"/>
              </w:rPr>
              <w:t>=5 (</w:t>
            </w:r>
            <w:r w:rsidRPr="006A3161">
              <w:rPr>
                <w:rFonts w:cs="Calibri"/>
                <w:i/>
              </w:rPr>
              <w:t>IQR</w:t>
            </w:r>
            <w:r w:rsidRPr="006A3161">
              <w:rPr>
                <w:rFonts w:cs="Calibri"/>
              </w:rPr>
              <w:t>=0)</w:t>
            </w:r>
          </w:p>
        </w:tc>
        <w:tc>
          <w:tcPr>
            <w:tcW w:w="1843" w:type="dxa"/>
            <w:shd w:val="clear" w:color="auto" w:fill="auto"/>
          </w:tcPr>
          <w:p w:rsidR="00E264AA" w:rsidRPr="006A3161" w:rsidRDefault="00E264AA" w:rsidP="00D41B38">
            <w:pPr>
              <w:spacing w:line="480" w:lineRule="auto"/>
              <w:jc w:val="both"/>
              <w:rPr>
                <w:rFonts w:ascii="Cambria" w:eastAsia="Times New Roman" w:hAnsi="Cambria" w:cs="Calibri"/>
                <w:i/>
                <w:iCs/>
                <w:color w:val="243F60"/>
              </w:rPr>
            </w:pPr>
            <w:r w:rsidRPr="006A3161">
              <w:rPr>
                <w:rFonts w:cs="Calibri"/>
                <w:i/>
              </w:rPr>
              <w:t>U</w:t>
            </w:r>
            <w:r w:rsidRPr="006A3161">
              <w:rPr>
                <w:rFonts w:cs="Calibri"/>
              </w:rPr>
              <w:t xml:space="preserve">=240, </w:t>
            </w:r>
            <w:r w:rsidRPr="006A3161">
              <w:rPr>
                <w:rFonts w:cs="Calibri"/>
                <w:i/>
              </w:rPr>
              <w:t>z</w:t>
            </w:r>
            <w:r w:rsidRPr="006A3161">
              <w:rPr>
                <w:rFonts w:cs="Calibri"/>
              </w:rPr>
              <w:t>=-.71</w:t>
            </w:r>
          </w:p>
        </w:tc>
        <w:tc>
          <w:tcPr>
            <w:tcW w:w="1479" w:type="dxa"/>
            <w:shd w:val="clear" w:color="auto" w:fill="auto"/>
          </w:tcPr>
          <w:p w:rsidR="00E264AA" w:rsidRPr="006A3161" w:rsidRDefault="00E264AA" w:rsidP="00D41B38">
            <w:pPr>
              <w:spacing w:line="480" w:lineRule="auto"/>
              <w:jc w:val="both"/>
              <w:rPr>
                <w:rFonts w:ascii="Cambria" w:eastAsia="Times New Roman" w:hAnsi="Cambria" w:cs="Calibri"/>
                <w:i/>
                <w:iCs/>
                <w:color w:val="243F60"/>
              </w:rPr>
            </w:pPr>
            <w:r w:rsidRPr="006A3161">
              <w:rPr>
                <w:rFonts w:cs="Calibri"/>
                <w:i/>
              </w:rPr>
              <w:t>p</w:t>
            </w:r>
            <w:r w:rsidRPr="006A3161">
              <w:rPr>
                <w:rFonts w:cs="Calibri"/>
              </w:rPr>
              <w:t>=.478</w:t>
            </w:r>
          </w:p>
        </w:tc>
      </w:tr>
      <w:tr w:rsidR="00E264AA" w:rsidRPr="006A3161" w:rsidTr="00D41B38">
        <w:tc>
          <w:tcPr>
            <w:tcW w:w="2081" w:type="dxa"/>
            <w:shd w:val="clear" w:color="auto" w:fill="auto"/>
          </w:tcPr>
          <w:p w:rsidR="00E264AA" w:rsidRPr="006A3161" w:rsidRDefault="00E264AA" w:rsidP="00D41B38">
            <w:pPr>
              <w:spacing w:line="480" w:lineRule="auto"/>
              <w:rPr>
                <w:rFonts w:ascii="Cambria" w:eastAsia="Times New Roman" w:hAnsi="Cambria" w:cs="Calibri"/>
                <w:i/>
                <w:iCs/>
                <w:color w:val="243F60"/>
                <w:sz w:val="16"/>
                <w:szCs w:val="16"/>
                <w:vertAlign w:val="superscript"/>
              </w:rPr>
            </w:pPr>
            <w:r w:rsidRPr="006A3161">
              <w:rPr>
                <w:rFonts w:cs="Calibri"/>
              </w:rPr>
              <w:t>Child’s current hunger</w:t>
            </w:r>
            <w:r w:rsidRPr="006A3161">
              <w:rPr>
                <w:rFonts w:cs="Calibri"/>
                <w:vertAlign w:val="superscript"/>
              </w:rPr>
              <w:t>1</w:t>
            </w:r>
          </w:p>
        </w:tc>
        <w:tc>
          <w:tcPr>
            <w:tcW w:w="1855" w:type="dxa"/>
            <w:shd w:val="clear" w:color="auto" w:fill="auto"/>
          </w:tcPr>
          <w:p w:rsidR="00E264AA" w:rsidRPr="006A3161" w:rsidRDefault="00E264AA" w:rsidP="00D41B38">
            <w:pPr>
              <w:spacing w:line="480" w:lineRule="auto"/>
              <w:jc w:val="both"/>
              <w:rPr>
                <w:rFonts w:ascii="Cambria" w:eastAsia="Times New Roman" w:hAnsi="Cambria" w:cs="Calibri"/>
                <w:i/>
                <w:iCs/>
                <w:color w:val="243F60"/>
                <w:sz w:val="16"/>
                <w:szCs w:val="16"/>
              </w:rPr>
            </w:pPr>
            <w:r w:rsidRPr="006A3161">
              <w:rPr>
                <w:rFonts w:cs="Calibri"/>
                <w:i/>
              </w:rPr>
              <w:t>M</w:t>
            </w:r>
            <w:r w:rsidRPr="006A3161">
              <w:rPr>
                <w:rFonts w:cs="Calibri"/>
              </w:rPr>
              <w:t>=2.2 (</w:t>
            </w:r>
            <w:r w:rsidRPr="006A3161">
              <w:rPr>
                <w:rFonts w:cs="Calibri"/>
                <w:i/>
              </w:rPr>
              <w:t>SD</w:t>
            </w:r>
            <w:r w:rsidRPr="006A3161">
              <w:rPr>
                <w:rFonts w:cs="Calibri"/>
              </w:rPr>
              <w:t>=1.4)</w:t>
            </w:r>
          </w:p>
        </w:tc>
        <w:tc>
          <w:tcPr>
            <w:tcW w:w="1984" w:type="dxa"/>
            <w:shd w:val="clear" w:color="auto" w:fill="auto"/>
          </w:tcPr>
          <w:p w:rsidR="00E264AA" w:rsidRPr="006A3161" w:rsidRDefault="00E264AA" w:rsidP="00D41B38">
            <w:pPr>
              <w:spacing w:line="480" w:lineRule="auto"/>
              <w:jc w:val="both"/>
              <w:rPr>
                <w:rFonts w:ascii="Cambria" w:eastAsia="Times New Roman" w:hAnsi="Cambria" w:cs="Calibri"/>
                <w:i/>
                <w:iCs/>
                <w:color w:val="243F60"/>
                <w:sz w:val="16"/>
                <w:szCs w:val="16"/>
              </w:rPr>
            </w:pPr>
            <w:r w:rsidRPr="006A3161">
              <w:rPr>
                <w:rFonts w:cs="Calibri"/>
                <w:i/>
              </w:rPr>
              <w:t>M</w:t>
            </w:r>
            <w:r w:rsidRPr="006A3161">
              <w:rPr>
                <w:rFonts w:cs="Calibri"/>
              </w:rPr>
              <w:t>=2.65 (</w:t>
            </w:r>
            <w:r w:rsidRPr="006A3161">
              <w:rPr>
                <w:rFonts w:cs="Calibri"/>
                <w:i/>
              </w:rPr>
              <w:t>SD</w:t>
            </w:r>
            <w:r w:rsidRPr="006A3161">
              <w:rPr>
                <w:rFonts w:cs="Calibri"/>
              </w:rPr>
              <w:t>=1.13)</w:t>
            </w:r>
          </w:p>
        </w:tc>
        <w:tc>
          <w:tcPr>
            <w:tcW w:w="1843" w:type="dxa"/>
            <w:shd w:val="clear" w:color="auto" w:fill="auto"/>
          </w:tcPr>
          <w:p w:rsidR="00E264AA" w:rsidRPr="006A3161" w:rsidRDefault="00E264AA" w:rsidP="00D41B38">
            <w:pPr>
              <w:spacing w:line="480" w:lineRule="auto"/>
              <w:jc w:val="both"/>
              <w:rPr>
                <w:rFonts w:ascii="Cambria" w:eastAsia="Times New Roman" w:hAnsi="Cambria" w:cs="Calibri"/>
                <w:i/>
                <w:iCs/>
                <w:color w:val="243F60"/>
                <w:sz w:val="16"/>
                <w:szCs w:val="16"/>
              </w:rPr>
            </w:pPr>
            <w:r w:rsidRPr="006A3161">
              <w:rPr>
                <w:rFonts w:cs="Calibri"/>
                <w:i/>
              </w:rPr>
              <w:t>t</w:t>
            </w:r>
            <w:r w:rsidRPr="006A3161">
              <w:rPr>
                <w:rFonts w:cs="Calibri"/>
              </w:rPr>
              <w:t>=1.22</w:t>
            </w:r>
          </w:p>
        </w:tc>
        <w:tc>
          <w:tcPr>
            <w:tcW w:w="1479" w:type="dxa"/>
            <w:shd w:val="clear" w:color="auto" w:fill="auto"/>
          </w:tcPr>
          <w:p w:rsidR="00E264AA" w:rsidRPr="006A3161" w:rsidRDefault="00E264AA" w:rsidP="00D41B38">
            <w:pPr>
              <w:spacing w:line="480" w:lineRule="auto"/>
              <w:jc w:val="both"/>
              <w:rPr>
                <w:rFonts w:ascii="Cambria" w:eastAsia="Times New Roman" w:hAnsi="Cambria" w:cs="Calibri"/>
                <w:i/>
                <w:iCs/>
                <w:color w:val="243F60"/>
                <w:sz w:val="16"/>
                <w:szCs w:val="16"/>
              </w:rPr>
            </w:pPr>
            <w:r w:rsidRPr="006A3161">
              <w:rPr>
                <w:rFonts w:cs="Calibri"/>
                <w:i/>
              </w:rPr>
              <w:t>p</w:t>
            </w:r>
            <w:r w:rsidRPr="006A3161">
              <w:rPr>
                <w:rFonts w:cs="Calibri"/>
              </w:rPr>
              <w:t>=.23</w:t>
            </w:r>
          </w:p>
        </w:tc>
      </w:tr>
    </w:tbl>
    <w:p w:rsidR="00E264AA" w:rsidRDefault="00E264AA" w:rsidP="00E264AA">
      <w:pPr>
        <w:spacing w:line="480" w:lineRule="auto"/>
      </w:pPr>
      <w:r>
        <w:rPr>
          <w:vertAlign w:val="superscript"/>
        </w:rPr>
        <w:t>1</w:t>
      </w:r>
      <w:r>
        <w:t xml:space="preserve">The variable “Child’s current hunger” was normally distributed. Mean and SD are therefore provided and an independent samples </w:t>
      </w:r>
      <w:r w:rsidRPr="00F30ADE">
        <w:rPr>
          <w:i/>
        </w:rPr>
        <w:t>t</w:t>
      </w:r>
      <w:r>
        <w:t>-test was carried out.</w:t>
      </w:r>
    </w:p>
    <w:p w:rsidR="00E264AA" w:rsidRDefault="00E264AA" w:rsidP="00E264AA"/>
    <w:p w:rsidR="00E264AA" w:rsidRDefault="00E264AA" w:rsidP="00E264AA"/>
    <w:p w:rsidR="00E264AA" w:rsidRDefault="00E264AA" w:rsidP="00E264AA"/>
    <w:p w:rsidR="00E264AA" w:rsidRDefault="00E264AA" w:rsidP="00E264AA"/>
    <w:p w:rsidR="00E264AA" w:rsidRDefault="00E264AA" w:rsidP="00E264AA"/>
    <w:p w:rsidR="00E264AA" w:rsidRDefault="00E264AA" w:rsidP="00E264AA"/>
    <w:p w:rsidR="00E264AA" w:rsidRDefault="00E264AA" w:rsidP="00E264AA"/>
    <w:p w:rsidR="00E264AA" w:rsidRDefault="00E264AA" w:rsidP="00E264AA"/>
    <w:p w:rsidR="00E264AA" w:rsidRDefault="00E264AA" w:rsidP="00E264AA"/>
    <w:p w:rsidR="00E264AA" w:rsidRDefault="00E264AA" w:rsidP="00E264AA"/>
    <w:p w:rsidR="00E264AA" w:rsidRDefault="00E264AA" w:rsidP="00E264AA"/>
    <w:p w:rsidR="00E264AA" w:rsidRDefault="00E264AA" w:rsidP="00E264AA"/>
    <w:p w:rsidR="00E264AA" w:rsidRDefault="00E264AA" w:rsidP="00E264AA"/>
    <w:p w:rsidR="00E264AA" w:rsidRDefault="00E264AA" w:rsidP="00E264AA"/>
    <w:p w:rsidR="00E264AA" w:rsidRDefault="00E264AA" w:rsidP="00E264AA"/>
    <w:p w:rsidR="00E264AA" w:rsidRDefault="00E264AA" w:rsidP="00E264AA"/>
    <w:p w:rsidR="00E264AA" w:rsidRDefault="00E264AA" w:rsidP="00E264AA"/>
    <w:p w:rsidR="00E264AA" w:rsidRDefault="00E264AA" w:rsidP="00E264AA"/>
    <w:p w:rsidR="00E264AA" w:rsidRDefault="00E264AA" w:rsidP="00E264AA"/>
    <w:p w:rsidR="00E264AA" w:rsidRDefault="00E264AA" w:rsidP="00E264AA"/>
    <w:p w:rsidR="00E264AA" w:rsidRDefault="00E264AA" w:rsidP="00E264AA"/>
    <w:p w:rsidR="00E264AA" w:rsidRDefault="00E264AA" w:rsidP="00E264AA"/>
    <w:p w:rsidR="00E264AA" w:rsidRDefault="00E264AA" w:rsidP="00E264AA"/>
    <w:p w:rsidR="00E264AA" w:rsidRDefault="00E264AA" w:rsidP="00E264AA"/>
    <w:p w:rsidR="00E264AA" w:rsidRDefault="00E264AA" w:rsidP="00E264AA"/>
    <w:p w:rsidR="00E264AA" w:rsidRDefault="00E264AA" w:rsidP="00E264AA"/>
    <w:p w:rsidR="00E264AA" w:rsidRDefault="00E264AA" w:rsidP="00E264AA"/>
    <w:p w:rsidR="00E264AA" w:rsidRDefault="00E264AA" w:rsidP="00E264AA"/>
    <w:p w:rsidR="00E264AA" w:rsidRDefault="00E264AA" w:rsidP="00E264AA"/>
    <w:p w:rsidR="00E264AA" w:rsidRDefault="00E264AA" w:rsidP="00E264AA">
      <w:pPr>
        <w:spacing w:line="480" w:lineRule="auto"/>
        <w:jc w:val="both"/>
      </w:pPr>
      <w:r>
        <w:lastRenderedPageBreak/>
        <w:t>Table 2</w:t>
      </w:r>
    </w:p>
    <w:p w:rsidR="00E264AA" w:rsidRPr="00472B08" w:rsidRDefault="00E264AA" w:rsidP="00E264AA">
      <w:pPr>
        <w:spacing w:line="480" w:lineRule="auto"/>
        <w:jc w:val="both"/>
        <w:rPr>
          <w:i/>
        </w:rPr>
      </w:pPr>
      <w:r w:rsidRPr="00336AA4">
        <w:rPr>
          <w:i/>
        </w:rPr>
        <w:t xml:space="preserve">Differences </w:t>
      </w:r>
      <w:r>
        <w:rPr>
          <w:i/>
        </w:rPr>
        <w:t>in Hunger/Satiety ratings</w:t>
      </w:r>
      <w:r w:rsidRPr="00336AA4">
        <w:rPr>
          <w:i/>
        </w:rPr>
        <w:t xml:space="preserve"> </w:t>
      </w:r>
      <w:r>
        <w:rPr>
          <w:i/>
        </w:rPr>
        <w:t>between Males (N=28) and Females (N=23)</w:t>
      </w:r>
      <w:r w:rsidRPr="00336AA4">
        <w:rPr>
          <w:i/>
        </w:rPr>
        <w:t xml:space="preserve"> </w:t>
      </w:r>
    </w:p>
    <w:tbl>
      <w:tblPr>
        <w:tblW w:w="0" w:type="auto"/>
        <w:tblBorders>
          <w:top w:val="single" w:sz="4" w:space="0" w:color="auto"/>
          <w:bottom w:val="single" w:sz="4" w:space="0" w:color="auto"/>
        </w:tblBorders>
        <w:tblLook w:val="04A0" w:firstRow="1" w:lastRow="0" w:firstColumn="1" w:lastColumn="0" w:noHBand="0" w:noVBand="1"/>
      </w:tblPr>
      <w:tblGrid>
        <w:gridCol w:w="2081"/>
        <w:gridCol w:w="1996"/>
        <w:gridCol w:w="1843"/>
        <w:gridCol w:w="1843"/>
        <w:gridCol w:w="1479"/>
      </w:tblGrid>
      <w:tr w:rsidR="00E264AA" w:rsidRPr="006A3161" w:rsidTr="00D41B38">
        <w:tc>
          <w:tcPr>
            <w:tcW w:w="2081" w:type="dxa"/>
            <w:shd w:val="clear" w:color="auto" w:fill="auto"/>
          </w:tcPr>
          <w:p w:rsidR="00E264AA" w:rsidRPr="006A3161" w:rsidRDefault="00E742C8" w:rsidP="00D41B38">
            <w:pPr>
              <w:spacing w:line="480" w:lineRule="auto"/>
              <w:jc w:val="both"/>
              <w:rPr>
                <w:rFonts w:cs="Calibri"/>
              </w:rPr>
            </w:pPr>
            <w:r>
              <w:rPr>
                <w:noProof/>
                <w:lang w:eastAsia="en-GB"/>
              </w:rPr>
              <mc:AlternateContent>
                <mc:Choice Requires="wps">
                  <w:drawing>
                    <wp:anchor distT="4294967294" distB="4294967294" distL="114300" distR="114300" simplePos="0" relativeHeight="251660288" behindDoc="0" locked="0" layoutInCell="1" allowOverlap="1">
                      <wp:simplePos x="0" y="0"/>
                      <wp:positionH relativeFrom="column">
                        <wp:posOffset>-60325</wp:posOffset>
                      </wp:positionH>
                      <wp:positionV relativeFrom="paragraph">
                        <wp:posOffset>157479</wp:posOffset>
                      </wp:positionV>
                      <wp:extent cx="5852160" cy="0"/>
                      <wp:effectExtent l="0" t="0" r="3429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straightConnector1">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BC0A9" id="AutoShape 6" o:spid="_x0000_s1026" type="#_x0000_t32" style="position:absolute;margin-left:-4.75pt;margin-top:12.4pt;width:460.8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"/>
                  </w:pict>
                </mc:Fallback>
              </mc:AlternateContent>
            </w:r>
            <w:r w:rsidR="00E264AA" w:rsidRPr="006A3161">
              <w:rPr>
                <w:rFonts w:cs="Calibri"/>
              </w:rPr>
              <w:t>Variable</w:t>
            </w:r>
          </w:p>
        </w:tc>
        <w:tc>
          <w:tcPr>
            <w:tcW w:w="1996" w:type="dxa"/>
            <w:shd w:val="clear" w:color="auto" w:fill="auto"/>
          </w:tcPr>
          <w:p w:rsidR="00E264AA" w:rsidRPr="006A3161" w:rsidRDefault="00E264AA" w:rsidP="00D41B38">
            <w:pPr>
              <w:spacing w:line="480" w:lineRule="auto"/>
              <w:jc w:val="both"/>
              <w:rPr>
                <w:rFonts w:ascii="Cambria" w:eastAsia="Times New Roman" w:hAnsi="Cambria" w:cs="Calibri"/>
                <w:i/>
                <w:iCs/>
                <w:color w:val="404040"/>
              </w:rPr>
            </w:pPr>
            <w:r w:rsidRPr="006A3161">
              <w:rPr>
                <w:rFonts w:cs="Calibri"/>
              </w:rPr>
              <w:t>Males</w:t>
            </w:r>
          </w:p>
        </w:tc>
        <w:tc>
          <w:tcPr>
            <w:tcW w:w="1843" w:type="dxa"/>
            <w:shd w:val="clear" w:color="auto" w:fill="auto"/>
          </w:tcPr>
          <w:p w:rsidR="00E264AA" w:rsidRPr="006A3161" w:rsidRDefault="00E264AA" w:rsidP="00D41B38">
            <w:pPr>
              <w:spacing w:line="480" w:lineRule="auto"/>
              <w:jc w:val="both"/>
              <w:rPr>
                <w:rFonts w:ascii="Cambria" w:eastAsia="Times New Roman" w:hAnsi="Cambria" w:cs="Calibri"/>
                <w:i/>
                <w:iCs/>
                <w:color w:val="404040"/>
              </w:rPr>
            </w:pPr>
            <w:r w:rsidRPr="006A3161">
              <w:rPr>
                <w:rFonts w:cs="Calibri"/>
              </w:rPr>
              <w:t>Females</w:t>
            </w:r>
          </w:p>
        </w:tc>
        <w:tc>
          <w:tcPr>
            <w:tcW w:w="1843" w:type="dxa"/>
            <w:shd w:val="clear" w:color="auto" w:fill="auto"/>
          </w:tcPr>
          <w:p w:rsidR="00E264AA" w:rsidRPr="006A3161" w:rsidRDefault="00E264AA" w:rsidP="00D41B38">
            <w:pPr>
              <w:spacing w:line="480" w:lineRule="auto"/>
              <w:jc w:val="both"/>
              <w:rPr>
                <w:rFonts w:ascii="Cambria" w:eastAsia="Times New Roman" w:hAnsi="Cambria" w:cs="Calibri"/>
                <w:i/>
                <w:iCs/>
                <w:color w:val="404040"/>
              </w:rPr>
            </w:pPr>
            <w:r w:rsidRPr="006A3161">
              <w:rPr>
                <w:rFonts w:cs="Calibri"/>
              </w:rPr>
              <w:t>Test statistics</w:t>
            </w:r>
          </w:p>
        </w:tc>
        <w:tc>
          <w:tcPr>
            <w:tcW w:w="1479" w:type="dxa"/>
            <w:shd w:val="clear" w:color="auto" w:fill="auto"/>
          </w:tcPr>
          <w:p w:rsidR="00E264AA" w:rsidRPr="006A3161" w:rsidRDefault="00E264AA" w:rsidP="00D41B38">
            <w:pPr>
              <w:spacing w:line="480" w:lineRule="auto"/>
              <w:jc w:val="both"/>
              <w:rPr>
                <w:rFonts w:ascii="Cambria" w:eastAsia="Times New Roman" w:hAnsi="Cambria" w:cs="Calibri"/>
                <w:i/>
                <w:iCs/>
                <w:color w:val="404040"/>
              </w:rPr>
            </w:pPr>
            <w:r w:rsidRPr="006A3161">
              <w:rPr>
                <w:rFonts w:cs="Calibri"/>
              </w:rPr>
              <w:t>Significance</w:t>
            </w:r>
          </w:p>
        </w:tc>
      </w:tr>
      <w:tr w:rsidR="00E264AA" w:rsidRPr="006A3161" w:rsidTr="00D41B38">
        <w:tc>
          <w:tcPr>
            <w:tcW w:w="2081" w:type="dxa"/>
            <w:shd w:val="clear" w:color="auto" w:fill="auto"/>
          </w:tcPr>
          <w:p w:rsidR="00E264AA" w:rsidRPr="006A3161" w:rsidRDefault="00E264AA" w:rsidP="00D41B38">
            <w:pPr>
              <w:spacing w:line="480" w:lineRule="auto"/>
              <w:rPr>
                <w:rFonts w:ascii="Cambria" w:eastAsia="Times New Roman" w:hAnsi="Cambria" w:cs="Calibri"/>
                <w:i/>
                <w:iCs/>
                <w:color w:val="404040"/>
              </w:rPr>
            </w:pPr>
            <w:r w:rsidRPr="006A3161">
              <w:rPr>
                <w:rFonts w:cs="Calibri"/>
              </w:rPr>
              <w:t>Teddy’s hunger pre-meal</w:t>
            </w:r>
          </w:p>
        </w:tc>
        <w:tc>
          <w:tcPr>
            <w:tcW w:w="1996" w:type="dxa"/>
            <w:shd w:val="clear" w:color="auto" w:fill="auto"/>
          </w:tcPr>
          <w:p w:rsidR="00E264AA" w:rsidRPr="006A3161" w:rsidRDefault="00E264AA" w:rsidP="00D41B38">
            <w:pPr>
              <w:spacing w:line="480" w:lineRule="auto"/>
              <w:jc w:val="both"/>
              <w:rPr>
                <w:rFonts w:ascii="Cambria" w:eastAsia="Times New Roman" w:hAnsi="Cambria" w:cs="Calibri"/>
                <w:i/>
                <w:iCs/>
                <w:color w:val="404040"/>
              </w:rPr>
            </w:pPr>
            <w:r w:rsidRPr="006A3161">
              <w:rPr>
                <w:rFonts w:cs="Calibri"/>
                <w:i/>
              </w:rPr>
              <w:t>Mdn</w:t>
            </w:r>
            <w:r w:rsidRPr="006A3161">
              <w:rPr>
                <w:rFonts w:cs="Calibri"/>
              </w:rPr>
              <w:t>=1 (</w:t>
            </w:r>
            <w:r w:rsidRPr="006A3161">
              <w:rPr>
                <w:rFonts w:cs="Calibri"/>
                <w:i/>
              </w:rPr>
              <w:t>IQR</w:t>
            </w:r>
            <w:r w:rsidRPr="006A3161">
              <w:rPr>
                <w:rFonts w:cs="Calibri"/>
              </w:rPr>
              <w:t>=0)</w:t>
            </w:r>
          </w:p>
        </w:tc>
        <w:tc>
          <w:tcPr>
            <w:tcW w:w="1843" w:type="dxa"/>
            <w:shd w:val="clear" w:color="auto" w:fill="auto"/>
          </w:tcPr>
          <w:p w:rsidR="00E264AA" w:rsidRPr="006A3161" w:rsidRDefault="00E264AA" w:rsidP="00D41B38">
            <w:pPr>
              <w:spacing w:line="480" w:lineRule="auto"/>
              <w:jc w:val="both"/>
              <w:rPr>
                <w:rFonts w:ascii="Cambria" w:eastAsia="Times New Roman" w:hAnsi="Cambria" w:cs="Calibri"/>
                <w:i/>
                <w:iCs/>
                <w:color w:val="404040"/>
              </w:rPr>
            </w:pPr>
            <w:r w:rsidRPr="006A3161">
              <w:rPr>
                <w:rFonts w:cs="Calibri"/>
                <w:i/>
              </w:rPr>
              <w:t>Mdn</w:t>
            </w:r>
            <w:r w:rsidRPr="006A3161">
              <w:rPr>
                <w:rFonts w:cs="Calibri"/>
              </w:rPr>
              <w:t>=1 (=0)</w:t>
            </w:r>
          </w:p>
        </w:tc>
        <w:tc>
          <w:tcPr>
            <w:tcW w:w="1843" w:type="dxa"/>
            <w:shd w:val="clear" w:color="auto" w:fill="auto"/>
          </w:tcPr>
          <w:p w:rsidR="00E264AA" w:rsidRPr="006A3161" w:rsidRDefault="00E264AA" w:rsidP="00D41B38">
            <w:pPr>
              <w:spacing w:line="480" w:lineRule="auto"/>
              <w:jc w:val="both"/>
              <w:rPr>
                <w:rFonts w:ascii="Cambria" w:eastAsia="Times New Roman" w:hAnsi="Cambria" w:cs="Calibri"/>
                <w:i/>
                <w:iCs/>
                <w:color w:val="404040"/>
              </w:rPr>
            </w:pPr>
            <w:r w:rsidRPr="006A3161">
              <w:rPr>
                <w:rFonts w:cs="Calibri"/>
                <w:i/>
              </w:rPr>
              <w:t>U</w:t>
            </w:r>
            <w:r w:rsidRPr="006A3161">
              <w:rPr>
                <w:rFonts w:cs="Calibri"/>
              </w:rPr>
              <w:t xml:space="preserve">=316.5, </w:t>
            </w:r>
            <w:r w:rsidRPr="006A3161">
              <w:rPr>
                <w:rFonts w:cs="Calibri"/>
                <w:i/>
              </w:rPr>
              <w:t>z</w:t>
            </w:r>
            <w:r w:rsidRPr="006A3161">
              <w:rPr>
                <w:rFonts w:cs="Calibri"/>
              </w:rPr>
              <w:t>=-.145</w:t>
            </w:r>
          </w:p>
        </w:tc>
        <w:tc>
          <w:tcPr>
            <w:tcW w:w="1479" w:type="dxa"/>
            <w:shd w:val="clear" w:color="auto" w:fill="auto"/>
          </w:tcPr>
          <w:p w:rsidR="00E264AA" w:rsidRPr="006A3161" w:rsidRDefault="00E264AA" w:rsidP="00D41B38">
            <w:pPr>
              <w:spacing w:line="480" w:lineRule="auto"/>
              <w:jc w:val="both"/>
              <w:rPr>
                <w:rFonts w:ascii="Cambria" w:eastAsia="Times New Roman" w:hAnsi="Cambria" w:cs="Calibri"/>
                <w:i/>
                <w:iCs/>
                <w:color w:val="404040"/>
                <w:sz w:val="16"/>
                <w:szCs w:val="16"/>
              </w:rPr>
            </w:pPr>
            <w:r w:rsidRPr="006A3161">
              <w:rPr>
                <w:rFonts w:cs="Calibri"/>
                <w:i/>
              </w:rPr>
              <w:t>p</w:t>
            </w:r>
            <w:r w:rsidRPr="006A3161">
              <w:rPr>
                <w:rFonts w:cs="Calibri"/>
              </w:rPr>
              <w:t>=.885</w:t>
            </w:r>
          </w:p>
        </w:tc>
      </w:tr>
      <w:tr w:rsidR="00E264AA" w:rsidRPr="006A3161" w:rsidTr="00D41B38">
        <w:tc>
          <w:tcPr>
            <w:tcW w:w="2081" w:type="dxa"/>
            <w:shd w:val="clear" w:color="auto" w:fill="auto"/>
          </w:tcPr>
          <w:p w:rsidR="00E264AA" w:rsidRPr="006A3161" w:rsidRDefault="00E264AA" w:rsidP="00D41B38">
            <w:pPr>
              <w:spacing w:line="480" w:lineRule="auto"/>
              <w:rPr>
                <w:rFonts w:ascii="Cambria" w:eastAsia="Times New Roman" w:hAnsi="Cambria" w:cs="Calibri"/>
                <w:i/>
                <w:iCs/>
                <w:color w:val="404040"/>
                <w:sz w:val="16"/>
                <w:szCs w:val="16"/>
              </w:rPr>
            </w:pPr>
            <w:r w:rsidRPr="006A3161">
              <w:rPr>
                <w:rFonts w:cs="Calibri"/>
              </w:rPr>
              <w:t>Teddy ’s hunger post- meal</w:t>
            </w:r>
          </w:p>
        </w:tc>
        <w:tc>
          <w:tcPr>
            <w:tcW w:w="1996" w:type="dxa"/>
            <w:shd w:val="clear" w:color="auto" w:fill="auto"/>
          </w:tcPr>
          <w:p w:rsidR="00E264AA" w:rsidRPr="006A3161" w:rsidRDefault="00E264AA" w:rsidP="00D41B38">
            <w:pPr>
              <w:spacing w:line="480" w:lineRule="auto"/>
              <w:jc w:val="both"/>
              <w:rPr>
                <w:rFonts w:ascii="Cambria" w:eastAsia="Times New Roman" w:hAnsi="Cambria" w:cs="Calibri"/>
                <w:i/>
                <w:iCs/>
                <w:color w:val="404040"/>
                <w:sz w:val="16"/>
                <w:szCs w:val="16"/>
              </w:rPr>
            </w:pPr>
            <w:r w:rsidRPr="006A3161">
              <w:rPr>
                <w:rFonts w:cs="Calibri"/>
                <w:i/>
              </w:rPr>
              <w:t>Mdn</w:t>
            </w:r>
            <w:r w:rsidRPr="006A3161">
              <w:rPr>
                <w:rFonts w:cs="Calibri"/>
              </w:rPr>
              <w:t>=5 (</w:t>
            </w:r>
            <w:r w:rsidRPr="006A3161">
              <w:rPr>
                <w:rFonts w:cs="Calibri"/>
                <w:i/>
              </w:rPr>
              <w:t>IQR</w:t>
            </w:r>
            <w:r w:rsidRPr="006A3161">
              <w:rPr>
                <w:rFonts w:cs="Calibri"/>
              </w:rPr>
              <w:t>=0.75)</w:t>
            </w:r>
          </w:p>
        </w:tc>
        <w:tc>
          <w:tcPr>
            <w:tcW w:w="1843" w:type="dxa"/>
            <w:shd w:val="clear" w:color="auto" w:fill="auto"/>
          </w:tcPr>
          <w:p w:rsidR="00E264AA" w:rsidRPr="006A3161" w:rsidRDefault="00E264AA" w:rsidP="00D41B38">
            <w:pPr>
              <w:spacing w:line="480" w:lineRule="auto"/>
              <w:jc w:val="both"/>
              <w:rPr>
                <w:rFonts w:ascii="Cambria" w:eastAsia="Times New Roman" w:hAnsi="Cambria" w:cs="Calibri"/>
                <w:i/>
                <w:iCs/>
                <w:color w:val="404040"/>
                <w:sz w:val="16"/>
                <w:szCs w:val="16"/>
              </w:rPr>
            </w:pPr>
            <w:r w:rsidRPr="006A3161">
              <w:rPr>
                <w:rFonts w:cs="Calibri"/>
                <w:i/>
              </w:rPr>
              <w:t>Mdn</w:t>
            </w:r>
            <w:r w:rsidRPr="006A3161">
              <w:rPr>
                <w:rFonts w:cs="Calibri"/>
              </w:rPr>
              <w:t>=5 (</w:t>
            </w:r>
            <w:r w:rsidRPr="006A3161">
              <w:rPr>
                <w:rFonts w:cs="Calibri"/>
                <w:i/>
              </w:rPr>
              <w:t>IQR</w:t>
            </w:r>
            <w:r w:rsidRPr="006A3161">
              <w:rPr>
                <w:rFonts w:cs="Calibri"/>
              </w:rPr>
              <w:t>=1)</w:t>
            </w:r>
          </w:p>
        </w:tc>
        <w:tc>
          <w:tcPr>
            <w:tcW w:w="1843" w:type="dxa"/>
            <w:shd w:val="clear" w:color="auto" w:fill="auto"/>
          </w:tcPr>
          <w:p w:rsidR="00E264AA" w:rsidRPr="006A3161" w:rsidRDefault="00E264AA" w:rsidP="00D41B38">
            <w:pPr>
              <w:spacing w:line="480" w:lineRule="auto"/>
              <w:jc w:val="both"/>
              <w:rPr>
                <w:rFonts w:ascii="Cambria" w:eastAsia="Times New Roman" w:hAnsi="Cambria" w:cs="Calibri"/>
                <w:i/>
                <w:iCs/>
                <w:color w:val="404040"/>
                <w:sz w:val="16"/>
                <w:szCs w:val="16"/>
              </w:rPr>
            </w:pPr>
            <w:r w:rsidRPr="006A3161">
              <w:rPr>
                <w:rFonts w:cs="Calibri"/>
                <w:i/>
              </w:rPr>
              <w:t>U</w:t>
            </w:r>
            <w:r w:rsidRPr="006A3161">
              <w:rPr>
                <w:rFonts w:cs="Calibri"/>
              </w:rPr>
              <w:t xml:space="preserve">=360.5, </w:t>
            </w:r>
            <w:r w:rsidRPr="006A3161">
              <w:rPr>
                <w:rFonts w:cs="Calibri"/>
                <w:i/>
              </w:rPr>
              <w:t>z</w:t>
            </w:r>
            <w:r w:rsidRPr="006A3161">
              <w:rPr>
                <w:rFonts w:cs="Calibri"/>
              </w:rPr>
              <w:t>=.917</w:t>
            </w:r>
          </w:p>
        </w:tc>
        <w:tc>
          <w:tcPr>
            <w:tcW w:w="1479" w:type="dxa"/>
            <w:shd w:val="clear" w:color="auto" w:fill="auto"/>
          </w:tcPr>
          <w:p w:rsidR="00E264AA" w:rsidRPr="006A3161" w:rsidRDefault="00E264AA" w:rsidP="00D41B38">
            <w:pPr>
              <w:spacing w:line="480" w:lineRule="auto"/>
              <w:jc w:val="both"/>
              <w:rPr>
                <w:rFonts w:ascii="Cambria" w:eastAsia="Times New Roman" w:hAnsi="Cambria" w:cs="Calibri"/>
                <w:i/>
                <w:iCs/>
                <w:color w:val="404040"/>
                <w:sz w:val="16"/>
                <w:szCs w:val="16"/>
              </w:rPr>
            </w:pPr>
            <w:r w:rsidRPr="006A3161">
              <w:rPr>
                <w:rFonts w:cs="Calibri"/>
                <w:i/>
              </w:rPr>
              <w:t>p</w:t>
            </w:r>
            <w:r w:rsidRPr="006A3161">
              <w:rPr>
                <w:rFonts w:cs="Calibri"/>
              </w:rPr>
              <w:t>=.359</w:t>
            </w:r>
          </w:p>
        </w:tc>
      </w:tr>
      <w:tr w:rsidR="00E264AA" w:rsidRPr="006A3161" w:rsidTr="00D41B38">
        <w:tc>
          <w:tcPr>
            <w:tcW w:w="2081" w:type="dxa"/>
            <w:shd w:val="clear" w:color="auto" w:fill="auto"/>
          </w:tcPr>
          <w:p w:rsidR="00E264AA" w:rsidRPr="006A3161" w:rsidRDefault="00E264AA" w:rsidP="00D41B38">
            <w:pPr>
              <w:spacing w:line="480" w:lineRule="auto"/>
              <w:rPr>
                <w:rFonts w:ascii="Cambria" w:eastAsia="Times New Roman" w:hAnsi="Cambria" w:cs="Calibri"/>
                <w:i/>
                <w:iCs/>
                <w:color w:val="404040"/>
                <w:sz w:val="16"/>
                <w:szCs w:val="16"/>
              </w:rPr>
            </w:pPr>
            <w:r w:rsidRPr="006A3161">
              <w:rPr>
                <w:rFonts w:cs="Calibri"/>
              </w:rPr>
              <w:t>Child’s hunger pre-lunch</w:t>
            </w:r>
          </w:p>
        </w:tc>
        <w:tc>
          <w:tcPr>
            <w:tcW w:w="1996" w:type="dxa"/>
            <w:shd w:val="clear" w:color="auto" w:fill="auto"/>
          </w:tcPr>
          <w:p w:rsidR="00E264AA" w:rsidRPr="006A3161" w:rsidRDefault="00E264AA" w:rsidP="00D41B38">
            <w:pPr>
              <w:spacing w:line="480" w:lineRule="auto"/>
              <w:jc w:val="both"/>
              <w:rPr>
                <w:rFonts w:ascii="Cambria" w:eastAsia="Times New Roman" w:hAnsi="Cambria" w:cs="Calibri"/>
                <w:i/>
                <w:iCs/>
                <w:color w:val="404040"/>
                <w:sz w:val="16"/>
                <w:szCs w:val="16"/>
              </w:rPr>
            </w:pPr>
            <w:r w:rsidRPr="006A3161">
              <w:rPr>
                <w:rFonts w:cs="Calibri"/>
                <w:i/>
              </w:rPr>
              <w:t>Mdn</w:t>
            </w:r>
            <w:r w:rsidRPr="006A3161">
              <w:rPr>
                <w:rFonts w:cs="Calibri"/>
              </w:rPr>
              <w:t>=1 (</w:t>
            </w:r>
            <w:r w:rsidRPr="006A3161">
              <w:rPr>
                <w:rFonts w:cs="Calibri"/>
                <w:i/>
              </w:rPr>
              <w:t>IQR</w:t>
            </w:r>
            <w:r w:rsidRPr="006A3161">
              <w:rPr>
                <w:rFonts w:cs="Calibri"/>
              </w:rPr>
              <w:t>=2)</w:t>
            </w:r>
          </w:p>
        </w:tc>
        <w:tc>
          <w:tcPr>
            <w:tcW w:w="1843" w:type="dxa"/>
            <w:shd w:val="clear" w:color="auto" w:fill="auto"/>
          </w:tcPr>
          <w:p w:rsidR="00E264AA" w:rsidRPr="006A3161" w:rsidRDefault="00E264AA" w:rsidP="00D41B38">
            <w:pPr>
              <w:spacing w:line="480" w:lineRule="auto"/>
              <w:jc w:val="both"/>
              <w:rPr>
                <w:rFonts w:ascii="Cambria" w:eastAsia="Times New Roman" w:hAnsi="Cambria" w:cs="Calibri"/>
                <w:i/>
                <w:iCs/>
                <w:color w:val="404040"/>
                <w:sz w:val="16"/>
                <w:szCs w:val="16"/>
              </w:rPr>
            </w:pPr>
            <w:r w:rsidRPr="006A3161">
              <w:rPr>
                <w:rFonts w:cs="Calibri"/>
                <w:i/>
              </w:rPr>
              <w:t>Mdn</w:t>
            </w:r>
            <w:r w:rsidRPr="006A3161">
              <w:rPr>
                <w:rFonts w:cs="Calibri"/>
              </w:rPr>
              <w:t>=1 (</w:t>
            </w:r>
            <w:r w:rsidRPr="006A3161">
              <w:rPr>
                <w:rFonts w:cs="Calibri"/>
                <w:i/>
              </w:rPr>
              <w:t>IQR</w:t>
            </w:r>
            <w:r w:rsidRPr="006A3161">
              <w:rPr>
                <w:rFonts w:cs="Calibri"/>
              </w:rPr>
              <w:t>=2)</w:t>
            </w:r>
          </w:p>
        </w:tc>
        <w:tc>
          <w:tcPr>
            <w:tcW w:w="1843" w:type="dxa"/>
            <w:shd w:val="clear" w:color="auto" w:fill="auto"/>
          </w:tcPr>
          <w:p w:rsidR="00E264AA" w:rsidRPr="006A3161" w:rsidRDefault="00E264AA" w:rsidP="00D41B38">
            <w:pPr>
              <w:spacing w:line="480" w:lineRule="auto"/>
              <w:jc w:val="both"/>
              <w:rPr>
                <w:rFonts w:ascii="Cambria" w:eastAsia="Times New Roman" w:hAnsi="Cambria" w:cs="Calibri"/>
                <w:i/>
                <w:iCs/>
                <w:color w:val="404040"/>
                <w:sz w:val="16"/>
                <w:szCs w:val="16"/>
              </w:rPr>
            </w:pPr>
            <w:r w:rsidRPr="006A3161">
              <w:rPr>
                <w:rFonts w:cs="Calibri"/>
                <w:i/>
              </w:rPr>
              <w:t>U</w:t>
            </w:r>
            <w:r w:rsidRPr="006A3161">
              <w:rPr>
                <w:rFonts w:cs="Calibri"/>
              </w:rPr>
              <w:t xml:space="preserve">=337.5, </w:t>
            </w:r>
            <w:r w:rsidRPr="006A3161">
              <w:rPr>
                <w:rFonts w:cs="Calibri"/>
                <w:i/>
              </w:rPr>
              <w:t>z</w:t>
            </w:r>
            <w:r w:rsidRPr="006A3161">
              <w:rPr>
                <w:rFonts w:cs="Calibri"/>
              </w:rPr>
              <w:t>=.326</w:t>
            </w:r>
          </w:p>
        </w:tc>
        <w:tc>
          <w:tcPr>
            <w:tcW w:w="1479" w:type="dxa"/>
            <w:shd w:val="clear" w:color="auto" w:fill="auto"/>
          </w:tcPr>
          <w:p w:rsidR="00E264AA" w:rsidRPr="006A3161" w:rsidRDefault="00E264AA" w:rsidP="00D41B38">
            <w:pPr>
              <w:spacing w:line="480" w:lineRule="auto"/>
              <w:jc w:val="both"/>
              <w:rPr>
                <w:rFonts w:ascii="Cambria" w:eastAsia="Times New Roman" w:hAnsi="Cambria" w:cs="Calibri"/>
                <w:i/>
                <w:iCs/>
                <w:color w:val="404040"/>
                <w:sz w:val="16"/>
                <w:szCs w:val="16"/>
              </w:rPr>
            </w:pPr>
            <w:r w:rsidRPr="006A3161">
              <w:rPr>
                <w:rFonts w:cs="Calibri"/>
                <w:i/>
              </w:rPr>
              <w:t>p</w:t>
            </w:r>
            <w:r w:rsidRPr="006A3161">
              <w:rPr>
                <w:rFonts w:cs="Calibri"/>
              </w:rPr>
              <w:t>=.744</w:t>
            </w:r>
          </w:p>
        </w:tc>
      </w:tr>
      <w:tr w:rsidR="00E264AA" w:rsidRPr="006A3161" w:rsidTr="00D41B38">
        <w:tc>
          <w:tcPr>
            <w:tcW w:w="2081" w:type="dxa"/>
            <w:shd w:val="clear" w:color="auto" w:fill="auto"/>
          </w:tcPr>
          <w:p w:rsidR="00E264AA" w:rsidRPr="006A3161" w:rsidRDefault="00E264AA" w:rsidP="00D41B38">
            <w:pPr>
              <w:spacing w:line="480" w:lineRule="auto"/>
              <w:rPr>
                <w:rFonts w:ascii="Cambria" w:eastAsia="Times New Roman" w:hAnsi="Cambria" w:cs="Calibri"/>
                <w:i/>
                <w:iCs/>
                <w:color w:val="404040"/>
                <w:sz w:val="16"/>
                <w:szCs w:val="16"/>
              </w:rPr>
            </w:pPr>
            <w:r w:rsidRPr="006A3161">
              <w:rPr>
                <w:rFonts w:cs="Calibri"/>
              </w:rPr>
              <w:t>Child’s hunger post-lunch</w:t>
            </w:r>
          </w:p>
        </w:tc>
        <w:tc>
          <w:tcPr>
            <w:tcW w:w="1996" w:type="dxa"/>
            <w:shd w:val="clear" w:color="auto" w:fill="auto"/>
          </w:tcPr>
          <w:p w:rsidR="00E264AA" w:rsidRPr="006A3161" w:rsidRDefault="00E264AA" w:rsidP="00D41B38">
            <w:pPr>
              <w:spacing w:line="480" w:lineRule="auto"/>
              <w:jc w:val="both"/>
              <w:rPr>
                <w:rFonts w:ascii="Cambria" w:eastAsia="Times New Roman" w:hAnsi="Cambria" w:cs="Calibri"/>
                <w:i/>
                <w:iCs/>
                <w:color w:val="404040"/>
                <w:sz w:val="16"/>
                <w:szCs w:val="16"/>
              </w:rPr>
            </w:pPr>
            <w:r w:rsidRPr="006A3161">
              <w:rPr>
                <w:rFonts w:cs="Calibri"/>
                <w:i/>
              </w:rPr>
              <w:t>Mdn</w:t>
            </w:r>
            <w:r w:rsidRPr="006A3161">
              <w:rPr>
                <w:rFonts w:cs="Calibri"/>
              </w:rPr>
              <w:t>=3.5 (</w:t>
            </w:r>
            <w:r w:rsidRPr="006A3161">
              <w:rPr>
                <w:rFonts w:cs="Calibri"/>
                <w:i/>
              </w:rPr>
              <w:t>IQR</w:t>
            </w:r>
            <w:r w:rsidRPr="006A3161">
              <w:rPr>
                <w:rFonts w:cs="Calibri"/>
              </w:rPr>
              <w:t>=2)</w:t>
            </w:r>
          </w:p>
        </w:tc>
        <w:tc>
          <w:tcPr>
            <w:tcW w:w="1843" w:type="dxa"/>
            <w:shd w:val="clear" w:color="auto" w:fill="auto"/>
          </w:tcPr>
          <w:p w:rsidR="00E264AA" w:rsidRPr="006A3161" w:rsidRDefault="00E264AA" w:rsidP="00D41B38">
            <w:pPr>
              <w:spacing w:line="480" w:lineRule="auto"/>
              <w:jc w:val="both"/>
              <w:rPr>
                <w:rFonts w:ascii="Cambria" w:eastAsia="Times New Roman" w:hAnsi="Cambria" w:cs="Calibri"/>
                <w:i/>
                <w:iCs/>
                <w:color w:val="404040"/>
                <w:sz w:val="16"/>
                <w:szCs w:val="16"/>
              </w:rPr>
            </w:pPr>
            <w:r w:rsidRPr="006A3161">
              <w:rPr>
                <w:rFonts w:cs="Calibri"/>
                <w:i/>
              </w:rPr>
              <w:t>Mdn</w:t>
            </w:r>
            <w:r w:rsidRPr="006A3161">
              <w:rPr>
                <w:rFonts w:cs="Calibri"/>
              </w:rPr>
              <w:t>=4 (</w:t>
            </w:r>
            <w:r w:rsidRPr="006A3161">
              <w:rPr>
                <w:rFonts w:cs="Calibri"/>
                <w:i/>
              </w:rPr>
              <w:t>IQR</w:t>
            </w:r>
            <w:r w:rsidRPr="006A3161">
              <w:rPr>
                <w:rFonts w:cs="Calibri"/>
              </w:rPr>
              <w:t>=2)</w:t>
            </w:r>
          </w:p>
        </w:tc>
        <w:tc>
          <w:tcPr>
            <w:tcW w:w="1843" w:type="dxa"/>
            <w:shd w:val="clear" w:color="auto" w:fill="auto"/>
          </w:tcPr>
          <w:p w:rsidR="00E264AA" w:rsidRPr="006A3161" w:rsidRDefault="00E264AA" w:rsidP="00D41B38">
            <w:pPr>
              <w:spacing w:line="480" w:lineRule="auto"/>
              <w:jc w:val="both"/>
              <w:rPr>
                <w:rFonts w:ascii="Cambria" w:eastAsia="Times New Roman" w:hAnsi="Cambria" w:cs="Calibri"/>
                <w:i/>
                <w:iCs/>
                <w:color w:val="404040"/>
                <w:sz w:val="16"/>
                <w:szCs w:val="16"/>
              </w:rPr>
            </w:pPr>
            <w:r w:rsidRPr="006A3161">
              <w:rPr>
                <w:rFonts w:cs="Calibri"/>
                <w:i/>
              </w:rPr>
              <w:t>U=</w:t>
            </w:r>
            <w:r w:rsidRPr="006A3161">
              <w:rPr>
                <w:rFonts w:cs="Calibri"/>
              </w:rPr>
              <w:t>286.5,</w:t>
            </w:r>
            <w:r w:rsidRPr="006A3161">
              <w:rPr>
                <w:rFonts w:cs="Calibri"/>
                <w:i/>
              </w:rPr>
              <w:t xml:space="preserve"> z</w:t>
            </w:r>
            <w:r w:rsidRPr="006A3161">
              <w:rPr>
                <w:rFonts w:cs="Calibri"/>
              </w:rPr>
              <w:t>=-.706</w:t>
            </w:r>
          </w:p>
        </w:tc>
        <w:tc>
          <w:tcPr>
            <w:tcW w:w="1479" w:type="dxa"/>
            <w:shd w:val="clear" w:color="auto" w:fill="auto"/>
          </w:tcPr>
          <w:p w:rsidR="00E264AA" w:rsidRPr="006A3161" w:rsidRDefault="00E264AA" w:rsidP="00D41B38">
            <w:pPr>
              <w:spacing w:line="480" w:lineRule="auto"/>
              <w:jc w:val="both"/>
              <w:rPr>
                <w:rFonts w:ascii="Cambria" w:eastAsia="Times New Roman" w:hAnsi="Cambria" w:cs="Calibri"/>
                <w:i/>
                <w:iCs/>
                <w:color w:val="404040"/>
                <w:sz w:val="16"/>
                <w:szCs w:val="16"/>
              </w:rPr>
            </w:pPr>
            <w:r w:rsidRPr="006A3161">
              <w:rPr>
                <w:rFonts w:cs="Calibri"/>
                <w:i/>
              </w:rPr>
              <w:t>p</w:t>
            </w:r>
            <w:r w:rsidRPr="006A3161">
              <w:rPr>
                <w:rFonts w:cs="Calibri"/>
              </w:rPr>
              <w:t>=.48</w:t>
            </w:r>
          </w:p>
        </w:tc>
      </w:tr>
    </w:tbl>
    <w:p w:rsidR="00E264AA" w:rsidRDefault="00E264AA" w:rsidP="00E264AA">
      <w:pPr>
        <w:spacing w:line="480" w:lineRule="auto"/>
      </w:pPr>
    </w:p>
    <w:p w:rsidR="00E264AA" w:rsidRDefault="00E264AA" w:rsidP="00E264AA"/>
    <w:p w:rsidR="00E264AA" w:rsidRDefault="00E264AA" w:rsidP="00E264AA">
      <w:pPr>
        <w:spacing w:line="480" w:lineRule="auto"/>
        <w:jc w:val="both"/>
      </w:pPr>
    </w:p>
    <w:p w:rsidR="00E264AA" w:rsidRDefault="00E264AA" w:rsidP="00E264AA">
      <w:pPr>
        <w:spacing w:line="480" w:lineRule="auto"/>
        <w:jc w:val="both"/>
      </w:pPr>
    </w:p>
    <w:p w:rsidR="00E264AA" w:rsidRDefault="00E264AA" w:rsidP="00E264AA">
      <w:pPr>
        <w:spacing w:line="480" w:lineRule="auto"/>
        <w:jc w:val="both"/>
      </w:pPr>
    </w:p>
    <w:p w:rsidR="00E264AA" w:rsidRDefault="00E264AA" w:rsidP="00E264AA">
      <w:pPr>
        <w:spacing w:line="480" w:lineRule="auto"/>
        <w:jc w:val="both"/>
      </w:pPr>
    </w:p>
    <w:p w:rsidR="00E264AA" w:rsidRDefault="00E264AA" w:rsidP="00E264AA">
      <w:pPr>
        <w:spacing w:line="480" w:lineRule="auto"/>
        <w:jc w:val="both"/>
      </w:pPr>
    </w:p>
    <w:p w:rsidR="00E264AA" w:rsidRDefault="00E264AA" w:rsidP="00E264AA">
      <w:pPr>
        <w:spacing w:line="480" w:lineRule="auto"/>
        <w:jc w:val="both"/>
      </w:pPr>
    </w:p>
    <w:p w:rsidR="00E264AA" w:rsidRDefault="00E264AA" w:rsidP="00E264AA">
      <w:pPr>
        <w:spacing w:line="480" w:lineRule="auto"/>
        <w:jc w:val="both"/>
      </w:pPr>
    </w:p>
    <w:p w:rsidR="00E264AA" w:rsidRDefault="00E264AA" w:rsidP="00E264AA">
      <w:pPr>
        <w:spacing w:line="480" w:lineRule="auto"/>
        <w:jc w:val="both"/>
      </w:pPr>
    </w:p>
    <w:p w:rsidR="00E264AA" w:rsidRDefault="00E264AA" w:rsidP="00E264AA">
      <w:pPr>
        <w:spacing w:line="480" w:lineRule="auto"/>
        <w:jc w:val="both"/>
      </w:pPr>
    </w:p>
    <w:p w:rsidR="00E264AA" w:rsidRDefault="00E264AA" w:rsidP="00E264AA">
      <w:pPr>
        <w:spacing w:line="480" w:lineRule="auto"/>
        <w:jc w:val="both"/>
      </w:pPr>
    </w:p>
    <w:p w:rsidR="00E264AA" w:rsidRDefault="00E264AA" w:rsidP="00E264AA">
      <w:pPr>
        <w:spacing w:line="480" w:lineRule="auto"/>
        <w:jc w:val="both"/>
      </w:pPr>
    </w:p>
    <w:p w:rsidR="00E264AA" w:rsidRDefault="00E264AA" w:rsidP="00E264AA">
      <w:pPr>
        <w:spacing w:line="480" w:lineRule="auto"/>
        <w:jc w:val="both"/>
      </w:pPr>
    </w:p>
    <w:p w:rsidR="00E264AA" w:rsidRDefault="00E264AA" w:rsidP="00E264AA">
      <w:pPr>
        <w:spacing w:line="480" w:lineRule="auto"/>
        <w:jc w:val="both"/>
      </w:pPr>
    </w:p>
    <w:p w:rsidR="00E264AA" w:rsidRDefault="00E264AA" w:rsidP="00E264AA">
      <w:pPr>
        <w:spacing w:line="480" w:lineRule="auto"/>
        <w:jc w:val="both"/>
      </w:pPr>
      <w:r>
        <w:lastRenderedPageBreak/>
        <w:t>Table 3</w:t>
      </w:r>
    </w:p>
    <w:p w:rsidR="00E264AA" w:rsidRPr="00472B08" w:rsidRDefault="00E264AA" w:rsidP="00E264AA">
      <w:pPr>
        <w:spacing w:line="480" w:lineRule="auto"/>
        <w:jc w:val="both"/>
        <w:rPr>
          <w:i/>
        </w:rPr>
      </w:pPr>
      <w:r w:rsidRPr="00336AA4">
        <w:rPr>
          <w:i/>
        </w:rPr>
        <w:t xml:space="preserve">Differences </w:t>
      </w:r>
      <w:r>
        <w:rPr>
          <w:i/>
        </w:rPr>
        <w:t>in Hunger/Satiety ratings</w:t>
      </w:r>
      <w:r w:rsidRPr="00336AA4">
        <w:rPr>
          <w:i/>
        </w:rPr>
        <w:t xml:space="preserve"> </w:t>
      </w:r>
      <w:r>
        <w:rPr>
          <w:i/>
        </w:rPr>
        <w:t>and ad libitum snack intake between Males (N=17) and Females (N=19)</w:t>
      </w:r>
      <w:r w:rsidRPr="00336AA4">
        <w:rPr>
          <w:i/>
        </w:rPr>
        <w:t xml:space="preserve"> </w:t>
      </w:r>
    </w:p>
    <w:tbl>
      <w:tblPr>
        <w:tblW w:w="0" w:type="auto"/>
        <w:tblBorders>
          <w:top w:val="single" w:sz="4" w:space="0" w:color="auto"/>
          <w:bottom w:val="single" w:sz="4" w:space="0" w:color="auto"/>
        </w:tblBorders>
        <w:tblLook w:val="04A0" w:firstRow="1" w:lastRow="0" w:firstColumn="1" w:lastColumn="0" w:noHBand="0" w:noVBand="1"/>
      </w:tblPr>
      <w:tblGrid>
        <w:gridCol w:w="2081"/>
        <w:gridCol w:w="1996"/>
        <w:gridCol w:w="1843"/>
        <w:gridCol w:w="1843"/>
        <w:gridCol w:w="1479"/>
      </w:tblGrid>
      <w:tr w:rsidR="00E264AA" w:rsidRPr="00C810CF" w:rsidTr="00D41B38">
        <w:tc>
          <w:tcPr>
            <w:tcW w:w="2081" w:type="dxa"/>
            <w:shd w:val="clear" w:color="auto" w:fill="auto"/>
          </w:tcPr>
          <w:p w:rsidR="00E264AA" w:rsidRPr="007A2609" w:rsidRDefault="00E742C8" w:rsidP="00D41B38">
            <w:pPr>
              <w:spacing w:line="480" w:lineRule="auto"/>
              <w:jc w:val="both"/>
              <w:rPr>
                <w:rFonts w:cs="Cambria"/>
              </w:rPr>
            </w:pPr>
            <w:r>
              <w:rPr>
                <w:noProof/>
                <w:lang w:eastAsia="en-GB"/>
              </w:rPr>
              <mc:AlternateContent>
                <mc:Choice Requires="wps">
                  <w:drawing>
                    <wp:anchor distT="4294967294" distB="4294967294" distL="114300" distR="114300" simplePos="0" relativeHeight="251661312" behindDoc="0" locked="0" layoutInCell="1" allowOverlap="1">
                      <wp:simplePos x="0" y="0"/>
                      <wp:positionH relativeFrom="column">
                        <wp:posOffset>-59690</wp:posOffset>
                      </wp:positionH>
                      <wp:positionV relativeFrom="paragraph">
                        <wp:posOffset>157479</wp:posOffset>
                      </wp:positionV>
                      <wp:extent cx="5852160" cy="0"/>
                      <wp:effectExtent l="0" t="0" r="34290"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straightConnector1">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684995" id="AutoShape 6" o:spid="_x0000_s1026" type="#_x0000_t32" style="position:absolute;margin-left:-4.7pt;margin-top:12.4pt;width:460.8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"/>
                  </w:pict>
                </mc:Fallback>
              </mc:AlternateContent>
            </w:r>
            <w:r w:rsidR="00E264AA" w:rsidRPr="007A2609">
              <w:rPr>
                <w:rFonts w:cs="Cambria"/>
              </w:rPr>
              <w:t>Variable</w:t>
            </w:r>
          </w:p>
        </w:tc>
        <w:tc>
          <w:tcPr>
            <w:tcW w:w="1996" w:type="dxa"/>
            <w:shd w:val="clear" w:color="auto" w:fill="auto"/>
          </w:tcPr>
          <w:p w:rsidR="00E264AA" w:rsidRPr="007A2609" w:rsidRDefault="00E264AA" w:rsidP="00D41B38">
            <w:pPr>
              <w:spacing w:line="480" w:lineRule="auto"/>
              <w:jc w:val="both"/>
              <w:rPr>
                <w:rFonts w:eastAsia="MS Gothic" w:cs="Cambria"/>
                <w:i/>
                <w:iCs/>
                <w:color w:val="404040"/>
              </w:rPr>
            </w:pPr>
            <w:r w:rsidRPr="007A2609">
              <w:rPr>
                <w:rFonts w:cs="Cambria"/>
              </w:rPr>
              <w:t>Males</w:t>
            </w:r>
          </w:p>
        </w:tc>
        <w:tc>
          <w:tcPr>
            <w:tcW w:w="1843" w:type="dxa"/>
            <w:shd w:val="clear" w:color="auto" w:fill="auto"/>
          </w:tcPr>
          <w:p w:rsidR="00E264AA" w:rsidRPr="007A2609" w:rsidRDefault="00E264AA" w:rsidP="00D41B38">
            <w:pPr>
              <w:spacing w:line="480" w:lineRule="auto"/>
              <w:jc w:val="both"/>
              <w:rPr>
                <w:rFonts w:eastAsia="MS Gothic" w:cs="Cambria"/>
                <w:i/>
                <w:iCs/>
                <w:color w:val="404040"/>
              </w:rPr>
            </w:pPr>
            <w:r w:rsidRPr="007A2609">
              <w:rPr>
                <w:rFonts w:cs="Cambria"/>
              </w:rPr>
              <w:t>Females</w:t>
            </w:r>
          </w:p>
        </w:tc>
        <w:tc>
          <w:tcPr>
            <w:tcW w:w="1843" w:type="dxa"/>
            <w:shd w:val="clear" w:color="auto" w:fill="auto"/>
          </w:tcPr>
          <w:p w:rsidR="00E264AA" w:rsidRPr="007A2609" w:rsidRDefault="00E264AA" w:rsidP="00D41B38">
            <w:pPr>
              <w:spacing w:line="480" w:lineRule="auto"/>
              <w:jc w:val="both"/>
              <w:rPr>
                <w:rFonts w:eastAsia="MS Gothic" w:cs="Cambria"/>
                <w:i/>
                <w:iCs/>
                <w:color w:val="404040"/>
              </w:rPr>
            </w:pPr>
            <w:r w:rsidRPr="007A2609">
              <w:rPr>
                <w:rFonts w:cs="Cambria"/>
              </w:rPr>
              <w:t>Test statistics</w:t>
            </w:r>
          </w:p>
        </w:tc>
        <w:tc>
          <w:tcPr>
            <w:tcW w:w="1479" w:type="dxa"/>
            <w:shd w:val="clear" w:color="auto" w:fill="auto"/>
          </w:tcPr>
          <w:p w:rsidR="00E264AA" w:rsidRPr="007A2609" w:rsidRDefault="00E264AA" w:rsidP="00D41B38">
            <w:pPr>
              <w:spacing w:line="480" w:lineRule="auto"/>
              <w:jc w:val="both"/>
              <w:rPr>
                <w:rFonts w:eastAsia="MS Gothic" w:cs="Cambria"/>
                <w:i/>
                <w:iCs/>
                <w:color w:val="404040"/>
              </w:rPr>
            </w:pPr>
            <w:r w:rsidRPr="007A2609">
              <w:rPr>
                <w:rFonts w:cs="Cambria"/>
              </w:rPr>
              <w:t>Significance</w:t>
            </w:r>
          </w:p>
        </w:tc>
      </w:tr>
      <w:tr w:rsidR="00E264AA" w:rsidRPr="00C810CF" w:rsidTr="00D41B38">
        <w:tc>
          <w:tcPr>
            <w:tcW w:w="2081" w:type="dxa"/>
            <w:shd w:val="clear" w:color="auto" w:fill="auto"/>
          </w:tcPr>
          <w:p w:rsidR="00E264AA" w:rsidRPr="007A2609" w:rsidRDefault="00E264AA" w:rsidP="00D41B38">
            <w:pPr>
              <w:spacing w:line="480" w:lineRule="auto"/>
              <w:rPr>
                <w:rFonts w:eastAsia="MS Gothic" w:cs="Cambria"/>
                <w:i/>
                <w:iCs/>
                <w:color w:val="404040"/>
                <w:sz w:val="16"/>
                <w:szCs w:val="16"/>
              </w:rPr>
            </w:pPr>
            <w:r w:rsidRPr="007A2609">
              <w:rPr>
                <w:rFonts w:cs="Cambria"/>
              </w:rPr>
              <w:t>Child’s hunger prior to ad libitum snack</w:t>
            </w:r>
          </w:p>
        </w:tc>
        <w:tc>
          <w:tcPr>
            <w:tcW w:w="1996" w:type="dxa"/>
            <w:shd w:val="clear" w:color="auto" w:fill="auto"/>
          </w:tcPr>
          <w:p w:rsidR="00E264AA" w:rsidRPr="007A2609" w:rsidRDefault="00E264AA" w:rsidP="00D41B38">
            <w:pPr>
              <w:spacing w:line="480" w:lineRule="auto"/>
              <w:jc w:val="both"/>
              <w:rPr>
                <w:rFonts w:eastAsia="MS Gothic" w:cs="Cambria"/>
                <w:i/>
                <w:iCs/>
                <w:color w:val="404040"/>
                <w:sz w:val="16"/>
                <w:szCs w:val="16"/>
              </w:rPr>
            </w:pPr>
            <w:r w:rsidRPr="007A2609">
              <w:rPr>
                <w:rFonts w:cs="Cambria"/>
                <w:i/>
              </w:rPr>
              <w:t>Mdn</w:t>
            </w:r>
            <w:r w:rsidRPr="007A2609">
              <w:rPr>
                <w:rFonts w:cs="Cambria"/>
              </w:rPr>
              <w:t>=1.5 (</w:t>
            </w:r>
            <w:r w:rsidRPr="007A2609">
              <w:rPr>
                <w:rFonts w:cs="Cambria"/>
                <w:i/>
              </w:rPr>
              <w:t>IQR</w:t>
            </w:r>
            <w:r w:rsidRPr="007A2609">
              <w:rPr>
                <w:rFonts w:cs="Cambria"/>
              </w:rPr>
              <w:t>=1.5)</w:t>
            </w:r>
          </w:p>
        </w:tc>
        <w:tc>
          <w:tcPr>
            <w:tcW w:w="1843" w:type="dxa"/>
            <w:shd w:val="clear" w:color="auto" w:fill="auto"/>
          </w:tcPr>
          <w:p w:rsidR="00E264AA" w:rsidRPr="007A2609" w:rsidRDefault="00E264AA" w:rsidP="00D41B38">
            <w:pPr>
              <w:spacing w:line="480" w:lineRule="auto"/>
              <w:jc w:val="both"/>
              <w:rPr>
                <w:rFonts w:eastAsia="MS Gothic" w:cs="Cambria"/>
                <w:i/>
                <w:iCs/>
                <w:color w:val="404040"/>
                <w:sz w:val="16"/>
                <w:szCs w:val="16"/>
              </w:rPr>
            </w:pPr>
            <w:r w:rsidRPr="007A2609">
              <w:rPr>
                <w:rFonts w:cs="Cambria"/>
                <w:i/>
              </w:rPr>
              <w:t>Mdn</w:t>
            </w:r>
            <w:r w:rsidRPr="007A2609">
              <w:rPr>
                <w:rFonts w:cs="Cambria"/>
              </w:rPr>
              <w:t>=2 (</w:t>
            </w:r>
            <w:r w:rsidRPr="007A2609">
              <w:rPr>
                <w:rFonts w:cs="Cambria"/>
                <w:i/>
              </w:rPr>
              <w:t>IQR</w:t>
            </w:r>
            <w:r w:rsidRPr="007A2609">
              <w:rPr>
                <w:rFonts w:cs="Cambria"/>
              </w:rPr>
              <w:t>=1)</w:t>
            </w:r>
          </w:p>
        </w:tc>
        <w:tc>
          <w:tcPr>
            <w:tcW w:w="1843" w:type="dxa"/>
            <w:shd w:val="clear" w:color="auto" w:fill="auto"/>
          </w:tcPr>
          <w:p w:rsidR="00E264AA" w:rsidRPr="007A2609" w:rsidRDefault="00E264AA" w:rsidP="00D41B38">
            <w:pPr>
              <w:spacing w:line="480" w:lineRule="auto"/>
              <w:jc w:val="both"/>
              <w:rPr>
                <w:rFonts w:eastAsia="MS Gothic" w:cs="Cambria"/>
                <w:i/>
                <w:iCs/>
                <w:color w:val="404040"/>
                <w:sz w:val="16"/>
                <w:szCs w:val="16"/>
              </w:rPr>
            </w:pPr>
            <w:r w:rsidRPr="007A2609">
              <w:rPr>
                <w:rFonts w:cs="Cambria"/>
                <w:i/>
              </w:rPr>
              <w:t>U</w:t>
            </w:r>
            <w:r w:rsidRPr="007A2609">
              <w:rPr>
                <w:rFonts w:cs="Cambria"/>
              </w:rPr>
              <w:t xml:space="preserve">=103.5, </w:t>
            </w:r>
            <w:r w:rsidRPr="007A2609">
              <w:rPr>
                <w:rFonts w:cs="Cambria"/>
                <w:i/>
              </w:rPr>
              <w:t>z</w:t>
            </w:r>
            <w:r w:rsidRPr="007A2609">
              <w:rPr>
                <w:rFonts w:cs="Cambria"/>
              </w:rPr>
              <w:t>=-1.93</w:t>
            </w:r>
          </w:p>
        </w:tc>
        <w:tc>
          <w:tcPr>
            <w:tcW w:w="1479" w:type="dxa"/>
            <w:shd w:val="clear" w:color="auto" w:fill="auto"/>
          </w:tcPr>
          <w:p w:rsidR="00E264AA" w:rsidRPr="007A2609" w:rsidRDefault="00E264AA" w:rsidP="00D41B38">
            <w:pPr>
              <w:spacing w:line="480" w:lineRule="auto"/>
              <w:jc w:val="both"/>
              <w:rPr>
                <w:rFonts w:eastAsia="MS Gothic" w:cs="Cambria"/>
                <w:i/>
                <w:iCs/>
                <w:color w:val="404040"/>
                <w:sz w:val="16"/>
                <w:szCs w:val="16"/>
              </w:rPr>
            </w:pPr>
            <w:r w:rsidRPr="007A2609">
              <w:rPr>
                <w:rFonts w:cs="Cambria"/>
                <w:i/>
              </w:rPr>
              <w:t>p</w:t>
            </w:r>
            <w:r w:rsidRPr="007A2609">
              <w:rPr>
                <w:rFonts w:cs="Cambria"/>
              </w:rPr>
              <w:t>=.066</w:t>
            </w:r>
          </w:p>
        </w:tc>
      </w:tr>
      <w:tr w:rsidR="00E264AA" w:rsidRPr="00C810CF" w:rsidTr="00D41B38">
        <w:tc>
          <w:tcPr>
            <w:tcW w:w="2081" w:type="dxa"/>
            <w:shd w:val="clear" w:color="auto" w:fill="auto"/>
          </w:tcPr>
          <w:p w:rsidR="00E264AA" w:rsidRPr="007A2609" w:rsidRDefault="00E264AA" w:rsidP="00D41B38">
            <w:pPr>
              <w:spacing w:line="480" w:lineRule="auto"/>
              <w:rPr>
                <w:rFonts w:eastAsia="MS Gothic" w:cs="Cambria"/>
                <w:i/>
                <w:iCs/>
                <w:color w:val="404040"/>
                <w:sz w:val="16"/>
                <w:szCs w:val="16"/>
              </w:rPr>
            </w:pPr>
            <w:r w:rsidRPr="007A2609">
              <w:rPr>
                <w:rFonts w:cs="Cambria"/>
              </w:rPr>
              <w:t>Child’s hunger after ad libitum snack</w:t>
            </w:r>
          </w:p>
        </w:tc>
        <w:tc>
          <w:tcPr>
            <w:tcW w:w="1996" w:type="dxa"/>
            <w:shd w:val="clear" w:color="auto" w:fill="auto"/>
          </w:tcPr>
          <w:p w:rsidR="00E264AA" w:rsidRPr="007A2609" w:rsidRDefault="00E264AA" w:rsidP="00D41B38">
            <w:pPr>
              <w:spacing w:line="480" w:lineRule="auto"/>
              <w:jc w:val="both"/>
              <w:rPr>
                <w:rFonts w:eastAsia="MS Gothic" w:cs="Cambria"/>
                <w:i/>
                <w:iCs/>
                <w:color w:val="404040"/>
                <w:sz w:val="16"/>
                <w:szCs w:val="16"/>
              </w:rPr>
            </w:pPr>
            <w:r w:rsidRPr="007A2609">
              <w:rPr>
                <w:rFonts w:cs="Cambria"/>
                <w:i/>
              </w:rPr>
              <w:t>Mdn</w:t>
            </w:r>
            <w:r w:rsidRPr="007A2609">
              <w:rPr>
                <w:rFonts w:cs="Cambria"/>
              </w:rPr>
              <w:t>=2 (</w:t>
            </w:r>
            <w:r w:rsidRPr="007A2609">
              <w:rPr>
                <w:rFonts w:cs="Cambria"/>
                <w:i/>
              </w:rPr>
              <w:t>IQR</w:t>
            </w:r>
            <w:r w:rsidRPr="007A2609">
              <w:rPr>
                <w:rFonts w:cs="Cambria"/>
              </w:rPr>
              <w:t>=1)</w:t>
            </w:r>
          </w:p>
        </w:tc>
        <w:tc>
          <w:tcPr>
            <w:tcW w:w="1843" w:type="dxa"/>
            <w:shd w:val="clear" w:color="auto" w:fill="auto"/>
          </w:tcPr>
          <w:p w:rsidR="00E264AA" w:rsidRPr="007A2609" w:rsidRDefault="00E264AA" w:rsidP="00D41B38">
            <w:pPr>
              <w:spacing w:line="480" w:lineRule="auto"/>
              <w:jc w:val="both"/>
              <w:rPr>
                <w:rFonts w:eastAsia="MS Gothic" w:cs="Cambria"/>
                <w:i/>
                <w:iCs/>
                <w:color w:val="404040"/>
                <w:sz w:val="16"/>
                <w:szCs w:val="16"/>
              </w:rPr>
            </w:pPr>
            <w:r w:rsidRPr="007A2609">
              <w:rPr>
                <w:rFonts w:cs="Cambria"/>
                <w:i/>
              </w:rPr>
              <w:t>Mdn</w:t>
            </w:r>
            <w:r w:rsidRPr="007A2609">
              <w:rPr>
                <w:rFonts w:cs="Cambria"/>
              </w:rPr>
              <w:t>=2.5 (</w:t>
            </w:r>
            <w:r w:rsidRPr="007A2609">
              <w:rPr>
                <w:rFonts w:cs="Cambria"/>
                <w:i/>
              </w:rPr>
              <w:t>IQR</w:t>
            </w:r>
            <w:r w:rsidRPr="007A2609">
              <w:rPr>
                <w:rFonts w:cs="Cambria"/>
              </w:rPr>
              <w:t>=1)</w:t>
            </w:r>
          </w:p>
        </w:tc>
        <w:tc>
          <w:tcPr>
            <w:tcW w:w="1843" w:type="dxa"/>
            <w:shd w:val="clear" w:color="auto" w:fill="auto"/>
          </w:tcPr>
          <w:p w:rsidR="00E264AA" w:rsidRPr="007A2609" w:rsidRDefault="00E264AA" w:rsidP="00D41B38">
            <w:pPr>
              <w:spacing w:line="480" w:lineRule="auto"/>
              <w:jc w:val="both"/>
              <w:rPr>
                <w:rFonts w:eastAsia="MS Gothic" w:cs="Cambria"/>
                <w:i/>
                <w:iCs/>
                <w:color w:val="404040"/>
                <w:sz w:val="16"/>
                <w:szCs w:val="16"/>
              </w:rPr>
            </w:pPr>
            <w:r w:rsidRPr="007A2609">
              <w:rPr>
                <w:rFonts w:cs="Cambria"/>
                <w:i/>
              </w:rPr>
              <w:t>U=</w:t>
            </w:r>
            <w:r w:rsidRPr="007A2609">
              <w:rPr>
                <w:rFonts w:cs="Cambria"/>
              </w:rPr>
              <w:t>141,</w:t>
            </w:r>
            <w:r w:rsidRPr="007A2609">
              <w:rPr>
                <w:rFonts w:cs="Cambria"/>
                <w:i/>
              </w:rPr>
              <w:t xml:space="preserve"> z</w:t>
            </w:r>
            <w:r w:rsidRPr="007A2609">
              <w:rPr>
                <w:rFonts w:cs="Cambria"/>
              </w:rPr>
              <w:t>=-.681</w:t>
            </w:r>
          </w:p>
        </w:tc>
        <w:tc>
          <w:tcPr>
            <w:tcW w:w="1479" w:type="dxa"/>
            <w:shd w:val="clear" w:color="auto" w:fill="auto"/>
          </w:tcPr>
          <w:p w:rsidR="00E264AA" w:rsidRPr="007A2609" w:rsidRDefault="00E264AA" w:rsidP="00D41B38">
            <w:pPr>
              <w:spacing w:line="480" w:lineRule="auto"/>
              <w:jc w:val="both"/>
              <w:rPr>
                <w:rFonts w:eastAsia="MS Gothic" w:cs="Cambria"/>
                <w:i/>
                <w:iCs/>
                <w:color w:val="404040"/>
                <w:sz w:val="16"/>
                <w:szCs w:val="16"/>
              </w:rPr>
            </w:pPr>
            <w:r w:rsidRPr="007A2609">
              <w:rPr>
                <w:rFonts w:cs="Cambria"/>
                <w:i/>
              </w:rPr>
              <w:t>p</w:t>
            </w:r>
            <w:r w:rsidRPr="007A2609">
              <w:rPr>
                <w:rFonts w:cs="Cambria"/>
              </w:rPr>
              <w:t>=.531</w:t>
            </w:r>
          </w:p>
        </w:tc>
      </w:tr>
      <w:tr w:rsidR="00E264AA" w:rsidRPr="00C810CF" w:rsidTr="00D41B38">
        <w:tc>
          <w:tcPr>
            <w:tcW w:w="2081" w:type="dxa"/>
            <w:shd w:val="clear" w:color="auto" w:fill="auto"/>
          </w:tcPr>
          <w:p w:rsidR="00E264AA" w:rsidRPr="007A2609" w:rsidRDefault="00E264AA" w:rsidP="00D41B38">
            <w:pPr>
              <w:spacing w:line="480" w:lineRule="auto"/>
              <w:rPr>
                <w:rFonts w:eastAsia="MS Gothic" w:cs="Cambria"/>
                <w:i/>
                <w:iCs/>
                <w:color w:val="404040"/>
                <w:sz w:val="16"/>
                <w:szCs w:val="16"/>
              </w:rPr>
            </w:pPr>
            <w:r w:rsidRPr="007A2609">
              <w:rPr>
                <w:rFonts w:cs="Cambria"/>
              </w:rPr>
              <w:t>Hunger change (post snack-pre-snack)</w:t>
            </w:r>
          </w:p>
        </w:tc>
        <w:tc>
          <w:tcPr>
            <w:tcW w:w="1996" w:type="dxa"/>
            <w:shd w:val="clear" w:color="auto" w:fill="auto"/>
          </w:tcPr>
          <w:p w:rsidR="00E264AA" w:rsidRPr="007A2609" w:rsidRDefault="00E264AA" w:rsidP="00D41B38">
            <w:pPr>
              <w:spacing w:line="480" w:lineRule="auto"/>
              <w:jc w:val="both"/>
              <w:rPr>
                <w:rFonts w:eastAsia="MS Gothic" w:cs="Cambria"/>
                <w:i/>
                <w:iCs/>
                <w:color w:val="404040"/>
                <w:sz w:val="16"/>
                <w:szCs w:val="16"/>
              </w:rPr>
            </w:pPr>
            <w:r w:rsidRPr="007A2609">
              <w:rPr>
                <w:rFonts w:cs="Cambria"/>
                <w:i/>
              </w:rPr>
              <w:t>Mdn</w:t>
            </w:r>
            <w:r w:rsidRPr="007A2609">
              <w:rPr>
                <w:rFonts w:cs="Cambria"/>
              </w:rPr>
              <w:t>=0.5 (</w:t>
            </w:r>
            <w:r w:rsidRPr="007A2609">
              <w:rPr>
                <w:rFonts w:cs="Cambria"/>
                <w:i/>
              </w:rPr>
              <w:t>IQR</w:t>
            </w:r>
            <w:r w:rsidRPr="007A2609">
              <w:rPr>
                <w:rFonts w:cs="Cambria"/>
              </w:rPr>
              <w:t>=1)</w:t>
            </w:r>
          </w:p>
        </w:tc>
        <w:tc>
          <w:tcPr>
            <w:tcW w:w="1843" w:type="dxa"/>
            <w:shd w:val="clear" w:color="auto" w:fill="auto"/>
          </w:tcPr>
          <w:p w:rsidR="00E264AA" w:rsidRPr="007A2609" w:rsidRDefault="00E264AA" w:rsidP="00D41B38">
            <w:pPr>
              <w:spacing w:line="480" w:lineRule="auto"/>
              <w:jc w:val="both"/>
              <w:rPr>
                <w:rFonts w:cs="Cambria"/>
              </w:rPr>
            </w:pPr>
            <w:r w:rsidRPr="007A2609">
              <w:rPr>
                <w:rFonts w:cs="Cambria"/>
                <w:i/>
              </w:rPr>
              <w:t>Mdn</w:t>
            </w:r>
            <w:r w:rsidRPr="007A2609">
              <w:rPr>
                <w:rFonts w:cs="Cambria"/>
              </w:rPr>
              <w:t>=0 (</w:t>
            </w:r>
            <w:r w:rsidRPr="007A2609">
              <w:rPr>
                <w:rFonts w:cs="Cambria"/>
                <w:i/>
              </w:rPr>
              <w:t>IQR</w:t>
            </w:r>
            <w:r w:rsidRPr="007A2609">
              <w:rPr>
                <w:rFonts w:cs="Cambria"/>
              </w:rPr>
              <w:t>=1)</w:t>
            </w:r>
          </w:p>
        </w:tc>
        <w:tc>
          <w:tcPr>
            <w:tcW w:w="1843" w:type="dxa"/>
            <w:shd w:val="clear" w:color="auto" w:fill="auto"/>
          </w:tcPr>
          <w:p w:rsidR="00E264AA" w:rsidRPr="007A2609" w:rsidRDefault="00E264AA" w:rsidP="00D41B38">
            <w:pPr>
              <w:spacing w:line="480" w:lineRule="auto"/>
              <w:jc w:val="both"/>
              <w:rPr>
                <w:rFonts w:eastAsia="MS Gothic" w:cs="Cambria"/>
                <w:i/>
                <w:iCs/>
                <w:color w:val="404040"/>
                <w:sz w:val="16"/>
                <w:szCs w:val="16"/>
              </w:rPr>
            </w:pPr>
            <w:r w:rsidRPr="007A2609">
              <w:rPr>
                <w:rFonts w:cs="Cambria"/>
                <w:i/>
              </w:rPr>
              <w:t>U</w:t>
            </w:r>
            <w:r w:rsidRPr="007A2609">
              <w:rPr>
                <w:rFonts w:cs="Cambria"/>
              </w:rPr>
              <w:t xml:space="preserve">=191.5, </w:t>
            </w:r>
            <w:r w:rsidRPr="007A2609">
              <w:rPr>
                <w:rFonts w:cs="Cambria"/>
                <w:i/>
              </w:rPr>
              <w:t>z</w:t>
            </w:r>
            <w:r w:rsidRPr="007A2609">
              <w:rPr>
                <w:rFonts w:cs="Cambria"/>
              </w:rPr>
              <w:t>=.996</w:t>
            </w:r>
          </w:p>
        </w:tc>
        <w:tc>
          <w:tcPr>
            <w:tcW w:w="1479" w:type="dxa"/>
            <w:shd w:val="clear" w:color="auto" w:fill="auto"/>
          </w:tcPr>
          <w:p w:rsidR="00E264AA" w:rsidRPr="007A2609" w:rsidRDefault="00E264AA" w:rsidP="00D41B38">
            <w:pPr>
              <w:spacing w:line="480" w:lineRule="auto"/>
              <w:jc w:val="both"/>
              <w:rPr>
                <w:rFonts w:eastAsia="MS Gothic" w:cs="Cambria"/>
                <w:i/>
                <w:iCs/>
                <w:color w:val="404040"/>
                <w:sz w:val="16"/>
                <w:szCs w:val="16"/>
              </w:rPr>
            </w:pPr>
            <w:r w:rsidRPr="007A2609">
              <w:rPr>
                <w:rFonts w:cs="Cambria"/>
                <w:i/>
              </w:rPr>
              <w:t>p</w:t>
            </w:r>
            <w:r w:rsidRPr="007A2609">
              <w:rPr>
                <w:rFonts w:cs="Cambria"/>
              </w:rPr>
              <w:t>=.346</w:t>
            </w:r>
          </w:p>
        </w:tc>
      </w:tr>
      <w:tr w:rsidR="00E264AA" w:rsidRPr="00C810CF" w:rsidTr="00D41B38">
        <w:tc>
          <w:tcPr>
            <w:tcW w:w="2081" w:type="dxa"/>
            <w:shd w:val="clear" w:color="auto" w:fill="auto"/>
          </w:tcPr>
          <w:p w:rsidR="00E264AA" w:rsidRPr="007A2609" w:rsidRDefault="00E264AA" w:rsidP="00D41B38">
            <w:pPr>
              <w:spacing w:line="480" w:lineRule="auto"/>
              <w:rPr>
                <w:rFonts w:cs="Cambria"/>
              </w:rPr>
            </w:pPr>
            <w:r w:rsidRPr="007A2609">
              <w:rPr>
                <w:rFonts w:cs="Cambria"/>
              </w:rPr>
              <w:t>Ad libitum snack intake (calories)</w:t>
            </w:r>
          </w:p>
        </w:tc>
        <w:tc>
          <w:tcPr>
            <w:tcW w:w="1996" w:type="dxa"/>
            <w:shd w:val="clear" w:color="auto" w:fill="auto"/>
          </w:tcPr>
          <w:p w:rsidR="00E264AA" w:rsidRPr="007A2609" w:rsidRDefault="00E264AA" w:rsidP="00D41B38">
            <w:pPr>
              <w:spacing w:line="480" w:lineRule="auto"/>
              <w:jc w:val="both"/>
              <w:rPr>
                <w:rFonts w:cs="Cambria"/>
                <w:i/>
              </w:rPr>
            </w:pPr>
            <w:r w:rsidRPr="007A2609">
              <w:rPr>
                <w:rFonts w:cs="Cambria"/>
                <w:i/>
              </w:rPr>
              <w:t>Mdn=</w:t>
            </w:r>
            <w:r w:rsidRPr="007A2609">
              <w:rPr>
                <w:rFonts w:cs="Cambria"/>
              </w:rPr>
              <w:t>259.95</w:t>
            </w:r>
            <w:r w:rsidRPr="007A2609">
              <w:rPr>
                <w:rFonts w:cs="Cambria"/>
                <w:i/>
              </w:rPr>
              <w:t xml:space="preserve"> (IQR=</w:t>
            </w:r>
            <w:r w:rsidRPr="007A2609">
              <w:rPr>
                <w:rFonts w:cs="Cambria"/>
              </w:rPr>
              <w:t>345.96</w:t>
            </w:r>
            <w:r w:rsidRPr="007A2609">
              <w:rPr>
                <w:rFonts w:cs="Cambria"/>
                <w:i/>
              </w:rPr>
              <w:t>)</w:t>
            </w:r>
          </w:p>
        </w:tc>
        <w:tc>
          <w:tcPr>
            <w:tcW w:w="1843" w:type="dxa"/>
            <w:shd w:val="clear" w:color="auto" w:fill="auto"/>
          </w:tcPr>
          <w:p w:rsidR="00E264AA" w:rsidRPr="007A2609" w:rsidRDefault="00E264AA" w:rsidP="00D41B38">
            <w:pPr>
              <w:spacing w:line="480" w:lineRule="auto"/>
              <w:jc w:val="both"/>
              <w:rPr>
                <w:rFonts w:cs="Cambria"/>
                <w:i/>
              </w:rPr>
            </w:pPr>
            <w:r w:rsidRPr="007A2609">
              <w:rPr>
                <w:rFonts w:cs="Cambria"/>
                <w:i/>
              </w:rPr>
              <w:t>Mdn=</w:t>
            </w:r>
            <w:r w:rsidRPr="007A2609">
              <w:rPr>
                <w:rFonts w:cs="Cambria"/>
              </w:rPr>
              <w:t>277.946</w:t>
            </w:r>
            <w:r w:rsidRPr="007A2609">
              <w:rPr>
                <w:rFonts w:cs="Cambria"/>
                <w:i/>
              </w:rPr>
              <w:t xml:space="preserve"> (IQR=</w:t>
            </w:r>
            <w:r w:rsidRPr="007A2609">
              <w:rPr>
                <w:rFonts w:cs="Cambria"/>
              </w:rPr>
              <w:t>204.86</w:t>
            </w:r>
            <w:r w:rsidRPr="007A2609">
              <w:rPr>
                <w:rFonts w:cs="Cambria"/>
                <w:i/>
              </w:rPr>
              <w:t>)</w:t>
            </w:r>
          </w:p>
        </w:tc>
        <w:tc>
          <w:tcPr>
            <w:tcW w:w="1843" w:type="dxa"/>
            <w:shd w:val="clear" w:color="auto" w:fill="auto"/>
          </w:tcPr>
          <w:p w:rsidR="00E264AA" w:rsidRPr="007A2609" w:rsidRDefault="00E264AA" w:rsidP="00D41B38">
            <w:pPr>
              <w:spacing w:line="480" w:lineRule="auto"/>
              <w:jc w:val="both"/>
              <w:rPr>
                <w:rFonts w:cs="Cambria"/>
                <w:i/>
              </w:rPr>
            </w:pPr>
            <w:r w:rsidRPr="007A2609">
              <w:rPr>
                <w:rFonts w:cs="Cambria"/>
                <w:i/>
              </w:rPr>
              <w:t>U=</w:t>
            </w:r>
            <w:r w:rsidRPr="007A2609">
              <w:rPr>
                <w:rFonts w:cs="Cambria"/>
              </w:rPr>
              <w:t>186</w:t>
            </w:r>
            <w:r w:rsidRPr="007A2609">
              <w:rPr>
                <w:rFonts w:cs="Cambria"/>
                <w:i/>
              </w:rPr>
              <w:t>, z=</w:t>
            </w:r>
            <w:r w:rsidRPr="007A2609">
              <w:rPr>
                <w:rFonts w:cs="Cambria"/>
              </w:rPr>
              <w:t>.776</w:t>
            </w:r>
          </w:p>
        </w:tc>
        <w:tc>
          <w:tcPr>
            <w:tcW w:w="1479" w:type="dxa"/>
            <w:shd w:val="clear" w:color="auto" w:fill="auto"/>
          </w:tcPr>
          <w:p w:rsidR="00E264AA" w:rsidRPr="007A2609" w:rsidRDefault="00E264AA" w:rsidP="00D41B38">
            <w:pPr>
              <w:spacing w:line="480" w:lineRule="auto"/>
              <w:jc w:val="both"/>
              <w:rPr>
                <w:rFonts w:cs="Cambria"/>
                <w:i/>
              </w:rPr>
            </w:pPr>
            <w:r>
              <w:rPr>
                <w:rFonts w:cs="Cambria"/>
                <w:i/>
              </w:rPr>
              <w:t>p</w:t>
            </w:r>
            <w:r w:rsidRPr="007A2609">
              <w:rPr>
                <w:rFonts w:cs="Cambria"/>
                <w:i/>
              </w:rPr>
              <w:t>=.</w:t>
            </w:r>
            <w:r w:rsidRPr="007A2609">
              <w:rPr>
                <w:rFonts w:cs="Cambria"/>
              </w:rPr>
              <w:t>452</w:t>
            </w:r>
          </w:p>
        </w:tc>
      </w:tr>
    </w:tbl>
    <w:p w:rsidR="00E264AA" w:rsidRDefault="00E264AA" w:rsidP="00E264AA">
      <w:pPr>
        <w:spacing w:line="480" w:lineRule="auto"/>
      </w:pPr>
    </w:p>
    <w:p w:rsidR="00E264AA" w:rsidRDefault="00E264AA" w:rsidP="00E264AA"/>
    <w:p w:rsidR="00E264AA" w:rsidRDefault="00E264AA" w:rsidP="00E264AA"/>
    <w:p w:rsidR="00E264AA" w:rsidRDefault="00E264AA" w:rsidP="00E264AA"/>
    <w:p w:rsidR="00E264AA" w:rsidRDefault="00E264AA" w:rsidP="00F44E2E">
      <w:pPr>
        <w:spacing w:line="480" w:lineRule="auto"/>
        <w:jc w:val="both"/>
        <w:rPr>
          <w:rFonts w:cs="Segoe UI"/>
        </w:rPr>
      </w:pPr>
    </w:p>
    <w:p w:rsidR="00E264AA" w:rsidRDefault="00E264AA" w:rsidP="00F44E2E">
      <w:pPr>
        <w:spacing w:line="480" w:lineRule="auto"/>
        <w:jc w:val="both"/>
        <w:rPr>
          <w:rFonts w:cs="Segoe UI"/>
        </w:rPr>
      </w:pPr>
    </w:p>
    <w:p w:rsidR="00E264AA" w:rsidRDefault="00E264AA" w:rsidP="00F44E2E">
      <w:pPr>
        <w:spacing w:line="480" w:lineRule="auto"/>
        <w:jc w:val="both"/>
        <w:rPr>
          <w:rFonts w:cs="Segoe UI"/>
        </w:rPr>
      </w:pPr>
    </w:p>
    <w:p w:rsidR="00E264AA" w:rsidRDefault="00E264AA" w:rsidP="00F44E2E">
      <w:pPr>
        <w:spacing w:line="480" w:lineRule="auto"/>
        <w:jc w:val="both"/>
        <w:rPr>
          <w:rFonts w:cs="Segoe UI"/>
        </w:rPr>
      </w:pPr>
    </w:p>
    <w:p w:rsidR="00E264AA" w:rsidRDefault="00E264AA" w:rsidP="00F44E2E">
      <w:pPr>
        <w:spacing w:line="480" w:lineRule="auto"/>
        <w:jc w:val="both"/>
        <w:rPr>
          <w:rFonts w:cs="Segoe UI"/>
        </w:rPr>
      </w:pPr>
    </w:p>
    <w:p w:rsidR="00E264AA" w:rsidRPr="00E264AA" w:rsidRDefault="00E264AA" w:rsidP="00F44E2E">
      <w:pPr>
        <w:spacing w:line="480" w:lineRule="auto"/>
        <w:jc w:val="both"/>
        <w:rPr>
          <w:rFonts w:asciiTheme="majorHAnsi" w:hAnsiTheme="majorHAnsi" w:cs="Segoe UI"/>
        </w:rPr>
      </w:pPr>
    </w:p>
    <w:p w:rsidR="00E264AA" w:rsidRPr="00E264AA" w:rsidRDefault="00E264AA" w:rsidP="00F44E2E">
      <w:pPr>
        <w:spacing w:line="480" w:lineRule="auto"/>
        <w:jc w:val="both"/>
        <w:rPr>
          <w:rFonts w:asciiTheme="majorHAnsi" w:hAnsiTheme="majorHAnsi" w:cs="Segoe UI"/>
        </w:rPr>
      </w:pPr>
    </w:p>
    <w:p w:rsidR="00E264AA" w:rsidRPr="00E264AA" w:rsidRDefault="00E264AA" w:rsidP="00F44E2E">
      <w:pPr>
        <w:spacing w:line="480" w:lineRule="auto"/>
        <w:jc w:val="both"/>
        <w:rPr>
          <w:rFonts w:asciiTheme="majorHAnsi" w:hAnsiTheme="majorHAnsi" w:cs="Segoe UI"/>
        </w:rPr>
      </w:pPr>
    </w:p>
    <w:p w:rsidR="00E264AA" w:rsidRPr="00E264AA" w:rsidRDefault="00E264AA" w:rsidP="00F44E2E">
      <w:pPr>
        <w:spacing w:line="480" w:lineRule="auto"/>
        <w:jc w:val="both"/>
        <w:rPr>
          <w:rFonts w:asciiTheme="majorHAnsi" w:hAnsiTheme="majorHAnsi" w:cs="Segoe UI"/>
        </w:rPr>
      </w:pPr>
    </w:p>
    <w:p w:rsidR="00E264AA" w:rsidRPr="00E264AA" w:rsidRDefault="00E264AA" w:rsidP="00F44E2E">
      <w:pPr>
        <w:spacing w:line="480" w:lineRule="auto"/>
        <w:jc w:val="both"/>
        <w:rPr>
          <w:rFonts w:asciiTheme="majorHAnsi" w:hAnsiTheme="majorHAnsi" w:cs="Segoe UI"/>
        </w:rPr>
      </w:pPr>
    </w:p>
    <w:p w:rsidR="00E264AA" w:rsidRPr="00E264AA" w:rsidRDefault="00E264AA" w:rsidP="00F44E2E">
      <w:pPr>
        <w:spacing w:line="480" w:lineRule="auto"/>
        <w:jc w:val="both"/>
        <w:rPr>
          <w:rFonts w:asciiTheme="majorHAnsi" w:hAnsiTheme="majorHAnsi" w:cs="Segoe UI"/>
        </w:rPr>
      </w:pPr>
    </w:p>
    <w:p w:rsidR="00E264AA" w:rsidRPr="00E264AA" w:rsidRDefault="00E264AA" w:rsidP="00E264AA">
      <w:pPr>
        <w:rPr>
          <w:rFonts w:asciiTheme="majorHAnsi" w:hAnsiTheme="majorHAnsi"/>
        </w:rPr>
      </w:pPr>
      <w:r w:rsidRPr="00E264AA">
        <w:rPr>
          <w:rFonts w:asciiTheme="majorHAnsi" w:hAnsiTheme="majorHAnsi"/>
          <w:noProof/>
          <w:lang w:eastAsia="en-GB"/>
        </w:rPr>
        <w:lastRenderedPageBreak/>
        <w:drawing>
          <wp:anchor distT="0" distB="0" distL="114300" distR="114300" simplePos="0" relativeHeight="251663360" behindDoc="0" locked="0" layoutInCell="1" allowOverlap="1">
            <wp:simplePos x="0" y="0"/>
            <wp:positionH relativeFrom="margin">
              <wp:align>center</wp:align>
            </wp:positionH>
            <wp:positionV relativeFrom="margin">
              <wp:align>top</wp:align>
            </wp:positionV>
            <wp:extent cx="5184140" cy="2663825"/>
            <wp:effectExtent l="25400" t="25400" r="22860" b="28575"/>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l="2222" t="22220" r="7359" b="19620"/>
                    <a:stretch>
                      <a:fillRect/>
                    </a:stretch>
                  </pic:blipFill>
                  <pic:spPr bwMode="auto">
                    <a:xfrm>
                      <a:off x="0" y="0"/>
                      <a:ext cx="5184140" cy="2663825"/>
                    </a:xfrm>
                    <a:prstGeom prst="rect">
                      <a:avLst/>
                    </a:prstGeom>
                    <a:noFill/>
                    <a:ln w="3175">
                      <a:solidFill>
                        <a:srgbClr val="000000"/>
                      </a:solidFill>
                      <a:miter lim="800000"/>
                      <a:headEnd/>
                      <a:tailEnd/>
                    </a:ln>
                    <a:effectLst/>
                  </pic:spPr>
                </pic:pic>
              </a:graphicData>
            </a:graphic>
          </wp:anchor>
        </w:drawing>
      </w:r>
    </w:p>
    <w:p w:rsidR="00E264AA" w:rsidRPr="00E264AA" w:rsidRDefault="00E264AA" w:rsidP="00E264AA">
      <w:pPr>
        <w:spacing w:line="480" w:lineRule="auto"/>
        <w:rPr>
          <w:rFonts w:asciiTheme="majorHAnsi" w:hAnsiTheme="majorHAnsi"/>
        </w:rPr>
      </w:pPr>
      <w:r w:rsidRPr="00E264AA">
        <w:rPr>
          <w:rFonts w:asciiTheme="majorHAnsi" w:hAnsiTheme="majorHAnsi"/>
        </w:rPr>
        <w:t>Figure 1. Hunger and Satiety Rating Scale: Teddy the Bear</w:t>
      </w:r>
    </w:p>
    <w:p w:rsidR="00E264AA" w:rsidRPr="00E264AA" w:rsidRDefault="00E264AA" w:rsidP="00F44E2E">
      <w:pPr>
        <w:spacing w:line="480" w:lineRule="auto"/>
        <w:jc w:val="both"/>
        <w:rPr>
          <w:rFonts w:asciiTheme="majorHAnsi" w:hAnsiTheme="majorHAnsi" w:cs="Segoe UI"/>
        </w:rPr>
      </w:pPr>
    </w:p>
    <w:p w:rsidR="00E264AA" w:rsidRPr="00E264AA" w:rsidRDefault="00E264AA" w:rsidP="00F44E2E">
      <w:pPr>
        <w:spacing w:line="480" w:lineRule="auto"/>
        <w:jc w:val="both"/>
        <w:rPr>
          <w:rFonts w:asciiTheme="majorHAnsi" w:hAnsiTheme="majorHAnsi" w:cs="Segoe UI"/>
        </w:rPr>
      </w:pPr>
    </w:p>
    <w:p w:rsidR="00E264AA" w:rsidRPr="00E264AA" w:rsidRDefault="00E264AA" w:rsidP="00F44E2E">
      <w:pPr>
        <w:spacing w:line="480" w:lineRule="auto"/>
        <w:jc w:val="both"/>
        <w:rPr>
          <w:rFonts w:asciiTheme="majorHAnsi" w:hAnsiTheme="majorHAnsi" w:cs="Segoe UI"/>
        </w:rPr>
      </w:pPr>
    </w:p>
    <w:p w:rsidR="00E264AA" w:rsidRPr="00E264AA" w:rsidRDefault="00E264AA" w:rsidP="00F44E2E">
      <w:pPr>
        <w:spacing w:line="480" w:lineRule="auto"/>
        <w:jc w:val="both"/>
        <w:rPr>
          <w:rFonts w:asciiTheme="majorHAnsi" w:hAnsiTheme="majorHAnsi" w:cs="Segoe UI"/>
        </w:rPr>
      </w:pPr>
    </w:p>
    <w:p w:rsidR="00E264AA" w:rsidRPr="00E264AA" w:rsidRDefault="00E264AA" w:rsidP="00F44E2E">
      <w:pPr>
        <w:spacing w:line="480" w:lineRule="auto"/>
        <w:jc w:val="both"/>
        <w:rPr>
          <w:rFonts w:asciiTheme="majorHAnsi" w:hAnsiTheme="majorHAnsi" w:cs="Segoe UI"/>
        </w:rPr>
      </w:pPr>
    </w:p>
    <w:p w:rsidR="00E264AA" w:rsidRPr="00E264AA" w:rsidRDefault="00E264AA" w:rsidP="00F44E2E">
      <w:pPr>
        <w:spacing w:line="480" w:lineRule="auto"/>
        <w:jc w:val="both"/>
        <w:rPr>
          <w:rFonts w:asciiTheme="majorHAnsi" w:hAnsiTheme="majorHAnsi" w:cs="Segoe UI"/>
        </w:rPr>
      </w:pPr>
    </w:p>
    <w:p w:rsidR="00E264AA" w:rsidRPr="00E264AA" w:rsidRDefault="00E264AA" w:rsidP="00F44E2E">
      <w:pPr>
        <w:spacing w:line="480" w:lineRule="auto"/>
        <w:jc w:val="both"/>
        <w:rPr>
          <w:rFonts w:asciiTheme="majorHAnsi" w:hAnsiTheme="majorHAnsi" w:cs="Segoe UI"/>
        </w:rPr>
      </w:pPr>
    </w:p>
    <w:p w:rsidR="00E264AA" w:rsidRPr="00E264AA" w:rsidRDefault="00E264AA" w:rsidP="00F44E2E">
      <w:pPr>
        <w:spacing w:line="480" w:lineRule="auto"/>
        <w:jc w:val="both"/>
        <w:rPr>
          <w:rFonts w:asciiTheme="majorHAnsi" w:hAnsiTheme="majorHAnsi" w:cs="Segoe UI"/>
        </w:rPr>
      </w:pPr>
    </w:p>
    <w:p w:rsidR="00E264AA" w:rsidRPr="00E264AA" w:rsidRDefault="00E264AA" w:rsidP="00F44E2E">
      <w:pPr>
        <w:spacing w:line="480" w:lineRule="auto"/>
        <w:jc w:val="both"/>
        <w:rPr>
          <w:rFonts w:asciiTheme="majorHAnsi" w:hAnsiTheme="majorHAnsi" w:cs="Segoe UI"/>
        </w:rPr>
      </w:pPr>
    </w:p>
    <w:p w:rsidR="00E264AA" w:rsidRPr="00E264AA" w:rsidRDefault="00E264AA" w:rsidP="00F44E2E">
      <w:pPr>
        <w:spacing w:line="480" w:lineRule="auto"/>
        <w:jc w:val="both"/>
        <w:rPr>
          <w:rFonts w:asciiTheme="majorHAnsi" w:hAnsiTheme="majorHAnsi" w:cs="Segoe UI"/>
        </w:rPr>
      </w:pPr>
    </w:p>
    <w:p w:rsidR="00E264AA" w:rsidRPr="00E264AA" w:rsidRDefault="00E264AA" w:rsidP="00F44E2E">
      <w:pPr>
        <w:spacing w:line="480" w:lineRule="auto"/>
        <w:jc w:val="both"/>
        <w:rPr>
          <w:rFonts w:asciiTheme="majorHAnsi" w:hAnsiTheme="majorHAnsi" w:cs="Segoe UI"/>
        </w:rPr>
      </w:pPr>
    </w:p>
    <w:p w:rsidR="00E264AA" w:rsidRPr="00E264AA" w:rsidRDefault="00E264AA" w:rsidP="00F44E2E">
      <w:pPr>
        <w:spacing w:line="480" w:lineRule="auto"/>
        <w:jc w:val="both"/>
        <w:rPr>
          <w:rFonts w:asciiTheme="majorHAnsi" w:hAnsiTheme="majorHAnsi" w:cs="Segoe UI"/>
        </w:rPr>
      </w:pPr>
    </w:p>
    <w:p w:rsidR="00E264AA" w:rsidRPr="00E264AA" w:rsidRDefault="00E264AA" w:rsidP="00F44E2E">
      <w:pPr>
        <w:spacing w:line="480" w:lineRule="auto"/>
        <w:jc w:val="both"/>
        <w:rPr>
          <w:rFonts w:asciiTheme="majorHAnsi" w:hAnsiTheme="majorHAnsi" w:cs="Segoe UI"/>
        </w:rPr>
      </w:pPr>
    </w:p>
    <w:p w:rsidR="00E264AA" w:rsidRPr="00E264AA" w:rsidRDefault="00E264AA" w:rsidP="00F44E2E">
      <w:pPr>
        <w:spacing w:line="480" w:lineRule="auto"/>
        <w:jc w:val="both"/>
        <w:rPr>
          <w:rFonts w:asciiTheme="majorHAnsi" w:hAnsiTheme="majorHAnsi" w:cs="Segoe UI"/>
        </w:rPr>
      </w:pPr>
    </w:p>
    <w:p w:rsidR="00E264AA" w:rsidRPr="00E264AA" w:rsidRDefault="00E264AA" w:rsidP="00F44E2E">
      <w:pPr>
        <w:spacing w:line="480" w:lineRule="auto"/>
        <w:jc w:val="both"/>
        <w:rPr>
          <w:rFonts w:asciiTheme="majorHAnsi" w:hAnsiTheme="majorHAnsi" w:cs="Segoe UI"/>
        </w:rPr>
      </w:pPr>
    </w:p>
    <w:p w:rsidR="00E264AA" w:rsidRPr="00E264AA" w:rsidRDefault="00E264AA" w:rsidP="00F44E2E">
      <w:pPr>
        <w:spacing w:line="480" w:lineRule="auto"/>
        <w:jc w:val="both"/>
        <w:rPr>
          <w:rFonts w:asciiTheme="majorHAnsi" w:hAnsiTheme="majorHAnsi" w:cs="Segoe UI"/>
        </w:rPr>
      </w:pPr>
    </w:p>
    <w:p w:rsidR="00E264AA" w:rsidRPr="00E264AA" w:rsidRDefault="00E264AA" w:rsidP="00F44E2E">
      <w:pPr>
        <w:spacing w:line="480" w:lineRule="auto"/>
        <w:jc w:val="both"/>
        <w:rPr>
          <w:rFonts w:asciiTheme="majorHAnsi" w:hAnsiTheme="majorHAnsi" w:cs="Segoe UI"/>
        </w:rPr>
      </w:pPr>
    </w:p>
    <w:p w:rsidR="00E264AA" w:rsidRPr="00E264AA" w:rsidRDefault="00E264AA" w:rsidP="00E264AA">
      <w:pPr>
        <w:rPr>
          <w:rFonts w:asciiTheme="majorHAnsi" w:hAnsiTheme="majorHAnsi"/>
        </w:rPr>
      </w:pPr>
      <w:r w:rsidRPr="00E264AA">
        <w:rPr>
          <w:rFonts w:asciiTheme="majorHAnsi" w:hAnsiTheme="majorHAnsi"/>
          <w:noProof/>
          <w:lang w:eastAsia="en-GB"/>
        </w:rPr>
        <w:lastRenderedPageBreak/>
        <w:drawing>
          <wp:inline distT="0" distB="0" distL="0" distR="0">
            <wp:extent cx="5010150" cy="3548062"/>
            <wp:effectExtent l="0" t="0" r="19050" b="146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264AA" w:rsidRPr="00E264AA" w:rsidRDefault="00E264AA" w:rsidP="00E264AA">
      <w:pPr>
        <w:rPr>
          <w:rFonts w:asciiTheme="majorHAnsi" w:hAnsiTheme="majorHAnsi"/>
        </w:rPr>
      </w:pPr>
      <w:r w:rsidRPr="00E264AA">
        <w:rPr>
          <w:rFonts w:asciiTheme="majorHAnsi" w:hAnsiTheme="majorHAnsi"/>
        </w:rPr>
        <w:t>Figure 2. Percentage of children whose hunger remained the same, increased or decreased after consuming a snack and magnitude of the associated change in hunger</w:t>
      </w:r>
    </w:p>
    <w:p w:rsidR="00E264AA" w:rsidRPr="00E264AA" w:rsidRDefault="00E264AA" w:rsidP="00F44E2E">
      <w:pPr>
        <w:spacing w:line="480" w:lineRule="auto"/>
        <w:jc w:val="both"/>
        <w:rPr>
          <w:rFonts w:asciiTheme="majorHAnsi" w:hAnsiTheme="majorHAnsi" w:cs="Segoe UI"/>
        </w:rPr>
      </w:pPr>
    </w:p>
    <w:p w:rsidR="00E264AA" w:rsidRPr="00E264AA" w:rsidRDefault="00E264AA" w:rsidP="00F44E2E">
      <w:pPr>
        <w:spacing w:line="480" w:lineRule="auto"/>
        <w:jc w:val="both"/>
        <w:rPr>
          <w:rFonts w:asciiTheme="majorHAnsi" w:hAnsiTheme="majorHAnsi" w:cs="Segoe UI"/>
        </w:rPr>
      </w:pPr>
    </w:p>
    <w:p w:rsidR="00E264AA" w:rsidRPr="00E264AA" w:rsidRDefault="00E264AA" w:rsidP="00F44E2E">
      <w:pPr>
        <w:spacing w:line="480" w:lineRule="auto"/>
        <w:jc w:val="both"/>
        <w:rPr>
          <w:rFonts w:asciiTheme="majorHAnsi" w:hAnsiTheme="majorHAnsi" w:cs="Segoe UI"/>
        </w:rPr>
      </w:pPr>
    </w:p>
    <w:p w:rsidR="00E264AA" w:rsidRPr="00E264AA" w:rsidRDefault="00E264AA" w:rsidP="00F44E2E">
      <w:pPr>
        <w:spacing w:line="480" w:lineRule="auto"/>
        <w:jc w:val="both"/>
        <w:rPr>
          <w:rFonts w:asciiTheme="majorHAnsi" w:hAnsiTheme="majorHAnsi" w:cs="Segoe UI"/>
        </w:rPr>
      </w:pPr>
    </w:p>
    <w:p w:rsidR="00E264AA" w:rsidRPr="00E264AA" w:rsidRDefault="00E264AA" w:rsidP="00F44E2E">
      <w:pPr>
        <w:spacing w:line="480" w:lineRule="auto"/>
        <w:jc w:val="both"/>
        <w:rPr>
          <w:rFonts w:asciiTheme="majorHAnsi" w:hAnsiTheme="majorHAnsi" w:cs="Segoe UI"/>
        </w:rPr>
      </w:pPr>
    </w:p>
    <w:p w:rsidR="00E264AA" w:rsidRPr="00E264AA" w:rsidRDefault="00E264AA" w:rsidP="00F44E2E">
      <w:pPr>
        <w:spacing w:line="480" w:lineRule="auto"/>
        <w:jc w:val="both"/>
        <w:rPr>
          <w:rFonts w:asciiTheme="majorHAnsi" w:hAnsiTheme="majorHAnsi" w:cs="Segoe UI"/>
        </w:rPr>
      </w:pPr>
    </w:p>
    <w:p w:rsidR="00E264AA" w:rsidRPr="00E264AA" w:rsidRDefault="00E264AA" w:rsidP="00F44E2E">
      <w:pPr>
        <w:spacing w:line="480" w:lineRule="auto"/>
        <w:jc w:val="both"/>
        <w:rPr>
          <w:rFonts w:asciiTheme="majorHAnsi" w:hAnsiTheme="majorHAnsi" w:cs="Segoe UI"/>
        </w:rPr>
      </w:pPr>
    </w:p>
    <w:p w:rsidR="00E264AA" w:rsidRPr="00E264AA" w:rsidRDefault="00E264AA" w:rsidP="00F44E2E">
      <w:pPr>
        <w:spacing w:line="480" w:lineRule="auto"/>
        <w:jc w:val="both"/>
        <w:rPr>
          <w:rFonts w:asciiTheme="majorHAnsi" w:hAnsiTheme="majorHAnsi" w:cs="Segoe UI"/>
        </w:rPr>
      </w:pPr>
    </w:p>
    <w:p w:rsidR="00E264AA" w:rsidRPr="00E264AA" w:rsidRDefault="00E264AA" w:rsidP="00F44E2E">
      <w:pPr>
        <w:spacing w:line="480" w:lineRule="auto"/>
        <w:jc w:val="both"/>
        <w:rPr>
          <w:rFonts w:asciiTheme="majorHAnsi" w:hAnsiTheme="majorHAnsi" w:cs="Segoe UI"/>
        </w:rPr>
      </w:pPr>
    </w:p>
    <w:p w:rsidR="00E264AA" w:rsidRPr="00E264AA" w:rsidRDefault="00E264AA" w:rsidP="00F44E2E">
      <w:pPr>
        <w:spacing w:line="480" w:lineRule="auto"/>
        <w:jc w:val="both"/>
        <w:rPr>
          <w:rFonts w:asciiTheme="majorHAnsi" w:hAnsiTheme="majorHAnsi" w:cs="Segoe UI"/>
        </w:rPr>
      </w:pPr>
    </w:p>
    <w:p w:rsidR="00E264AA" w:rsidRPr="00E264AA" w:rsidRDefault="00E264AA" w:rsidP="00F44E2E">
      <w:pPr>
        <w:spacing w:line="480" w:lineRule="auto"/>
        <w:jc w:val="both"/>
        <w:rPr>
          <w:rFonts w:asciiTheme="majorHAnsi" w:hAnsiTheme="majorHAnsi" w:cs="Segoe UI"/>
        </w:rPr>
      </w:pPr>
    </w:p>
    <w:p w:rsidR="00E264AA" w:rsidRPr="00E264AA" w:rsidRDefault="00E264AA" w:rsidP="00F44E2E">
      <w:pPr>
        <w:spacing w:line="480" w:lineRule="auto"/>
        <w:jc w:val="both"/>
        <w:rPr>
          <w:rFonts w:asciiTheme="majorHAnsi" w:hAnsiTheme="majorHAnsi" w:cs="Segoe UI"/>
        </w:rPr>
      </w:pPr>
    </w:p>
    <w:p w:rsidR="00E264AA" w:rsidRPr="00E264AA" w:rsidRDefault="00E264AA" w:rsidP="00F44E2E">
      <w:pPr>
        <w:spacing w:line="480" w:lineRule="auto"/>
        <w:jc w:val="both"/>
        <w:rPr>
          <w:rFonts w:asciiTheme="majorHAnsi" w:hAnsiTheme="majorHAnsi" w:cs="Segoe UI"/>
        </w:rPr>
      </w:pPr>
    </w:p>
    <w:p w:rsidR="00E264AA" w:rsidRPr="00E264AA" w:rsidRDefault="00E264AA" w:rsidP="00F44E2E">
      <w:pPr>
        <w:spacing w:line="480" w:lineRule="auto"/>
        <w:jc w:val="both"/>
        <w:rPr>
          <w:rFonts w:asciiTheme="majorHAnsi" w:hAnsiTheme="majorHAnsi" w:cs="Segoe UI"/>
        </w:rPr>
      </w:pPr>
    </w:p>
    <w:p w:rsidR="00E264AA" w:rsidRPr="00E264AA" w:rsidRDefault="00E264AA" w:rsidP="00F44E2E">
      <w:pPr>
        <w:spacing w:line="480" w:lineRule="auto"/>
        <w:jc w:val="both"/>
        <w:rPr>
          <w:rFonts w:asciiTheme="majorHAnsi" w:hAnsiTheme="majorHAnsi" w:cs="Segoe UI"/>
        </w:rPr>
      </w:pPr>
    </w:p>
    <w:p w:rsidR="00E264AA" w:rsidRPr="00E264AA" w:rsidRDefault="00E264AA" w:rsidP="00E264AA">
      <w:pPr>
        <w:jc w:val="center"/>
        <w:rPr>
          <w:rFonts w:asciiTheme="majorHAnsi" w:hAnsiTheme="majorHAnsi"/>
        </w:rPr>
      </w:pPr>
      <w:r w:rsidRPr="00E264AA">
        <w:rPr>
          <w:rFonts w:asciiTheme="majorHAnsi" w:hAnsiTheme="majorHAnsi"/>
          <w:noProof/>
          <w:lang w:eastAsia="en-GB"/>
        </w:rPr>
        <w:lastRenderedPageBreak/>
        <w:drawing>
          <wp:inline distT="0" distB="0" distL="0" distR="0">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264AA" w:rsidRPr="00E264AA" w:rsidRDefault="00E264AA" w:rsidP="00E264AA">
      <w:pPr>
        <w:jc w:val="center"/>
        <w:rPr>
          <w:rFonts w:asciiTheme="majorHAnsi" w:hAnsiTheme="majorHAnsi"/>
        </w:rPr>
      </w:pPr>
      <w:r w:rsidRPr="00E264AA">
        <w:rPr>
          <w:rFonts w:asciiTheme="majorHAnsi" w:hAnsiTheme="majorHAnsi"/>
          <w:noProof/>
          <w:lang w:eastAsia="en-GB"/>
        </w:rPr>
        <w:drawing>
          <wp:inline distT="0" distB="0" distL="0" distR="0">
            <wp:extent cx="4572000" cy="2743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264AA" w:rsidRPr="00E264AA" w:rsidRDefault="00E264AA" w:rsidP="00E264AA">
      <w:pPr>
        <w:rPr>
          <w:rFonts w:asciiTheme="majorHAnsi" w:hAnsiTheme="majorHAnsi"/>
        </w:rPr>
      </w:pPr>
      <w:r w:rsidRPr="00E264AA">
        <w:rPr>
          <w:rFonts w:asciiTheme="majorHAnsi" w:hAnsiTheme="majorHAnsi"/>
        </w:rPr>
        <w:t xml:space="preserve">Figure 3. </w:t>
      </w:r>
      <w:r w:rsidRPr="00E264AA">
        <w:rPr>
          <w:rFonts w:asciiTheme="majorHAnsi" w:hAnsiTheme="majorHAnsi" w:cs="Segoe UI"/>
          <w:color w:val="000000"/>
        </w:rPr>
        <w:t>Plots of the relationships between pre-snack hunger rating and subsequent ad libitum snack intake and hunger change rating and ad libitum snack intake</w:t>
      </w:r>
    </w:p>
    <w:p w:rsidR="00E264AA" w:rsidRPr="00BE7FB4" w:rsidRDefault="00E264AA" w:rsidP="00F44E2E">
      <w:pPr>
        <w:spacing w:line="480" w:lineRule="auto"/>
        <w:jc w:val="both"/>
        <w:rPr>
          <w:rFonts w:cs="Segoe UI"/>
        </w:rPr>
      </w:pPr>
    </w:p>
    <w:sectPr w:rsidR="00E264AA" w:rsidRPr="00BE7FB4" w:rsidSect="00CF282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B13" w:rsidRDefault="003A0B13" w:rsidP="00813E64">
      <w:r>
        <w:separator/>
      </w:r>
    </w:p>
  </w:endnote>
  <w:endnote w:type="continuationSeparator" w:id="0">
    <w:p w:rsidR="003A0B13" w:rsidRDefault="003A0B13" w:rsidP="00813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6AF" w:rsidRDefault="00AD16AF" w:rsidP="00F74063">
    <w:pPr>
      <w:pStyle w:val="Footer"/>
      <w:jc w:val="center"/>
    </w:pPr>
  </w:p>
  <w:p w:rsidR="00AD16AF" w:rsidRDefault="00AD16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B13" w:rsidRDefault="003A0B13" w:rsidP="00813E64">
      <w:r>
        <w:separator/>
      </w:r>
    </w:p>
  </w:footnote>
  <w:footnote w:type="continuationSeparator" w:id="0">
    <w:p w:rsidR="003A0B13" w:rsidRDefault="003A0B13" w:rsidP="00813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6AF" w:rsidRDefault="00FD5663">
    <w:pPr>
      <w:pStyle w:val="Header"/>
      <w:jc w:val="right"/>
    </w:pPr>
    <w:r>
      <w:fldChar w:fldCharType="begin"/>
    </w:r>
    <w:r w:rsidR="00151C9B">
      <w:instrText xml:space="preserve"> PAGE   \* MERGEFORMAT </w:instrText>
    </w:r>
    <w:r>
      <w:fldChar w:fldCharType="separate"/>
    </w:r>
    <w:r w:rsidR="00E742C8">
      <w:rPr>
        <w:noProof/>
      </w:rPr>
      <w:t>1</w:t>
    </w:r>
    <w:r>
      <w:rPr>
        <w:noProof/>
      </w:rPr>
      <w:fldChar w:fldCharType="end"/>
    </w:r>
  </w:p>
  <w:p w:rsidR="00AD16AF" w:rsidRDefault="00AD16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6AF" w:rsidRDefault="00FD5663">
    <w:pPr>
      <w:pStyle w:val="Header"/>
      <w:jc w:val="right"/>
    </w:pPr>
    <w:r>
      <w:fldChar w:fldCharType="begin"/>
    </w:r>
    <w:r w:rsidR="00151C9B">
      <w:instrText xml:space="preserve"> PAGE   \* MERGEFORMAT </w:instrText>
    </w:r>
    <w:r>
      <w:fldChar w:fldCharType="separate"/>
    </w:r>
    <w:r w:rsidR="00E742C8">
      <w:rPr>
        <w:noProof/>
      </w:rPr>
      <w:t>2</w:t>
    </w:r>
    <w:r>
      <w:rPr>
        <w:noProof/>
      </w:rPr>
      <w:fldChar w:fldCharType="end"/>
    </w:r>
  </w:p>
  <w:p w:rsidR="00AD16AF" w:rsidRDefault="00AD16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6AF" w:rsidRDefault="00AD16AF">
    <w:pPr>
      <w:pStyle w:val="Header"/>
      <w:jc w:val="right"/>
    </w:pPr>
    <w:r>
      <w:t xml:space="preserve">Measuring Hunger and Satiety   </w:t>
    </w:r>
    <w:r w:rsidR="00FD5663">
      <w:fldChar w:fldCharType="begin"/>
    </w:r>
    <w:r>
      <w:instrText xml:space="preserve"> PAGE   \* MERGEFORMAT </w:instrText>
    </w:r>
    <w:r w:rsidR="00FD5663">
      <w:fldChar w:fldCharType="separate"/>
    </w:r>
    <w:r w:rsidR="00E742C8">
      <w:rPr>
        <w:noProof/>
      </w:rPr>
      <w:t>20</w:t>
    </w:r>
    <w:r w:rsidR="00FD5663">
      <w:rPr>
        <w:noProof/>
      </w:rPr>
      <w:fldChar w:fldCharType="end"/>
    </w:r>
  </w:p>
  <w:p w:rsidR="00AD16AF" w:rsidRDefault="00AD16A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6AF" w:rsidRDefault="00AD16AF">
    <w:pPr>
      <w:pStyle w:val="Header"/>
      <w:jc w:val="right"/>
    </w:pPr>
    <w:r>
      <w:t xml:space="preserve"> Measuring Hunger and Satiety   </w:t>
    </w:r>
    <w:r w:rsidR="00FD5663">
      <w:fldChar w:fldCharType="begin"/>
    </w:r>
    <w:r w:rsidR="00151C9B">
      <w:instrText xml:space="preserve"> PAGE   \* MERGEFORMAT </w:instrText>
    </w:r>
    <w:r w:rsidR="00FD5663">
      <w:fldChar w:fldCharType="separate"/>
    </w:r>
    <w:r w:rsidR="00E742C8">
      <w:rPr>
        <w:noProof/>
      </w:rPr>
      <w:t>3</w:t>
    </w:r>
    <w:r w:rsidR="00FD5663">
      <w:rPr>
        <w:noProof/>
      </w:rPr>
      <w:fldChar w:fldCharType="end"/>
    </w:r>
  </w:p>
  <w:p w:rsidR="00AD16AF" w:rsidRDefault="00AD16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7E0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9B51A23"/>
    <w:multiLevelType w:val="hybridMultilevel"/>
    <w:tmpl w:val="BF0A73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AD3"/>
    <w:rsid w:val="000068A5"/>
    <w:rsid w:val="00014455"/>
    <w:rsid w:val="00036B94"/>
    <w:rsid w:val="00040157"/>
    <w:rsid w:val="00047D26"/>
    <w:rsid w:val="00066E30"/>
    <w:rsid w:val="00070E7D"/>
    <w:rsid w:val="00073417"/>
    <w:rsid w:val="00074754"/>
    <w:rsid w:val="00075040"/>
    <w:rsid w:val="000778A1"/>
    <w:rsid w:val="00084D45"/>
    <w:rsid w:val="0009327C"/>
    <w:rsid w:val="00095A66"/>
    <w:rsid w:val="00096D40"/>
    <w:rsid w:val="000C0A5B"/>
    <w:rsid w:val="000C47E3"/>
    <w:rsid w:val="000C7AC2"/>
    <w:rsid w:val="000D5DCD"/>
    <w:rsid w:val="000E1AF6"/>
    <w:rsid w:val="000E235B"/>
    <w:rsid w:val="000E3771"/>
    <w:rsid w:val="000F6879"/>
    <w:rsid w:val="00100852"/>
    <w:rsid w:val="001075AA"/>
    <w:rsid w:val="001128EB"/>
    <w:rsid w:val="0013338E"/>
    <w:rsid w:val="00133B6B"/>
    <w:rsid w:val="00140271"/>
    <w:rsid w:val="00140CC6"/>
    <w:rsid w:val="00151C9B"/>
    <w:rsid w:val="00152B15"/>
    <w:rsid w:val="00165314"/>
    <w:rsid w:val="001834D0"/>
    <w:rsid w:val="00187ED3"/>
    <w:rsid w:val="00191851"/>
    <w:rsid w:val="001D2265"/>
    <w:rsid w:val="001D4E1E"/>
    <w:rsid w:val="001F4AF4"/>
    <w:rsid w:val="001F55EC"/>
    <w:rsid w:val="00203F48"/>
    <w:rsid w:val="00223C25"/>
    <w:rsid w:val="002276D5"/>
    <w:rsid w:val="0023395B"/>
    <w:rsid w:val="00236518"/>
    <w:rsid w:val="00240C71"/>
    <w:rsid w:val="0024149F"/>
    <w:rsid w:val="00251718"/>
    <w:rsid w:val="00254FA1"/>
    <w:rsid w:val="0026100F"/>
    <w:rsid w:val="00266590"/>
    <w:rsid w:val="00266659"/>
    <w:rsid w:val="00270151"/>
    <w:rsid w:val="002800EC"/>
    <w:rsid w:val="00282E41"/>
    <w:rsid w:val="00285D0B"/>
    <w:rsid w:val="00297389"/>
    <w:rsid w:val="002A2487"/>
    <w:rsid w:val="002A2E96"/>
    <w:rsid w:val="002A7ED7"/>
    <w:rsid w:val="002D409E"/>
    <w:rsid w:val="002D6644"/>
    <w:rsid w:val="002D7550"/>
    <w:rsid w:val="002E105E"/>
    <w:rsid w:val="002E399F"/>
    <w:rsid w:val="002E5540"/>
    <w:rsid w:val="002F304A"/>
    <w:rsid w:val="00311D23"/>
    <w:rsid w:val="00316ED7"/>
    <w:rsid w:val="00317C84"/>
    <w:rsid w:val="00330D4D"/>
    <w:rsid w:val="00350184"/>
    <w:rsid w:val="003503F4"/>
    <w:rsid w:val="00352542"/>
    <w:rsid w:val="00361AE1"/>
    <w:rsid w:val="00361D55"/>
    <w:rsid w:val="00370484"/>
    <w:rsid w:val="003754FD"/>
    <w:rsid w:val="00375B59"/>
    <w:rsid w:val="003816D0"/>
    <w:rsid w:val="00381911"/>
    <w:rsid w:val="00385B23"/>
    <w:rsid w:val="00391365"/>
    <w:rsid w:val="00397E78"/>
    <w:rsid w:val="003A0B13"/>
    <w:rsid w:val="003A178A"/>
    <w:rsid w:val="003A552D"/>
    <w:rsid w:val="003A75C7"/>
    <w:rsid w:val="003B0093"/>
    <w:rsid w:val="003C02A4"/>
    <w:rsid w:val="003D3254"/>
    <w:rsid w:val="003D50C6"/>
    <w:rsid w:val="003E4C45"/>
    <w:rsid w:val="003F02CE"/>
    <w:rsid w:val="003F2C6F"/>
    <w:rsid w:val="003F735B"/>
    <w:rsid w:val="003F7453"/>
    <w:rsid w:val="00403125"/>
    <w:rsid w:val="00403E77"/>
    <w:rsid w:val="00413C45"/>
    <w:rsid w:val="00414468"/>
    <w:rsid w:val="004224AE"/>
    <w:rsid w:val="004311FE"/>
    <w:rsid w:val="00431BCE"/>
    <w:rsid w:val="00435518"/>
    <w:rsid w:val="004416DA"/>
    <w:rsid w:val="00452091"/>
    <w:rsid w:val="0045769F"/>
    <w:rsid w:val="00471706"/>
    <w:rsid w:val="00472B08"/>
    <w:rsid w:val="00472DD1"/>
    <w:rsid w:val="00483101"/>
    <w:rsid w:val="00483FBA"/>
    <w:rsid w:val="00487E83"/>
    <w:rsid w:val="00487F82"/>
    <w:rsid w:val="00494ECD"/>
    <w:rsid w:val="0049664C"/>
    <w:rsid w:val="004A29A0"/>
    <w:rsid w:val="004A30DB"/>
    <w:rsid w:val="004A471F"/>
    <w:rsid w:val="004B0836"/>
    <w:rsid w:val="004C754A"/>
    <w:rsid w:val="004D23AF"/>
    <w:rsid w:val="004E1878"/>
    <w:rsid w:val="004E433B"/>
    <w:rsid w:val="00504799"/>
    <w:rsid w:val="0051020A"/>
    <w:rsid w:val="00510991"/>
    <w:rsid w:val="005154AA"/>
    <w:rsid w:val="00515B33"/>
    <w:rsid w:val="00527994"/>
    <w:rsid w:val="00527E65"/>
    <w:rsid w:val="005320B5"/>
    <w:rsid w:val="00545845"/>
    <w:rsid w:val="00547B45"/>
    <w:rsid w:val="005559B7"/>
    <w:rsid w:val="00557605"/>
    <w:rsid w:val="00557F13"/>
    <w:rsid w:val="005633A8"/>
    <w:rsid w:val="00565059"/>
    <w:rsid w:val="005703FC"/>
    <w:rsid w:val="00571E9B"/>
    <w:rsid w:val="00587FD4"/>
    <w:rsid w:val="005937E9"/>
    <w:rsid w:val="00595B9A"/>
    <w:rsid w:val="005A7484"/>
    <w:rsid w:val="005A7525"/>
    <w:rsid w:val="005B155E"/>
    <w:rsid w:val="005D210E"/>
    <w:rsid w:val="005F0BBB"/>
    <w:rsid w:val="005F2A52"/>
    <w:rsid w:val="005F4F8E"/>
    <w:rsid w:val="00601692"/>
    <w:rsid w:val="00613DCE"/>
    <w:rsid w:val="0061687E"/>
    <w:rsid w:val="00620976"/>
    <w:rsid w:val="0063691B"/>
    <w:rsid w:val="0063731C"/>
    <w:rsid w:val="006373CB"/>
    <w:rsid w:val="00652CA8"/>
    <w:rsid w:val="00653CE3"/>
    <w:rsid w:val="006863A8"/>
    <w:rsid w:val="00696F21"/>
    <w:rsid w:val="0069767A"/>
    <w:rsid w:val="006D0EF4"/>
    <w:rsid w:val="006D231D"/>
    <w:rsid w:val="006D7F83"/>
    <w:rsid w:val="006E25BD"/>
    <w:rsid w:val="006E3D15"/>
    <w:rsid w:val="006E4EB8"/>
    <w:rsid w:val="006E69ED"/>
    <w:rsid w:val="006F0402"/>
    <w:rsid w:val="006F6F2C"/>
    <w:rsid w:val="00705472"/>
    <w:rsid w:val="00706358"/>
    <w:rsid w:val="00707D06"/>
    <w:rsid w:val="007127C5"/>
    <w:rsid w:val="00716505"/>
    <w:rsid w:val="007205AA"/>
    <w:rsid w:val="007237E7"/>
    <w:rsid w:val="007246CD"/>
    <w:rsid w:val="00730ED9"/>
    <w:rsid w:val="0073274B"/>
    <w:rsid w:val="00733C2A"/>
    <w:rsid w:val="00736115"/>
    <w:rsid w:val="00737485"/>
    <w:rsid w:val="00737D57"/>
    <w:rsid w:val="007507D6"/>
    <w:rsid w:val="00755CD9"/>
    <w:rsid w:val="0075724F"/>
    <w:rsid w:val="007636A7"/>
    <w:rsid w:val="00766ECE"/>
    <w:rsid w:val="00780D0A"/>
    <w:rsid w:val="0078219A"/>
    <w:rsid w:val="0078296E"/>
    <w:rsid w:val="007907C1"/>
    <w:rsid w:val="007A4E9D"/>
    <w:rsid w:val="007A56C4"/>
    <w:rsid w:val="007A6A8C"/>
    <w:rsid w:val="007B0058"/>
    <w:rsid w:val="007B0D2A"/>
    <w:rsid w:val="007C44B1"/>
    <w:rsid w:val="007C5AE3"/>
    <w:rsid w:val="007C764B"/>
    <w:rsid w:val="007D0D58"/>
    <w:rsid w:val="007D6BBF"/>
    <w:rsid w:val="007E0354"/>
    <w:rsid w:val="007E2505"/>
    <w:rsid w:val="007E79AA"/>
    <w:rsid w:val="007F4C44"/>
    <w:rsid w:val="00801BC5"/>
    <w:rsid w:val="0080407F"/>
    <w:rsid w:val="00811F0C"/>
    <w:rsid w:val="00813E64"/>
    <w:rsid w:val="00821671"/>
    <w:rsid w:val="008217D2"/>
    <w:rsid w:val="00823381"/>
    <w:rsid w:val="00826121"/>
    <w:rsid w:val="00830434"/>
    <w:rsid w:val="008324AA"/>
    <w:rsid w:val="008369A4"/>
    <w:rsid w:val="00840A9F"/>
    <w:rsid w:val="008414D4"/>
    <w:rsid w:val="00844E29"/>
    <w:rsid w:val="00855F18"/>
    <w:rsid w:val="00861661"/>
    <w:rsid w:val="00866F79"/>
    <w:rsid w:val="00871F30"/>
    <w:rsid w:val="00875D67"/>
    <w:rsid w:val="00892491"/>
    <w:rsid w:val="00892E5B"/>
    <w:rsid w:val="008A0F0F"/>
    <w:rsid w:val="008A2E16"/>
    <w:rsid w:val="008A6E92"/>
    <w:rsid w:val="008A78DC"/>
    <w:rsid w:val="008B2AD3"/>
    <w:rsid w:val="008C5B5C"/>
    <w:rsid w:val="008D1EFF"/>
    <w:rsid w:val="008D1F2B"/>
    <w:rsid w:val="008D6DFF"/>
    <w:rsid w:val="008E2CC6"/>
    <w:rsid w:val="008F1F80"/>
    <w:rsid w:val="009022C2"/>
    <w:rsid w:val="00904E5F"/>
    <w:rsid w:val="00910F23"/>
    <w:rsid w:val="00912786"/>
    <w:rsid w:val="00915237"/>
    <w:rsid w:val="00920DD3"/>
    <w:rsid w:val="009214C1"/>
    <w:rsid w:val="009215D9"/>
    <w:rsid w:val="00924A13"/>
    <w:rsid w:val="00936B23"/>
    <w:rsid w:val="00936D34"/>
    <w:rsid w:val="00945A0F"/>
    <w:rsid w:val="00950DBB"/>
    <w:rsid w:val="00954D85"/>
    <w:rsid w:val="00955279"/>
    <w:rsid w:val="0096666E"/>
    <w:rsid w:val="009901A0"/>
    <w:rsid w:val="009A644D"/>
    <w:rsid w:val="009D0BF2"/>
    <w:rsid w:val="009D549C"/>
    <w:rsid w:val="009E1FDF"/>
    <w:rsid w:val="009E22A2"/>
    <w:rsid w:val="009F147D"/>
    <w:rsid w:val="009F7509"/>
    <w:rsid w:val="00A01005"/>
    <w:rsid w:val="00A03D6E"/>
    <w:rsid w:val="00A113F0"/>
    <w:rsid w:val="00A15CB0"/>
    <w:rsid w:val="00A24AC6"/>
    <w:rsid w:val="00A30528"/>
    <w:rsid w:val="00A31453"/>
    <w:rsid w:val="00A426D4"/>
    <w:rsid w:val="00A42E1A"/>
    <w:rsid w:val="00A53A8A"/>
    <w:rsid w:val="00A607F7"/>
    <w:rsid w:val="00A61320"/>
    <w:rsid w:val="00A67C88"/>
    <w:rsid w:val="00A742D2"/>
    <w:rsid w:val="00A75315"/>
    <w:rsid w:val="00A82A82"/>
    <w:rsid w:val="00A87CE9"/>
    <w:rsid w:val="00A90B4E"/>
    <w:rsid w:val="00A96220"/>
    <w:rsid w:val="00A97FB9"/>
    <w:rsid w:val="00AB3D7B"/>
    <w:rsid w:val="00AC4455"/>
    <w:rsid w:val="00AC76F4"/>
    <w:rsid w:val="00AD16AF"/>
    <w:rsid w:val="00AD2259"/>
    <w:rsid w:val="00AE0DCC"/>
    <w:rsid w:val="00AE4128"/>
    <w:rsid w:val="00AE4513"/>
    <w:rsid w:val="00AF20FE"/>
    <w:rsid w:val="00AF462D"/>
    <w:rsid w:val="00AF5677"/>
    <w:rsid w:val="00AF7896"/>
    <w:rsid w:val="00B125DE"/>
    <w:rsid w:val="00B12700"/>
    <w:rsid w:val="00B27860"/>
    <w:rsid w:val="00B4523F"/>
    <w:rsid w:val="00B578D1"/>
    <w:rsid w:val="00B63753"/>
    <w:rsid w:val="00B65D3F"/>
    <w:rsid w:val="00B734C2"/>
    <w:rsid w:val="00B7383E"/>
    <w:rsid w:val="00B8454F"/>
    <w:rsid w:val="00B90925"/>
    <w:rsid w:val="00B96C8A"/>
    <w:rsid w:val="00B97A97"/>
    <w:rsid w:val="00BA0127"/>
    <w:rsid w:val="00BA09E0"/>
    <w:rsid w:val="00BA4052"/>
    <w:rsid w:val="00BA55D4"/>
    <w:rsid w:val="00BC1F1D"/>
    <w:rsid w:val="00BC286D"/>
    <w:rsid w:val="00BC2B86"/>
    <w:rsid w:val="00BC4140"/>
    <w:rsid w:val="00BD6A3A"/>
    <w:rsid w:val="00BE7FA9"/>
    <w:rsid w:val="00BE7FB4"/>
    <w:rsid w:val="00BF3C44"/>
    <w:rsid w:val="00BF5A3F"/>
    <w:rsid w:val="00C04F6A"/>
    <w:rsid w:val="00C0669B"/>
    <w:rsid w:val="00C125D5"/>
    <w:rsid w:val="00C1507D"/>
    <w:rsid w:val="00C20F20"/>
    <w:rsid w:val="00C229CA"/>
    <w:rsid w:val="00C235C7"/>
    <w:rsid w:val="00C24ADF"/>
    <w:rsid w:val="00C253CB"/>
    <w:rsid w:val="00C26E84"/>
    <w:rsid w:val="00C30F5D"/>
    <w:rsid w:val="00C31F27"/>
    <w:rsid w:val="00C44667"/>
    <w:rsid w:val="00C6337B"/>
    <w:rsid w:val="00C744D4"/>
    <w:rsid w:val="00C74C63"/>
    <w:rsid w:val="00C92D2E"/>
    <w:rsid w:val="00CC7837"/>
    <w:rsid w:val="00CD09E5"/>
    <w:rsid w:val="00CE190E"/>
    <w:rsid w:val="00CE581A"/>
    <w:rsid w:val="00CF2827"/>
    <w:rsid w:val="00CF66C9"/>
    <w:rsid w:val="00CF71F5"/>
    <w:rsid w:val="00CF7C63"/>
    <w:rsid w:val="00D0568C"/>
    <w:rsid w:val="00D16FBD"/>
    <w:rsid w:val="00D17981"/>
    <w:rsid w:val="00D220BB"/>
    <w:rsid w:val="00D23DF9"/>
    <w:rsid w:val="00D30931"/>
    <w:rsid w:val="00D4275E"/>
    <w:rsid w:val="00D42B7C"/>
    <w:rsid w:val="00D50678"/>
    <w:rsid w:val="00D8098D"/>
    <w:rsid w:val="00D81DEA"/>
    <w:rsid w:val="00D825EE"/>
    <w:rsid w:val="00D90961"/>
    <w:rsid w:val="00D9554E"/>
    <w:rsid w:val="00D96306"/>
    <w:rsid w:val="00DA5D6C"/>
    <w:rsid w:val="00DB0A3C"/>
    <w:rsid w:val="00DB505A"/>
    <w:rsid w:val="00DD5D15"/>
    <w:rsid w:val="00DE119D"/>
    <w:rsid w:val="00DE4800"/>
    <w:rsid w:val="00DE5FCF"/>
    <w:rsid w:val="00DF12A4"/>
    <w:rsid w:val="00DF7329"/>
    <w:rsid w:val="00E022B6"/>
    <w:rsid w:val="00E07368"/>
    <w:rsid w:val="00E10E9C"/>
    <w:rsid w:val="00E1113E"/>
    <w:rsid w:val="00E12529"/>
    <w:rsid w:val="00E130C7"/>
    <w:rsid w:val="00E21128"/>
    <w:rsid w:val="00E23C5C"/>
    <w:rsid w:val="00E258F8"/>
    <w:rsid w:val="00E264AA"/>
    <w:rsid w:val="00E30187"/>
    <w:rsid w:val="00E30743"/>
    <w:rsid w:val="00E34D97"/>
    <w:rsid w:val="00E4111C"/>
    <w:rsid w:val="00E452DD"/>
    <w:rsid w:val="00E53EB9"/>
    <w:rsid w:val="00E627A3"/>
    <w:rsid w:val="00E628F5"/>
    <w:rsid w:val="00E655FE"/>
    <w:rsid w:val="00E742C8"/>
    <w:rsid w:val="00E751B4"/>
    <w:rsid w:val="00E75A74"/>
    <w:rsid w:val="00E76F9E"/>
    <w:rsid w:val="00E776E5"/>
    <w:rsid w:val="00E77725"/>
    <w:rsid w:val="00E86AD6"/>
    <w:rsid w:val="00E871BF"/>
    <w:rsid w:val="00E95AF4"/>
    <w:rsid w:val="00E95D7F"/>
    <w:rsid w:val="00EA6056"/>
    <w:rsid w:val="00EB0215"/>
    <w:rsid w:val="00EB370A"/>
    <w:rsid w:val="00EB7B1A"/>
    <w:rsid w:val="00EB7DFB"/>
    <w:rsid w:val="00EB7FEB"/>
    <w:rsid w:val="00EC5D07"/>
    <w:rsid w:val="00EC7044"/>
    <w:rsid w:val="00ED5CFD"/>
    <w:rsid w:val="00EE5F9C"/>
    <w:rsid w:val="00EF23F5"/>
    <w:rsid w:val="00EF38F0"/>
    <w:rsid w:val="00EF5C8F"/>
    <w:rsid w:val="00EF5DAA"/>
    <w:rsid w:val="00F06787"/>
    <w:rsid w:val="00F13EC9"/>
    <w:rsid w:val="00F20327"/>
    <w:rsid w:val="00F30ADE"/>
    <w:rsid w:val="00F43D25"/>
    <w:rsid w:val="00F44295"/>
    <w:rsid w:val="00F44E2E"/>
    <w:rsid w:val="00F7396B"/>
    <w:rsid w:val="00F74063"/>
    <w:rsid w:val="00F806E5"/>
    <w:rsid w:val="00F93D80"/>
    <w:rsid w:val="00F95B6C"/>
    <w:rsid w:val="00FA55F2"/>
    <w:rsid w:val="00FC33B5"/>
    <w:rsid w:val="00FC4F4A"/>
    <w:rsid w:val="00FC63A4"/>
    <w:rsid w:val="00FC75FC"/>
    <w:rsid w:val="00FD168B"/>
    <w:rsid w:val="00FD3096"/>
    <w:rsid w:val="00FD5663"/>
    <w:rsid w:val="00FE3EBC"/>
    <w:rsid w:val="00FF59A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2BD6C58-42CD-4397-BAFE-72D22D69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15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B2AD3"/>
    <w:rPr>
      <w:sz w:val="16"/>
      <w:szCs w:val="16"/>
    </w:rPr>
  </w:style>
  <w:style w:type="paragraph" w:styleId="CommentText">
    <w:name w:val="annotation text"/>
    <w:basedOn w:val="Normal"/>
    <w:link w:val="CommentTextChar"/>
    <w:uiPriority w:val="99"/>
    <w:semiHidden/>
    <w:unhideWhenUsed/>
    <w:rsid w:val="008B2AD3"/>
    <w:pPr>
      <w:spacing w:after="200"/>
    </w:pPr>
    <w:rPr>
      <w:sz w:val="20"/>
      <w:szCs w:val="20"/>
    </w:rPr>
  </w:style>
  <w:style w:type="character" w:customStyle="1" w:styleId="CommentTextChar">
    <w:name w:val="Comment Text Char"/>
    <w:link w:val="CommentText"/>
    <w:uiPriority w:val="99"/>
    <w:semiHidden/>
    <w:rsid w:val="008B2AD3"/>
    <w:rPr>
      <w:sz w:val="20"/>
      <w:szCs w:val="20"/>
    </w:rPr>
  </w:style>
  <w:style w:type="paragraph" w:styleId="BalloonText">
    <w:name w:val="Balloon Text"/>
    <w:basedOn w:val="Normal"/>
    <w:link w:val="BalloonTextChar"/>
    <w:uiPriority w:val="99"/>
    <w:semiHidden/>
    <w:unhideWhenUsed/>
    <w:rsid w:val="008B2AD3"/>
    <w:rPr>
      <w:rFonts w:ascii="Tahoma" w:hAnsi="Tahoma" w:cs="Tahoma"/>
      <w:sz w:val="16"/>
      <w:szCs w:val="16"/>
    </w:rPr>
  </w:style>
  <w:style w:type="character" w:customStyle="1" w:styleId="BalloonTextChar">
    <w:name w:val="Balloon Text Char"/>
    <w:link w:val="BalloonText"/>
    <w:uiPriority w:val="99"/>
    <w:semiHidden/>
    <w:rsid w:val="008B2AD3"/>
    <w:rPr>
      <w:rFonts w:ascii="Tahoma" w:hAnsi="Tahoma" w:cs="Tahoma"/>
      <w:sz w:val="16"/>
      <w:szCs w:val="16"/>
    </w:rPr>
  </w:style>
  <w:style w:type="table" w:styleId="TableGrid">
    <w:name w:val="Table Grid"/>
    <w:basedOn w:val="TableNormal"/>
    <w:uiPriority w:val="59"/>
    <w:rsid w:val="006E6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10E9C"/>
    <w:pPr>
      <w:spacing w:after="0"/>
    </w:pPr>
    <w:rPr>
      <w:b/>
      <w:bCs/>
    </w:rPr>
  </w:style>
  <w:style w:type="character" w:customStyle="1" w:styleId="CommentSubjectChar">
    <w:name w:val="Comment Subject Char"/>
    <w:link w:val="CommentSubject"/>
    <w:uiPriority w:val="99"/>
    <w:semiHidden/>
    <w:rsid w:val="00E10E9C"/>
    <w:rPr>
      <w:b/>
      <w:bCs/>
      <w:sz w:val="20"/>
      <w:szCs w:val="20"/>
    </w:rPr>
  </w:style>
  <w:style w:type="paragraph" w:styleId="Revision">
    <w:name w:val="Revision"/>
    <w:hidden/>
    <w:uiPriority w:val="99"/>
    <w:semiHidden/>
    <w:rsid w:val="004A29A0"/>
    <w:rPr>
      <w:sz w:val="22"/>
      <w:szCs w:val="22"/>
    </w:rPr>
  </w:style>
  <w:style w:type="paragraph" w:styleId="ListParagraph">
    <w:name w:val="List Paragraph"/>
    <w:basedOn w:val="Normal"/>
    <w:uiPriority w:val="34"/>
    <w:qFormat/>
    <w:rsid w:val="00E30187"/>
    <w:pPr>
      <w:ind w:left="720"/>
      <w:contextualSpacing/>
    </w:pPr>
  </w:style>
  <w:style w:type="paragraph" w:styleId="Header">
    <w:name w:val="header"/>
    <w:basedOn w:val="Normal"/>
    <w:link w:val="HeaderChar"/>
    <w:uiPriority w:val="99"/>
    <w:unhideWhenUsed/>
    <w:rsid w:val="00813E64"/>
    <w:pPr>
      <w:tabs>
        <w:tab w:val="center" w:pos="4513"/>
        <w:tab w:val="right" w:pos="9026"/>
      </w:tabs>
    </w:pPr>
  </w:style>
  <w:style w:type="character" w:customStyle="1" w:styleId="HeaderChar">
    <w:name w:val="Header Char"/>
    <w:basedOn w:val="DefaultParagraphFont"/>
    <w:link w:val="Header"/>
    <w:uiPriority w:val="99"/>
    <w:rsid w:val="00813E64"/>
  </w:style>
  <w:style w:type="paragraph" w:styleId="Footer">
    <w:name w:val="footer"/>
    <w:basedOn w:val="Normal"/>
    <w:link w:val="FooterChar"/>
    <w:uiPriority w:val="99"/>
    <w:unhideWhenUsed/>
    <w:rsid w:val="00813E64"/>
    <w:pPr>
      <w:tabs>
        <w:tab w:val="center" w:pos="4513"/>
        <w:tab w:val="right" w:pos="9026"/>
      </w:tabs>
    </w:pPr>
  </w:style>
  <w:style w:type="character" w:customStyle="1" w:styleId="FooterChar">
    <w:name w:val="Footer Char"/>
    <w:basedOn w:val="DefaultParagraphFont"/>
    <w:link w:val="Footer"/>
    <w:uiPriority w:val="99"/>
    <w:rsid w:val="00813E64"/>
  </w:style>
  <w:style w:type="character" w:styleId="Hyperlink">
    <w:name w:val="Hyperlink"/>
    <w:rsid w:val="003A178A"/>
    <w:rPr>
      <w:color w:val="0000FF"/>
      <w:u w:val="single"/>
    </w:rPr>
  </w:style>
  <w:style w:type="character" w:customStyle="1" w:styleId="apple-converted-space">
    <w:name w:val="apple-converted-space"/>
    <w:basedOn w:val="DefaultParagraphFont"/>
    <w:rsid w:val="00FD3096"/>
  </w:style>
  <w:style w:type="character" w:styleId="LineNumber">
    <w:name w:val="line number"/>
    <w:basedOn w:val="DefaultParagraphFont"/>
    <w:uiPriority w:val="99"/>
    <w:semiHidden/>
    <w:unhideWhenUsed/>
    <w:rsid w:val="00472B08"/>
  </w:style>
  <w:style w:type="character" w:styleId="FollowedHyperlink">
    <w:name w:val="FollowedHyperlink"/>
    <w:basedOn w:val="DefaultParagraphFont"/>
    <w:uiPriority w:val="99"/>
    <w:semiHidden/>
    <w:unhideWhenUsed/>
    <w:rsid w:val="00A962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295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4656945" TargetMode="External"/><Relationship Id="rId13" Type="http://schemas.openxmlformats.org/officeDocument/2006/relationships/hyperlink" Target="http://opendatacommunities.org/deprivation/map" TargetMode="Externa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yperlink" Target="mailto:cxb791@bham.ac.uk" TargetMode="Externa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F:\Papers_Presentations_Posters_Placements\Papers\MeasuringHungerSatiety_Paper\Appetite%20Resubmission_Take%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Papers_Presentations_Posters_Placements\Papers\MeasuringHungerSatiety_Paper\Appetite%20Resubmission_Take%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100"/>
            </a:pPr>
            <a:r>
              <a:rPr lang="en-GB" sz="1100"/>
              <a:t>Magnitude of Hunger Change </a:t>
            </a:r>
          </a:p>
        </c:rich>
      </c:tx>
      <c:overlay val="0"/>
    </c:title>
    <c:autoTitleDeleted val="0"/>
    <c:plotArea>
      <c:layout/>
      <c:barChart>
        <c:barDir val="col"/>
        <c:grouping val="clustered"/>
        <c:varyColors val="0"/>
        <c:ser>
          <c:idx val="0"/>
          <c:order val="0"/>
          <c:invertIfNegative val="0"/>
          <c:cat>
            <c:strRef>
              <c:f>Histogram!$D$26:$J$26</c:f>
              <c:strCache>
                <c:ptCount val="7"/>
                <c:pt idx="0">
                  <c:v>Increase by 2 rating points</c:v>
                </c:pt>
                <c:pt idx="1">
                  <c:v>Increase by 1 rating point</c:v>
                </c:pt>
                <c:pt idx="2">
                  <c:v>No change</c:v>
                </c:pt>
                <c:pt idx="3">
                  <c:v>Decrease by 0.5 rating points</c:v>
                </c:pt>
                <c:pt idx="4">
                  <c:v>Decrease by 1 rating point</c:v>
                </c:pt>
                <c:pt idx="5">
                  <c:v>Decrease by 2 rating points</c:v>
                </c:pt>
                <c:pt idx="6">
                  <c:v>Decrease by 4 rating points</c:v>
                </c:pt>
              </c:strCache>
            </c:strRef>
          </c:cat>
          <c:val>
            <c:numRef>
              <c:f>Histogram!$D$27:$J$27</c:f>
              <c:numCache>
                <c:formatCode>General</c:formatCode>
                <c:ptCount val="7"/>
                <c:pt idx="0">
                  <c:v>2.7800000000000002</c:v>
                </c:pt>
                <c:pt idx="1">
                  <c:v>5.56</c:v>
                </c:pt>
                <c:pt idx="2">
                  <c:v>41.67</c:v>
                </c:pt>
                <c:pt idx="3">
                  <c:v>11.1</c:v>
                </c:pt>
                <c:pt idx="4">
                  <c:v>25</c:v>
                </c:pt>
                <c:pt idx="5">
                  <c:v>8.33</c:v>
                </c:pt>
                <c:pt idx="6">
                  <c:v>5.56</c:v>
                </c:pt>
              </c:numCache>
            </c:numRef>
          </c:val>
        </c:ser>
        <c:dLbls>
          <c:showLegendKey val="0"/>
          <c:showVal val="0"/>
          <c:showCatName val="0"/>
          <c:showSerName val="0"/>
          <c:showPercent val="0"/>
          <c:showBubbleSize val="0"/>
        </c:dLbls>
        <c:gapWidth val="150"/>
        <c:axId val="229748176"/>
        <c:axId val="229745040"/>
      </c:barChart>
      <c:catAx>
        <c:axId val="229748176"/>
        <c:scaling>
          <c:orientation val="minMax"/>
        </c:scaling>
        <c:delete val="0"/>
        <c:axPos val="b"/>
        <c:title>
          <c:tx>
            <c:rich>
              <a:bodyPr/>
              <a:lstStyle/>
              <a:p>
                <a:pPr>
                  <a:defRPr/>
                </a:pPr>
                <a:r>
                  <a:rPr lang="en-GB"/>
                  <a:t>Hunger Change</a:t>
                </a:r>
              </a:p>
            </c:rich>
          </c:tx>
          <c:overlay val="0"/>
        </c:title>
        <c:numFmt formatCode="General" sourceLinked="0"/>
        <c:majorTickMark val="out"/>
        <c:minorTickMark val="none"/>
        <c:tickLblPos val="nextTo"/>
        <c:crossAx val="229745040"/>
        <c:crosses val="autoZero"/>
        <c:auto val="1"/>
        <c:lblAlgn val="ctr"/>
        <c:lblOffset val="100"/>
        <c:noMultiLvlLbl val="0"/>
      </c:catAx>
      <c:valAx>
        <c:axId val="229745040"/>
        <c:scaling>
          <c:orientation val="minMax"/>
        </c:scaling>
        <c:delete val="0"/>
        <c:axPos val="l"/>
        <c:majorGridlines/>
        <c:title>
          <c:tx>
            <c:rich>
              <a:bodyPr rot="-5400000" vert="horz"/>
              <a:lstStyle/>
              <a:p>
                <a:pPr>
                  <a:defRPr/>
                </a:pPr>
                <a:r>
                  <a:rPr lang="en-GB"/>
                  <a:t>Percentage of Children</a:t>
                </a:r>
              </a:p>
            </c:rich>
          </c:tx>
          <c:overlay val="0"/>
        </c:title>
        <c:numFmt formatCode="General" sourceLinked="1"/>
        <c:majorTickMark val="out"/>
        <c:minorTickMark val="none"/>
        <c:tickLblPos val="nextTo"/>
        <c:crossAx val="22974817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100"/>
            </a:pPr>
            <a:r>
              <a:rPr lang="en-US" sz="1100"/>
              <a:t>Relationship between Pre-Snack Hunger Rating and Intake</a:t>
            </a:r>
          </a:p>
        </c:rich>
      </c:tx>
      <c:overlay val="0"/>
    </c:title>
    <c:autoTitleDeleted val="0"/>
    <c:plotArea>
      <c:layout/>
      <c:scatterChart>
        <c:scatterStyle val="lineMarker"/>
        <c:varyColors val="0"/>
        <c:ser>
          <c:idx val="0"/>
          <c:order val="0"/>
          <c:tx>
            <c:strRef>
              <c:f>'Pre-meal Hunger-Intake'!$C$1</c:f>
              <c:strCache>
                <c:ptCount val="1"/>
                <c:pt idx="0">
                  <c:v>Intake</c:v>
                </c:pt>
              </c:strCache>
            </c:strRef>
          </c:tx>
          <c:spPr>
            <a:ln w="28575">
              <a:noFill/>
            </a:ln>
          </c:spPr>
          <c:trendline>
            <c:trendlineType val="linear"/>
            <c:dispRSqr val="0"/>
            <c:dispEq val="0"/>
          </c:trendline>
          <c:xVal>
            <c:numRef>
              <c:f>'Pre-meal Hunger-Intake'!$B$2:$B$37</c:f>
              <c:numCache>
                <c:formatCode>General</c:formatCode>
                <c:ptCount val="36"/>
                <c:pt idx="0">
                  <c:v>2</c:v>
                </c:pt>
                <c:pt idx="1">
                  <c:v>2</c:v>
                </c:pt>
                <c:pt idx="2">
                  <c:v>3</c:v>
                </c:pt>
                <c:pt idx="3">
                  <c:v>3</c:v>
                </c:pt>
                <c:pt idx="4">
                  <c:v>2</c:v>
                </c:pt>
                <c:pt idx="5">
                  <c:v>1</c:v>
                </c:pt>
                <c:pt idx="6">
                  <c:v>3</c:v>
                </c:pt>
                <c:pt idx="7">
                  <c:v>2</c:v>
                </c:pt>
                <c:pt idx="8">
                  <c:v>3</c:v>
                </c:pt>
                <c:pt idx="9">
                  <c:v>3</c:v>
                </c:pt>
                <c:pt idx="10">
                  <c:v>3</c:v>
                </c:pt>
                <c:pt idx="11">
                  <c:v>3</c:v>
                </c:pt>
                <c:pt idx="12">
                  <c:v>1</c:v>
                </c:pt>
                <c:pt idx="13">
                  <c:v>2</c:v>
                </c:pt>
                <c:pt idx="14">
                  <c:v>1</c:v>
                </c:pt>
                <c:pt idx="15">
                  <c:v>3</c:v>
                </c:pt>
                <c:pt idx="16">
                  <c:v>3</c:v>
                </c:pt>
                <c:pt idx="17">
                  <c:v>2</c:v>
                </c:pt>
                <c:pt idx="18">
                  <c:v>2</c:v>
                </c:pt>
                <c:pt idx="19">
                  <c:v>1</c:v>
                </c:pt>
                <c:pt idx="20">
                  <c:v>1</c:v>
                </c:pt>
                <c:pt idx="21">
                  <c:v>4</c:v>
                </c:pt>
                <c:pt idx="22">
                  <c:v>1</c:v>
                </c:pt>
                <c:pt idx="23">
                  <c:v>2</c:v>
                </c:pt>
                <c:pt idx="24">
                  <c:v>3</c:v>
                </c:pt>
                <c:pt idx="25">
                  <c:v>1</c:v>
                </c:pt>
                <c:pt idx="26">
                  <c:v>1</c:v>
                </c:pt>
                <c:pt idx="27">
                  <c:v>1</c:v>
                </c:pt>
                <c:pt idx="28">
                  <c:v>1</c:v>
                </c:pt>
                <c:pt idx="29">
                  <c:v>1.5</c:v>
                </c:pt>
                <c:pt idx="30">
                  <c:v>2</c:v>
                </c:pt>
                <c:pt idx="31">
                  <c:v>1</c:v>
                </c:pt>
                <c:pt idx="32">
                  <c:v>2</c:v>
                </c:pt>
                <c:pt idx="33">
                  <c:v>3</c:v>
                </c:pt>
                <c:pt idx="34">
                  <c:v>2</c:v>
                </c:pt>
                <c:pt idx="35">
                  <c:v>3</c:v>
                </c:pt>
              </c:numCache>
            </c:numRef>
          </c:xVal>
          <c:yVal>
            <c:numRef>
              <c:f>'Pre-meal Hunger-Intake'!$C$2:$C$37</c:f>
              <c:numCache>
                <c:formatCode>General</c:formatCode>
                <c:ptCount val="36"/>
                <c:pt idx="0">
                  <c:v>506.90999999999997</c:v>
                </c:pt>
                <c:pt idx="1">
                  <c:v>379.83</c:v>
                </c:pt>
                <c:pt idx="2">
                  <c:v>79.349999999999994</c:v>
                </c:pt>
                <c:pt idx="3">
                  <c:v>173.04</c:v>
                </c:pt>
                <c:pt idx="4">
                  <c:v>95.61999999999999</c:v>
                </c:pt>
                <c:pt idx="5">
                  <c:v>371.97999999999996</c:v>
                </c:pt>
                <c:pt idx="6">
                  <c:v>594.87</c:v>
                </c:pt>
                <c:pt idx="7">
                  <c:v>241.13</c:v>
                </c:pt>
                <c:pt idx="8">
                  <c:v>377.9</c:v>
                </c:pt>
                <c:pt idx="9">
                  <c:v>201.91</c:v>
                </c:pt>
                <c:pt idx="10">
                  <c:v>315.42999999999961</c:v>
                </c:pt>
                <c:pt idx="11">
                  <c:v>164.10999999999999</c:v>
                </c:pt>
                <c:pt idx="12">
                  <c:v>377.04</c:v>
                </c:pt>
                <c:pt idx="13">
                  <c:v>254.6</c:v>
                </c:pt>
                <c:pt idx="14">
                  <c:v>277.95</c:v>
                </c:pt>
                <c:pt idx="15">
                  <c:v>83.09</c:v>
                </c:pt>
                <c:pt idx="16">
                  <c:v>661.55</c:v>
                </c:pt>
                <c:pt idx="17">
                  <c:v>293.33</c:v>
                </c:pt>
                <c:pt idx="18">
                  <c:v>237.81</c:v>
                </c:pt>
                <c:pt idx="19">
                  <c:v>441.41999999999996</c:v>
                </c:pt>
                <c:pt idx="20">
                  <c:v>181.23999999999998</c:v>
                </c:pt>
                <c:pt idx="21">
                  <c:v>195.38000000000002</c:v>
                </c:pt>
                <c:pt idx="22">
                  <c:v>694.68000000000006</c:v>
                </c:pt>
                <c:pt idx="23">
                  <c:v>205.1</c:v>
                </c:pt>
                <c:pt idx="24">
                  <c:v>164.14</c:v>
                </c:pt>
                <c:pt idx="25">
                  <c:v>605.51</c:v>
                </c:pt>
                <c:pt idx="26">
                  <c:v>320.92999999999961</c:v>
                </c:pt>
                <c:pt idx="27">
                  <c:v>422.96999999999997</c:v>
                </c:pt>
                <c:pt idx="28">
                  <c:v>733.49</c:v>
                </c:pt>
                <c:pt idx="29">
                  <c:v>174.32000000000002</c:v>
                </c:pt>
                <c:pt idx="30">
                  <c:v>164.96</c:v>
                </c:pt>
                <c:pt idx="31">
                  <c:v>255.63</c:v>
                </c:pt>
                <c:pt idx="32">
                  <c:v>765.87</c:v>
                </c:pt>
                <c:pt idx="33">
                  <c:v>173.92000000000002</c:v>
                </c:pt>
                <c:pt idx="34">
                  <c:v>379.75</c:v>
                </c:pt>
                <c:pt idx="35">
                  <c:v>259.95</c:v>
                </c:pt>
              </c:numCache>
            </c:numRef>
          </c:yVal>
          <c:smooth val="0"/>
        </c:ser>
        <c:dLbls>
          <c:showLegendKey val="0"/>
          <c:showVal val="0"/>
          <c:showCatName val="0"/>
          <c:showSerName val="0"/>
          <c:showPercent val="0"/>
          <c:showBubbleSize val="0"/>
        </c:dLbls>
        <c:axId val="229747000"/>
        <c:axId val="229746216"/>
      </c:scatterChart>
      <c:valAx>
        <c:axId val="229747000"/>
        <c:scaling>
          <c:orientation val="minMax"/>
        </c:scaling>
        <c:delete val="0"/>
        <c:axPos val="b"/>
        <c:title>
          <c:tx>
            <c:rich>
              <a:bodyPr/>
              <a:lstStyle/>
              <a:p>
                <a:pPr>
                  <a:defRPr/>
                </a:pPr>
                <a:r>
                  <a:rPr lang="en-GB"/>
                  <a:t>Pre-Snack Hunger Rating</a:t>
                </a:r>
              </a:p>
            </c:rich>
          </c:tx>
          <c:overlay val="0"/>
        </c:title>
        <c:numFmt formatCode="General" sourceLinked="1"/>
        <c:majorTickMark val="none"/>
        <c:minorTickMark val="none"/>
        <c:tickLblPos val="nextTo"/>
        <c:crossAx val="229746216"/>
        <c:crosses val="autoZero"/>
        <c:crossBetween val="midCat"/>
      </c:valAx>
      <c:valAx>
        <c:axId val="229746216"/>
        <c:scaling>
          <c:orientation val="minMax"/>
        </c:scaling>
        <c:delete val="0"/>
        <c:axPos val="l"/>
        <c:title>
          <c:tx>
            <c:rich>
              <a:bodyPr/>
              <a:lstStyle/>
              <a:p>
                <a:pPr>
                  <a:defRPr/>
                </a:pPr>
                <a:r>
                  <a:rPr lang="en-US"/>
                  <a:t>Intake (kcal)</a:t>
                </a:r>
              </a:p>
            </c:rich>
          </c:tx>
          <c:overlay val="0"/>
        </c:title>
        <c:numFmt formatCode="General" sourceLinked="1"/>
        <c:majorTickMark val="none"/>
        <c:minorTickMark val="none"/>
        <c:tickLblPos val="nextTo"/>
        <c:crossAx val="229747000"/>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100"/>
            </a:pPr>
            <a:r>
              <a:rPr lang="en-GB" sz="1100"/>
              <a:t>Relationship between Hunger Change and Intake</a:t>
            </a:r>
          </a:p>
        </c:rich>
      </c:tx>
      <c:overlay val="0"/>
    </c:title>
    <c:autoTitleDeleted val="0"/>
    <c:plotArea>
      <c:layout/>
      <c:scatterChart>
        <c:scatterStyle val="lineMarker"/>
        <c:varyColors val="0"/>
        <c:ser>
          <c:idx val="0"/>
          <c:order val="0"/>
          <c:tx>
            <c:strRef>
              <c:f>'Hunger Change-Intake'!$C$1</c:f>
              <c:strCache>
                <c:ptCount val="1"/>
                <c:pt idx="0">
                  <c:v>Intake (kcal)</c:v>
                </c:pt>
              </c:strCache>
            </c:strRef>
          </c:tx>
          <c:spPr>
            <a:ln w="28575">
              <a:noFill/>
            </a:ln>
          </c:spPr>
          <c:trendline>
            <c:trendlineType val="linear"/>
            <c:dispRSqr val="0"/>
            <c:dispEq val="0"/>
          </c:trendline>
          <c:xVal>
            <c:numRef>
              <c:f>'Hunger Change-Intake'!$B$2:$B$37</c:f>
              <c:numCache>
                <c:formatCode>General</c:formatCode>
                <c:ptCount val="36"/>
                <c:pt idx="0">
                  <c:v>2</c:v>
                </c:pt>
                <c:pt idx="1">
                  <c:v>0.5</c:v>
                </c:pt>
                <c:pt idx="2">
                  <c:v>0</c:v>
                </c:pt>
                <c:pt idx="3">
                  <c:v>1</c:v>
                </c:pt>
                <c:pt idx="4">
                  <c:v>0.5</c:v>
                </c:pt>
                <c:pt idx="5">
                  <c:v>0</c:v>
                </c:pt>
                <c:pt idx="6">
                  <c:v>4</c:v>
                </c:pt>
                <c:pt idx="7">
                  <c:v>0</c:v>
                </c:pt>
                <c:pt idx="8">
                  <c:v>-1</c:v>
                </c:pt>
                <c:pt idx="9">
                  <c:v>1</c:v>
                </c:pt>
                <c:pt idx="10">
                  <c:v>0</c:v>
                </c:pt>
                <c:pt idx="11">
                  <c:v>0</c:v>
                </c:pt>
                <c:pt idx="12">
                  <c:v>1</c:v>
                </c:pt>
                <c:pt idx="13">
                  <c:v>0</c:v>
                </c:pt>
                <c:pt idx="14">
                  <c:v>1</c:v>
                </c:pt>
                <c:pt idx="15">
                  <c:v>0</c:v>
                </c:pt>
                <c:pt idx="16">
                  <c:v>0</c:v>
                </c:pt>
                <c:pt idx="17">
                  <c:v>0</c:v>
                </c:pt>
                <c:pt idx="18">
                  <c:v>-1</c:v>
                </c:pt>
                <c:pt idx="19">
                  <c:v>1</c:v>
                </c:pt>
                <c:pt idx="20">
                  <c:v>1</c:v>
                </c:pt>
                <c:pt idx="21">
                  <c:v>-2</c:v>
                </c:pt>
                <c:pt idx="22">
                  <c:v>0</c:v>
                </c:pt>
                <c:pt idx="23">
                  <c:v>0</c:v>
                </c:pt>
                <c:pt idx="24">
                  <c:v>0</c:v>
                </c:pt>
                <c:pt idx="25">
                  <c:v>4</c:v>
                </c:pt>
                <c:pt idx="26">
                  <c:v>1</c:v>
                </c:pt>
                <c:pt idx="27">
                  <c:v>1</c:v>
                </c:pt>
                <c:pt idx="28">
                  <c:v>1</c:v>
                </c:pt>
                <c:pt idx="29">
                  <c:v>0.5</c:v>
                </c:pt>
                <c:pt idx="30">
                  <c:v>0.5</c:v>
                </c:pt>
                <c:pt idx="31">
                  <c:v>2</c:v>
                </c:pt>
                <c:pt idx="32">
                  <c:v>0</c:v>
                </c:pt>
                <c:pt idx="33">
                  <c:v>0</c:v>
                </c:pt>
                <c:pt idx="34">
                  <c:v>2</c:v>
                </c:pt>
                <c:pt idx="35">
                  <c:v>0</c:v>
                </c:pt>
              </c:numCache>
            </c:numRef>
          </c:xVal>
          <c:yVal>
            <c:numRef>
              <c:f>'Hunger Change-Intake'!$C$2:$C$37</c:f>
              <c:numCache>
                <c:formatCode>General</c:formatCode>
                <c:ptCount val="36"/>
                <c:pt idx="0">
                  <c:v>506.90999999999997</c:v>
                </c:pt>
                <c:pt idx="1">
                  <c:v>379.83</c:v>
                </c:pt>
                <c:pt idx="2">
                  <c:v>79.349999999999994</c:v>
                </c:pt>
                <c:pt idx="3">
                  <c:v>173.04</c:v>
                </c:pt>
                <c:pt idx="4">
                  <c:v>95.61999999999999</c:v>
                </c:pt>
                <c:pt idx="5">
                  <c:v>371.97999999999996</c:v>
                </c:pt>
                <c:pt idx="6">
                  <c:v>594.87</c:v>
                </c:pt>
                <c:pt idx="7">
                  <c:v>241.13</c:v>
                </c:pt>
                <c:pt idx="8">
                  <c:v>377.9</c:v>
                </c:pt>
                <c:pt idx="9">
                  <c:v>201.91</c:v>
                </c:pt>
                <c:pt idx="10">
                  <c:v>315.42999999999955</c:v>
                </c:pt>
                <c:pt idx="11">
                  <c:v>164.10999999999999</c:v>
                </c:pt>
                <c:pt idx="12">
                  <c:v>377.04</c:v>
                </c:pt>
                <c:pt idx="13">
                  <c:v>254.6</c:v>
                </c:pt>
                <c:pt idx="14">
                  <c:v>277.95</c:v>
                </c:pt>
                <c:pt idx="15">
                  <c:v>83.09</c:v>
                </c:pt>
                <c:pt idx="16">
                  <c:v>661.55</c:v>
                </c:pt>
                <c:pt idx="17">
                  <c:v>293.33</c:v>
                </c:pt>
                <c:pt idx="18">
                  <c:v>237.81</c:v>
                </c:pt>
                <c:pt idx="19">
                  <c:v>441.41999999999996</c:v>
                </c:pt>
                <c:pt idx="20">
                  <c:v>181.23999999999998</c:v>
                </c:pt>
                <c:pt idx="21">
                  <c:v>195.38000000000002</c:v>
                </c:pt>
                <c:pt idx="22">
                  <c:v>694.68000000000006</c:v>
                </c:pt>
                <c:pt idx="23">
                  <c:v>205.1</c:v>
                </c:pt>
                <c:pt idx="24">
                  <c:v>164.14</c:v>
                </c:pt>
                <c:pt idx="25">
                  <c:v>605.51</c:v>
                </c:pt>
                <c:pt idx="26">
                  <c:v>320.92999999999955</c:v>
                </c:pt>
                <c:pt idx="27">
                  <c:v>422.96999999999997</c:v>
                </c:pt>
                <c:pt idx="28">
                  <c:v>733.49</c:v>
                </c:pt>
                <c:pt idx="29">
                  <c:v>174.32000000000002</c:v>
                </c:pt>
                <c:pt idx="30">
                  <c:v>164.96</c:v>
                </c:pt>
                <c:pt idx="31">
                  <c:v>255.63</c:v>
                </c:pt>
                <c:pt idx="32">
                  <c:v>765.87</c:v>
                </c:pt>
                <c:pt idx="33">
                  <c:v>173.92000000000002</c:v>
                </c:pt>
                <c:pt idx="34">
                  <c:v>379.75</c:v>
                </c:pt>
                <c:pt idx="35">
                  <c:v>259.95</c:v>
                </c:pt>
              </c:numCache>
            </c:numRef>
          </c:yVal>
          <c:smooth val="0"/>
        </c:ser>
        <c:dLbls>
          <c:showLegendKey val="0"/>
          <c:showVal val="0"/>
          <c:showCatName val="0"/>
          <c:showSerName val="0"/>
          <c:showPercent val="0"/>
          <c:showBubbleSize val="0"/>
        </c:dLbls>
        <c:axId val="231205128"/>
        <c:axId val="231203560"/>
      </c:scatterChart>
      <c:valAx>
        <c:axId val="231205128"/>
        <c:scaling>
          <c:orientation val="minMax"/>
        </c:scaling>
        <c:delete val="0"/>
        <c:axPos val="b"/>
        <c:title>
          <c:tx>
            <c:rich>
              <a:bodyPr/>
              <a:lstStyle/>
              <a:p>
                <a:pPr>
                  <a:defRPr/>
                </a:pPr>
                <a:r>
                  <a:rPr lang="en-GB"/>
                  <a:t>Hunger Change</a:t>
                </a:r>
              </a:p>
            </c:rich>
          </c:tx>
          <c:overlay val="0"/>
        </c:title>
        <c:numFmt formatCode="General" sourceLinked="1"/>
        <c:majorTickMark val="none"/>
        <c:minorTickMark val="none"/>
        <c:tickLblPos val="nextTo"/>
        <c:crossAx val="231203560"/>
        <c:crosses val="autoZero"/>
        <c:crossBetween val="midCat"/>
      </c:valAx>
      <c:valAx>
        <c:axId val="231203560"/>
        <c:scaling>
          <c:orientation val="minMax"/>
        </c:scaling>
        <c:delete val="0"/>
        <c:axPos val="l"/>
        <c:title>
          <c:tx>
            <c:rich>
              <a:bodyPr/>
              <a:lstStyle/>
              <a:p>
                <a:pPr>
                  <a:defRPr/>
                </a:pPr>
                <a:r>
                  <a:rPr lang="en-GB"/>
                  <a:t>Intake (kcal)</a:t>
                </a:r>
              </a:p>
            </c:rich>
          </c:tx>
          <c:overlay val="0"/>
        </c:title>
        <c:numFmt formatCode="General" sourceLinked="1"/>
        <c:majorTickMark val="none"/>
        <c:minorTickMark val="none"/>
        <c:tickLblPos val="nextTo"/>
        <c:crossAx val="231205128"/>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6D82C-0CE5-4F70-B76D-F8A23C4C6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7987</Words>
  <Characters>45528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53409</CharactersWithSpaces>
  <SharedDoc>false</SharedDoc>
  <HLinks>
    <vt:vector size="12" baseType="variant">
      <vt:variant>
        <vt:i4>3604525</vt:i4>
      </vt:variant>
      <vt:variant>
        <vt:i4>3</vt:i4>
      </vt:variant>
      <vt:variant>
        <vt:i4>0</vt:i4>
      </vt:variant>
      <vt:variant>
        <vt:i4>5</vt:i4>
      </vt:variant>
      <vt:variant>
        <vt:lpwstr>http://opendatacommunities.org/deprivation/map</vt:lpwstr>
      </vt:variant>
      <vt:variant>
        <vt:lpwstr/>
      </vt:variant>
      <vt:variant>
        <vt:i4>3866639</vt:i4>
      </vt:variant>
      <vt:variant>
        <vt:i4>0</vt:i4>
      </vt:variant>
      <vt:variant>
        <vt:i4>0</vt:i4>
      </vt:variant>
      <vt:variant>
        <vt:i4>5</vt:i4>
      </vt:variant>
      <vt:variant>
        <vt:lpwstr>mailto:cxb791@bham.ac.uk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cxb791</dc:creator>
  <cp:lastModifiedBy>Stork, Leigh</cp:lastModifiedBy>
  <cp:revision>2</cp:revision>
  <cp:lastPrinted>2013-10-11T14:57:00Z</cp:lastPrinted>
  <dcterms:created xsi:type="dcterms:W3CDTF">2018-03-21T10:45:00Z</dcterms:created>
  <dcterms:modified xsi:type="dcterms:W3CDTF">2018-03-21T10:45:00Z</dcterms:modified>
</cp:coreProperties>
</file>